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2E5" w:rsidRDefault="009409B7" w:rsidP="00322AC9">
      <w:pPr>
        <w:ind w:right="-188"/>
        <w:jc w:val="right"/>
      </w:pPr>
      <w:r>
        <w:rPr>
          <w:noProof/>
          <w:lang w:eastAsia="en-GB"/>
        </w:rPr>
        <w:drawing>
          <wp:inline distT="0" distB="0" distL="0" distR="0" wp14:anchorId="101429A6" wp14:editId="708E78DA">
            <wp:extent cx="2552700" cy="504825"/>
            <wp:effectExtent l="0" t="0" r="0" b="9525"/>
            <wp:docPr id="1" name="Picture 1" descr="Logo.jpg"/>
            <wp:cNvGraphicFramePr/>
            <a:graphic xmlns:a="http://schemas.openxmlformats.org/drawingml/2006/main">
              <a:graphicData uri="http://schemas.openxmlformats.org/drawingml/2006/picture">
                <pic:pic xmlns:pic="http://schemas.openxmlformats.org/drawingml/2006/picture">
                  <pic:nvPicPr>
                    <pic:cNvPr id="1" name="Picture 1" descr="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322AC9" w:rsidRPr="00322AC9" w:rsidRDefault="00322AC9" w:rsidP="000B311A">
      <w:pPr>
        <w:spacing w:after="0" w:line="240" w:lineRule="auto"/>
        <w:jc w:val="center"/>
        <w:rPr>
          <w:rFonts w:ascii="Segoe UI" w:hAnsi="Segoe UI" w:cs="Segoe UI"/>
          <w:b/>
        </w:rPr>
      </w:pPr>
    </w:p>
    <w:p w:rsidR="009409B7" w:rsidRPr="000B311A" w:rsidRDefault="00B10C0C" w:rsidP="000B311A">
      <w:pPr>
        <w:spacing w:after="0" w:line="240" w:lineRule="auto"/>
        <w:jc w:val="center"/>
        <w:rPr>
          <w:rFonts w:ascii="Segoe UI" w:hAnsi="Segoe UI" w:cs="Segoe UI"/>
          <w:b/>
          <w:sz w:val="32"/>
        </w:rPr>
      </w:pPr>
      <w:r>
        <w:rPr>
          <w:rFonts w:ascii="Segoe UI" w:hAnsi="Segoe UI" w:cs="Segoe UI"/>
          <w:b/>
          <w:sz w:val="32"/>
        </w:rPr>
        <w:t xml:space="preserve">       </w:t>
      </w:r>
      <w:r w:rsidR="009409B7" w:rsidRPr="000B311A">
        <w:rPr>
          <w:rFonts w:ascii="Segoe UI" w:hAnsi="Segoe UI" w:cs="Segoe UI"/>
          <w:b/>
          <w:sz w:val="32"/>
        </w:rPr>
        <w:t xml:space="preserve">Operational Plan 2018/19: </w:t>
      </w:r>
      <w:r w:rsidR="009409B7" w:rsidRPr="003237DE">
        <w:rPr>
          <w:rFonts w:ascii="Segoe UI" w:hAnsi="Segoe UI" w:cs="Segoe UI"/>
          <w:b/>
          <w:sz w:val="32"/>
        </w:rPr>
        <w:t xml:space="preserve">Quarter </w:t>
      </w:r>
      <w:r w:rsidR="00463517" w:rsidRPr="003237DE">
        <w:rPr>
          <w:rFonts w:ascii="Segoe UI" w:hAnsi="Segoe UI" w:cs="Segoe UI"/>
          <w:b/>
          <w:sz w:val="32"/>
        </w:rPr>
        <w:t>4</w:t>
      </w:r>
      <w:r w:rsidR="009409B7" w:rsidRPr="003237DE">
        <w:rPr>
          <w:rFonts w:ascii="Segoe UI" w:hAnsi="Segoe UI" w:cs="Segoe UI"/>
          <w:b/>
          <w:sz w:val="32"/>
        </w:rPr>
        <w:t xml:space="preserve"> Report</w:t>
      </w:r>
    </w:p>
    <w:p w:rsidR="009409B7" w:rsidRPr="00322AC9" w:rsidRDefault="00F86E70" w:rsidP="000B311A">
      <w:pPr>
        <w:spacing w:after="0" w:line="240" w:lineRule="auto"/>
        <w:rPr>
          <w:rFonts w:ascii="Segoe UI" w:hAnsi="Segoe UI" w:cs="Segoe UI"/>
          <w:sz w:val="32"/>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4610100</wp:posOffset>
                </wp:positionH>
                <wp:positionV relativeFrom="paragraph">
                  <wp:posOffset>55880</wp:posOffset>
                </wp:positionV>
                <wp:extent cx="1685925" cy="5264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26415"/>
                        </a:xfrm>
                        <a:prstGeom prst="rect">
                          <a:avLst/>
                        </a:prstGeom>
                        <a:solidFill>
                          <a:srgbClr val="FFFFFF"/>
                        </a:solidFill>
                        <a:ln w="9525">
                          <a:solidFill>
                            <a:srgbClr val="000000"/>
                          </a:solidFill>
                          <a:miter lim="800000"/>
                          <a:headEnd/>
                          <a:tailEnd/>
                        </a:ln>
                      </wps:spPr>
                      <wps:txbx>
                        <w:txbxContent>
                          <w:p w:rsidR="00B10C0C" w:rsidRPr="00B10C0C" w:rsidRDefault="00B10C0C" w:rsidP="00F86E70">
                            <w:pPr>
                              <w:jc w:val="center"/>
                              <w:rPr>
                                <w:rFonts w:ascii="Segoe UI" w:hAnsi="Segoe UI" w:cs="Segoe UI"/>
                              </w:rPr>
                            </w:pPr>
                            <w:r>
                              <w:rPr>
                                <w:rFonts w:ascii="Segoe UI" w:hAnsi="Segoe UI" w:cs="Segoe UI"/>
                                <w:b/>
                              </w:rPr>
                              <w:t xml:space="preserve">BOD </w:t>
                            </w:r>
                            <w:r w:rsidR="00F24E7F">
                              <w:rPr>
                                <w:rFonts w:ascii="Segoe UI" w:hAnsi="Segoe UI" w:cs="Segoe UI"/>
                                <w:b/>
                              </w:rPr>
                              <w:t>49</w:t>
                            </w:r>
                            <w:r>
                              <w:rPr>
                                <w:rFonts w:ascii="Segoe UI" w:hAnsi="Segoe UI" w:cs="Segoe UI"/>
                                <w:b/>
                              </w:rPr>
                              <w:t>/2019</w:t>
                            </w:r>
                            <w:r>
                              <w:rPr>
                                <w:rFonts w:ascii="Segoe UI" w:hAnsi="Segoe UI" w:cs="Segoe UI"/>
                              </w:rPr>
                              <w:br/>
                            </w:r>
                            <w:r w:rsidR="00F86E70">
                              <w:rPr>
                                <w:rFonts w:ascii="Segoe UI" w:hAnsi="Segoe UI" w:cs="Segoe UI"/>
                              </w:rPr>
                              <w:t>Agenda item: 1</w:t>
                            </w:r>
                            <w:r w:rsidR="00F24E7F">
                              <w:rPr>
                                <w:rFonts w:ascii="Segoe UI" w:hAnsi="Segoe UI" w:cs="Segoe UI"/>
                              </w:rPr>
                              <w:t>2</w:t>
                            </w:r>
                            <w:r w:rsidR="00F86E70">
                              <w:rPr>
                                <w:rFonts w:ascii="Segoe UI" w:hAnsi="Segoe UI" w:cs="Segoe UI"/>
                              </w:rPr>
                              <w:t xml:space="preserve"> 13133132</w:t>
                            </w:r>
                            <w:r>
                              <w:rPr>
                                <w:rFonts w:ascii="Segoe UI" w:hAnsi="Segoe UI" w:cs="Segoe UI"/>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4.4pt;width:132.75pt;height:4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">
                <v:textbox>
                  <w:txbxContent>
                    <w:p w:rsidR="00B10C0C" w:rsidRPr="00B10C0C" w:rsidRDefault="00B10C0C" w:rsidP="00F86E70">
                      <w:pPr>
                        <w:jc w:val="center"/>
                        <w:rPr>
                          <w:rFonts w:ascii="Segoe UI" w:hAnsi="Segoe UI" w:cs="Segoe UI"/>
                        </w:rPr>
                      </w:pPr>
                      <w:r>
                        <w:rPr>
                          <w:rFonts w:ascii="Segoe UI" w:hAnsi="Segoe UI" w:cs="Segoe UI"/>
                          <w:b/>
                        </w:rPr>
                        <w:t xml:space="preserve">BOD </w:t>
                      </w:r>
                      <w:r w:rsidR="00F24E7F">
                        <w:rPr>
                          <w:rFonts w:ascii="Segoe UI" w:hAnsi="Segoe UI" w:cs="Segoe UI"/>
                          <w:b/>
                        </w:rPr>
                        <w:t>49</w:t>
                      </w:r>
                      <w:r>
                        <w:rPr>
                          <w:rFonts w:ascii="Segoe UI" w:hAnsi="Segoe UI" w:cs="Segoe UI"/>
                          <w:b/>
                        </w:rPr>
                        <w:t>/2019</w:t>
                      </w:r>
                      <w:r>
                        <w:rPr>
                          <w:rFonts w:ascii="Segoe UI" w:hAnsi="Segoe UI" w:cs="Segoe UI"/>
                        </w:rPr>
                        <w:br/>
                      </w:r>
                      <w:r w:rsidR="00F86E70">
                        <w:rPr>
                          <w:rFonts w:ascii="Segoe UI" w:hAnsi="Segoe UI" w:cs="Segoe UI"/>
                        </w:rPr>
                        <w:t>Agenda item: 1</w:t>
                      </w:r>
                      <w:r w:rsidR="00F24E7F">
                        <w:rPr>
                          <w:rFonts w:ascii="Segoe UI" w:hAnsi="Segoe UI" w:cs="Segoe UI"/>
                        </w:rPr>
                        <w:t>2</w:t>
                      </w:r>
                      <w:r w:rsidR="00F86E70">
                        <w:rPr>
                          <w:rFonts w:ascii="Segoe UI" w:hAnsi="Segoe UI" w:cs="Segoe UI"/>
                        </w:rPr>
                        <w:t xml:space="preserve"> 13133132</w:t>
                      </w:r>
                      <w:r>
                        <w:rPr>
                          <w:rFonts w:ascii="Segoe UI" w:hAnsi="Segoe UI" w:cs="Segoe UI"/>
                        </w:rPr>
                        <w:t>13)</w:t>
                      </w:r>
                    </w:p>
                  </w:txbxContent>
                </v:textbox>
                <w10:wrap type="square"/>
              </v:shape>
            </w:pict>
          </mc:Fallback>
        </mc:AlternateContent>
      </w:r>
    </w:p>
    <w:p w:rsidR="009409B7" w:rsidRPr="002F4309" w:rsidRDefault="00FD141B" w:rsidP="002F4309">
      <w:pPr>
        <w:pStyle w:val="ListParagraph"/>
        <w:numPr>
          <w:ilvl w:val="0"/>
          <w:numId w:val="3"/>
        </w:numPr>
        <w:shd w:val="clear" w:color="auto" w:fill="FFFFFF" w:themeFill="background1"/>
        <w:spacing w:after="0" w:line="240" w:lineRule="auto"/>
        <w:ind w:left="-142"/>
        <w:rPr>
          <w:rFonts w:ascii="Segoe UI" w:hAnsi="Segoe UI" w:cs="Segoe UI"/>
          <w:b/>
          <w:sz w:val="24"/>
        </w:rPr>
      </w:pPr>
      <w:r w:rsidRPr="002F4309">
        <w:rPr>
          <w:rFonts w:ascii="Segoe UI" w:hAnsi="Segoe UI" w:cs="Segoe UI"/>
          <w:b/>
          <w:sz w:val="24"/>
        </w:rPr>
        <w:t>Introduction</w:t>
      </w:r>
      <w:bookmarkStart w:id="0" w:name="_GoBack"/>
      <w:bookmarkEnd w:id="0"/>
    </w:p>
    <w:p w:rsidR="000B311A" w:rsidRPr="000B311A" w:rsidRDefault="000B311A" w:rsidP="000B311A">
      <w:pPr>
        <w:pStyle w:val="ListParagraph"/>
        <w:spacing w:after="0" w:line="240" w:lineRule="auto"/>
        <w:ind w:left="375"/>
        <w:rPr>
          <w:rFonts w:ascii="Segoe UI" w:hAnsi="Segoe UI" w:cs="Segoe UI"/>
          <w:b/>
        </w:rPr>
      </w:pPr>
    </w:p>
    <w:p w:rsidR="008816F5" w:rsidRDefault="008816F5" w:rsidP="002F4309">
      <w:pPr>
        <w:spacing w:after="0" w:line="240" w:lineRule="auto"/>
        <w:ind w:left="-426" w:right="-472"/>
        <w:jc w:val="both"/>
        <w:rPr>
          <w:rFonts w:ascii="Segoe UI" w:hAnsi="Segoe UI" w:cs="Segoe UI"/>
        </w:rPr>
      </w:pPr>
      <w:r w:rsidRPr="000B311A">
        <w:rPr>
          <w:rFonts w:ascii="Segoe UI" w:hAnsi="Segoe UI" w:cs="Segoe UI"/>
        </w:rPr>
        <w:t xml:space="preserve">This report </w:t>
      </w:r>
      <w:r w:rsidR="00322AC9">
        <w:rPr>
          <w:rFonts w:ascii="Segoe UI" w:hAnsi="Segoe UI" w:cs="Segoe UI"/>
        </w:rPr>
        <w:t>provides an update to the</w:t>
      </w:r>
      <w:r w:rsidRPr="000B311A">
        <w:rPr>
          <w:rFonts w:ascii="Segoe UI" w:hAnsi="Segoe UI" w:cs="Segoe UI"/>
        </w:rPr>
        <w:t xml:space="preserve"> Trust’s Board of Directors on progress in delivering the Trust’s Operational Plan 2018/19 in Quarter </w:t>
      </w:r>
      <w:r w:rsidR="00463517">
        <w:rPr>
          <w:rFonts w:ascii="Segoe UI" w:hAnsi="Segoe UI" w:cs="Segoe UI"/>
        </w:rPr>
        <w:t>4</w:t>
      </w:r>
      <w:r w:rsidR="006F0282" w:rsidRPr="000B311A">
        <w:rPr>
          <w:rFonts w:ascii="Segoe UI" w:hAnsi="Segoe UI" w:cs="Segoe UI"/>
        </w:rPr>
        <w:t xml:space="preserve"> (</w:t>
      </w:r>
      <w:r w:rsidR="007E2FDB">
        <w:rPr>
          <w:rFonts w:ascii="Segoe UI" w:hAnsi="Segoe UI" w:cs="Segoe UI"/>
        </w:rPr>
        <w:t xml:space="preserve">as </w:t>
      </w:r>
      <w:r w:rsidR="00A05965">
        <w:rPr>
          <w:rFonts w:ascii="Segoe UI" w:hAnsi="Segoe UI" w:cs="Segoe UI"/>
        </w:rPr>
        <w:t xml:space="preserve">at </w:t>
      </w:r>
      <w:r w:rsidR="00463517">
        <w:rPr>
          <w:rFonts w:ascii="Segoe UI" w:hAnsi="Segoe UI" w:cs="Segoe UI"/>
        </w:rPr>
        <w:t>April</w:t>
      </w:r>
      <w:r w:rsidR="00C16A78">
        <w:rPr>
          <w:rFonts w:ascii="Segoe UI" w:hAnsi="Segoe UI" w:cs="Segoe UI"/>
        </w:rPr>
        <w:t xml:space="preserve"> 201</w:t>
      </w:r>
      <w:r w:rsidR="00463517">
        <w:rPr>
          <w:rFonts w:ascii="Segoe UI" w:hAnsi="Segoe UI" w:cs="Segoe UI"/>
        </w:rPr>
        <w:t>9</w:t>
      </w:r>
      <w:r w:rsidR="006F0282" w:rsidRPr="000B311A">
        <w:rPr>
          <w:rFonts w:ascii="Segoe UI" w:hAnsi="Segoe UI" w:cs="Segoe UI"/>
        </w:rPr>
        <w:t xml:space="preserve">). </w:t>
      </w:r>
      <w:r w:rsidRPr="000B311A">
        <w:rPr>
          <w:rFonts w:ascii="Segoe UI" w:hAnsi="Segoe UI" w:cs="Segoe UI"/>
        </w:rPr>
        <w:t xml:space="preserve">The report outlines </w:t>
      </w:r>
      <w:r w:rsidR="00463517">
        <w:rPr>
          <w:rFonts w:ascii="Segoe UI" w:hAnsi="Segoe UI" w:cs="Segoe UI"/>
        </w:rPr>
        <w:t>work</w:t>
      </w:r>
      <w:r w:rsidRPr="000B311A">
        <w:rPr>
          <w:rFonts w:ascii="Segoe UI" w:hAnsi="Segoe UI" w:cs="Segoe UI"/>
        </w:rPr>
        <w:t xml:space="preserve"> for </w:t>
      </w:r>
      <w:r w:rsidR="00315388" w:rsidRPr="000B311A">
        <w:rPr>
          <w:rFonts w:ascii="Segoe UI" w:hAnsi="Segoe UI" w:cs="Segoe UI"/>
        </w:rPr>
        <w:t>the quarter</w:t>
      </w:r>
      <w:r w:rsidRPr="000B311A">
        <w:rPr>
          <w:rFonts w:ascii="Segoe UI" w:hAnsi="Segoe UI" w:cs="Segoe UI"/>
        </w:rPr>
        <w:t xml:space="preserve"> against the activity, quality, workforce</w:t>
      </w:r>
      <w:r w:rsidR="00C619ED">
        <w:rPr>
          <w:rFonts w:ascii="Segoe UI" w:hAnsi="Segoe UI" w:cs="Segoe UI"/>
        </w:rPr>
        <w:t>,</w:t>
      </w:r>
      <w:r w:rsidRPr="000B311A">
        <w:rPr>
          <w:rFonts w:ascii="Segoe UI" w:hAnsi="Segoe UI" w:cs="Segoe UI"/>
        </w:rPr>
        <w:t xml:space="preserve"> and key programme</w:t>
      </w:r>
      <w:r w:rsidR="00C619ED">
        <w:rPr>
          <w:rFonts w:ascii="Segoe UI" w:hAnsi="Segoe UI" w:cs="Segoe UI"/>
        </w:rPr>
        <w:t>s</w:t>
      </w:r>
      <w:r w:rsidRPr="000B311A">
        <w:rPr>
          <w:rFonts w:ascii="Segoe UI" w:hAnsi="Segoe UI" w:cs="Segoe UI"/>
        </w:rPr>
        <w:t xml:space="preserve"> commitments </w:t>
      </w:r>
      <w:r w:rsidR="000531E8">
        <w:rPr>
          <w:rFonts w:ascii="Segoe UI" w:hAnsi="Segoe UI" w:cs="Segoe UI"/>
        </w:rPr>
        <w:t>set out</w:t>
      </w:r>
      <w:r w:rsidRPr="000B311A">
        <w:rPr>
          <w:rFonts w:ascii="Segoe UI" w:hAnsi="Segoe UI" w:cs="Segoe UI"/>
        </w:rPr>
        <w:t xml:space="preserve"> in the</w:t>
      </w:r>
      <w:r w:rsidR="007E2FDB">
        <w:rPr>
          <w:rFonts w:ascii="Segoe UI" w:hAnsi="Segoe UI" w:cs="Segoe UI"/>
        </w:rPr>
        <w:t xml:space="preserve"> 2018/19 Operational</w:t>
      </w:r>
      <w:r w:rsidRPr="000B311A">
        <w:rPr>
          <w:rFonts w:ascii="Segoe UI" w:hAnsi="Segoe UI" w:cs="Segoe UI"/>
        </w:rPr>
        <w:t xml:space="preserve"> Plan.</w:t>
      </w:r>
      <w:r w:rsidR="00463517">
        <w:rPr>
          <w:rFonts w:ascii="Segoe UI" w:hAnsi="Segoe UI" w:cs="Segoe UI"/>
        </w:rPr>
        <w:t xml:space="preserve"> This is the last</w:t>
      </w:r>
      <w:r w:rsidR="00C619ED">
        <w:rPr>
          <w:rFonts w:ascii="Segoe UI" w:hAnsi="Segoe UI" w:cs="Segoe UI"/>
        </w:rPr>
        <w:t xml:space="preserve"> summary update</w:t>
      </w:r>
      <w:r w:rsidR="00463517">
        <w:rPr>
          <w:rFonts w:ascii="Segoe UI" w:hAnsi="Segoe UI" w:cs="Segoe UI"/>
        </w:rPr>
        <w:t xml:space="preserve"> report of the 2018/19 Operational Plan – the Trust submitted its 2019/20 Operational Plan on 4 April 2019.</w:t>
      </w:r>
      <w:r w:rsidR="00435FD4">
        <w:rPr>
          <w:rFonts w:ascii="Segoe UI" w:hAnsi="Segoe UI" w:cs="Segoe UI"/>
        </w:rPr>
        <w:t xml:space="preserve"> The Q1 progress update for 2019/20 will be reported to Board in July 2019.</w:t>
      </w:r>
    </w:p>
    <w:p w:rsidR="000B311A" w:rsidRPr="000B311A" w:rsidRDefault="000B311A" w:rsidP="000B311A">
      <w:pPr>
        <w:spacing w:after="0" w:line="240" w:lineRule="auto"/>
        <w:rPr>
          <w:rFonts w:ascii="Segoe UI" w:hAnsi="Segoe UI" w:cs="Segoe UI"/>
        </w:rPr>
      </w:pPr>
    </w:p>
    <w:p w:rsidR="009409B7" w:rsidRPr="002F4309" w:rsidRDefault="009409B7" w:rsidP="002F4309">
      <w:pPr>
        <w:pStyle w:val="ListParagraph"/>
        <w:numPr>
          <w:ilvl w:val="0"/>
          <w:numId w:val="3"/>
        </w:numPr>
        <w:shd w:val="clear" w:color="auto" w:fill="FFFFFF" w:themeFill="background1"/>
        <w:spacing w:after="0" w:line="240" w:lineRule="auto"/>
        <w:ind w:left="-142"/>
        <w:rPr>
          <w:rFonts w:ascii="Segoe UI" w:hAnsi="Segoe UI" w:cs="Segoe UI"/>
          <w:b/>
          <w:sz w:val="24"/>
        </w:rPr>
      </w:pPr>
      <w:r w:rsidRPr="002F4309">
        <w:rPr>
          <w:rFonts w:ascii="Segoe UI" w:hAnsi="Segoe UI" w:cs="Segoe UI"/>
          <w:b/>
          <w:sz w:val="24"/>
        </w:rPr>
        <w:t>Activity</w:t>
      </w:r>
      <w:r w:rsidR="00A05965" w:rsidRPr="002F4309">
        <w:rPr>
          <w:rFonts w:ascii="Segoe UI" w:hAnsi="Segoe UI" w:cs="Segoe UI"/>
          <w:b/>
          <w:sz w:val="24"/>
        </w:rPr>
        <w:t xml:space="preserve"> </w:t>
      </w:r>
      <w:r w:rsidR="00B01DCC" w:rsidRPr="002F4309">
        <w:rPr>
          <w:rFonts w:ascii="Segoe UI" w:hAnsi="Segoe UI" w:cs="Segoe UI"/>
          <w:b/>
          <w:sz w:val="24"/>
        </w:rPr>
        <w:t xml:space="preserve">- </w:t>
      </w:r>
      <w:r w:rsidR="00A05965" w:rsidRPr="002F4309">
        <w:rPr>
          <w:rFonts w:ascii="Segoe UI" w:hAnsi="Segoe UI" w:cs="Segoe UI"/>
          <w:b/>
          <w:sz w:val="24"/>
        </w:rPr>
        <w:t>referrals</w:t>
      </w:r>
    </w:p>
    <w:p w:rsidR="000B311A" w:rsidRDefault="000B311A" w:rsidP="00E26E5E">
      <w:pPr>
        <w:spacing w:after="0" w:line="240" w:lineRule="auto"/>
        <w:rPr>
          <w:rFonts w:ascii="Segoe UI" w:hAnsi="Segoe UI" w:cs="Segoe UI"/>
          <w:color w:val="FF0000"/>
        </w:rPr>
      </w:pPr>
    </w:p>
    <w:p w:rsidR="00030336" w:rsidRDefault="00396B5E" w:rsidP="002F4309">
      <w:pPr>
        <w:shd w:val="clear" w:color="auto" w:fill="FFFFFF" w:themeFill="background1"/>
        <w:spacing w:after="0" w:line="240" w:lineRule="auto"/>
        <w:ind w:left="-426" w:right="-472"/>
        <w:rPr>
          <w:rFonts w:ascii="Segoe UI" w:hAnsi="Segoe UI" w:cs="Segoe UI"/>
        </w:rPr>
      </w:pPr>
      <w:r w:rsidRPr="00435FD4">
        <w:rPr>
          <w:rFonts w:ascii="Segoe UI" w:hAnsi="Segoe UI" w:cs="Segoe UI"/>
        </w:rPr>
        <w:t>The following table</w:t>
      </w:r>
      <w:r w:rsidR="00C16A78" w:rsidRPr="00435FD4">
        <w:rPr>
          <w:rFonts w:ascii="Segoe UI" w:hAnsi="Segoe UI" w:cs="Segoe UI"/>
        </w:rPr>
        <w:t>s</w:t>
      </w:r>
      <w:r w:rsidRPr="00435FD4">
        <w:rPr>
          <w:rFonts w:ascii="Segoe UI" w:hAnsi="Segoe UI" w:cs="Segoe UI"/>
        </w:rPr>
        <w:t xml:space="preserve"> </w:t>
      </w:r>
      <w:r w:rsidR="00C16A78" w:rsidRPr="00435FD4">
        <w:rPr>
          <w:rFonts w:ascii="Segoe UI" w:hAnsi="Segoe UI" w:cs="Segoe UI"/>
        </w:rPr>
        <w:t xml:space="preserve">illustrate </w:t>
      </w:r>
      <w:r w:rsidR="00AA4294">
        <w:rPr>
          <w:rFonts w:ascii="Segoe UI" w:hAnsi="Segoe UI" w:cs="Segoe UI"/>
        </w:rPr>
        <w:t xml:space="preserve">year end </w:t>
      </w:r>
      <w:r w:rsidR="00A05965" w:rsidRPr="00435FD4">
        <w:rPr>
          <w:rFonts w:ascii="Segoe UI" w:hAnsi="Segoe UI" w:cs="Segoe UI"/>
        </w:rPr>
        <w:t>referrals</w:t>
      </w:r>
      <w:r w:rsidRPr="00435FD4">
        <w:rPr>
          <w:rFonts w:ascii="Segoe UI" w:hAnsi="Segoe UI" w:cs="Segoe UI"/>
        </w:rPr>
        <w:t xml:space="preserve"> </w:t>
      </w:r>
      <w:r w:rsidR="00AA4294">
        <w:rPr>
          <w:rFonts w:ascii="Segoe UI" w:hAnsi="Segoe UI" w:cs="Segoe UI"/>
        </w:rPr>
        <w:t xml:space="preserve">activity </w:t>
      </w:r>
      <w:r w:rsidR="00A05965" w:rsidRPr="00435FD4">
        <w:rPr>
          <w:rFonts w:ascii="Segoe UI" w:hAnsi="Segoe UI" w:cs="Segoe UI"/>
        </w:rPr>
        <w:t>for CAMHS and AMHT</w:t>
      </w:r>
      <w:r w:rsidR="00EF2C04" w:rsidRPr="00435FD4">
        <w:rPr>
          <w:rFonts w:ascii="Segoe UI" w:hAnsi="Segoe UI" w:cs="Segoe UI"/>
        </w:rPr>
        <w:t xml:space="preserve"> </w:t>
      </w:r>
      <w:r w:rsidR="00E01F3F">
        <w:rPr>
          <w:rFonts w:ascii="Segoe UI" w:hAnsi="Segoe UI" w:cs="Segoe UI"/>
        </w:rPr>
        <w:t>for the past three years.</w:t>
      </w:r>
    </w:p>
    <w:p w:rsidR="00C16A78" w:rsidRDefault="00C16A78" w:rsidP="00AA4F80">
      <w:pPr>
        <w:spacing w:after="0" w:line="240" w:lineRule="auto"/>
        <w:rPr>
          <w:rFonts w:ascii="Segoe UI" w:hAnsi="Segoe UI" w:cs="Segoe UI"/>
        </w:rPr>
      </w:pPr>
    </w:p>
    <w:p w:rsidR="00C16A78" w:rsidRDefault="00030336" w:rsidP="00AA4F80">
      <w:pPr>
        <w:spacing w:after="0" w:line="240" w:lineRule="auto"/>
        <w:rPr>
          <w:rFonts w:ascii="Segoe UI" w:hAnsi="Segoe UI" w:cs="Segoe UI"/>
          <w:u w:val="single"/>
        </w:rPr>
      </w:pPr>
      <w:r w:rsidRPr="00030336">
        <w:rPr>
          <w:rFonts w:ascii="Segoe UI" w:hAnsi="Segoe UI" w:cs="Segoe UI"/>
          <w:u w:val="single"/>
        </w:rPr>
        <w:t>CAMHS referrals overall and by area</w:t>
      </w:r>
    </w:p>
    <w:p w:rsidR="00E9105A" w:rsidRDefault="00E9105A" w:rsidP="00AA4F80">
      <w:pPr>
        <w:spacing w:after="0" w:line="240" w:lineRule="auto"/>
        <w:rPr>
          <w:rFonts w:ascii="Segoe UI" w:hAnsi="Segoe UI" w:cs="Segoe UI"/>
          <w:u w:val="single"/>
        </w:rPr>
      </w:pPr>
    </w:p>
    <w:p w:rsidR="00E01F3F" w:rsidRPr="00E01F3F" w:rsidRDefault="00E01F3F" w:rsidP="00AA4F80">
      <w:pPr>
        <w:spacing w:after="0" w:line="240" w:lineRule="auto"/>
        <w:rPr>
          <w:rFonts w:ascii="Segoe UI" w:hAnsi="Segoe UI" w:cs="Segoe UI"/>
        </w:rPr>
      </w:pPr>
      <w:r w:rsidRPr="00E01F3F">
        <w:rPr>
          <w:rFonts w:ascii="Segoe UI" w:hAnsi="Segoe UI" w:cs="Segoe UI"/>
        </w:rPr>
        <w:t xml:space="preserve">CAMHS have seen a 36% rise in referral numbers over the past three years.  </w:t>
      </w:r>
    </w:p>
    <w:p w:rsidR="00E01F3F" w:rsidRDefault="00E01F3F" w:rsidP="00AA4F80">
      <w:pPr>
        <w:spacing w:after="0" w:line="240" w:lineRule="auto"/>
        <w:rPr>
          <w:rFonts w:ascii="Segoe UI" w:hAnsi="Segoe UI" w:cs="Segoe UI"/>
          <w:u w:val="single"/>
        </w:rPr>
      </w:pPr>
    </w:p>
    <w:tbl>
      <w:tblPr>
        <w:tblW w:w="8645" w:type="dxa"/>
        <w:tblInd w:w="-5" w:type="dxa"/>
        <w:tblLayout w:type="fixed"/>
        <w:tblLook w:val="04A0" w:firstRow="1" w:lastRow="0" w:firstColumn="1" w:lastColumn="0" w:noHBand="0" w:noVBand="1"/>
      </w:tblPr>
      <w:tblGrid>
        <w:gridCol w:w="1408"/>
        <w:gridCol w:w="1207"/>
        <w:gridCol w:w="1205"/>
        <w:gridCol w:w="1207"/>
        <w:gridCol w:w="1205"/>
        <w:gridCol w:w="1207"/>
        <w:gridCol w:w="1206"/>
      </w:tblGrid>
      <w:tr w:rsidR="00AA4294" w:rsidRPr="00F04140" w:rsidTr="00AA4294">
        <w:trPr>
          <w:trHeight w:val="272"/>
        </w:trPr>
        <w:tc>
          <w:tcPr>
            <w:tcW w:w="1408"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Referrals</w:t>
            </w:r>
          </w:p>
        </w:tc>
        <w:tc>
          <w:tcPr>
            <w:tcW w:w="120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18"/>
                <w:szCs w:val="18"/>
                <w:lang w:eastAsia="en-GB"/>
              </w:rPr>
            </w:pPr>
            <w:r w:rsidRPr="00F04140">
              <w:rPr>
                <w:rFonts w:ascii="Calibri" w:eastAsia="Times New Roman" w:hAnsi="Calibri" w:cs="Times New Roman"/>
                <w:b/>
                <w:bCs/>
                <w:color w:val="000000"/>
                <w:sz w:val="18"/>
                <w:szCs w:val="18"/>
                <w:lang w:eastAsia="en-GB"/>
              </w:rPr>
              <w:t>2016/17</w:t>
            </w:r>
          </w:p>
        </w:tc>
        <w:tc>
          <w:tcPr>
            <w:tcW w:w="1205" w:type="dxa"/>
            <w:tcBorders>
              <w:top w:val="single" w:sz="4" w:space="0" w:color="auto"/>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18"/>
                <w:szCs w:val="18"/>
                <w:lang w:eastAsia="en-GB"/>
              </w:rPr>
            </w:pPr>
            <w:r w:rsidRPr="00F04140">
              <w:rPr>
                <w:rFonts w:ascii="Calibri" w:eastAsia="Times New Roman" w:hAnsi="Calibri" w:cs="Times New Roman"/>
                <w:b/>
                <w:bCs/>
                <w:color w:val="000000"/>
                <w:sz w:val="18"/>
                <w:szCs w:val="18"/>
                <w:lang w:eastAsia="en-GB"/>
              </w:rPr>
              <w:t>2017/18</w:t>
            </w:r>
          </w:p>
        </w:tc>
        <w:tc>
          <w:tcPr>
            <w:tcW w:w="1207" w:type="dxa"/>
            <w:tcBorders>
              <w:top w:val="single" w:sz="4" w:space="0" w:color="auto"/>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18"/>
                <w:szCs w:val="18"/>
                <w:lang w:eastAsia="en-GB"/>
              </w:rPr>
            </w:pPr>
            <w:r w:rsidRPr="00F04140">
              <w:rPr>
                <w:rFonts w:ascii="Calibri" w:eastAsia="Times New Roman" w:hAnsi="Calibri" w:cs="Times New Roman"/>
                <w:b/>
                <w:bCs/>
                <w:color w:val="000000"/>
                <w:sz w:val="18"/>
                <w:szCs w:val="18"/>
                <w:lang w:eastAsia="en-GB"/>
              </w:rPr>
              <w:t>2018/19</w:t>
            </w:r>
          </w:p>
        </w:tc>
        <w:tc>
          <w:tcPr>
            <w:tcW w:w="3618" w:type="dxa"/>
            <w:gridSpan w:val="3"/>
            <w:tcBorders>
              <w:top w:val="single" w:sz="4" w:space="0" w:color="auto"/>
              <w:left w:val="nil"/>
              <w:bottom w:val="single" w:sz="4" w:space="0" w:color="auto"/>
              <w:right w:val="single" w:sz="4" w:space="0" w:color="000000"/>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Difference</w:t>
            </w:r>
          </w:p>
        </w:tc>
      </w:tr>
      <w:tr w:rsidR="00AA4294" w:rsidRPr="00F04140" w:rsidTr="00AA4294">
        <w:trPr>
          <w:trHeight w:val="464"/>
        </w:trPr>
        <w:tc>
          <w:tcPr>
            <w:tcW w:w="1408" w:type="dxa"/>
            <w:vMerge/>
            <w:tcBorders>
              <w:top w:val="single" w:sz="4" w:space="0" w:color="auto"/>
              <w:left w:val="single" w:sz="4" w:space="0" w:color="auto"/>
              <w:bottom w:val="single" w:sz="4" w:space="0" w:color="auto"/>
              <w:right w:val="nil"/>
            </w:tcBorders>
            <w:vAlign w:val="center"/>
            <w:hideMark/>
          </w:tcPr>
          <w:p w:rsidR="00AA4294" w:rsidRPr="00F04140" w:rsidRDefault="00AA4294" w:rsidP="00F04140">
            <w:pPr>
              <w:spacing w:after="0" w:line="240" w:lineRule="auto"/>
              <w:rPr>
                <w:rFonts w:ascii="Calibri" w:eastAsia="Times New Roman" w:hAnsi="Calibri" w:cs="Times New Roman"/>
                <w:b/>
                <w:bCs/>
                <w:color w:val="000000"/>
                <w:sz w:val="20"/>
                <w:szCs w:val="20"/>
                <w:lang w:eastAsia="en-GB"/>
              </w:rPr>
            </w:pPr>
          </w:p>
        </w:tc>
        <w:tc>
          <w:tcPr>
            <w:tcW w:w="1207" w:type="dxa"/>
            <w:tcBorders>
              <w:top w:val="nil"/>
              <w:left w:val="single" w:sz="4" w:space="0" w:color="auto"/>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Y1</w:t>
            </w:r>
          </w:p>
        </w:tc>
        <w:tc>
          <w:tcPr>
            <w:tcW w:w="1205" w:type="dxa"/>
            <w:tcBorders>
              <w:top w:val="nil"/>
              <w:left w:val="nil"/>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Y2</w:t>
            </w:r>
          </w:p>
        </w:tc>
        <w:tc>
          <w:tcPr>
            <w:tcW w:w="1207" w:type="dxa"/>
            <w:tcBorders>
              <w:top w:val="nil"/>
              <w:left w:val="nil"/>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Y3</w:t>
            </w:r>
          </w:p>
        </w:tc>
        <w:tc>
          <w:tcPr>
            <w:tcW w:w="1205" w:type="dxa"/>
            <w:tcBorders>
              <w:top w:val="nil"/>
              <w:left w:val="nil"/>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Y1-Y2</w:t>
            </w:r>
          </w:p>
        </w:tc>
        <w:tc>
          <w:tcPr>
            <w:tcW w:w="1207" w:type="dxa"/>
            <w:tcBorders>
              <w:top w:val="nil"/>
              <w:left w:val="nil"/>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Y2-Y3</w:t>
            </w:r>
          </w:p>
        </w:tc>
        <w:tc>
          <w:tcPr>
            <w:tcW w:w="1205" w:type="dxa"/>
            <w:tcBorders>
              <w:top w:val="nil"/>
              <w:left w:val="nil"/>
              <w:bottom w:val="nil"/>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Y1-Y3</w:t>
            </w:r>
          </w:p>
        </w:tc>
      </w:tr>
      <w:tr w:rsidR="00AA4294" w:rsidRPr="00F04140" w:rsidTr="00AA4294">
        <w:trPr>
          <w:trHeight w:val="272"/>
        </w:trPr>
        <w:tc>
          <w:tcPr>
            <w:tcW w:w="1408" w:type="dxa"/>
            <w:vMerge/>
            <w:tcBorders>
              <w:top w:val="single" w:sz="4" w:space="0" w:color="auto"/>
              <w:left w:val="single" w:sz="4" w:space="0" w:color="auto"/>
              <w:bottom w:val="single" w:sz="4" w:space="0" w:color="auto"/>
              <w:right w:val="nil"/>
            </w:tcBorders>
            <w:vAlign w:val="center"/>
            <w:hideMark/>
          </w:tcPr>
          <w:p w:rsidR="00AA4294" w:rsidRPr="00F04140" w:rsidRDefault="00AA4294" w:rsidP="00F04140">
            <w:pPr>
              <w:spacing w:after="0" w:line="240" w:lineRule="auto"/>
              <w:rPr>
                <w:rFonts w:ascii="Calibri" w:eastAsia="Times New Roman" w:hAnsi="Calibri" w:cs="Times New Roman"/>
                <w:b/>
                <w:bCs/>
                <w:color w:val="000000"/>
                <w:sz w:val="20"/>
                <w:szCs w:val="20"/>
                <w:lang w:eastAsia="en-GB"/>
              </w:rPr>
            </w:pPr>
          </w:p>
        </w:tc>
        <w:tc>
          <w:tcPr>
            <w:tcW w:w="1207" w:type="dxa"/>
            <w:tcBorders>
              <w:top w:val="nil"/>
              <w:left w:val="single" w:sz="4" w:space="0" w:color="auto"/>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Actual</w:t>
            </w:r>
          </w:p>
        </w:tc>
        <w:tc>
          <w:tcPr>
            <w:tcW w:w="1205" w:type="dxa"/>
            <w:tcBorders>
              <w:top w:val="nil"/>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Actual</w:t>
            </w:r>
          </w:p>
        </w:tc>
        <w:tc>
          <w:tcPr>
            <w:tcW w:w="1207" w:type="dxa"/>
            <w:tcBorders>
              <w:top w:val="nil"/>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Actual</w:t>
            </w:r>
          </w:p>
        </w:tc>
        <w:tc>
          <w:tcPr>
            <w:tcW w:w="1205" w:type="dxa"/>
            <w:tcBorders>
              <w:top w:val="nil"/>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w:t>
            </w:r>
          </w:p>
        </w:tc>
        <w:tc>
          <w:tcPr>
            <w:tcW w:w="1207" w:type="dxa"/>
            <w:tcBorders>
              <w:top w:val="nil"/>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w:t>
            </w:r>
          </w:p>
        </w:tc>
        <w:tc>
          <w:tcPr>
            <w:tcW w:w="1205" w:type="dxa"/>
            <w:tcBorders>
              <w:top w:val="nil"/>
              <w:left w:val="nil"/>
              <w:bottom w:val="single" w:sz="4" w:space="0" w:color="auto"/>
              <w:right w:val="single" w:sz="4" w:space="0" w:color="auto"/>
            </w:tcBorders>
            <w:shd w:val="clear" w:color="000000" w:fill="D9E1F2"/>
            <w:vAlign w:val="center"/>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w:t>
            </w:r>
          </w:p>
        </w:tc>
      </w:tr>
      <w:tr w:rsidR="00AA4294" w:rsidRPr="00F04140" w:rsidTr="00AA4294">
        <w:trPr>
          <w:trHeight w:val="272"/>
        </w:trPr>
        <w:tc>
          <w:tcPr>
            <w:tcW w:w="1408" w:type="dxa"/>
            <w:tcBorders>
              <w:top w:val="nil"/>
              <w:left w:val="single" w:sz="4" w:space="0" w:color="auto"/>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CAMHS</w:t>
            </w:r>
          </w:p>
        </w:tc>
        <w:tc>
          <w:tcPr>
            <w:tcW w:w="1207"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18709</w:t>
            </w:r>
          </w:p>
        </w:tc>
        <w:tc>
          <w:tcPr>
            <w:tcW w:w="1205"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20353</w:t>
            </w:r>
          </w:p>
        </w:tc>
        <w:tc>
          <w:tcPr>
            <w:tcW w:w="1207"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25435</w:t>
            </w:r>
          </w:p>
        </w:tc>
        <w:tc>
          <w:tcPr>
            <w:tcW w:w="1205"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8.8%</w:t>
            </w:r>
          </w:p>
        </w:tc>
        <w:tc>
          <w:tcPr>
            <w:tcW w:w="1207"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25.0%</w:t>
            </w:r>
          </w:p>
        </w:tc>
        <w:tc>
          <w:tcPr>
            <w:tcW w:w="1205" w:type="dxa"/>
            <w:tcBorders>
              <w:top w:val="nil"/>
              <w:left w:val="nil"/>
              <w:bottom w:val="single" w:sz="4" w:space="0" w:color="auto"/>
              <w:right w:val="single" w:sz="4" w:space="0" w:color="auto"/>
            </w:tcBorders>
            <w:shd w:val="clear" w:color="000000" w:fill="F2F2F2"/>
            <w:noWrap/>
            <w:vAlign w:val="bottom"/>
            <w:hideMark/>
          </w:tcPr>
          <w:p w:rsidR="00AA4294" w:rsidRPr="00F04140" w:rsidRDefault="00AA4294" w:rsidP="00F04140">
            <w:pPr>
              <w:spacing w:after="0" w:line="240" w:lineRule="auto"/>
              <w:jc w:val="center"/>
              <w:rPr>
                <w:rFonts w:ascii="Calibri" w:eastAsia="Times New Roman" w:hAnsi="Calibri" w:cs="Times New Roman"/>
                <w:b/>
                <w:bCs/>
                <w:color w:val="000000"/>
                <w:sz w:val="20"/>
                <w:szCs w:val="20"/>
                <w:lang w:eastAsia="en-GB"/>
              </w:rPr>
            </w:pPr>
            <w:r w:rsidRPr="00F04140">
              <w:rPr>
                <w:rFonts w:ascii="Calibri" w:eastAsia="Times New Roman" w:hAnsi="Calibri" w:cs="Times New Roman"/>
                <w:b/>
                <w:bCs/>
                <w:color w:val="000000"/>
                <w:sz w:val="20"/>
                <w:szCs w:val="20"/>
                <w:lang w:eastAsia="en-GB"/>
              </w:rPr>
              <w:t>36.0%</w:t>
            </w:r>
          </w:p>
        </w:tc>
      </w:tr>
      <w:tr w:rsidR="00AA4294" w:rsidRPr="00F04140" w:rsidTr="00AA4294">
        <w:trPr>
          <w:trHeight w:val="272"/>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Bucks</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5506</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6198</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7120</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12.6%</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14.9%</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29.3%</w:t>
            </w:r>
          </w:p>
        </w:tc>
      </w:tr>
      <w:tr w:rsidR="00AA4294" w:rsidRPr="00F04140" w:rsidTr="00AA4294">
        <w:trPr>
          <w:trHeight w:val="272"/>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Oxon</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7367</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8080</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11282</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9.7%</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39.6%</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53.1%</w:t>
            </w:r>
          </w:p>
        </w:tc>
      </w:tr>
      <w:tr w:rsidR="00AA4294" w:rsidRPr="00F04140" w:rsidTr="00AA4294">
        <w:trPr>
          <w:trHeight w:val="272"/>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SWB</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5836</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6075</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7033</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4.1%</w:t>
            </w:r>
          </w:p>
        </w:tc>
        <w:tc>
          <w:tcPr>
            <w:tcW w:w="1207"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15.8%</w:t>
            </w:r>
          </w:p>
        </w:tc>
        <w:tc>
          <w:tcPr>
            <w:tcW w:w="1205" w:type="dxa"/>
            <w:tcBorders>
              <w:top w:val="nil"/>
              <w:left w:val="nil"/>
              <w:bottom w:val="single" w:sz="4" w:space="0" w:color="auto"/>
              <w:right w:val="single" w:sz="4" w:space="0" w:color="auto"/>
            </w:tcBorders>
            <w:shd w:val="clear" w:color="auto" w:fill="auto"/>
            <w:noWrap/>
            <w:vAlign w:val="bottom"/>
            <w:hideMark/>
          </w:tcPr>
          <w:p w:rsidR="00AA4294" w:rsidRPr="00F04140" w:rsidRDefault="00AA4294" w:rsidP="00F04140">
            <w:pPr>
              <w:spacing w:after="0" w:line="240" w:lineRule="auto"/>
              <w:jc w:val="center"/>
              <w:rPr>
                <w:rFonts w:ascii="Calibri" w:eastAsia="Times New Roman" w:hAnsi="Calibri" w:cs="Times New Roman"/>
                <w:color w:val="000000"/>
                <w:sz w:val="20"/>
                <w:szCs w:val="20"/>
                <w:lang w:eastAsia="en-GB"/>
              </w:rPr>
            </w:pPr>
            <w:r w:rsidRPr="00F04140">
              <w:rPr>
                <w:rFonts w:ascii="Calibri" w:eastAsia="Times New Roman" w:hAnsi="Calibri" w:cs="Times New Roman"/>
                <w:color w:val="000000"/>
                <w:sz w:val="20"/>
                <w:szCs w:val="20"/>
                <w:lang w:eastAsia="en-GB"/>
              </w:rPr>
              <w:t>20.5%</w:t>
            </w:r>
          </w:p>
        </w:tc>
      </w:tr>
    </w:tbl>
    <w:p w:rsidR="00E9105A" w:rsidRPr="00AA4294" w:rsidRDefault="00AA4294" w:rsidP="00AA4294">
      <w:pPr>
        <w:spacing w:after="0" w:line="240" w:lineRule="auto"/>
        <w:jc w:val="both"/>
        <w:rPr>
          <w:rFonts w:ascii="Segoe UI" w:hAnsi="Segoe UI" w:cs="Segoe UI"/>
          <w:i/>
        </w:rPr>
      </w:pPr>
      <w:r w:rsidRPr="00AA4294">
        <w:rPr>
          <w:rFonts w:ascii="Segoe UI" w:hAnsi="Segoe UI" w:cs="Segoe UI"/>
          <w:i/>
        </w:rPr>
        <w:t>Source: P&amp;I</w:t>
      </w:r>
    </w:p>
    <w:p w:rsidR="00AA4294" w:rsidRDefault="00AA4294" w:rsidP="00AA4F80">
      <w:pPr>
        <w:spacing w:after="0" w:line="240" w:lineRule="auto"/>
        <w:rPr>
          <w:rFonts w:ascii="Segoe UI" w:hAnsi="Segoe UI" w:cs="Segoe UI"/>
          <w:u w:val="single"/>
        </w:rPr>
      </w:pPr>
    </w:p>
    <w:p w:rsidR="00435FD4" w:rsidRDefault="00435FD4" w:rsidP="00AA4F80">
      <w:pPr>
        <w:spacing w:after="0" w:line="240" w:lineRule="auto"/>
        <w:rPr>
          <w:rFonts w:ascii="Segoe UI" w:hAnsi="Segoe UI" w:cs="Segoe UI"/>
          <w:u w:val="single"/>
        </w:rPr>
      </w:pPr>
      <w:r w:rsidRPr="00030336">
        <w:rPr>
          <w:rFonts w:ascii="Segoe UI" w:hAnsi="Segoe UI" w:cs="Segoe UI"/>
          <w:u w:val="single"/>
        </w:rPr>
        <w:t>Adult referrals MHT</w:t>
      </w:r>
    </w:p>
    <w:p w:rsidR="00583317" w:rsidRDefault="00583317" w:rsidP="00AA4F80">
      <w:pPr>
        <w:spacing w:after="0" w:line="240" w:lineRule="auto"/>
        <w:rPr>
          <w:rFonts w:ascii="Segoe UI" w:hAnsi="Segoe UI" w:cs="Segoe UI"/>
          <w:u w:val="single"/>
        </w:rPr>
      </w:pPr>
    </w:p>
    <w:p w:rsidR="00E01F3F" w:rsidRPr="00E01F3F" w:rsidRDefault="00E01F3F" w:rsidP="00AA4F80">
      <w:pPr>
        <w:spacing w:after="0" w:line="240" w:lineRule="auto"/>
        <w:rPr>
          <w:rFonts w:ascii="Segoe UI" w:hAnsi="Segoe UI" w:cs="Segoe UI"/>
        </w:rPr>
      </w:pPr>
      <w:r w:rsidRPr="00E01F3F">
        <w:rPr>
          <w:rFonts w:ascii="Segoe UI" w:hAnsi="Segoe UI" w:cs="Segoe UI"/>
        </w:rPr>
        <w:t>AMHT</w:t>
      </w:r>
      <w:r>
        <w:rPr>
          <w:rFonts w:ascii="Segoe UI" w:hAnsi="Segoe UI" w:cs="Segoe UI"/>
        </w:rPr>
        <w:t xml:space="preserve">s have seen a 11.8% rise in referral numbers over the past three years.  </w:t>
      </w:r>
      <w:r w:rsidRPr="00E01F3F">
        <w:rPr>
          <w:rFonts w:ascii="Segoe UI" w:hAnsi="Segoe UI" w:cs="Segoe UI"/>
        </w:rPr>
        <w:t xml:space="preserve"> </w:t>
      </w:r>
    </w:p>
    <w:p w:rsidR="00E01F3F" w:rsidRDefault="00E01F3F" w:rsidP="00AA4F80">
      <w:pPr>
        <w:spacing w:after="0" w:line="240" w:lineRule="auto"/>
        <w:rPr>
          <w:rFonts w:ascii="Segoe UI" w:hAnsi="Segoe UI" w:cs="Segoe UI"/>
          <w:u w:val="single"/>
        </w:rPr>
      </w:pPr>
    </w:p>
    <w:tbl>
      <w:tblPr>
        <w:tblW w:w="8711" w:type="dxa"/>
        <w:tblInd w:w="-5" w:type="dxa"/>
        <w:tblLook w:val="04A0" w:firstRow="1" w:lastRow="0" w:firstColumn="1" w:lastColumn="0" w:noHBand="0" w:noVBand="1"/>
      </w:tblPr>
      <w:tblGrid>
        <w:gridCol w:w="1629"/>
        <w:gridCol w:w="1270"/>
        <w:gridCol w:w="1277"/>
        <w:gridCol w:w="1283"/>
        <w:gridCol w:w="1074"/>
        <w:gridCol w:w="1056"/>
        <w:gridCol w:w="1122"/>
      </w:tblGrid>
      <w:tr w:rsidR="00AA4294" w:rsidRPr="003038B6" w:rsidTr="00AA4294">
        <w:trPr>
          <w:trHeight w:val="330"/>
        </w:trPr>
        <w:tc>
          <w:tcPr>
            <w:tcW w:w="1629"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Referrals</w:t>
            </w:r>
          </w:p>
        </w:tc>
        <w:tc>
          <w:tcPr>
            <w:tcW w:w="127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18"/>
                <w:szCs w:val="18"/>
                <w:lang w:eastAsia="en-GB"/>
              </w:rPr>
            </w:pPr>
            <w:r w:rsidRPr="003038B6">
              <w:rPr>
                <w:rFonts w:ascii="Calibri" w:eastAsia="Times New Roman" w:hAnsi="Calibri" w:cs="Times New Roman"/>
                <w:b/>
                <w:bCs/>
                <w:color w:val="000000"/>
                <w:sz w:val="18"/>
                <w:szCs w:val="18"/>
                <w:lang w:eastAsia="en-GB"/>
              </w:rPr>
              <w:t>2016/17</w:t>
            </w:r>
          </w:p>
        </w:tc>
        <w:tc>
          <w:tcPr>
            <w:tcW w:w="1277" w:type="dxa"/>
            <w:tcBorders>
              <w:top w:val="single" w:sz="4" w:space="0" w:color="auto"/>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18"/>
                <w:szCs w:val="18"/>
                <w:lang w:eastAsia="en-GB"/>
              </w:rPr>
            </w:pPr>
            <w:r w:rsidRPr="003038B6">
              <w:rPr>
                <w:rFonts w:ascii="Calibri" w:eastAsia="Times New Roman" w:hAnsi="Calibri" w:cs="Times New Roman"/>
                <w:b/>
                <w:bCs/>
                <w:color w:val="000000"/>
                <w:sz w:val="18"/>
                <w:szCs w:val="18"/>
                <w:lang w:eastAsia="en-GB"/>
              </w:rPr>
              <w:t>2017/18</w:t>
            </w:r>
          </w:p>
        </w:tc>
        <w:tc>
          <w:tcPr>
            <w:tcW w:w="1283" w:type="dxa"/>
            <w:tcBorders>
              <w:top w:val="single" w:sz="4" w:space="0" w:color="auto"/>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18"/>
                <w:szCs w:val="18"/>
                <w:lang w:eastAsia="en-GB"/>
              </w:rPr>
            </w:pPr>
            <w:r w:rsidRPr="003038B6">
              <w:rPr>
                <w:rFonts w:ascii="Calibri" w:eastAsia="Times New Roman" w:hAnsi="Calibri" w:cs="Times New Roman"/>
                <w:b/>
                <w:bCs/>
                <w:color w:val="000000"/>
                <w:sz w:val="18"/>
                <w:szCs w:val="18"/>
                <w:lang w:eastAsia="en-GB"/>
              </w:rPr>
              <w:t>2018/19</w:t>
            </w:r>
          </w:p>
        </w:tc>
        <w:tc>
          <w:tcPr>
            <w:tcW w:w="3252" w:type="dxa"/>
            <w:gridSpan w:val="3"/>
            <w:tcBorders>
              <w:top w:val="single" w:sz="4" w:space="0" w:color="auto"/>
              <w:left w:val="nil"/>
              <w:bottom w:val="single" w:sz="4" w:space="0" w:color="auto"/>
              <w:right w:val="single" w:sz="4" w:space="0" w:color="000000"/>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Difference</w:t>
            </w:r>
          </w:p>
        </w:tc>
      </w:tr>
      <w:tr w:rsidR="00AA4294" w:rsidRPr="003038B6" w:rsidTr="00AA4294">
        <w:trPr>
          <w:trHeight w:val="468"/>
        </w:trPr>
        <w:tc>
          <w:tcPr>
            <w:tcW w:w="1629" w:type="dxa"/>
            <w:vMerge/>
            <w:tcBorders>
              <w:top w:val="single" w:sz="4" w:space="0" w:color="auto"/>
              <w:left w:val="single" w:sz="4" w:space="0" w:color="auto"/>
              <w:bottom w:val="single" w:sz="4" w:space="0" w:color="auto"/>
              <w:right w:val="nil"/>
            </w:tcBorders>
            <w:vAlign w:val="center"/>
            <w:hideMark/>
          </w:tcPr>
          <w:p w:rsidR="00AA4294" w:rsidRPr="003038B6" w:rsidRDefault="00AA4294" w:rsidP="003038B6">
            <w:pPr>
              <w:spacing w:after="0" w:line="240" w:lineRule="auto"/>
              <w:rPr>
                <w:rFonts w:ascii="Calibri" w:eastAsia="Times New Roman" w:hAnsi="Calibri" w:cs="Times New Roman"/>
                <w:b/>
                <w:bCs/>
                <w:color w:val="000000"/>
                <w:sz w:val="20"/>
                <w:szCs w:val="20"/>
                <w:lang w:eastAsia="en-GB"/>
              </w:rPr>
            </w:pPr>
          </w:p>
        </w:tc>
        <w:tc>
          <w:tcPr>
            <w:tcW w:w="1270" w:type="dxa"/>
            <w:tcBorders>
              <w:top w:val="nil"/>
              <w:left w:val="single" w:sz="4" w:space="0" w:color="auto"/>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Y1</w:t>
            </w:r>
          </w:p>
        </w:tc>
        <w:tc>
          <w:tcPr>
            <w:tcW w:w="1277" w:type="dxa"/>
            <w:tcBorders>
              <w:top w:val="nil"/>
              <w:left w:val="nil"/>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Y2</w:t>
            </w:r>
          </w:p>
        </w:tc>
        <w:tc>
          <w:tcPr>
            <w:tcW w:w="1283" w:type="dxa"/>
            <w:tcBorders>
              <w:top w:val="nil"/>
              <w:left w:val="nil"/>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Y3</w:t>
            </w:r>
          </w:p>
        </w:tc>
        <w:tc>
          <w:tcPr>
            <w:tcW w:w="1074" w:type="dxa"/>
            <w:tcBorders>
              <w:top w:val="nil"/>
              <w:left w:val="nil"/>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Y1-Y2</w:t>
            </w:r>
          </w:p>
        </w:tc>
        <w:tc>
          <w:tcPr>
            <w:tcW w:w="1056" w:type="dxa"/>
            <w:tcBorders>
              <w:top w:val="nil"/>
              <w:left w:val="nil"/>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Y2-Y3</w:t>
            </w:r>
          </w:p>
        </w:tc>
        <w:tc>
          <w:tcPr>
            <w:tcW w:w="1121" w:type="dxa"/>
            <w:tcBorders>
              <w:top w:val="nil"/>
              <w:left w:val="nil"/>
              <w:bottom w:val="nil"/>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Y1-Y3</w:t>
            </w:r>
          </w:p>
        </w:tc>
      </w:tr>
      <w:tr w:rsidR="00AA4294" w:rsidRPr="003038B6" w:rsidTr="00AA4294">
        <w:trPr>
          <w:trHeight w:val="275"/>
        </w:trPr>
        <w:tc>
          <w:tcPr>
            <w:tcW w:w="1629" w:type="dxa"/>
            <w:vMerge/>
            <w:tcBorders>
              <w:top w:val="single" w:sz="4" w:space="0" w:color="auto"/>
              <w:left w:val="single" w:sz="4" w:space="0" w:color="auto"/>
              <w:bottom w:val="single" w:sz="4" w:space="0" w:color="auto"/>
              <w:right w:val="nil"/>
            </w:tcBorders>
            <w:vAlign w:val="center"/>
            <w:hideMark/>
          </w:tcPr>
          <w:p w:rsidR="00AA4294" w:rsidRPr="003038B6" w:rsidRDefault="00AA4294" w:rsidP="003038B6">
            <w:pPr>
              <w:spacing w:after="0" w:line="240" w:lineRule="auto"/>
              <w:rPr>
                <w:rFonts w:ascii="Calibri" w:eastAsia="Times New Roman" w:hAnsi="Calibri" w:cs="Times New Roman"/>
                <w:b/>
                <w:bCs/>
                <w:color w:val="000000"/>
                <w:sz w:val="20"/>
                <w:szCs w:val="20"/>
                <w:lang w:eastAsia="en-GB"/>
              </w:rPr>
            </w:pPr>
          </w:p>
        </w:tc>
        <w:tc>
          <w:tcPr>
            <w:tcW w:w="1270" w:type="dxa"/>
            <w:tcBorders>
              <w:top w:val="nil"/>
              <w:left w:val="single" w:sz="4" w:space="0" w:color="auto"/>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Actual</w:t>
            </w:r>
          </w:p>
        </w:tc>
        <w:tc>
          <w:tcPr>
            <w:tcW w:w="1277" w:type="dxa"/>
            <w:tcBorders>
              <w:top w:val="nil"/>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Actual</w:t>
            </w:r>
          </w:p>
        </w:tc>
        <w:tc>
          <w:tcPr>
            <w:tcW w:w="1283" w:type="dxa"/>
            <w:tcBorders>
              <w:top w:val="nil"/>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Actual</w:t>
            </w:r>
          </w:p>
        </w:tc>
        <w:tc>
          <w:tcPr>
            <w:tcW w:w="1074" w:type="dxa"/>
            <w:tcBorders>
              <w:top w:val="nil"/>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w:t>
            </w:r>
          </w:p>
        </w:tc>
        <w:tc>
          <w:tcPr>
            <w:tcW w:w="1056" w:type="dxa"/>
            <w:tcBorders>
              <w:top w:val="nil"/>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w:t>
            </w:r>
          </w:p>
        </w:tc>
        <w:tc>
          <w:tcPr>
            <w:tcW w:w="1121" w:type="dxa"/>
            <w:tcBorders>
              <w:top w:val="nil"/>
              <w:left w:val="nil"/>
              <w:bottom w:val="single" w:sz="4" w:space="0" w:color="auto"/>
              <w:right w:val="single" w:sz="4" w:space="0" w:color="auto"/>
            </w:tcBorders>
            <w:shd w:val="clear" w:color="000000" w:fill="D9E1F2"/>
            <w:vAlign w:val="center"/>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w:t>
            </w:r>
          </w:p>
        </w:tc>
      </w:tr>
      <w:tr w:rsidR="00AA4294" w:rsidRPr="003038B6" w:rsidTr="00AA4294">
        <w:trPr>
          <w:trHeight w:val="275"/>
        </w:trPr>
        <w:tc>
          <w:tcPr>
            <w:tcW w:w="1629" w:type="dxa"/>
            <w:tcBorders>
              <w:top w:val="nil"/>
              <w:left w:val="single" w:sz="4" w:space="0" w:color="auto"/>
              <w:bottom w:val="single" w:sz="4" w:space="0" w:color="auto"/>
              <w:right w:val="single" w:sz="4" w:space="0" w:color="auto"/>
            </w:tcBorders>
            <w:shd w:val="clear" w:color="000000" w:fill="F2F2F2"/>
            <w:vAlign w:val="center"/>
            <w:hideMark/>
          </w:tcPr>
          <w:p w:rsidR="00AA4294" w:rsidRPr="003038B6" w:rsidRDefault="00AA4294" w:rsidP="003038B6">
            <w:pPr>
              <w:spacing w:after="0" w:line="240" w:lineRule="auto"/>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AMHT</w:t>
            </w:r>
          </w:p>
        </w:tc>
        <w:tc>
          <w:tcPr>
            <w:tcW w:w="1270"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10070</w:t>
            </w:r>
          </w:p>
        </w:tc>
        <w:tc>
          <w:tcPr>
            <w:tcW w:w="1277"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10527</w:t>
            </w:r>
          </w:p>
        </w:tc>
        <w:tc>
          <w:tcPr>
            <w:tcW w:w="1283"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11257</w:t>
            </w:r>
          </w:p>
        </w:tc>
        <w:tc>
          <w:tcPr>
            <w:tcW w:w="1074"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4.5%</w:t>
            </w:r>
          </w:p>
        </w:tc>
        <w:tc>
          <w:tcPr>
            <w:tcW w:w="1056"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6.9%</w:t>
            </w:r>
          </w:p>
        </w:tc>
        <w:tc>
          <w:tcPr>
            <w:tcW w:w="1121" w:type="dxa"/>
            <w:tcBorders>
              <w:top w:val="nil"/>
              <w:left w:val="nil"/>
              <w:bottom w:val="single" w:sz="4" w:space="0" w:color="auto"/>
              <w:right w:val="single" w:sz="4" w:space="0" w:color="auto"/>
            </w:tcBorders>
            <w:shd w:val="clear" w:color="000000" w:fill="F2F2F2"/>
            <w:noWrap/>
            <w:vAlign w:val="bottom"/>
            <w:hideMark/>
          </w:tcPr>
          <w:p w:rsidR="00AA4294" w:rsidRPr="003038B6" w:rsidRDefault="00AA4294" w:rsidP="003038B6">
            <w:pPr>
              <w:spacing w:after="0" w:line="240" w:lineRule="auto"/>
              <w:jc w:val="center"/>
              <w:rPr>
                <w:rFonts w:ascii="Calibri" w:eastAsia="Times New Roman" w:hAnsi="Calibri" w:cs="Times New Roman"/>
                <w:b/>
                <w:bCs/>
                <w:color w:val="000000"/>
                <w:sz w:val="20"/>
                <w:szCs w:val="20"/>
                <w:lang w:eastAsia="en-GB"/>
              </w:rPr>
            </w:pPr>
            <w:r w:rsidRPr="003038B6">
              <w:rPr>
                <w:rFonts w:ascii="Calibri" w:eastAsia="Times New Roman" w:hAnsi="Calibri" w:cs="Times New Roman"/>
                <w:b/>
                <w:bCs/>
                <w:color w:val="000000"/>
                <w:sz w:val="20"/>
                <w:szCs w:val="20"/>
                <w:lang w:eastAsia="en-GB"/>
              </w:rPr>
              <w:t>11.8%</w:t>
            </w:r>
          </w:p>
        </w:tc>
      </w:tr>
      <w:tr w:rsidR="00AA4294" w:rsidRPr="003038B6" w:rsidTr="00AA4294">
        <w:trPr>
          <w:trHeight w:val="275"/>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AA4294" w:rsidRPr="003038B6" w:rsidRDefault="00AA4294" w:rsidP="003038B6">
            <w:pPr>
              <w:spacing w:after="0" w:line="240" w:lineRule="auto"/>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Bucks</w:t>
            </w:r>
          </w:p>
        </w:tc>
        <w:tc>
          <w:tcPr>
            <w:tcW w:w="1270"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4025</w:t>
            </w:r>
          </w:p>
        </w:tc>
        <w:tc>
          <w:tcPr>
            <w:tcW w:w="1277"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4173</w:t>
            </w:r>
          </w:p>
        </w:tc>
        <w:tc>
          <w:tcPr>
            <w:tcW w:w="1283"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4517</w:t>
            </w:r>
          </w:p>
        </w:tc>
        <w:tc>
          <w:tcPr>
            <w:tcW w:w="1074"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3.7%</w:t>
            </w:r>
          </w:p>
        </w:tc>
        <w:tc>
          <w:tcPr>
            <w:tcW w:w="1056"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8.2%</w:t>
            </w:r>
          </w:p>
        </w:tc>
        <w:tc>
          <w:tcPr>
            <w:tcW w:w="1121"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12.2%</w:t>
            </w:r>
          </w:p>
        </w:tc>
      </w:tr>
      <w:tr w:rsidR="00AA4294" w:rsidRPr="003038B6" w:rsidTr="00AA4294">
        <w:trPr>
          <w:trHeight w:val="275"/>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AA4294" w:rsidRPr="003038B6" w:rsidRDefault="00AA4294" w:rsidP="003038B6">
            <w:pPr>
              <w:spacing w:after="0" w:line="240" w:lineRule="auto"/>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Oxon</w:t>
            </w:r>
          </w:p>
        </w:tc>
        <w:tc>
          <w:tcPr>
            <w:tcW w:w="1270"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6045</w:t>
            </w:r>
          </w:p>
        </w:tc>
        <w:tc>
          <w:tcPr>
            <w:tcW w:w="1277"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6354</w:t>
            </w:r>
          </w:p>
        </w:tc>
        <w:tc>
          <w:tcPr>
            <w:tcW w:w="1283"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6740</w:t>
            </w:r>
          </w:p>
        </w:tc>
        <w:tc>
          <w:tcPr>
            <w:tcW w:w="1074"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5.1%</w:t>
            </w:r>
          </w:p>
        </w:tc>
        <w:tc>
          <w:tcPr>
            <w:tcW w:w="1056"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6.1%</w:t>
            </w:r>
          </w:p>
        </w:tc>
        <w:tc>
          <w:tcPr>
            <w:tcW w:w="1121" w:type="dxa"/>
            <w:tcBorders>
              <w:top w:val="nil"/>
              <w:left w:val="nil"/>
              <w:bottom w:val="single" w:sz="4" w:space="0" w:color="auto"/>
              <w:right w:val="single" w:sz="4" w:space="0" w:color="auto"/>
            </w:tcBorders>
            <w:shd w:val="clear" w:color="auto" w:fill="auto"/>
            <w:noWrap/>
            <w:vAlign w:val="bottom"/>
            <w:hideMark/>
          </w:tcPr>
          <w:p w:rsidR="00AA4294" w:rsidRPr="003038B6" w:rsidRDefault="00AA4294" w:rsidP="003038B6">
            <w:pPr>
              <w:spacing w:after="0" w:line="240" w:lineRule="auto"/>
              <w:jc w:val="center"/>
              <w:rPr>
                <w:rFonts w:ascii="Calibri" w:eastAsia="Times New Roman" w:hAnsi="Calibri" w:cs="Times New Roman"/>
                <w:color w:val="000000"/>
                <w:sz w:val="20"/>
                <w:szCs w:val="20"/>
                <w:lang w:eastAsia="en-GB"/>
              </w:rPr>
            </w:pPr>
            <w:r w:rsidRPr="003038B6">
              <w:rPr>
                <w:rFonts w:ascii="Calibri" w:eastAsia="Times New Roman" w:hAnsi="Calibri" w:cs="Times New Roman"/>
                <w:color w:val="000000"/>
                <w:sz w:val="20"/>
                <w:szCs w:val="20"/>
                <w:lang w:eastAsia="en-GB"/>
              </w:rPr>
              <w:t>11.5%</w:t>
            </w:r>
          </w:p>
        </w:tc>
      </w:tr>
    </w:tbl>
    <w:p w:rsidR="00435FD4" w:rsidRPr="00435FD4" w:rsidRDefault="00435FD4" w:rsidP="00B01DCC">
      <w:pPr>
        <w:spacing w:after="0" w:line="240" w:lineRule="auto"/>
        <w:jc w:val="both"/>
        <w:rPr>
          <w:rFonts w:ascii="Segoe UI" w:hAnsi="Segoe UI" w:cs="Segoe UI"/>
          <w:i/>
        </w:rPr>
      </w:pPr>
      <w:r w:rsidRPr="00435FD4">
        <w:rPr>
          <w:rFonts w:ascii="Segoe UI" w:hAnsi="Segoe UI" w:cs="Segoe UI"/>
          <w:i/>
        </w:rPr>
        <w:t>Source: P&amp;I</w:t>
      </w:r>
    </w:p>
    <w:p w:rsidR="00910163" w:rsidRDefault="00910163" w:rsidP="00910163">
      <w:pPr>
        <w:spacing w:after="0" w:line="240" w:lineRule="auto"/>
        <w:rPr>
          <w:rFonts w:ascii="Segoe UI" w:hAnsi="Segoe UI" w:cs="Segoe UI"/>
        </w:rPr>
      </w:pPr>
    </w:p>
    <w:p w:rsidR="00AA4294" w:rsidRDefault="00AA4294" w:rsidP="00910163">
      <w:pPr>
        <w:spacing w:after="0" w:line="240" w:lineRule="auto"/>
        <w:rPr>
          <w:rFonts w:ascii="Segoe UI" w:hAnsi="Segoe UI" w:cs="Segoe UI"/>
        </w:rPr>
      </w:pPr>
    </w:p>
    <w:p w:rsidR="00AA4294" w:rsidRPr="00396B5E" w:rsidRDefault="00AA4294" w:rsidP="00910163">
      <w:pPr>
        <w:spacing w:after="0" w:line="240" w:lineRule="auto"/>
        <w:rPr>
          <w:rFonts w:ascii="Segoe UI" w:hAnsi="Segoe UI" w:cs="Segoe UI"/>
        </w:rPr>
      </w:pPr>
    </w:p>
    <w:p w:rsidR="009409B7" w:rsidRPr="002F4309" w:rsidRDefault="009409B7" w:rsidP="00EB3F5A">
      <w:pPr>
        <w:pStyle w:val="ListParagraph"/>
        <w:numPr>
          <w:ilvl w:val="0"/>
          <w:numId w:val="3"/>
        </w:numPr>
        <w:shd w:val="clear" w:color="auto" w:fill="FFFFFF" w:themeFill="background1"/>
        <w:spacing w:after="0" w:line="240" w:lineRule="auto"/>
        <w:ind w:left="0"/>
        <w:rPr>
          <w:rFonts w:ascii="Segoe UI" w:hAnsi="Segoe UI" w:cs="Segoe UI"/>
          <w:b/>
          <w:sz w:val="24"/>
        </w:rPr>
      </w:pPr>
      <w:r w:rsidRPr="002F4309">
        <w:rPr>
          <w:rFonts w:ascii="Segoe UI" w:hAnsi="Segoe UI" w:cs="Segoe UI"/>
          <w:b/>
          <w:sz w:val="24"/>
        </w:rPr>
        <w:t xml:space="preserve">Quality </w:t>
      </w:r>
    </w:p>
    <w:p w:rsidR="00322AC9" w:rsidRDefault="00322AC9" w:rsidP="00322AC9">
      <w:pPr>
        <w:pStyle w:val="ListParagraph"/>
        <w:spacing w:after="0" w:line="240" w:lineRule="auto"/>
        <w:ind w:left="375"/>
        <w:rPr>
          <w:rFonts w:ascii="Segoe UI" w:hAnsi="Segoe UI" w:cs="Segoe UI"/>
          <w:b/>
        </w:rPr>
      </w:pPr>
    </w:p>
    <w:p w:rsidR="001C589C" w:rsidRPr="001C589C" w:rsidRDefault="001C589C" w:rsidP="00EB3F5A">
      <w:pPr>
        <w:pStyle w:val="ListParagraph"/>
        <w:numPr>
          <w:ilvl w:val="1"/>
          <w:numId w:val="3"/>
        </w:numPr>
        <w:spacing w:after="0" w:line="240" w:lineRule="auto"/>
        <w:ind w:left="0"/>
        <w:rPr>
          <w:rFonts w:ascii="Segoe UI" w:hAnsi="Segoe UI" w:cs="Segoe UI"/>
          <w:b/>
          <w:bCs/>
        </w:rPr>
      </w:pPr>
      <w:r w:rsidRPr="001C589C">
        <w:rPr>
          <w:rFonts w:ascii="Segoe UI" w:hAnsi="Segoe UI" w:cs="Segoe UI"/>
          <w:b/>
          <w:bCs/>
        </w:rPr>
        <w:t>Quality Improvement</w:t>
      </w:r>
    </w:p>
    <w:p w:rsidR="001C589C" w:rsidRDefault="001C589C" w:rsidP="00322AC9">
      <w:pPr>
        <w:pStyle w:val="ListParagraph"/>
        <w:spacing w:after="0" w:line="240" w:lineRule="auto"/>
        <w:ind w:left="375"/>
        <w:rPr>
          <w:rFonts w:ascii="Segoe UI" w:hAnsi="Segoe UI" w:cs="Segoe UI"/>
          <w:b/>
        </w:rPr>
      </w:pPr>
    </w:p>
    <w:p w:rsidR="00620373" w:rsidRDefault="00620373" w:rsidP="002F4309">
      <w:pPr>
        <w:spacing w:after="0" w:line="240" w:lineRule="auto"/>
        <w:ind w:left="-426" w:right="-472"/>
        <w:jc w:val="both"/>
        <w:rPr>
          <w:rFonts w:ascii="Segoe UI" w:hAnsi="Segoe UI" w:cs="Segoe UI"/>
        </w:rPr>
      </w:pPr>
      <w:r w:rsidRPr="00620373">
        <w:rPr>
          <w:rFonts w:ascii="Segoe UI" w:hAnsi="Segoe UI" w:cs="Segoe UI"/>
        </w:rPr>
        <w:t xml:space="preserve">The Trust has a defined quality governance structure responsible for monitoring the quality of care, sharing learning and driving improvements. Executive Directors each chair a quality sub-committee </w:t>
      </w:r>
      <w:r>
        <w:rPr>
          <w:rFonts w:ascii="Segoe UI" w:hAnsi="Segoe UI" w:cs="Segoe UI"/>
        </w:rPr>
        <w:t>(</w:t>
      </w:r>
      <w:r w:rsidRPr="00620373">
        <w:rPr>
          <w:rFonts w:ascii="Segoe UI" w:hAnsi="Segoe UI" w:cs="Segoe UI"/>
        </w:rPr>
        <w:t>focused on one of the national quality standards</w:t>
      </w:r>
      <w:r>
        <w:rPr>
          <w:rFonts w:ascii="Segoe UI" w:hAnsi="Segoe UI" w:cs="Segoe UI"/>
        </w:rPr>
        <w:t>)</w:t>
      </w:r>
      <w:r w:rsidRPr="00620373">
        <w:rPr>
          <w:rFonts w:ascii="Segoe UI" w:hAnsi="Segoe UI" w:cs="Segoe UI"/>
        </w:rPr>
        <w:t xml:space="preserve"> with all sub-committees reporting to the overarching Quality Committee chaired by a Non-Executive Director. Th</w:t>
      </w:r>
      <w:r>
        <w:rPr>
          <w:rFonts w:ascii="Segoe UI" w:hAnsi="Segoe UI" w:cs="Segoe UI"/>
        </w:rPr>
        <w:t>is</w:t>
      </w:r>
      <w:r w:rsidRPr="00620373">
        <w:rPr>
          <w:rFonts w:ascii="Segoe UI" w:hAnsi="Segoe UI" w:cs="Segoe UI"/>
        </w:rPr>
        <w:t xml:space="preserve"> structure ensures a ‘ward to board’ link for issues and risks to be escalated. Reporting on progress </w:t>
      </w:r>
      <w:r>
        <w:rPr>
          <w:rFonts w:ascii="Segoe UI" w:hAnsi="Segoe UI" w:cs="Segoe UI"/>
        </w:rPr>
        <w:t>of</w:t>
      </w:r>
      <w:r w:rsidRPr="00620373">
        <w:rPr>
          <w:rFonts w:ascii="Segoe UI" w:hAnsi="Segoe UI" w:cs="Segoe UI"/>
        </w:rPr>
        <w:t xml:space="preserve"> the </w:t>
      </w:r>
      <w:r>
        <w:rPr>
          <w:rFonts w:ascii="Segoe UI" w:hAnsi="Segoe UI" w:cs="Segoe UI"/>
        </w:rPr>
        <w:t>quality improvement</w:t>
      </w:r>
      <w:r w:rsidRPr="00620373">
        <w:rPr>
          <w:rFonts w:ascii="Segoe UI" w:hAnsi="Segoe UI" w:cs="Segoe UI"/>
        </w:rPr>
        <w:t xml:space="preserve"> strategy and operationalisation takes place at Quality Committee, Extended Executive Committee, Well-Led Committee, Safety Sub-Committee, and the </w:t>
      </w:r>
      <w:r w:rsidRPr="00620373">
        <w:rPr>
          <w:rFonts w:ascii="Segoe UI" w:hAnsi="Segoe UI" w:cs="Segoe UI"/>
          <w:i/>
        </w:rPr>
        <w:t>I</w:t>
      </w:r>
      <w:r w:rsidR="003237DE" w:rsidRPr="003237DE">
        <w:rPr>
          <w:rFonts w:ascii="Segoe UI" w:hAnsi="Segoe UI" w:cs="Segoe UI"/>
          <w:i/>
        </w:rPr>
        <w:t>mproving Care Five Questions</w:t>
      </w:r>
      <w:r w:rsidR="003237DE">
        <w:rPr>
          <w:rFonts w:ascii="Segoe UI" w:hAnsi="Segoe UI" w:cs="Segoe UI"/>
        </w:rPr>
        <w:t xml:space="preserve"> (IC5)</w:t>
      </w:r>
      <w:r w:rsidRPr="00620373">
        <w:rPr>
          <w:rFonts w:ascii="Segoe UI" w:hAnsi="Segoe UI" w:cs="Segoe UI"/>
        </w:rPr>
        <w:t xml:space="preserve"> meeting. </w:t>
      </w:r>
    </w:p>
    <w:p w:rsid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 xml:space="preserve">These reporting arrangements ensure that: assurance is given on </w:t>
      </w:r>
      <w:r>
        <w:rPr>
          <w:rFonts w:ascii="Segoe UI" w:hAnsi="Segoe UI" w:cs="Segoe UI"/>
        </w:rPr>
        <w:t>quality improvement</w:t>
      </w:r>
      <w:r w:rsidRPr="00620373">
        <w:rPr>
          <w:rFonts w:ascii="Segoe UI" w:hAnsi="Segoe UI" w:cs="Segoe UI"/>
        </w:rPr>
        <w:t xml:space="preserve"> leadership; activity is aligned with CQC </w:t>
      </w:r>
      <w:r>
        <w:rPr>
          <w:rFonts w:ascii="Segoe UI" w:hAnsi="Segoe UI" w:cs="Segoe UI"/>
        </w:rPr>
        <w:t>lines of enquiry</w:t>
      </w:r>
      <w:r w:rsidRPr="00620373">
        <w:rPr>
          <w:rFonts w:ascii="Segoe UI" w:hAnsi="Segoe UI" w:cs="Segoe UI"/>
        </w:rPr>
        <w:t xml:space="preserve">; and both operational and professional leads are engaged. The revised quality governance frameworks for each new clinical directorate have now been implemented. The Trustwide quality governance framework has been reviewed with a decision made to separate the oversight of the Caring and Responsive quality domains; the sub-committee structure will be revised </w:t>
      </w:r>
      <w:r>
        <w:rPr>
          <w:rFonts w:ascii="Segoe UI" w:hAnsi="Segoe UI" w:cs="Segoe UI"/>
        </w:rPr>
        <w:t>over</w:t>
      </w:r>
      <w:r w:rsidRPr="00620373">
        <w:rPr>
          <w:rFonts w:ascii="Segoe UI" w:hAnsi="Segoe UI" w:cs="Segoe UI"/>
        </w:rPr>
        <w:t xml:space="preserve"> 2019.</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 xml:space="preserve">The </w:t>
      </w:r>
      <w:r w:rsidR="002C4383" w:rsidRPr="002C4383">
        <w:rPr>
          <w:rFonts w:ascii="Segoe UI" w:hAnsi="Segoe UI" w:cs="Segoe UI"/>
          <w:i/>
        </w:rPr>
        <w:t xml:space="preserve">Patient </w:t>
      </w:r>
      <w:r w:rsidRPr="00620373">
        <w:rPr>
          <w:rFonts w:ascii="Segoe UI" w:hAnsi="Segoe UI" w:cs="Segoe UI"/>
          <w:i/>
        </w:rPr>
        <w:t>Experience and Involvement Strategy</w:t>
      </w:r>
      <w:r w:rsidRPr="00620373">
        <w:rPr>
          <w:rFonts w:ascii="Segoe UI" w:hAnsi="Segoe UI" w:cs="Segoe UI"/>
        </w:rPr>
        <w:t xml:space="preserve"> is being refreshed with patients, carers, staff and external stakeholders to be approved in April 2019 for the next 2 years.</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2C4383" w:rsidP="002F4309">
      <w:pPr>
        <w:spacing w:after="0" w:line="240" w:lineRule="auto"/>
        <w:ind w:left="-426" w:right="-472"/>
        <w:jc w:val="both"/>
        <w:rPr>
          <w:rFonts w:ascii="Segoe UI" w:hAnsi="Segoe UI" w:cs="Segoe UI"/>
        </w:rPr>
      </w:pPr>
      <w:r>
        <w:rPr>
          <w:rFonts w:ascii="Segoe UI" w:hAnsi="Segoe UI" w:cs="Segoe UI"/>
        </w:rPr>
        <w:t>Following the publication of national guidance,</w:t>
      </w:r>
      <w:r w:rsidR="00620373" w:rsidRPr="00620373">
        <w:rPr>
          <w:rFonts w:ascii="Segoe UI" w:hAnsi="Segoe UI" w:cs="Segoe UI"/>
        </w:rPr>
        <w:t xml:space="preserve"> a self-assessment against suggested standards has been completed </w:t>
      </w:r>
      <w:r>
        <w:rPr>
          <w:rFonts w:ascii="Segoe UI" w:hAnsi="Segoe UI" w:cs="Segoe UI"/>
        </w:rPr>
        <w:t>to</w:t>
      </w:r>
      <w:r w:rsidR="00620373" w:rsidRPr="00620373">
        <w:rPr>
          <w:rFonts w:ascii="Segoe UI" w:hAnsi="Segoe UI" w:cs="Segoe UI"/>
        </w:rPr>
        <w:t xml:space="preserve"> feed into quality improvements for the </w:t>
      </w:r>
      <w:r>
        <w:rPr>
          <w:rFonts w:ascii="Segoe UI" w:hAnsi="Segoe UI" w:cs="Segoe UI"/>
        </w:rPr>
        <w:t>2019/20</w:t>
      </w:r>
      <w:r w:rsidR="00620373" w:rsidRPr="0062037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Extended guidance for child death reviews (Oct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Learning from deaths guidance: engagement with bereaved families (July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NHS resolution thematic review: learning from suicide related claims (Sept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Pressure ulcers; revised definition and measurement (June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Patient experience improvement framework (June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Sexual safety on mental health wards (Sept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CQC thematic review on restrictive practice (Dec 2018)</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The learning disability improvement standards (June 2018)</w:t>
      </w:r>
      <w:r w:rsidR="002C4383">
        <w:rPr>
          <w:rFonts w:ascii="Segoe UI" w:hAnsi="Segoe UI" w:cs="Segoe UI"/>
        </w:rPr>
        <w:t>.</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 xml:space="preserve">The following Trust strategies have been approved recently to improve </w:t>
      </w:r>
      <w:r w:rsidR="002F4309">
        <w:rPr>
          <w:rFonts w:ascii="Segoe UI" w:hAnsi="Segoe UI" w:cs="Segoe UI"/>
        </w:rPr>
        <w:t>care</w:t>
      </w:r>
      <w:r w:rsidRPr="00620373">
        <w:rPr>
          <w:rFonts w:ascii="Segoe UI" w:hAnsi="Segoe UI" w:cs="Segoe UI"/>
        </w:rPr>
        <w:t xml:space="preserve"> quality:</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Dementia strategy</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Suicide and self-harm reduction strategy</w:t>
      </w:r>
      <w:r w:rsidR="002C4383">
        <w:rPr>
          <w:rFonts w:ascii="Segoe UI" w:hAnsi="Segoe UI" w:cs="Segoe UI"/>
        </w:rPr>
        <w:t>;</w:t>
      </w:r>
    </w:p>
    <w:p w:rsidR="00620373" w:rsidRPr="00620373" w:rsidRDefault="00620373" w:rsidP="002F4309">
      <w:pPr>
        <w:numPr>
          <w:ilvl w:val="0"/>
          <w:numId w:val="14"/>
        </w:numPr>
        <w:spacing w:after="0" w:line="240" w:lineRule="auto"/>
        <w:ind w:left="0" w:right="-472" w:hanging="207"/>
        <w:contextualSpacing/>
        <w:jc w:val="both"/>
        <w:rPr>
          <w:rFonts w:ascii="Segoe UI" w:hAnsi="Segoe UI" w:cs="Segoe UI"/>
        </w:rPr>
      </w:pPr>
      <w:r w:rsidRPr="00620373">
        <w:rPr>
          <w:rFonts w:ascii="Segoe UI" w:hAnsi="Segoe UI" w:cs="Segoe UI"/>
        </w:rPr>
        <w:t>A</w:t>
      </w:r>
      <w:r w:rsidR="002C4383">
        <w:rPr>
          <w:rFonts w:ascii="Segoe UI" w:hAnsi="Segoe UI" w:cs="Segoe UI"/>
        </w:rPr>
        <w:t>llied Health Professionals</w:t>
      </w:r>
      <w:r w:rsidRPr="00620373">
        <w:rPr>
          <w:rFonts w:ascii="Segoe UI" w:hAnsi="Segoe UI" w:cs="Segoe UI"/>
        </w:rPr>
        <w:t xml:space="preserve"> strategy</w:t>
      </w:r>
      <w:r w:rsidR="002C4383">
        <w:rPr>
          <w:rFonts w:ascii="Segoe UI" w:hAnsi="Segoe UI" w:cs="Segoe UI"/>
        </w:rPr>
        <w:t>.</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 xml:space="preserve">An independent corporate governance audit began in December 2018 </w:t>
      </w:r>
      <w:r w:rsidR="002C4383">
        <w:rPr>
          <w:rFonts w:ascii="Segoe UI" w:hAnsi="Segoe UI" w:cs="Segoe UI"/>
        </w:rPr>
        <w:t>(</w:t>
      </w:r>
      <w:r w:rsidRPr="00620373">
        <w:rPr>
          <w:rFonts w:ascii="Segoe UI" w:hAnsi="Segoe UI" w:cs="Segoe UI"/>
        </w:rPr>
        <w:t>PwC</w:t>
      </w:r>
      <w:r w:rsidR="002C4383">
        <w:rPr>
          <w:rFonts w:ascii="Segoe UI" w:hAnsi="Segoe UI" w:cs="Segoe UI"/>
        </w:rPr>
        <w:t>). The audit includes</w:t>
      </w:r>
      <w:r w:rsidRPr="00620373">
        <w:rPr>
          <w:rFonts w:ascii="Segoe UI" w:hAnsi="Segoe UI" w:cs="Segoe UI"/>
        </w:rPr>
        <w:t xml:space="preserve"> a review of: serious incidents; complaints; coroner inquests; learning from national guidance; patient experiences; and national patient safety alerts.</w:t>
      </w:r>
      <w:r w:rsidR="002C4383">
        <w:rPr>
          <w:rFonts w:ascii="Segoe UI" w:hAnsi="Segoe UI" w:cs="Segoe UI"/>
        </w:rPr>
        <w:t xml:space="preserve"> Th outcome of the audit stated low risk with no concerns.</w:t>
      </w:r>
      <w:r w:rsidRPr="00620373">
        <w:rPr>
          <w:rFonts w:ascii="Segoe UI" w:hAnsi="Segoe UI" w:cs="Segoe UI"/>
        </w:rPr>
        <w:t xml:space="preserve"> </w:t>
      </w:r>
    </w:p>
    <w:p w:rsidR="00620373" w:rsidRPr="00620373" w:rsidRDefault="00620373" w:rsidP="00620373">
      <w:pPr>
        <w:spacing w:after="0" w:line="240" w:lineRule="auto"/>
        <w:jc w:val="both"/>
        <w:rPr>
          <w:rFonts w:ascii="Segoe UI" w:hAnsi="Segoe UI" w:cs="Segoe UI"/>
        </w:rPr>
      </w:pPr>
    </w:p>
    <w:p w:rsidR="00620373" w:rsidRPr="00620373" w:rsidRDefault="00620373" w:rsidP="002F4309">
      <w:pPr>
        <w:spacing w:after="0" w:line="240" w:lineRule="auto"/>
        <w:ind w:left="-284" w:right="-330"/>
        <w:jc w:val="both"/>
        <w:rPr>
          <w:rFonts w:ascii="Segoe UI" w:hAnsi="Segoe UI" w:cs="Segoe UI"/>
        </w:rPr>
      </w:pPr>
      <w:r w:rsidRPr="00620373">
        <w:rPr>
          <w:rFonts w:ascii="Segoe UI" w:hAnsi="Segoe UI" w:cs="Segoe UI"/>
        </w:rPr>
        <w:t>Work across the systems in which the Trust operates continues. The Trust is now actively involved in a number of quality forums</w:t>
      </w:r>
      <w:r w:rsidR="002C4383">
        <w:rPr>
          <w:rFonts w:ascii="Segoe UI" w:hAnsi="Segoe UI" w:cs="Segoe UI"/>
        </w:rPr>
        <w:t>,</w:t>
      </w:r>
      <w:r w:rsidRPr="00620373">
        <w:rPr>
          <w:rFonts w:ascii="Segoe UI" w:hAnsi="Segoe UI" w:cs="Segoe UI"/>
        </w:rPr>
        <w:t xml:space="preserve"> the Quality Committee in the Buckinghamshire Integrated Care System</w:t>
      </w:r>
      <w:r w:rsidR="002C4383">
        <w:rPr>
          <w:rFonts w:ascii="Segoe UI" w:hAnsi="Segoe UI" w:cs="Segoe UI"/>
        </w:rPr>
        <w:t>,</w:t>
      </w:r>
      <w:r w:rsidRPr="00620373">
        <w:rPr>
          <w:rFonts w:ascii="Segoe UI" w:hAnsi="Segoe UI" w:cs="Segoe UI"/>
        </w:rPr>
        <w:t xml:space="preserve"> and system working in Oxfordshire.</w:t>
      </w:r>
    </w:p>
    <w:p w:rsidR="00620373" w:rsidRPr="00620373" w:rsidRDefault="00620373" w:rsidP="002F4309">
      <w:pPr>
        <w:spacing w:after="0" w:line="240" w:lineRule="auto"/>
        <w:ind w:left="-284" w:right="-330"/>
        <w:jc w:val="both"/>
        <w:rPr>
          <w:rFonts w:ascii="Segoe UI" w:hAnsi="Segoe UI" w:cs="Segoe UI"/>
        </w:rPr>
      </w:pPr>
    </w:p>
    <w:p w:rsidR="00620373" w:rsidRPr="00620373" w:rsidRDefault="00620373" w:rsidP="002F4309">
      <w:pPr>
        <w:spacing w:after="0" w:line="240" w:lineRule="auto"/>
        <w:ind w:left="-284" w:right="-330"/>
        <w:jc w:val="both"/>
        <w:rPr>
          <w:rFonts w:ascii="Segoe UI" w:eastAsia="Calibri" w:hAnsi="Segoe UI" w:cs="Segoe UI"/>
          <w:lang w:val="en-US" w:eastAsia="en-GB"/>
        </w:rPr>
      </w:pPr>
      <w:r w:rsidRPr="00620373">
        <w:rPr>
          <w:rFonts w:ascii="Segoe UI" w:eastAsia="Times New Roman" w:hAnsi="Segoe UI" w:cs="Segoe UI"/>
          <w:lang w:eastAsia="en-GB"/>
        </w:rPr>
        <w:t xml:space="preserve">Below is a summary of </w:t>
      </w:r>
      <w:r w:rsidR="002C4383">
        <w:rPr>
          <w:rFonts w:ascii="Segoe UI" w:eastAsia="Times New Roman" w:hAnsi="Segoe UI" w:cs="Segoe UI"/>
          <w:lang w:eastAsia="en-GB"/>
        </w:rPr>
        <w:t>Quality Improvement</w:t>
      </w:r>
      <w:r w:rsidRPr="00620373">
        <w:rPr>
          <w:rFonts w:ascii="Segoe UI" w:eastAsia="Times New Roman" w:hAnsi="Segoe UI" w:cs="Segoe UI"/>
          <w:lang w:eastAsia="en-GB"/>
        </w:rPr>
        <w:t xml:space="preserve"> progress against quality objectives set for 2018/19</w:t>
      </w:r>
      <w:r w:rsidR="002C4383">
        <w:rPr>
          <w:rFonts w:ascii="Segoe UI" w:eastAsia="Times New Roman" w:hAnsi="Segoe UI" w:cs="Segoe UI"/>
          <w:lang w:eastAsia="en-GB"/>
        </w:rPr>
        <w:t>. Further detail is available in</w:t>
      </w:r>
      <w:r w:rsidRPr="00620373">
        <w:rPr>
          <w:rFonts w:ascii="Segoe UI" w:eastAsia="Times New Roman" w:hAnsi="Segoe UI" w:cs="Segoe UI"/>
          <w:lang w:eastAsia="en-GB"/>
        </w:rPr>
        <w:t xml:space="preserve"> the annual quality account.</w:t>
      </w:r>
      <w:r w:rsidR="002C4383">
        <w:rPr>
          <w:rFonts w:ascii="Segoe UI" w:eastAsia="Times New Roman" w:hAnsi="Segoe UI" w:cs="Segoe UI"/>
          <w:lang w:eastAsia="en-GB"/>
        </w:rPr>
        <w:t xml:space="preserve"> The Trust</w:t>
      </w:r>
      <w:r w:rsidRPr="00620373">
        <w:rPr>
          <w:rFonts w:ascii="Segoe UI" w:eastAsia="Times New Roman" w:hAnsi="Segoe UI" w:cs="Segoe UI"/>
          <w:lang w:eastAsia="en-GB"/>
        </w:rPr>
        <w:t xml:space="preserve"> h</w:t>
      </w:r>
      <w:r w:rsidR="002C4383">
        <w:rPr>
          <w:rFonts w:ascii="Segoe UI" w:eastAsia="Times New Roman" w:hAnsi="Segoe UI" w:cs="Segoe UI"/>
          <w:lang w:eastAsia="en-GB"/>
        </w:rPr>
        <w:t>as</w:t>
      </w:r>
      <w:r w:rsidRPr="00620373">
        <w:rPr>
          <w:rFonts w:ascii="Segoe UI" w:eastAsia="Times New Roman" w:hAnsi="Segoe UI" w:cs="Segoe UI"/>
          <w:lang w:eastAsia="en-GB"/>
        </w:rPr>
        <w:t xml:space="preserve"> fully achieved eight out of the</w:t>
      </w:r>
      <w:r w:rsidR="002C4383">
        <w:rPr>
          <w:rFonts w:ascii="Segoe UI" w:eastAsia="Times New Roman" w:hAnsi="Segoe UI" w:cs="Segoe UI"/>
          <w:lang w:eastAsia="en-GB"/>
        </w:rPr>
        <w:t xml:space="preserve"> </w:t>
      </w:r>
      <w:r w:rsidR="002C4383">
        <w:rPr>
          <w:rFonts w:ascii="Segoe UI" w:eastAsia="Times New Roman" w:hAnsi="Segoe UI" w:cs="Segoe UI"/>
          <w:lang w:eastAsia="en-GB"/>
        </w:rPr>
        <w:lastRenderedPageBreak/>
        <w:t>twelve</w:t>
      </w:r>
      <w:r w:rsidRPr="00620373">
        <w:rPr>
          <w:rFonts w:ascii="Segoe UI" w:eastAsia="Times New Roman" w:hAnsi="Segoe UI" w:cs="Segoe UI"/>
          <w:lang w:eastAsia="en-GB"/>
        </w:rPr>
        <w:t xml:space="preserve"> objectives</w:t>
      </w:r>
      <w:r w:rsidR="0051459C">
        <w:rPr>
          <w:rFonts w:ascii="Segoe UI" w:eastAsia="Times New Roman" w:hAnsi="Segoe UI" w:cs="Segoe UI"/>
          <w:lang w:eastAsia="en-GB"/>
        </w:rPr>
        <w:t xml:space="preserve"> (grouped into four areas)</w:t>
      </w:r>
      <w:r w:rsidRPr="00620373">
        <w:rPr>
          <w:rFonts w:ascii="Segoe UI" w:eastAsia="Times New Roman" w:hAnsi="Segoe UI" w:cs="Segoe UI"/>
          <w:lang w:eastAsia="en-GB"/>
        </w:rPr>
        <w:t xml:space="preserve"> and ha</w:t>
      </w:r>
      <w:r w:rsidR="002C4383">
        <w:rPr>
          <w:rFonts w:ascii="Segoe UI" w:eastAsia="Times New Roman" w:hAnsi="Segoe UI" w:cs="Segoe UI"/>
          <w:lang w:eastAsia="en-GB"/>
        </w:rPr>
        <w:t>s</w:t>
      </w:r>
      <w:r w:rsidRPr="00620373">
        <w:rPr>
          <w:rFonts w:ascii="Segoe UI" w:eastAsia="Times New Roman" w:hAnsi="Segoe UI" w:cs="Segoe UI"/>
          <w:lang w:eastAsia="en-GB"/>
        </w:rPr>
        <w:t xml:space="preserve"> made</w:t>
      </w:r>
      <w:r w:rsidR="002C4383">
        <w:rPr>
          <w:rFonts w:ascii="Segoe UI" w:eastAsia="Times New Roman" w:hAnsi="Segoe UI" w:cs="Segoe UI"/>
          <w:lang w:eastAsia="en-GB"/>
        </w:rPr>
        <w:t xml:space="preserve"> good</w:t>
      </w:r>
      <w:r w:rsidRPr="00620373">
        <w:rPr>
          <w:rFonts w:ascii="Segoe UI" w:eastAsia="Times New Roman" w:hAnsi="Segoe UI" w:cs="Segoe UI"/>
          <w:lang w:eastAsia="en-GB"/>
        </w:rPr>
        <w:t xml:space="preserve"> progress </w:t>
      </w:r>
      <w:r w:rsidR="002C4383">
        <w:rPr>
          <w:rFonts w:ascii="Segoe UI" w:eastAsia="Times New Roman" w:hAnsi="Segoe UI" w:cs="Segoe UI"/>
          <w:lang w:eastAsia="en-GB"/>
        </w:rPr>
        <w:t>in the remaining four objectives.</w:t>
      </w:r>
    </w:p>
    <w:p w:rsidR="00620373" w:rsidRPr="00620373" w:rsidRDefault="00620373" w:rsidP="00620373">
      <w:pPr>
        <w:shd w:val="clear" w:color="auto" w:fill="FFFFFF" w:themeFill="background1"/>
        <w:spacing w:after="0" w:line="240" w:lineRule="auto"/>
        <w:jc w:val="both"/>
        <w:rPr>
          <w:rFonts w:eastAsia="Times New Roman" w:cstheme="minorHAnsi"/>
          <w:lang w:eastAsia="en-GB"/>
        </w:rPr>
      </w:pPr>
    </w:p>
    <w:tbl>
      <w:tblPr>
        <w:tblStyle w:val="TableGrid32"/>
        <w:tblW w:w="10348" w:type="dxa"/>
        <w:tblInd w:w="-669" w:type="dxa"/>
        <w:tblLook w:val="04A0" w:firstRow="1" w:lastRow="0" w:firstColumn="1" w:lastColumn="0" w:noHBand="0" w:noVBand="1"/>
      </w:tblPr>
      <w:tblGrid>
        <w:gridCol w:w="680"/>
        <w:gridCol w:w="3483"/>
        <w:gridCol w:w="1326"/>
        <w:gridCol w:w="1174"/>
        <w:gridCol w:w="1311"/>
        <w:gridCol w:w="2374"/>
      </w:tblGrid>
      <w:tr w:rsidR="0051459C" w:rsidRPr="00620373" w:rsidTr="002F4309">
        <w:trPr>
          <w:tblHeader/>
        </w:trPr>
        <w:tc>
          <w:tcPr>
            <w:tcW w:w="680"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p>
        </w:tc>
        <w:tc>
          <w:tcPr>
            <w:tcW w:w="3483"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 xml:space="preserve">Quality Priority 1 - </w:t>
            </w:r>
            <w:r w:rsidRPr="00620373">
              <w:rPr>
                <w:rFonts w:eastAsia="Calibri" w:cstheme="minorHAnsi"/>
                <w:b/>
                <w:color w:val="FFFFFF" w:themeColor="background1"/>
              </w:rPr>
              <w:t>Improve staff health and wellbeing</w:t>
            </w:r>
          </w:p>
        </w:tc>
        <w:tc>
          <w:tcPr>
            <w:tcW w:w="1326"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Target achieved</w:t>
            </w:r>
          </w:p>
        </w:tc>
        <w:tc>
          <w:tcPr>
            <w:tcW w:w="1174"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Close to target</w:t>
            </w:r>
          </w:p>
        </w:tc>
        <w:tc>
          <w:tcPr>
            <w:tcW w:w="1311"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Not delivered</w:t>
            </w:r>
          </w:p>
        </w:tc>
        <w:tc>
          <w:tcPr>
            <w:tcW w:w="2374"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To be taken into 2019/20</w:t>
            </w:r>
          </w:p>
        </w:tc>
      </w:tr>
      <w:tr w:rsidR="00226EC4" w:rsidRPr="00620373" w:rsidTr="002F4309">
        <w:trPr>
          <w:trHeight w:val="459"/>
        </w:trPr>
        <w:tc>
          <w:tcPr>
            <w:tcW w:w="680" w:type="dxa"/>
          </w:tcPr>
          <w:p w:rsidR="00620373" w:rsidRPr="00620373" w:rsidRDefault="00620373" w:rsidP="00620373">
            <w:pPr>
              <w:ind w:left="57"/>
              <w:contextualSpacing/>
              <w:jc w:val="both"/>
              <w:rPr>
                <w:rFonts w:eastAsia="Calibri" w:cstheme="minorHAnsi"/>
              </w:rPr>
            </w:pPr>
            <w:r w:rsidRPr="00620373">
              <w:rPr>
                <w:rFonts w:eastAsia="Calibri" w:cstheme="minorHAnsi"/>
              </w:rPr>
              <w:t>1.1</w:t>
            </w:r>
          </w:p>
        </w:tc>
        <w:tc>
          <w:tcPr>
            <w:tcW w:w="3483" w:type="dxa"/>
          </w:tcPr>
          <w:p w:rsidR="00620373" w:rsidRPr="00620373" w:rsidRDefault="00620373" w:rsidP="00620373">
            <w:pPr>
              <w:ind w:left="57"/>
              <w:contextualSpacing/>
              <w:jc w:val="both"/>
              <w:rPr>
                <w:rFonts w:eastAsia="Calibri" w:cstheme="minorHAnsi"/>
              </w:rPr>
            </w:pPr>
            <w:r w:rsidRPr="00620373">
              <w:rPr>
                <w:rFonts w:eastAsia="Calibri" w:cstheme="minorHAnsi"/>
              </w:rPr>
              <w:t>Deliver the workforce strategy actions for 2018/19</w:t>
            </w:r>
          </w:p>
        </w:tc>
        <w:tc>
          <w:tcPr>
            <w:tcW w:w="1326" w:type="dxa"/>
          </w:tcPr>
          <w:p w:rsidR="00620373" w:rsidRPr="00620373" w:rsidRDefault="00226EC4" w:rsidP="00226EC4">
            <w:pPr>
              <w:contextualSpacing/>
              <w:rPr>
                <w:rFonts w:eastAsia="Calibri" w:cstheme="minorHAnsi"/>
              </w:rPr>
            </w:pPr>
            <w:r>
              <w:rPr>
                <w:rFonts w:eastAsia="Calibri" w:cstheme="minorHAnsi"/>
                <w:noProof/>
                <w:lang w:eastAsia="en-GB"/>
              </w:rPr>
              <w:drawing>
                <wp:inline distT="0" distB="0" distL="0" distR="0" wp14:anchorId="7CEEF058" wp14:editId="75875E38">
                  <wp:extent cx="238125" cy="238125"/>
                  <wp:effectExtent l="0" t="0" r="9525" b="952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174" w:type="dxa"/>
          </w:tcPr>
          <w:p w:rsidR="00620373" w:rsidRPr="00620373" w:rsidRDefault="00620373" w:rsidP="00226EC4">
            <w:pPr>
              <w:ind w:left="57"/>
              <w:contextualSpacing/>
              <w:rPr>
                <w:rFonts w:eastAsia="Calibri" w:cstheme="minorHAnsi"/>
              </w:rPr>
            </w:pPr>
          </w:p>
        </w:tc>
        <w:tc>
          <w:tcPr>
            <w:tcW w:w="1311" w:type="dxa"/>
          </w:tcPr>
          <w:p w:rsidR="00620373" w:rsidRPr="00620373" w:rsidRDefault="00620373" w:rsidP="00620373">
            <w:pPr>
              <w:ind w:left="57"/>
              <w:contextualSpacing/>
              <w:jc w:val="both"/>
              <w:rPr>
                <w:rFonts w:eastAsia="Calibri" w:cstheme="minorHAnsi"/>
              </w:rPr>
            </w:pPr>
          </w:p>
        </w:tc>
        <w:tc>
          <w:tcPr>
            <w:tcW w:w="2374" w:type="dxa"/>
          </w:tcPr>
          <w:p w:rsidR="00620373" w:rsidRPr="00620373" w:rsidRDefault="00620373" w:rsidP="00620373">
            <w:pPr>
              <w:ind w:left="57"/>
              <w:contextualSpacing/>
              <w:jc w:val="both"/>
              <w:rPr>
                <w:rFonts w:eastAsia="Calibri" w:cstheme="minorHAnsi"/>
              </w:rPr>
            </w:pPr>
            <w:r w:rsidRPr="00620373">
              <w:rPr>
                <w:rFonts w:eastAsia="Calibri" w:cstheme="minorHAnsi"/>
              </w:rPr>
              <w:t>Yes, objectives around staff retention and recruitment will continue as maintaining safe staffing remains a significant risk for the Trust.</w:t>
            </w:r>
          </w:p>
        </w:tc>
      </w:tr>
      <w:tr w:rsidR="00226EC4" w:rsidRPr="00620373" w:rsidTr="002F4309">
        <w:trPr>
          <w:trHeight w:val="612"/>
        </w:trPr>
        <w:tc>
          <w:tcPr>
            <w:tcW w:w="680" w:type="dxa"/>
          </w:tcPr>
          <w:p w:rsidR="00620373" w:rsidRPr="00620373" w:rsidRDefault="00620373" w:rsidP="00620373">
            <w:pPr>
              <w:ind w:left="57"/>
              <w:contextualSpacing/>
              <w:jc w:val="both"/>
              <w:rPr>
                <w:rFonts w:eastAsia="Calibri" w:cstheme="minorHAnsi"/>
              </w:rPr>
            </w:pPr>
            <w:r w:rsidRPr="00620373">
              <w:rPr>
                <w:rFonts w:eastAsia="Calibri" w:cstheme="minorHAnsi"/>
              </w:rPr>
              <w:t>1.2</w:t>
            </w:r>
          </w:p>
        </w:tc>
        <w:tc>
          <w:tcPr>
            <w:tcW w:w="3483" w:type="dxa"/>
          </w:tcPr>
          <w:p w:rsidR="00620373" w:rsidRPr="00620373" w:rsidRDefault="00620373" w:rsidP="00620373">
            <w:pPr>
              <w:ind w:left="57"/>
              <w:contextualSpacing/>
              <w:jc w:val="both"/>
              <w:rPr>
                <w:rFonts w:eastAsia="Calibri" w:cstheme="minorHAnsi"/>
              </w:rPr>
            </w:pPr>
            <w:r w:rsidRPr="00620373">
              <w:rPr>
                <w:rFonts w:eastAsia="Calibri" w:cstheme="minorHAnsi"/>
              </w:rPr>
              <w:t>To refine and enhance functionality of the existing electronic patient record to support integrated working</w:t>
            </w:r>
          </w:p>
        </w:tc>
        <w:tc>
          <w:tcPr>
            <w:tcW w:w="1326" w:type="dxa"/>
          </w:tcPr>
          <w:p w:rsidR="00620373" w:rsidRPr="00620373" w:rsidRDefault="00620373" w:rsidP="00226EC4">
            <w:pPr>
              <w:ind w:left="57"/>
              <w:contextualSpacing/>
              <w:rPr>
                <w:rFonts w:eastAsia="Calibri" w:cstheme="minorHAnsi"/>
              </w:rPr>
            </w:pPr>
          </w:p>
        </w:tc>
        <w:tc>
          <w:tcPr>
            <w:tcW w:w="1174" w:type="dxa"/>
          </w:tcPr>
          <w:p w:rsidR="00620373" w:rsidRPr="00620373" w:rsidRDefault="00226EC4" w:rsidP="00226EC4">
            <w:pPr>
              <w:contextualSpacing/>
              <w:rPr>
                <w:rFonts w:eastAsia="Calibri" w:cstheme="minorHAnsi"/>
              </w:rPr>
            </w:pPr>
            <w:r>
              <w:rPr>
                <w:rFonts w:eastAsia="Calibri" w:cstheme="minorHAnsi"/>
                <w:noProof/>
                <w:lang w:eastAsia="en-GB"/>
              </w:rPr>
              <w:drawing>
                <wp:inline distT="0" distB="0" distL="0" distR="0" wp14:anchorId="51C1A0F3" wp14:editId="0C48611F">
                  <wp:extent cx="238125" cy="238125"/>
                  <wp:effectExtent l="0" t="0" r="9525" b="952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311" w:type="dxa"/>
          </w:tcPr>
          <w:p w:rsidR="00620373" w:rsidRPr="00620373" w:rsidRDefault="00620373" w:rsidP="00620373">
            <w:pPr>
              <w:ind w:left="57"/>
              <w:contextualSpacing/>
              <w:jc w:val="both"/>
              <w:rPr>
                <w:rFonts w:eastAsia="Calibri" w:cstheme="minorHAnsi"/>
              </w:rPr>
            </w:pPr>
          </w:p>
        </w:tc>
        <w:tc>
          <w:tcPr>
            <w:tcW w:w="2374" w:type="dxa"/>
          </w:tcPr>
          <w:p w:rsidR="00620373" w:rsidRPr="00620373" w:rsidRDefault="00620373" w:rsidP="00620373">
            <w:pPr>
              <w:ind w:left="57"/>
              <w:contextualSpacing/>
              <w:jc w:val="both"/>
              <w:rPr>
                <w:rFonts w:eastAsia="Calibri" w:cstheme="minorHAnsi"/>
              </w:rPr>
            </w:pPr>
            <w:r w:rsidRPr="00620373">
              <w:rPr>
                <w:rFonts w:eastAsia="Calibri" w:cstheme="minorHAnsi"/>
              </w:rPr>
              <w:t>No, as development work will continue as part of business as usual.</w:t>
            </w:r>
          </w:p>
        </w:tc>
      </w:tr>
      <w:tr w:rsidR="00226EC4" w:rsidRPr="00620373" w:rsidTr="002F4309">
        <w:tc>
          <w:tcPr>
            <w:tcW w:w="680" w:type="dxa"/>
          </w:tcPr>
          <w:p w:rsidR="00620373" w:rsidRPr="00620373" w:rsidRDefault="00620373" w:rsidP="00620373">
            <w:pPr>
              <w:ind w:left="57"/>
              <w:contextualSpacing/>
              <w:jc w:val="both"/>
              <w:rPr>
                <w:rFonts w:eastAsia="Calibri" w:cstheme="minorHAnsi"/>
              </w:rPr>
            </w:pPr>
            <w:r w:rsidRPr="00620373">
              <w:rPr>
                <w:rFonts w:eastAsia="Calibri" w:cstheme="minorHAnsi"/>
              </w:rPr>
              <w:t>1.3</w:t>
            </w:r>
          </w:p>
        </w:tc>
        <w:tc>
          <w:tcPr>
            <w:tcW w:w="3483" w:type="dxa"/>
          </w:tcPr>
          <w:p w:rsidR="00620373" w:rsidRPr="00620373" w:rsidRDefault="00620373" w:rsidP="00620373">
            <w:pPr>
              <w:ind w:left="57"/>
              <w:contextualSpacing/>
              <w:jc w:val="both"/>
              <w:rPr>
                <w:rFonts w:eastAsia="Calibri" w:cstheme="minorHAnsi"/>
              </w:rPr>
            </w:pPr>
            <w:r w:rsidRPr="00620373">
              <w:rPr>
                <w:rFonts w:eastAsia="Calibri" w:cstheme="minorHAnsi"/>
              </w:rPr>
              <w:t>Improve the uptake and quality of annual staff appraisals</w:t>
            </w:r>
          </w:p>
        </w:tc>
        <w:tc>
          <w:tcPr>
            <w:tcW w:w="1326" w:type="dxa"/>
          </w:tcPr>
          <w:p w:rsidR="00620373" w:rsidRPr="00620373" w:rsidRDefault="00226EC4" w:rsidP="00226EC4">
            <w:pPr>
              <w:contextualSpacing/>
              <w:rPr>
                <w:rFonts w:eastAsia="Calibri" w:cstheme="minorHAnsi"/>
              </w:rPr>
            </w:pPr>
            <w:r>
              <w:rPr>
                <w:rFonts w:eastAsia="Calibri" w:cstheme="minorHAnsi"/>
                <w:noProof/>
                <w:lang w:eastAsia="en-GB"/>
              </w:rPr>
              <w:drawing>
                <wp:inline distT="0" distB="0" distL="0" distR="0" wp14:anchorId="79F6C2CC" wp14:editId="0A9C1814">
                  <wp:extent cx="238125" cy="2381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174" w:type="dxa"/>
          </w:tcPr>
          <w:p w:rsidR="00620373" w:rsidRPr="00620373" w:rsidRDefault="00620373" w:rsidP="00226EC4">
            <w:pPr>
              <w:ind w:left="57"/>
              <w:contextualSpacing/>
              <w:rPr>
                <w:rFonts w:eastAsia="Calibri" w:cstheme="minorHAnsi"/>
              </w:rPr>
            </w:pPr>
          </w:p>
        </w:tc>
        <w:tc>
          <w:tcPr>
            <w:tcW w:w="1311" w:type="dxa"/>
          </w:tcPr>
          <w:p w:rsidR="00620373" w:rsidRPr="00620373" w:rsidRDefault="00620373" w:rsidP="00620373">
            <w:pPr>
              <w:ind w:left="57"/>
              <w:contextualSpacing/>
              <w:jc w:val="both"/>
              <w:rPr>
                <w:rFonts w:eastAsia="Calibri" w:cstheme="minorHAnsi"/>
              </w:rPr>
            </w:pPr>
          </w:p>
        </w:tc>
        <w:tc>
          <w:tcPr>
            <w:tcW w:w="2374"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bl>
    <w:p w:rsidR="00620373" w:rsidRPr="00620373" w:rsidRDefault="00620373" w:rsidP="00620373">
      <w:pPr>
        <w:spacing w:after="0" w:line="240" w:lineRule="auto"/>
        <w:jc w:val="both"/>
        <w:rPr>
          <w:rFonts w:eastAsia="Calibri" w:cstheme="minorHAnsi"/>
        </w:rPr>
      </w:pPr>
    </w:p>
    <w:tbl>
      <w:tblPr>
        <w:tblStyle w:val="TableGrid32"/>
        <w:tblW w:w="10348" w:type="dxa"/>
        <w:tblInd w:w="-669" w:type="dxa"/>
        <w:tblLook w:val="04A0" w:firstRow="1" w:lastRow="0" w:firstColumn="1" w:lastColumn="0" w:noHBand="0" w:noVBand="1"/>
      </w:tblPr>
      <w:tblGrid>
        <w:gridCol w:w="696"/>
        <w:gridCol w:w="3794"/>
        <w:gridCol w:w="1107"/>
        <w:gridCol w:w="1097"/>
        <w:gridCol w:w="1160"/>
        <w:gridCol w:w="2494"/>
      </w:tblGrid>
      <w:tr w:rsidR="00620373" w:rsidRPr="00620373" w:rsidTr="002F4309">
        <w:trPr>
          <w:tblHeader/>
        </w:trPr>
        <w:tc>
          <w:tcPr>
            <w:tcW w:w="696"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p>
        </w:tc>
        <w:tc>
          <w:tcPr>
            <w:tcW w:w="3794"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 xml:space="preserve">Quality Priority 2 – </w:t>
            </w:r>
            <w:r w:rsidRPr="00620373">
              <w:rPr>
                <w:rFonts w:eastAsia="Calibri" w:cstheme="minorHAnsi"/>
                <w:b/>
                <w:color w:val="FFFFFF" w:themeColor="background1"/>
              </w:rPr>
              <w:t>Improve the experiences of patients, their families and carers</w:t>
            </w:r>
          </w:p>
        </w:tc>
        <w:tc>
          <w:tcPr>
            <w:tcW w:w="110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Target achieved</w:t>
            </w:r>
          </w:p>
        </w:tc>
        <w:tc>
          <w:tcPr>
            <w:tcW w:w="109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Close to target</w:t>
            </w:r>
          </w:p>
        </w:tc>
        <w:tc>
          <w:tcPr>
            <w:tcW w:w="1160"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Not delivered</w:t>
            </w:r>
          </w:p>
        </w:tc>
        <w:tc>
          <w:tcPr>
            <w:tcW w:w="2494"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To be taken into 2019/20</w:t>
            </w:r>
          </w:p>
        </w:tc>
      </w:tr>
      <w:tr w:rsidR="00620373" w:rsidRPr="00620373" w:rsidTr="002F4309">
        <w:tc>
          <w:tcPr>
            <w:tcW w:w="696" w:type="dxa"/>
          </w:tcPr>
          <w:p w:rsidR="00620373" w:rsidRPr="00620373" w:rsidRDefault="00620373" w:rsidP="00620373">
            <w:pPr>
              <w:ind w:left="57"/>
              <w:contextualSpacing/>
              <w:jc w:val="both"/>
              <w:rPr>
                <w:rFonts w:eastAsia="Calibri" w:cstheme="minorHAnsi"/>
              </w:rPr>
            </w:pPr>
            <w:r w:rsidRPr="00620373">
              <w:rPr>
                <w:rFonts w:eastAsia="Calibri" w:cstheme="minorHAnsi"/>
              </w:rPr>
              <w:t>2.1</w:t>
            </w:r>
          </w:p>
        </w:tc>
        <w:tc>
          <w:tcPr>
            <w:tcW w:w="3794" w:type="dxa"/>
          </w:tcPr>
          <w:p w:rsidR="00620373" w:rsidRPr="00620373" w:rsidRDefault="00620373" w:rsidP="00620373">
            <w:pPr>
              <w:ind w:left="57"/>
              <w:contextualSpacing/>
              <w:jc w:val="both"/>
              <w:rPr>
                <w:rFonts w:eastAsia="Calibri" w:cstheme="minorHAnsi"/>
              </w:rPr>
            </w:pPr>
            <w:r w:rsidRPr="00620373">
              <w:rPr>
                <w:rFonts w:eastAsia="Calibri" w:cstheme="minorHAnsi"/>
              </w:rPr>
              <w:t>Implement the objectives in the Trust-wide patient experience strategy and carers strategy</w:t>
            </w:r>
          </w:p>
        </w:tc>
        <w:tc>
          <w:tcPr>
            <w:tcW w:w="1107" w:type="dxa"/>
          </w:tcPr>
          <w:p w:rsidR="00620373" w:rsidRPr="00620373" w:rsidRDefault="00226EC4" w:rsidP="00226EC4">
            <w:pPr>
              <w:contextualSpacing/>
              <w:jc w:val="both"/>
              <w:rPr>
                <w:rFonts w:eastAsia="Calibri" w:cstheme="minorHAnsi"/>
              </w:rPr>
            </w:pPr>
            <w:r>
              <w:rPr>
                <w:rFonts w:eastAsia="Calibri" w:cstheme="minorHAnsi"/>
                <w:noProof/>
                <w:lang w:eastAsia="en-GB"/>
              </w:rPr>
              <w:drawing>
                <wp:inline distT="0" distB="0" distL="0" distR="0" wp14:anchorId="40503885" wp14:editId="609528FF">
                  <wp:extent cx="238125" cy="238125"/>
                  <wp:effectExtent l="0" t="0" r="9525" b="952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7"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94" w:type="dxa"/>
          </w:tcPr>
          <w:p w:rsidR="00620373" w:rsidRPr="00620373" w:rsidRDefault="00620373" w:rsidP="00620373">
            <w:pPr>
              <w:ind w:left="57"/>
              <w:contextualSpacing/>
              <w:jc w:val="both"/>
              <w:rPr>
                <w:rFonts w:eastAsia="Calibri" w:cstheme="minorHAnsi"/>
              </w:rPr>
            </w:pPr>
            <w:r w:rsidRPr="00620373">
              <w:rPr>
                <w:rFonts w:eastAsia="Calibri" w:cstheme="minorHAnsi"/>
              </w:rPr>
              <w:t>Yes, in line with new actions identified in the revised strategy.</w:t>
            </w:r>
          </w:p>
        </w:tc>
      </w:tr>
      <w:tr w:rsidR="00620373" w:rsidRPr="00620373" w:rsidTr="002F4309">
        <w:tc>
          <w:tcPr>
            <w:tcW w:w="696" w:type="dxa"/>
          </w:tcPr>
          <w:p w:rsidR="00620373" w:rsidRPr="00620373" w:rsidRDefault="00620373" w:rsidP="00620373">
            <w:pPr>
              <w:ind w:left="57"/>
              <w:contextualSpacing/>
              <w:jc w:val="both"/>
              <w:rPr>
                <w:rFonts w:eastAsia="Calibri" w:cstheme="minorHAnsi"/>
              </w:rPr>
            </w:pPr>
            <w:r w:rsidRPr="00620373">
              <w:rPr>
                <w:rFonts w:eastAsia="Calibri" w:cstheme="minorHAnsi"/>
              </w:rPr>
              <w:t>2.2</w:t>
            </w:r>
          </w:p>
        </w:tc>
        <w:tc>
          <w:tcPr>
            <w:tcW w:w="3794" w:type="dxa"/>
          </w:tcPr>
          <w:p w:rsidR="00620373" w:rsidRPr="00620373" w:rsidRDefault="00620373" w:rsidP="00620373">
            <w:pPr>
              <w:ind w:left="57"/>
              <w:contextualSpacing/>
              <w:jc w:val="both"/>
              <w:rPr>
                <w:rFonts w:eastAsia="Calibri" w:cstheme="minorHAnsi"/>
              </w:rPr>
            </w:pPr>
            <w:r w:rsidRPr="00620373">
              <w:rPr>
                <w:rFonts w:eastAsia="Calibri" w:cstheme="minorHAnsi"/>
              </w:rPr>
              <w:t>Improve transitions between care pathways across ages</w:t>
            </w:r>
          </w:p>
        </w:tc>
        <w:tc>
          <w:tcPr>
            <w:tcW w:w="1107" w:type="dxa"/>
          </w:tcPr>
          <w:p w:rsidR="00620373" w:rsidRPr="00620373" w:rsidRDefault="00620373" w:rsidP="00620373">
            <w:pPr>
              <w:ind w:left="57"/>
              <w:contextualSpacing/>
              <w:jc w:val="both"/>
              <w:rPr>
                <w:rFonts w:eastAsia="Calibri" w:cstheme="minorHAnsi"/>
              </w:rPr>
            </w:pPr>
          </w:p>
        </w:tc>
        <w:tc>
          <w:tcPr>
            <w:tcW w:w="1097" w:type="dxa"/>
          </w:tcPr>
          <w:p w:rsidR="00620373" w:rsidRPr="00620373" w:rsidRDefault="00226EC4" w:rsidP="00226EC4">
            <w:pPr>
              <w:contextualSpacing/>
              <w:jc w:val="both"/>
              <w:rPr>
                <w:rFonts w:eastAsia="Calibri" w:cstheme="minorHAnsi"/>
              </w:rPr>
            </w:pPr>
            <w:r>
              <w:rPr>
                <w:rFonts w:eastAsia="Calibri" w:cstheme="minorHAnsi"/>
                <w:noProof/>
                <w:lang w:eastAsia="en-GB"/>
              </w:rPr>
              <w:drawing>
                <wp:inline distT="0" distB="0" distL="0" distR="0" wp14:anchorId="5DF52360" wp14:editId="205B144F">
                  <wp:extent cx="238125" cy="238125"/>
                  <wp:effectExtent l="0" t="0" r="9525" b="9525"/>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160" w:type="dxa"/>
          </w:tcPr>
          <w:p w:rsidR="00620373" w:rsidRPr="00620373" w:rsidRDefault="00620373" w:rsidP="00620373">
            <w:pPr>
              <w:ind w:left="57"/>
              <w:contextualSpacing/>
              <w:jc w:val="both"/>
              <w:rPr>
                <w:rFonts w:eastAsia="Calibri" w:cstheme="minorHAnsi"/>
              </w:rPr>
            </w:pPr>
          </w:p>
        </w:tc>
        <w:tc>
          <w:tcPr>
            <w:tcW w:w="2494" w:type="dxa"/>
          </w:tcPr>
          <w:p w:rsidR="00620373" w:rsidRPr="00620373" w:rsidRDefault="00620373" w:rsidP="00620373">
            <w:pPr>
              <w:ind w:left="57"/>
              <w:contextualSpacing/>
              <w:jc w:val="both"/>
              <w:rPr>
                <w:rFonts w:eastAsia="Calibri" w:cstheme="minorHAnsi"/>
              </w:rPr>
            </w:pPr>
            <w:r w:rsidRPr="00620373">
              <w:rPr>
                <w:rFonts w:eastAsia="Calibri" w:cstheme="minorHAnsi"/>
              </w:rPr>
              <w:t>Yes</w:t>
            </w:r>
          </w:p>
        </w:tc>
      </w:tr>
    </w:tbl>
    <w:p w:rsidR="00620373" w:rsidRPr="00620373" w:rsidRDefault="00620373" w:rsidP="00620373">
      <w:pPr>
        <w:spacing w:after="0" w:line="240" w:lineRule="auto"/>
        <w:jc w:val="both"/>
        <w:rPr>
          <w:rFonts w:eastAsia="Calibri" w:cstheme="minorHAnsi"/>
        </w:rPr>
      </w:pPr>
    </w:p>
    <w:tbl>
      <w:tblPr>
        <w:tblStyle w:val="TableGrid32"/>
        <w:tblW w:w="10348" w:type="dxa"/>
        <w:tblInd w:w="-731" w:type="dxa"/>
        <w:tblLook w:val="04A0" w:firstRow="1" w:lastRow="0" w:firstColumn="1" w:lastColumn="0" w:noHBand="0" w:noVBand="1"/>
      </w:tblPr>
      <w:tblGrid>
        <w:gridCol w:w="696"/>
        <w:gridCol w:w="3790"/>
        <w:gridCol w:w="1107"/>
        <w:gridCol w:w="1096"/>
        <w:gridCol w:w="1160"/>
        <w:gridCol w:w="2499"/>
      </w:tblGrid>
      <w:tr w:rsidR="00620373" w:rsidRPr="00620373" w:rsidTr="002F4309">
        <w:trPr>
          <w:tblHeader/>
        </w:trPr>
        <w:tc>
          <w:tcPr>
            <w:tcW w:w="696"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p>
        </w:tc>
        <w:tc>
          <w:tcPr>
            <w:tcW w:w="3790"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 xml:space="preserve">Quality Priority 3 – </w:t>
            </w:r>
            <w:r w:rsidRPr="00620373">
              <w:rPr>
                <w:rFonts w:eastAsia="Calibri" w:cstheme="minorHAnsi"/>
                <w:b/>
                <w:color w:val="FFFFFF" w:themeColor="background1"/>
              </w:rPr>
              <w:t>To continuously and reliably improve patient safety</w:t>
            </w:r>
          </w:p>
        </w:tc>
        <w:tc>
          <w:tcPr>
            <w:tcW w:w="110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Target achieved</w:t>
            </w:r>
          </w:p>
        </w:tc>
        <w:tc>
          <w:tcPr>
            <w:tcW w:w="1096"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Close to target</w:t>
            </w:r>
          </w:p>
        </w:tc>
        <w:tc>
          <w:tcPr>
            <w:tcW w:w="1160"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Not delivered</w:t>
            </w:r>
          </w:p>
        </w:tc>
        <w:tc>
          <w:tcPr>
            <w:tcW w:w="2499"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To be taken into 2019/20</w:t>
            </w:r>
          </w:p>
        </w:tc>
      </w:tr>
      <w:tr w:rsidR="00620373" w:rsidRPr="00620373" w:rsidTr="002F4309">
        <w:tc>
          <w:tcPr>
            <w:tcW w:w="696" w:type="dxa"/>
          </w:tcPr>
          <w:p w:rsidR="00620373" w:rsidRPr="00620373" w:rsidRDefault="00620373" w:rsidP="00620373">
            <w:pPr>
              <w:ind w:left="57"/>
              <w:contextualSpacing/>
              <w:jc w:val="both"/>
              <w:rPr>
                <w:rFonts w:eastAsia="Calibri" w:cstheme="minorHAnsi"/>
              </w:rPr>
            </w:pPr>
            <w:r w:rsidRPr="00620373">
              <w:rPr>
                <w:rFonts w:eastAsia="Calibri" w:cstheme="minorHAnsi"/>
              </w:rPr>
              <w:t>3.1</w:t>
            </w:r>
          </w:p>
        </w:tc>
        <w:tc>
          <w:tcPr>
            <w:tcW w:w="3790" w:type="dxa"/>
          </w:tcPr>
          <w:p w:rsidR="00620373" w:rsidRPr="00620373" w:rsidRDefault="00620373" w:rsidP="00620373">
            <w:pPr>
              <w:ind w:left="57"/>
              <w:contextualSpacing/>
              <w:jc w:val="both"/>
              <w:rPr>
                <w:rFonts w:eastAsia="Calibri" w:cstheme="minorHAnsi"/>
              </w:rPr>
            </w:pPr>
            <w:r w:rsidRPr="00620373">
              <w:rPr>
                <w:rFonts w:eastAsia="Calibri" w:cstheme="minorHAnsi"/>
              </w:rPr>
              <w:t>Reduce patient violence and aggression across the adult acute mental health wards</w:t>
            </w:r>
          </w:p>
        </w:tc>
        <w:tc>
          <w:tcPr>
            <w:tcW w:w="1107" w:type="dxa"/>
          </w:tcPr>
          <w:p w:rsidR="00620373" w:rsidRPr="00620373" w:rsidRDefault="00620373" w:rsidP="00620373">
            <w:pPr>
              <w:ind w:left="57"/>
              <w:contextualSpacing/>
              <w:jc w:val="both"/>
              <w:rPr>
                <w:rFonts w:eastAsia="Calibri" w:cstheme="minorHAnsi"/>
              </w:rPr>
            </w:pPr>
          </w:p>
        </w:tc>
        <w:tc>
          <w:tcPr>
            <w:tcW w:w="1096" w:type="dxa"/>
          </w:tcPr>
          <w:p w:rsidR="00620373" w:rsidRPr="00620373" w:rsidRDefault="00226EC4" w:rsidP="00226EC4">
            <w:pPr>
              <w:contextualSpacing/>
              <w:jc w:val="both"/>
              <w:rPr>
                <w:rFonts w:eastAsia="Calibri" w:cstheme="minorHAnsi"/>
              </w:rPr>
            </w:pPr>
            <w:r>
              <w:rPr>
                <w:rFonts w:eastAsia="Calibri" w:cstheme="minorHAnsi"/>
                <w:noProof/>
                <w:lang w:eastAsia="en-GB"/>
              </w:rPr>
              <w:drawing>
                <wp:inline distT="0" distB="0" distL="0" distR="0" wp14:anchorId="2D5AF0FF" wp14:editId="14DC3E61">
                  <wp:extent cx="238125" cy="238125"/>
                  <wp:effectExtent l="0" t="0" r="9525" b="952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160" w:type="dxa"/>
          </w:tcPr>
          <w:p w:rsidR="00620373" w:rsidRPr="00620373" w:rsidRDefault="00620373" w:rsidP="00620373">
            <w:pPr>
              <w:ind w:left="57"/>
              <w:contextualSpacing/>
              <w:jc w:val="both"/>
              <w:rPr>
                <w:rFonts w:eastAsia="Calibri" w:cstheme="minorHAnsi"/>
              </w:rPr>
            </w:pPr>
          </w:p>
        </w:tc>
        <w:tc>
          <w:tcPr>
            <w:tcW w:w="2499" w:type="dxa"/>
          </w:tcPr>
          <w:p w:rsidR="00620373" w:rsidRPr="00620373" w:rsidRDefault="00620373" w:rsidP="00620373">
            <w:pPr>
              <w:ind w:left="57"/>
              <w:contextualSpacing/>
              <w:jc w:val="both"/>
              <w:rPr>
                <w:rFonts w:eastAsia="Calibri" w:cstheme="minorHAnsi"/>
              </w:rPr>
            </w:pPr>
            <w:r w:rsidRPr="00620373">
              <w:rPr>
                <w:rFonts w:eastAsia="Calibri" w:cstheme="minorHAnsi"/>
              </w:rPr>
              <w:t>Yes</w:t>
            </w:r>
          </w:p>
        </w:tc>
      </w:tr>
      <w:tr w:rsidR="00620373" w:rsidRPr="00620373" w:rsidTr="002F4309">
        <w:tc>
          <w:tcPr>
            <w:tcW w:w="696" w:type="dxa"/>
          </w:tcPr>
          <w:p w:rsidR="00620373" w:rsidRPr="00620373" w:rsidRDefault="00620373" w:rsidP="00620373">
            <w:pPr>
              <w:ind w:left="57"/>
              <w:contextualSpacing/>
              <w:jc w:val="both"/>
              <w:rPr>
                <w:rFonts w:eastAsia="Calibri" w:cstheme="minorHAnsi"/>
              </w:rPr>
            </w:pPr>
            <w:r w:rsidRPr="00620373">
              <w:rPr>
                <w:rFonts w:eastAsia="Calibri" w:cstheme="minorHAnsi"/>
              </w:rPr>
              <w:t>3.2</w:t>
            </w:r>
          </w:p>
        </w:tc>
        <w:tc>
          <w:tcPr>
            <w:tcW w:w="3790" w:type="dxa"/>
          </w:tcPr>
          <w:p w:rsidR="00620373" w:rsidRPr="00620373" w:rsidRDefault="00620373" w:rsidP="00620373">
            <w:pPr>
              <w:jc w:val="both"/>
              <w:rPr>
                <w:rFonts w:eastAsia="Calibri" w:cstheme="minorHAnsi"/>
                <w:lang w:eastAsia="en-GB"/>
              </w:rPr>
            </w:pPr>
            <w:r w:rsidRPr="00620373">
              <w:rPr>
                <w:rFonts w:eastAsia="Calibri" w:cstheme="minorHAnsi"/>
                <w:lang w:eastAsia="en-GB"/>
              </w:rPr>
              <w:t>Improve the consistency of care processes for the adult acute mental health wards</w:t>
            </w:r>
          </w:p>
        </w:tc>
        <w:tc>
          <w:tcPr>
            <w:tcW w:w="1107" w:type="dxa"/>
          </w:tcPr>
          <w:p w:rsidR="00620373" w:rsidRPr="00620373" w:rsidRDefault="00620373" w:rsidP="00620373">
            <w:pPr>
              <w:ind w:left="57"/>
              <w:contextualSpacing/>
              <w:jc w:val="both"/>
              <w:rPr>
                <w:rFonts w:eastAsia="Calibri" w:cstheme="minorHAnsi"/>
              </w:rPr>
            </w:pPr>
          </w:p>
        </w:tc>
        <w:tc>
          <w:tcPr>
            <w:tcW w:w="1096" w:type="dxa"/>
          </w:tcPr>
          <w:p w:rsidR="00620373" w:rsidRPr="00620373" w:rsidRDefault="00226EC4" w:rsidP="00226EC4">
            <w:pPr>
              <w:contextualSpacing/>
              <w:jc w:val="both"/>
              <w:rPr>
                <w:rFonts w:eastAsia="Calibri" w:cstheme="minorHAnsi"/>
              </w:rPr>
            </w:pPr>
            <w:r>
              <w:rPr>
                <w:rFonts w:eastAsia="Calibri" w:cstheme="minorHAnsi"/>
                <w:noProof/>
                <w:lang w:eastAsia="en-GB"/>
              </w:rPr>
              <w:drawing>
                <wp:inline distT="0" distB="0" distL="0" distR="0" wp14:anchorId="3FAFA9BA" wp14:editId="510F084E">
                  <wp:extent cx="238125" cy="238125"/>
                  <wp:effectExtent l="0" t="0" r="9525" b="952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160" w:type="dxa"/>
          </w:tcPr>
          <w:p w:rsidR="00620373" w:rsidRPr="00620373" w:rsidRDefault="00620373" w:rsidP="00620373">
            <w:pPr>
              <w:ind w:left="57"/>
              <w:contextualSpacing/>
              <w:jc w:val="both"/>
              <w:rPr>
                <w:rFonts w:eastAsia="Calibri" w:cstheme="minorHAnsi"/>
              </w:rPr>
            </w:pPr>
          </w:p>
        </w:tc>
        <w:tc>
          <w:tcPr>
            <w:tcW w:w="2499" w:type="dxa"/>
          </w:tcPr>
          <w:p w:rsidR="00620373" w:rsidRPr="00620373" w:rsidRDefault="00620373" w:rsidP="00620373">
            <w:pPr>
              <w:ind w:left="57"/>
              <w:contextualSpacing/>
              <w:jc w:val="both"/>
              <w:rPr>
                <w:rFonts w:eastAsia="Calibri" w:cstheme="minorHAnsi"/>
              </w:rPr>
            </w:pPr>
            <w:r w:rsidRPr="00620373">
              <w:rPr>
                <w:rFonts w:eastAsia="Calibri" w:cstheme="minorHAnsi"/>
              </w:rPr>
              <w:t>No, although the quality improvement project will continue.</w:t>
            </w:r>
          </w:p>
        </w:tc>
      </w:tr>
      <w:tr w:rsidR="00620373" w:rsidRPr="00620373" w:rsidTr="002F4309">
        <w:tc>
          <w:tcPr>
            <w:tcW w:w="696" w:type="dxa"/>
          </w:tcPr>
          <w:p w:rsidR="00620373" w:rsidRPr="00620373" w:rsidRDefault="00620373" w:rsidP="00620373">
            <w:pPr>
              <w:ind w:left="57"/>
              <w:contextualSpacing/>
              <w:jc w:val="both"/>
              <w:rPr>
                <w:rFonts w:eastAsia="Calibri" w:cstheme="minorHAnsi"/>
              </w:rPr>
            </w:pPr>
            <w:r w:rsidRPr="00620373">
              <w:rPr>
                <w:rFonts w:eastAsia="Calibri" w:cstheme="minorHAnsi"/>
              </w:rPr>
              <w:t>3.3</w:t>
            </w:r>
          </w:p>
        </w:tc>
        <w:tc>
          <w:tcPr>
            <w:tcW w:w="3790" w:type="dxa"/>
          </w:tcPr>
          <w:p w:rsidR="00620373" w:rsidRPr="00620373" w:rsidRDefault="00620373" w:rsidP="00620373">
            <w:pPr>
              <w:ind w:left="57"/>
              <w:contextualSpacing/>
              <w:jc w:val="both"/>
              <w:rPr>
                <w:rFonts w:eastAsia="Calibri" w:cstheme="minorHAnsi"/>
              </w:rPr>
            </w:pPr>
            <w:r w:rsidRPr="00620373">
              <w:rPr>
                <w:rFonts w:eastAsia="Calibri" w:cstheme="minorHAnsi"/>
                <w:lang w:eastAsia="en-GB"/>
              </w:rPr>
              <w:t>Continue to improve how we learn from incidents and deaths</w:t>
            </w:r>
          </w:p>
        </w:tc>
        <w:tc>
          <w:tcPr>
            <w:tcW w:w="1107" w:type="dxa"/>
          </w:tcPr>
          <w:p w:rsidR="00620373" w:rsidRPr="00620373" w:rsidRDefault="00226EC4" w:rsidP="00226EC4">
            <w:pPr>
              <w:contextualSpacing/>
              <w:jc w:val="both"/>
              <w:rPr>
                <w:rFonts w:eastAsia="Calibri" w:cstheme="minorHAnsi"/>
              </w:rPr>
            </w:pPr>
            <w:r>
              <w:rPr>
                <w:rFonts w:eastAsia="Calibri" w:cstheme="minorHAnsi"/>
                <w:noProof/>
                <w:lang w:eastAsia="en-GB"/>
              </w:rPr>
              <w:drawing>
                <wp:inline distT="0" distB="0" distL="0" distR="0" wp14:anchorId="4E59EC92" wp14:editId="6AD56FD5">
                  <wp:extent cx="238125" cy="238125"/>
                  <wp:effectExtent l="0" t="0" r="9525" b="952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6"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99"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bl>
    <w:p w:rsidR="00620373" w:rsidRPr="00620373" w:rsidRDefault="00620373" w:rsidP="00620373">
      <w:pPr>
        <w:spacing w:after="0" w:line="240" w:lineRule="auto"/>
        <w:jc w:val="both"/>
        <w:rPr>
          <w:rFonts w:eastAsia="Calibri" w:cstheme="minorHAnsi"/>
        </w:rPr>
      </w:pPr>
    </w:p>
    <w:tbl>
      <w:tblPr>
        <w:tblStyle w:val="TableGrid311"/>
        <w:tblW w:w="10348" w:type="dxa"/>
        <w:tblInd w:w="-669" w:type="dxa"/>
        <w:tblLook w:val="04A0" w:firstRow="1" w:lastRow="0" w:firstColumn="1" w:lastColumn="0" w:noHBand="0" w:noVBand="1"/>
      </w:tblPr>
      <w:tblGrid>
        <w:gridCol w:w="699"/>
        <w:gridCol w:w="3837"/>
        <w:gridCol w:w="1107"/>
        <w:gridCol w:w="1097"/>
        <w:gridCol w:w="1160"/>
        <w:gridCol w:w="2448"/>
      </w:tblGrid>
      <w:tr w:rsidR="00620373" w:rsidRPr="00620373" w:rsidTr="002F4309">
        <w:trPr>
          <w:tblHeader/>
        </w:trPr>
        <w:tc>
          <w:tcPr>
            <w:tcW w:w="699"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p>
        </w:tc>
        <w:tc>
          <w:tcPr>
            <w:tcW w:w="383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 xml:space="preserve">Quality Priority 4 – </w:t>
            </w:r>
            <w:r w:rsidRPr="00620373">
              <w:rPr>
                <w:rFonts w:eastAsia="Calibri" w:cstheme="minorHAnsi"/>
                <w:b/>
                <w:color w:val="FFFFFF" w:themeColor="background1"/>
              </w:rPr>
              <w:t>Preventing ill-health and promoting self-care</w:t>
            </w:r>
          </w:p>
        </w:tc>
        <w:tc>
          <w:tcPr>
            <w:tcW w:w="110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Target achieved</w:t>
            </w:r>
          </w:p>
        </w:tc>
        <w:tc>
          <w:tcPr>
            <w:tcW w:w="1097"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Close to target</w:t>
            </w:r>
          </w:p>
        </w:tc>
        <w:tc>
          <w:tcPr>
            <w:tcW w:w="1160"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Not delivered</w:t>
            </w:r>
          </w:p>
        </w:tc>
        <w:tc>
          <w:tcPr>
            <w:tcW w:w="2448" w:type="dxa"/>
            <w:shd w:val="clear" w:color="auto" w:fill="4F81BD" w:themeFill="accent1"/>
          </w:tcPr>
          <w:p w:rsidR="00620373" w:rsidRPr="00620373" w:rsidRDefault="00620373" w:rsidP="00620373">
            <w:pPr>
              <w:jc w:val="both"/>
              <w:rPr>
                <w:rFonts w:eastAsia="Times New Roman" w:cstheme="minorHAnsi"/>
                <w:b/>
                <w:bCs/>
                <w:color w:val="FFFFFF" w:themeColor="background1"/>
                <w:lang w:eastAsia="en-GB"/>
              </w:rPr>
            </w:pPr>
            <w:r w:rsidRPr="00620373">
              <w:rPr>
                <w:rFonts w:eastAsia="Times New Roman" w:cstheme="minorHAnsi"/>
                <w:b/>
                <w:bCs/>
                <w:color w:val="FFFFFF" w:themeColor="background1"/>
                <w:lang w:eastAsia="en-GB"/>
              </w:rPr>
              <w:t>To be taken into 2019/20</w:t>
            </w:r>
          </w:p>
        </w:tc>
      </w:tr>
      <w:tr w:rsidR="00620373" w:rsidRPr="00620373" w:rsidTr="002F4309">
        <w:tc>
          <w:tcPr>
            <w:tcW w:w="699" w:type="dxa"/>
          </w:tcPr>
          <w:p w:rsidR="00620373" w:rsidRPr="00620373" w:rsidRDefault="00620373" w:rsidP="00620373">
            <w:pPr>
              <w:ind w:left="57"/>
              <w:contextualSpacing/>
              <w:jc w:val="both"/>
              <w:rPr>
                <w:rFonts w:eastAsia="Calibri" w:cstheme="minorHAnsi"/>
              </w:rPr>
            </w:pPr>
            <w:r w:rsidRPr="00620373">
              <w:rPr>
                <w:rFonts w:eastAsia="Calibri" w:cstheme="minorHAnsi"/>
              </w:rPr>
              <w:t>4.1</w:t>
            </w:r>
          </w:p>
        </w:tc>
        <w:tc>
          <w:tcPr>
            <w:tcW w:w="3837" w:type="dxa"/>
          </w:tcPr>
          <w:p w:rsidR="00620373" w:rsidRPr="00620373" w:rsidRDefault="00620373" w:rsidP="00620373">
            <w:pPr>
              <w:jc w:val="both"/>
              <w:rPr>
                <w:rFonts w:eastAsia="Calibri" w:cstheme="minorHAnsi"/>
                <w:lang w:eastAsia="en-GB"/>
              </w:rPr>
            </w:pPr>
            <w:r w:rsidRPr="00620373">
              <w:rPr>
                <w:rFonts w:eastAsia="Calibri" w:cstheme="minorHAnsi"/>
                <w:lang w:eastAsia="en-GB"/>
              </w:rPr>
              <w:t>Review the complex needs pathway (for patients suffering with a personality disorder)</w:t>
            </w:r>
          </w:p>
        </w:tc>
        <w:tc>
          <w:tcPr>
            <w:tcW w:w="1107" w:type="dxa"/>
          </w:tcPr>
          <w:p w:rsidR="00620373" w:rsidRPr="00620373" w:rsidRDefault="00226EC4" w:rsidP="00226EC4">
            <w:pPr>
              <w:contextualSpacing/>
              <w:jc w:val="both"/>
              <w:rPr>
                <w:rFonts w:eastAsia="Calibri" w:cstheme="minorHAnsi"/>
                <w:noProof/>
                <w:lang w:eastAsia="en-GB"/>
              </w:rPr>
            </w:pPr>
            <w:r>
              <w:rPr>
                <w:rFonts w:eastAsia="Calibri" w:cstheme="minorHAnsi"/>
                <w:noProof/>
                <w:lang w:eastAsia="en-GB"/>
              </w:rPr>
              <w:drawing>
                <wp:inline distT="0" distB="0" distL="0" distR="0" wp14:anchorId="69371ECF" wp14:editId="02A5E2F0">
                  <wp:extent cx="238125" cy="23812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7"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48"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r w:rsidR="00620373" w:rsidRPr="00620373" w:rsidTr="002F4309">
        <w:tc>
          <w:tcPr>
            <w:tcW w:w="699" w:type="dxa"/>
          </w:tcPr>
          <w:p w:rsidR="00620373" w:rsidRPr="00620373" w:rsidRDefault="00620373" w:rsidP="00620373">
            <w:pPr>
              <w:ind w:left="57"/>
              <w:contextualSpacing/>
              <w:jc w:val="both"/>
              <w:rPr>
                <w:rFonts w:eastAsia="Calibri" w:cstheme="minorHAnsi"/>
              </w:rPr>
            </w:pPr>
            <w:r w:rsidRPr="00620373">
              <w:rPr>
                <w:rFonts w:eastAsia="Calibri" w:cstheme="minorHAnsi"/>
              </w:rPr>
              <w:t>4.2</w:t>
            </w:r>
          </w:p>
        </w:tc>
        <w:tc>
          <w:tcPr>
            <w:tcW w:w="3837" w:type="dxa"/>
          </w:tcPr>
          <w:p w:rsidR="00620373" w:rsidRPr="00620373" w:rsidRDefault="00620373" w:rsidP="00620373">
            <w:pPr>
              <w:contextualSpacing/>
              <w:jc w:val="both"/>
              <w:rPr>
                <w:rFonts w:eastAsia="Calibri" w:cstheme="minorHAnsi"/>
              </w:rPr>
            </w:pPr>
            <w:r w:rsidRPr="00620373">
              <w:rPr>
                <w:rFonts w:eastAsia="Calibri" w:cstheme="minorHAnsi"/>
              </w:rPr>
              <w:t>Develop and introduce a new frailty pathway</w:t>
            </w:r>
          </w:p>
        </w:tc>
        <w:tc>
          <w:tcPr>
            <w:tcW w:w="1107" w:type="dxa"/>
          </w:tcPr>
          <w:p w:rsidR="00620373" w:rsidRPr="00620373" w:rsidRDefault="00226EC4" w:rsidP="00226EC4">
            <w:pPr>
              <w:contextualSpacing/>
              <w:jc w:val="both"/>
              <w:rPr>
                <w:rFonts w:eastAsia="Calibri" w:cstheme="minorHAnsi"/>
                <w:noProof/>
                <w:lang w:eastAsia="en-GB"/>
              </w:rPr>
            </w:pPr>
            <w:r>
              <w:rPr>
                <w:rFonts w:eastAsia="Calibri" w:cstheme="minorHAnsi"/>
                <w:noProof/>
                <w:lang w:eastAsia="en-GB"/>
              </w:rPr>
              <w:drawing>
                <wp:inline distT="0" distB="0" distL="0" distR="0" wp14:anchorId="60A9AE1A" wp14:editId="6888FCB3">
                  <wp:extent cx="238125" cy="238125"/>
                  <wp:effectExtent l="0" t="0" r="9525" b="952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7"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48"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r w:rsidR="00620373" w:rsidRPr="00620373" w:rsidTr="002F4309">
        <w:tc>
          <w:tcPr>
            <w:tcW w:w="699" w:type="dxa"/>
          </w:tcPr>
          <w:p w:rsidR="00620373" w:rsidRPr="00620373" w:rsidRDefault="00620373" w:rsidP="00620373">
            <w:pPr>
              <w:ind w:left="57"/>
              <w:contextualSpacing/>
              <w:jc w:val="both"/>
              <w:rPr>
                <w:rFonts w:eastAsia="Calibri" w:cstheme="minorHAnsi"/>
              </w:rPr>
            </w:pPr>
            <w:r w:rsidRPr="00620373">
              <w:rPr>
                <w:rFonts w:eastAsia="Calibri" w:cstheme="minorHAnsi"/>
              </w:rPr>
              <w:lastRenderedPageBreak/>
              <w:t>4.3</w:t>
            </w:r>
          </w:p>
        </w:tc>
        <w:tc>
          <w:tcPr>
            <w:tcW w:w="3837" w:type="dxa"/>
          </w:tcPr>
          <w:p w:rsidR="00620373" w:rsidRPr="00620373" w:rsidRDefault="00620373" w:rsidP="00620373">
            <w:pPr>
              <w:contextualSpacing/>
              <w:jc w:val="both"/>
              <w:rPr>
                <w:rFonts w:eastAsia="Calibri" w:cstheme="minorHAnsi"/>
              </w:rPr>
            </w:pPr>
            <w:r w:rsidRPr="00620373">
              <w:rPr>
                <w:rFonts w:eastAsia="Calibri" w:cstheme="minorHAnsi"/>
              </w:rPr>
              <w:t>Continue to develop a joint enterprise with Oxfordshire GP Federations</w:t>
            </w:r>
          </w:p>
        </w:tc>
        <w:tc>
          <w:tcPr>
            <w:tcW w:w="1107" w:type="dxa"/>
          </w:tcPr>
          <w:p w:rsidR="00620373" w:rsidRPr="00620373" w:rsidRDefault="00226EC4" w:rsidP="00226EC4">
            <w:pPr>
              <w:contextualSpacing/>
              <w:jc w:val="both"/>
              <w:rPr>
                <w:rFonts w:eastAsia="Calibri" w:cstheme="minorHAnsi"/>
                <w:noProof/>
                <w:lang w:eastAsia="en-GB"/>
              </w:rPr>
            </w:pPr>
            <w:r>
              <w:rPr>
                <w:rFonts w:eastAsia="Calibri" w:cstheme="minorHAnsi"/>
                <w:noProof/>
                <w:lang w:eastAsia="en-GB"/>
              </w:rPr>
              <w:drawing>
                <wp:inline distT="0" distB="0" distL="0" distR="0" wp14:anchorId="1A25FB5E" wp14:editId="3E29121A">
                  <wp:extent cx="238125" cy="238125"/>
                  <wp:effectExtent l="0" t="0" r="9525" b="952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7"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48"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r w:rsidR="00620373" w:rsidRPr="00620373" w:rsidTr="002F4309">
        <w:tc>
          <w:tcPr>
            <w:tcW w:w="699" w:type="dxa"/>
          </w:tcPr>
          <w:p w:rsidR="00620373" w:rsidRPr="00620373" w:rsidRDefault="00620373" w:rsidP="00620373">
            <w:pPr>
              <w:ind w:left="57"/>
              <w:contextualSpacing/>
              <w:jc w:val="both"/>
              <w:rPr>
                <w:rFonts w:eastAsia="Calibri" w:cstheme="minorHAnsi"/>
              </w:rPr>
            </w:pPr>
            <w:r w:rsidRPr="00620373">
              <w:rPr>
                <w:rFonts w:eastAsia="Calibri" w:cstheme="minorHAnsi"/>
              </w:rPr>
              <w:t>4.4</w:t>
            </w:r>
          </w:p>
        </w:tc>
        <w:tc>
          <w:tcPr>
            <w:tcW w:w="3837" w:type="dxa"/>
          </w:tcPr>
          <w:p w:rsidR="00620373" w:rsidRPr="00620373" w:rsidRDefault="00620373" w:rsidP="00620373">
            <w:pPr>
              <w:contextualSpacing/>
              <w:jc w:val="both"/>
              <w:rPr>
                <w:rFonts w:eastAsia="Calibri" w:cstheme="minorHAnsi"/>
              </w:rPr>
            </w:pPr>
            <w:r w:rsidRPr="00620373">
              <w:rPr>
                <w:rFonts w:eastAsia="Calibri" w:cstheme="minorHAnsi"/>
              </w:rPr>
              <w:t>Smoke free work</w:t>
            </w:r>
          </w:p>
        </w:tc>
        <w:tc>
          <w:tcPr>
            <w:tcW w:w="1107" w:type="dxa"/>
          </w:tcPr>
          <w:p w:rsidR="00620373" w:rsidRPr="00620373" w:rsidRDefault="00226EC4" w:rsidP="00226EC4">
            <w:pPr>
              <w:contextualSpacing/>
              <w:jc w:val="both"/>
              <w:rPr>
                <w:rFonts w:eastAsia="Calibri" w:cstheme="minorHAnsi"/>
                <w:noProof/>
                <w:lang w:eastAsia="en-GB"/>
              </w:rPr>
            </w:pPr>
            <w:r>
              <w:rPr>
                <w:rFonts w:eastAsia="Calibri" w:cstheme="minorHAnsi"/>
                <w:noProof/>
                <w:lang w:eastAsia="en-GB"/>
              </w:rPr>
              <w:drawing>
                <wp:inline distT="0" distB="0" distL="0" distR="0" wp14:anchorId="78728552" wp14:editId="5C719BAA">
                  <wp:extent cx="238125" cy="2381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25" cy="238125"/>
                          </a:xfrm>
                          <a:prstGeom prst="rect">
                            <a:avLst/>
                          </a:prstGeom>
                        </pic:spPr>
                      </pic:pic>
                    </a:graphicData>
                  </a:graphic>
                </wp:inline>
              </w:drawing>
            </w:r>
          </w:p>
        </w:tc>
        <w:tc>
          <w:tcPr>
            <w:tcW w:w="1097" w:type="dxa"/>
          </w:tcPr>
          <w:p w:rsidR="00620373" w:rsidRPr="00620373" w:rsidRDefault="00620373" w:rsidP="00620373">
            <w:pPr>
              <w:ind w:left="57"/>
              <w:contextualSpacing/>
              <w:jc w:val="both"/>
              <w:rPr>
                <w:rFonts w:eastAsia="Calibri" w:cstheme="minorHAnsi"/>
              </w:rPr>
            </w:pPr>
          </w:p>
        </w:tc>
        <w:tc>
          <w:tcPr>
            <w:tcW w:w="1160" w:type="dxa"/>
          </w:tcPr>
          <w:p w:rsidR="00620373" w:rsidRPr="00620373" w:rsidRDefault="00620373" w:rsidP="00620373">
            <w:pPr>
              <w:ind w:left="57"/>
              <w:contextualSpacing/>
              <w:jc w:val="both"/>
              <w:rPr>
                <w:rFonts w:eastAsia="Calibri" w:cstheme="minorHAnsi"/>
              </w:rPr>
            </w:pPr>
          </w:p>
        </w:tc>
        <w:tc>
          <w:tcPr>
            <w:tcW w:w="2448" w:type="dxa"/>
          </w:tcPr>
          <w:p w:rsidR="00620373" w:rsidRPr="00620373" w:rsidRDefault="00620373" w:rsidP="00620373">
            <w:pPr>
              <w:ind w:left="57"/>
              <w:contextualSpacing/>
              <w:jc w:val="both"/>
              <w:rPr>
                <w:rFonts w:eastAsia="Calibri" w:cstheme="minorHAnsi"/>
              </w:rPr>
            </w:pPr>
            <w:r w:rsidRPr="00620373">
              <w:rPr>
                <w:rFonts w:eastAsia="Calibri" w:cstheme="minorHAnsi"/>
              </w:rPr>
              <w:t>No</w:t>
            </w:r>
          </w:p>
        </w:tc>
      </w:tr>
    </w:tbl>
    <w:p w:rsidR="00620373" w:rsidRPr="00620373" w:rsidRDefault="00620373" w:rsidP="00620373">
      <w:pPr>
        <w:spacing w:after="0" w:line="240" w:lineRule="auto"/>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The Trust’s quality improvement plan for 2019/20 has been developed detailing 14 key objectives identified against the quality domains of</w:t>
      </w:r>
      <w:r w:rsidR="00226EC4" w:rsidRPr="003237DE">
        <w:rPr>
          <w:rFonts w:ascii="Segoe UI" w:hAnsi="Segoe UI" w:cs="Segoe UI"/>
        </w:rPr>
        <w:t>:</w:t>
      </w:r>
      <w:r w:rsidRPr="00620373">
        <w:rPr>
          <w:rFonts w:ascii="Segoe UI" w:hAnsi="Segoe UI" w:cs="Segoe UI"/>
        </w:rPr>
        <w:t xml:space="preserve"> patient and family experiences, patient safety and clinical effectiveness. The plan does not detail all the quality improvements to be carried out across the Trust in the next year but identifies those key areas being addressed. </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jc w:val="both"/>
        <w:rPr>
          <w:rFonts w:ascii="Segoe UI" w:hAnsi="Segoe UI" w:cs="Segoe UI"/>
        </w:rPr>
      </w:pPr>
      <w:r w:rsidRPr="00620373">
        <w:rPr>
          <w:rFonts w:ascii="Segoe UI" w:hAnsi="Segoe UI" w:cs="Segoe UI"/>
        </w:rPr>
        <w:t>The objectives</w:t>
      </w:r>
      <w:r w:rsidR="00226EC4" w:rsidRPr="003237DE">
        <w:rPr>
          <w:rFonts w:ascii="Segoe UI" w:hAnsi="Segoe UI" w:cs="Segoe UI"/>
        </w:rPr>
        <w:t xml:space="preserve"> of the plan</w:t>
      </w:r>
      <w:r w:rsidRPr="00620373">
        <w:rPr>
          <w:rFonts w:ascii="Segoe UI" w:hAnsi="Segoe UI" w:cs="Segoe UI"/>
        </w:rPr>
        <w:t xml:space="preserve"> have been selected following a review of </w:t>
      </w:r>
      <w:r w:rsidR="00226EC4" w:rsidRPr="003237DE">
        <w:rPr>
          <w:rFonts w:ascii="Segoe UI" w:hAnsi="Segoe UI" w:cs="Segoe UI"/>
        </w:rPr>
        <w:t>Trust</w:t>
      </w:r>
      <w:r w:rsidRPr="00620373">
        <w:rPr>
          <w:rFonts w:ascii="Segoe UI" w:hAnsi="Segoe UI" w:cs="Segoe UI"/>
        </w:rPr>
        <w:t xml:space="preserve"> risks, performance in 2018/19, self-assessments from recently published national reviews/ guidance, feedback from staff and patients, looking at local and national priorities including the NHS long term plan, the work of the healthcare improvement centre, and findings from the C</w:t>
      </w:r>
      <w:r w:rsidR="00226EC4" w:rsidRPr="003237DE">
        <w:rPr>
          <w:rFonts w:ascii="Segoe UI" w:hAnsi="Segoe UI" w:cs="Segoe UI"/>
        </w:rPr>
        <w:t>QC</w:t>
      </w:r>
      <w:r w:rsidRPr="00620373">
        <w:rPr>
          <w:rFonts w:ascii="Segoe UI" w:hAnsi="Segoe UI" w:cs="Segoe UI"/>
        </w:rPr>
        <w:t xml:space="preserve">’s well-led inspection. Some of the objectives from last year (2018/19) are continued into 2019/20 to build on the work already completed. All the objectives are aimed to be completed by 31 March 2020 and progress will be monitored on a quarterly basis by the Trust’s Quality Committee and the Board of Directors will be informed of performance against targets. The Trust will report formally on </w:t>
      </w:r>
      <w:r w:rsidR="00226EC4" w:rsidRPr="003237DE">
        <w:rPr>
          <w:rFonts w:ascii="Segoe UI" w:hAnsi="Segoe UI" w:cs="Segoe UI"/>
        </w:rPr>
        <w:t>its</w:t>
      </w:r>
      <w:r w:rsidRPr="00620373">
        <w:rPr>
          <w:rFonts w:ascii="Segoe UI" w:hAnsi="Segoe UI" w:cs="Segoe UI"/>
        </w:rPr>
        <w:t xml:space="preserve"> progress against each objective in our Quality Account next year (2019/20).</w:t>
      </w:r>
    </w:p>
    <w:p w:rsidR="00620373" w:rsidRPr="00620373" w:rsidRDefault="00620373" w:rsidP="002F4309">
      <w:pPr>
        <w:spacing w:after="0" w:line="240" w:lineRule="auto"/>
        <w:ind w:left="-426" w:right="-472"/>
        <w:jc w:val="both"/>
        <w:rPr>
          <w:rFonts w:ascii="Segoe UI" w:hAnsi="Segoe UI" w:cs="Segoe UI"/>
        </w:rPr>
      </w:pPr>
    </w:p>
    <w:p w:rsidR="00620373" w:rsidRPr="00620373" w:rsidRDefault="00620373" w:rsidP="002F4309">
      <w:pPr>
        <w:spacing w:after="0" w:line="240" w:lineRule="auto"/>
        <w:ind w:left="-426" w:right="-472"/>
        <w:rPr>
          <w:rFonts w:ascii="Segoe UI" w:hAnsi="Segoe UI" w:cs="Segoe UI"/>
          <w:i/>
        </w:rPr>
      </w:pPr>
      <w:r w:rsidRPr="00620373">
        <w:rPr>
          <w:rFonts w:ascii="Segoe UI" w:hAnsi="Segoe UI" w:cs="Segoe UI"/>
          <w:i/>
        </w:rPr>
        <w:t>Source: OHI and Quality Governance</w:t>
      </w:r>
    </w:p>
    <w:p w:rsidR="00AD0C6F" w:rsidRPr="0059053C" w:rsidRDefault="00AD0C6F" w:rsidP="0059053C">
      <w:pPr>
        <w:spacing w:after="0" w:line="240" w:lineRule="auto"/>
        <w:rPr>
          <w:rFonts w:ascii="Segoe UI" w:hAnsi="Segoe UI" w:cs="Segoe UI"/>
          <w:b/>
        </w:rPr>
      </w:pPr>
    </w:p>
    <w:p w:rsidR="001C589C" w:rsidRPr="002F4309" w:rsidRDefault="001C589C" w:rsidP="002F4309">
      <w:pPr>
        <w:pStyle w:val="ListParagraph"/>
        <w:numPr>
          <w:ilvl w:val="1"/>
          <w:numId w:val="3"/>
        </w:numPr>
        <w:spacing w:after="0" w:line="240" w:lineRule="auto"/>
        <w:ind w:left="0"/>
        <w:rPr>
          <w:rFonts w:ascii="Segoe UI" w:hAnsi="Segoe UI" w:cs="Segoe UI"/>
          <w:b/>
          <w:bCs/>
        </w:rPr>
      </w:pPr>
      <w:r w:rsidRPr="002F4309">
        <w:rPr>
          <w:rFonts w:ascii="Segoe UI" w:hAnsi="Segoe UI" w:cs="Segoe UI"/>
          <w:b/>
          <w:bCs/>
        </w:rPr>
        <w:t>CQUINs</w:t>
      </w:r>
    </w:p>
    <w:p w:rsidR="00C04818" w:rsidRDefault="00C04818" w:rsidP="00C04818">
      <w:pPr>
        <w:spacing w:after="0" w:line="240" w:lineRule="auto"/>
        <w:rPr>
          <w:rFonts w:ascii="Segoe UI" w:hAnsi="Segoe UI" w:cs="Segoe UI"/>
        </w:rPr>
      </w:pPr>
    </w:p>
    <w:p w:rsidR="00741049" w:rsidRPr="00741049" w:rsidRDefault="00741049" w:rsidP="00EB3F5A">
      <w:pPr>
        <w:spacing w:after="0" w:line="240" w:lineRule="auto"/>
        <w:ind w:left="-426" w:right="-472"/>
        <w:jc w:val="both"/>
        <w:rPr>
          <w:rFonts w:ascii="Segoe UI" w:hAnsi="Segoe UI" w:cs="Segoe UI"/>
        </w:rPr>
      </w:pPr>
      <w:r w:rsidRPr="00741049">
        <w:rPr>
          <w:rFonts w:ascii="Segoe UI" w:hAnsi="Segoe UI" w:cs="Segoe UI"/>
        </w:rPr>
        <w:t>Final results for the Trust’s FY19 CQUIN Scheme will not be available until the end of April.  However, provisional results indicate that the Trust met national standards for CQUINs aimed at improving physical healthcare for people with SMIs, preventing ill health by risky behaviours (i.e. smoking and alcohol), improving services for people with mental health needs who present to A&amp;E, reducing Length of Stay in Specialised Mental Health Services, and improving the assessment of wounds in community health.</w:t>
      </w:r>
      <w:r w:rsidR="00EB3F5A">
        <w:rPr>
          <w:rFonts w:ascii="Segoe UI" w:hAnsi="Segoe UI" w:cs="Segoe UI"/>
        </w:rPr>
        <w:t xml:space="preserve"> </w:t>
      </w:r>
      <w:r w:rsidRPr="00741049">
        <w:rPr>
          <w:rFonts w:ascii="Segoe UI" w:hAnsi="Segoe UI" w:cs="Segoe UI"/>
        </w:rPr>
        <w:t>During the year we identified areas where we can strengthen processes and practices to ensure a more effective transition of Children and Young People into Adult mental health services, and we continue to work on these.</w:t>
      </w:r>
    </w:p>
    <w:p w:rsidR="00741049" w:rsidRPr="00741049" w:rsidRDefault="00741049" w:rsidP="002F4309">
      <w:pPr>
        <w:spacing w:after="0" w:line="240" w:lineRule="auto"/>
        <w:ind w:left="-426" w:right="-472"/>
        <w:jc w:val="both"/>
        <w:rPr>
          <w:rFonts w:ascii="Segoe UI" w:hAnsi="Segoe UI" w:cs="Segoe UI"/>
        </w:rPr>
      </w:pPr>
    </w:p>
    <w:p w:rsidR="00340F54" w:rsidRDefault="00741049" w:rsidP="00EB3F5A">
      <w:pPr>
        <w:spacing w:after="0" w:line="240" w:lineRule="auto"/>
        <w:ind w:left="-426" w:right="-472"/>
        <w:jc w:val="both"/>
        <w:rPr>
          <w:rFonts w:ascii="Segoe UI" w:hAnsi="Segoe UI" w:cs="Segoe UI"/>
        </w:rPr>
      </w:pPr>
      <w:r w:rsidRPr="00741049">
        <w:rPr>
          <w:rFonts w:ascii="Segoe UI" w:hAnsi="Segoe UI" w:cs="Segoe UI"/>
        </w:rPr>
        <w:t>We improved our uptake rate for flu vaccinations for front line staff compared to last year, although we failed to meet the challenging national stretch target.  Despite implementing a range of initiatives to improve the health and wellbeing of our staff, we received similar ‘satisfaction’ ratings as last year as measured via the annual staff survey.</w:t>
      </w:r>
    </w:p>
    <w:p w:rsidR="00741049" w:rsidRDefault="00741049" w:rsidP="00340F54">
      <w:pPr>
        <w:spacing w:after="0" w:line="240" w:lineRule="auto"/>
        <w:jc w:val="both"/>
        <w:rPr>
          <w:rFonts w:ascii="Segoe UI" w:hAnsi="Segoe UI" w:cs="Segoe UI"/>
        </w:rPr>
      </w:pPr>
    </w:p>
    <w:p w:rsidR="00340F54" w:rsidRDefault="00340F54" w:rsidP="002F4309">
      <w:pPr>
        <w:spacing w:after="0" w:line="240" w:lineRule="auto"/>
        <w:ind w:left="-426"/>
        <w:jc w:val="both"/>
        <w:rPr>
          <w:rFonts w:ascii="Segoe UI" w:hAnsi="Segoe UI" w:cs="Segoe UI"/>
          <w:i/>
        </w:rPr>
      </w:pPr>
      <w:r w:rsidRPr="00340F54">
        <w:rPr>
          <w:rFonts w:ascii="Segoe UI" w:hAnsi="Segoe UI" w:cs="Segoe UI"/>
          <w:i/>
        </w:rPr>
        <w:t>Source: Service Change &amp; Delivery</w:t>
      </w:r>
    </w:p>
    <w:p w:rsidR="00EB3F5A" w:rsidRPr="00340F54" w:rsidRDefault="00EB3F5A" w:rsidP="002F4309">
      <w:pPr>
        <w:spacing w:after="0" w:line="240" w:lineRule="auto"/>
        <w:ind w:left="-426"/>
        <w:jc w:val="both"/>
        <w:rPr>
          <w:rFonts w:ascii="Segoe UI" w:hAnsi="Segoe UI" w:cs="Segoe UI"/>
          <w:i/>
        </w:rPr>
      </w:pPr>
    </w:p>
    <w:p w:rsidR="001C589C" w:rsidRPr="00CD7D17" w:rsidRDefault="001C589C" w:rsidP="00CD7D17">
      <w:pPr>
        <w:spacing w:after="0" w:line="240" w:lineRule="auto"/>
        <w:rPr>
          <w:rFonts w:ascii="Segoe UI" w:hAnsi="Segoe UI" w:cs="Segoe UI"/>
          <w:b/>
        </w:rPr>
      </w:pPr>
    </w:p>
    <w:p w:rsidR="001C589C" w:rsidRPr="002F4309" w:rsidRDefault="001C589C" w:rsidP="002F4309">
      <w:pPr>
        <w:pStyle w:val="ListParagraph"/>
        <w:numPr>
          <w:ilvl w:val="1"/>
          <w:numId w:val="3"/>
        </w:numPr>
        <w:spacing w:after="0" w:line="240" w:lineRule="auto"/>
        <w:ind w:left="0"/>
        <w:rPr>
          <w:rFonts w:ascii="Segoe UI" w:hAnsi="Segoe UI" w:cs="Segoe UI"/>
          <w:b/>
          <w:bCs/>
        </w:rPr>
      </w:pPr>
      <w:r w:rsidRPr="002F4309">
        <w:rPr>
          <w:rFonts w:ascii="Segoe UI" w:hAnsi="Segoe UI" w:cs="Segoe UI"/>
          <w:b/>
          <w:bCs/>
        </w:rPr>
        <w:t>CQC</w:t>
      </w:r>
    </w:p>
    <w:p w:rsidR="001C589C" w:rsidRDefault="001C589C" w:rsidP="00322AC9">
      <w:pPr>
        <w:pStyle w:val="ListParagraph"/>
        <w:spacing w:after="0" w:line="240" w:lineRule="auto"/>
        <w:ind w:left="375"/>
        <w:rPr>
          <w:rFonts w:ascii="Segoe UI" w:hAnsi="Segoe UI" w:cs="Segoe UI"/>
          <w:b/>
        </w:rPr>
      </w:pPr>
    </w:p>
    <w:p w:rsidR="003237DE" w:rsidRDefault="003237DE" w:rsidP="002F4309">
      <w:pPr>
        <w:spacing w:after="0" w:line="240" w:lineRule="auto"/>
        <w:ind w:left="-426" w:right="-472"/>
        <w:jc w:val="both"/>
        <w:rPr>
          <w:rFonts w:ascii="Segoe UI" w:eastAsia="Calibri" w:hAnsi="Segoe UI" w:cs="Segoe UI"/>
          <w:color w:val="000000"/>
          <w:lang w:val="en-US"/>
        </w:rPr>
      </w:pPr>
      <w:r>
        <w:rPr>
          <w:rFonts w:ascii="Segoe UI" w:eastAsia="Calibri" w:hAnsi="Segoe UI" w:cs="Segoe UI"/>
          <w:color w:val="000000"/>
          <w:lang w:val="en-US"/>
        </w:rPr>
        <w:t>The Trust</w:t>
      </w:r>
      <w:r w:rsidRPr="003237DE">
        <w:rPr>
          <w:rFonts w:ascii="Segoe UI" w:eastAsia="Calibri" w:hAnsi="Segoe UI" w:cs="Segoe UI"/>
          <w:color w:val="000000"/>
          <w:lang w:val="en-US"/>
        </w:rPr>
        <w:t xml:space="preserve"> is required to register with the C</w:t>
      </w:r>
      <w:r>
        <w:rPr>
          <w:rFonts w:ascii="Segoe UI" w:eastAsia="Calibri" w:hAnsi="Segoe UI" w:cs="Segoe UI"/>
          <w:color w:val="000000"/>
          <w:lang w:val="en-US"/>
        </w:rPr>
        <w:t>QC</w:t>
      </w:r>
      <w:r w:rsidRPr="003237DE">
        <w:rPr>
          <w:rFonts w:ascii="Segoe UI" w:eastAsia="Calibri" w:hAnsi="Segoe UI" w:cs="Segoe UI"/>
          <w:color w:val="000000"/>
          <w:lang w:val="en-US"/>
        </w:rPr>
        <w:t xml:space="preserve"> </w:t>
      </w:r>
      <w:r>
        <w:rPr>
          <w:rFonts w:ascii="Segoe UI" w:eastAsia="Calibri" w:hAnsi="Segoe UI" w:cs="Segoe UI"/>
          <w:color w:val="000000"/>
          <w:lang w:val="en-US"/>
        </w:rPr>
        <w:t>– the Trust’s</w:t>
      </w:r>
      <w:r w:rsidRPr="003237DE">
        <w:rPr>
          <w:rFonts w:ascii="Segoe UI" w:eastAsia="Calibri" w:hAnsi="Segoe UI" w:cs="Segoe UI"/>
          <w:color w:val="000000"/>
          <w:lang w:val="en-US"/>
        </w:rPr>
        <w:t xml:space="preserve"> current registration status is registered with no conditions. The C</w:t>
      </w:r>
      <w:r>
        <w:rPr>
          <w:rFonts w:ascii="Segoe UI" w:eastAsia="Calibri" w:hAnsi="Segoe UI" w:cs="Segoe UI"/>
          <w:color w:val="000000"/>
          <w:lang w:val="en-US"/>
        </w:rPr>
        <w:t>QC</w:t>
      </w:r>
      <w:r w:rsidRPr="003237DE">
        <w:rPr>
          <w:rFonts w:ascii="Segoe UI" w:eastAsia="Calibri" w:hAnsi="Segoe UI" w:cs="Segoe UI"/>
          <w:color w:val="000000"/>
          <w:lang w:val="en-US"/>
        </w:rPr>
        <w:t xml:space="preserve"> has not taken enforcement action against OHFT during 2018/19, although following the well-led inspection mentioned below the </w:t>
      </w:r>
      <w:r>
        <w:rPr>
          <w:rFonts w:ascii="Segoe UI" w:eastAsia="Calibri" w:hAnsi="Segoe UI" w:cs="Segoe UI"/>
          <w:color w:val="000000"/>
          <w:lang w:val="en-US"/>
        </w:rPr>
        <w:t xml:space="preserve">regulator </w:t>
      </w:r>
      <w:r w:rsidRPr="003237DE">
        <w:rPr>
          <w:rFonts w:ascii="Segoe UI" w:eastAsia="Calibri" w:hAnsi="Segoe UI" w:cs="Segoe UI"/>
          <w:color w:val="000000"/>
          <w:lang w:val="en-US"/>
        </w:rPr>
        <w:t xml:space="preserve">issued requirement notices. </w:t>
      </w:r>
    </w:p>
    <w:p w:rsidR="003237DE" w:rsidRPr="003237DE" w:rsidRDefault="003237DE" w:rsidP="002F4309">
      <w:pPr>
        <w:spacing w:after="0" w:line="240" w:lineRule="auto"/>
        <w:ind w:left="-426" w:right="-472"/>
        <w:jc w:val="both"/>
        <w:rPr>
          <w:rFonts w:ascii="Segoe UI" w:eastAsia="Calibri" w:hAnsi="Segoe UI" w:cs="Segoe UI"/>
          <w:color w:val="000000"/>
          <w:lang w:val="en-US"/>
        </w:rPr>
      </w:pPr>
    </w:p>
    <w:p w:rsidR="003237DE" w:rsidRPr="003237DE" w:rsidRDefault="003237DE" w:rsidP="002F4309">
      <w:pPr>
        <w:ind w:left="-426" w:right="-472"/>
        <w:jc w:val="both"/>
        <w:rPr>
          <w:rFonts w:ascii="Segoe UI" w:hAnsi="Segoe UI" w:cs="Segoe UI"/>
        </w:rPr>
      </w:pPr>
      <w:r w:rsidRPr="003237DE">
        <w:rPr>
          <w:rFonts w:ascii="Segoe UI" w:hAnsi="Segoe UI" w:cs="Segoe UI"/>
        </w:rPr>
        <w:t xml:space="preserve">The Trust’s </w:t>
      </w:r>
      <w:r>
        <w:rPr>
          <w:rFonts w:ascii="Segoe UI" w:hAnsi="Segoe UI" w:cs="Segoe UI"/>
        </w:rPr>
        <w:t xml:space="preserve">current </w:t>
      </w:r>
      <w:r w:rsidRPr="003237DE">
        <w:rPr>
          <w:rFonts w:ascii="Segoe UI" w:hAnsi="Segoe UI" w:cs="Segoe UI"/>
        </w:rPr>
        <w:t xml:space="preserve">‘Good’ CQC rating (2018) </w:t>
      </w:r>
      <w:r>
        <w:rPr>
          <w:rFonts w:ascii="Segoe UI" w:hAnsi="Segoe UI" w:cs="Segoe UI"/>
        </w:rPr>
        <w:t>is</w:t>
      </w:r>
      <w:r w:rsidRPr="003237DE">
        <w:rPr>
          <w:rFonts w:ascii="Segoe UI" w:hAnsi="Segoe UI" w:cs="Segoe UI"/>
        </w:rPr>
        <w:t xml:space="preserve">, to a significant degree, the result of the innovation of OHFT staff and we now have the aim of embedding ‘Good’ to achieve ‘Outstanding. A key forum for improvement is the Trust-wide </w:t>
      </w:r>
      <w:r w:rsidRPr="003237DE">
        <w:rPr>
          <w:rFonts w:ascii="Segoe UI" w:hAnsi="Segoe UI" w:cs="Segoe UI"/>
          <w:i/>
        </w:rPr>
        <w:t>Improving Care: 5 questions (IC5)</w:t>
      </w:r>
      <w:r w:rsidRPr="003237DE">
        <w:rPr>
          <w:rFonts w:ascii="Segoe UI" w:hAnsi="Segoe UI" w:cs="Segoe UI"/>
        </w:rPr>
        <w:t xml:space="preserve"> group. Th</w:t>
      </w:r>
      <w:r>
        <w:rPr>
          <w:rFonts w:ascii="Segoe UI" w:hAnsi="Segoe UI" w:cs="Segoe UI"/>
        </w:rPr>
        <w:t>e IC5 group</w:t>
      </w:r>
      <w:r w:rsidRPr="003237DE">
        <w:rPr>
          <w:rFonts w:ascii="Segoe UI" w:hAnsi="Segoe UI" w:cs="Segoe UI"/>
        </w:rPr>
        <w:t xml:space="preserve"> meets monthly and oversees the implementation of actions from CQC inspections, testing the effectiveness of actions, leading the peer review programme, promoting the learning of good practice, and identifying areas for improvement against national quality standards.</w:t>
      </w:r>
    </w:p>
    <w:p w:rsidR="003237DE" w:rsidRPr="003237DE" w:rsidRDefault="003237DE" w:rsidP="002F4309">
      <w:pPr>
        <w:spacing w:after="0" w:line="240" w:lineRule="auto"/>
        <w:ind w:left="-426" w:right="-472"/>
        <w:jc w:val="both"/>
        <w:rPr>
          <w:rFonts w:ascii="Segoe UI" w:hAnsi="Segoe UI" w:cs="Segoe UI"/>
        </w:rPr>
      </w:pPr>
      <w:r w:rsidRPr="003237DE">
        <w:rPr>
          <w:rFonts w:ascii="Segoe UI" w:hAnsi="Segoe UI" w:cs="Segoe UI"/>
        </w:rPr>
        <w:t>OHFT participated in a routine well-led inspection by the C</w:t>
      </w:r>
      <w:r w:rsidRPr="00EE34C1">
        <w:rPr>
          <w:rFonts w:ascii="Segoe UI" w:hAnsi="Segoe UI" w:cs="Segoe UI"/>
        </w:rPr>
        <w:t>QC</w:t>
      </w:r>
      <w:r w:rsidRPr="003237DE">
        <w:rPr>
          <w:rFonts w:ascii="Segoe UI" w:hAnsi="Segoe UI" w:cs="Segoe UI"/>
        </w:rPr>
        <w:t xml:space="preserve"> covering the whole Trust during 2018/19. The inspection took place over March and April 2018, with results published in August 2018. The Trust maintained </w:t>
      </w:r>
      <w:r w:rsidRPr="00EE34C1">
        <w:rPr>
          <w:rFonts w:ascii="Segoe UI" w:hAnsi="Segoe UI" w:cs="Segoe UI"/>
        </w:rPr>
        <w:t>its</w:t>
      </w:r>
      <w:r w:rsidRPr="003237DE">
        <w:rPr>
          <w:rFonts w:ascii="Segoe UI" w:hAnsi="Segoe UI" w:cs="Segoe UI"/>
        </w:rPr>
        <w:t xml:space="preserve"> previous quality rating of </w:t>
      </w:r>
      <w:r w:rsidRPr="00EE34C1">
        <w:rPr>
          <w:rFonts w:ascii="Segoe UI" w:hAnsi="Segoe UI" w:cs="Segoe UI"/>
        </w:rPr>
        <w:t>‘</w:t>
      </w:r>
      <w:r w:rsidRPr="003237DE">
        <w:rPr>
          <w:rFonts w:ascii="Segoe UI" w:hAnsi="Segoe UI" w:cs="Segoe UI"/>
        </w:rPr>
        <w:t>Good</w:t>
      </w:r>
      <w:r w:rsidRPr="00EE34C1">
        <w:rPr>
          <w:rFonts w:ascii="Segoe UI" w:hAnsi="Segoe UI" w:cs="Segoe UI"/>
        </w:rPr>
        <w:t>’</w:t>
      </w:r>
      <w:r w:rsidRPr="003237DE">
        <w:rPr>
          <w:rFonts w:ascii="Segoe UI" w:hAnsi="Segoe UI" w:cs="Segoe UI"/>
        </w:rPr>
        <w:t xml:space="preserve"> and identified actions to address areas for improvement. Seven requirement notices were issued by the C</w:t>
      </w:r>
      <w:r w:rsidRPr="00EE34C1">
        <w:rPr>
          <w:rFonts w:ascii="Segoe UI" w:hAnsi="Segoe UI" w:cs="Segoe UI"/>
        </w:rPr>
        <w:t>QC</w:t>
      </w:r>
      <w:r w:rsidRPr="003237DE">
        <w:rPr>
          <w:rFonts w:ascii="Segoe UI" w:hAnsi="Segoe UI" w:cs="Segoe UI"/>
        </w:rPr>
        <w:t xml:space="preserve"> f</w:t>
      </w:r>
      <w:r w:rsidRPr="00EE34C1">
        <w:rPr>
          <w:rFonts w:ascii="Segoe UI" w:hAnsi="Segoe UI" w:cs="Segoe UI"/>
        </w:rPr>
        <w:t>ollowing the</w:t>
      </w:r>
      <w:r w:rsidRPr="003237DE">
        <w:rPr>
          <w:rFonts w:ascii="Segoe UI" w:hAnsi="Segoe UI" w:cs="Segoe UI"/>
        </w:rPr>
        <w:t xml:space="preserve"> inspection</w:t>
      </w:r>
      <w:r w:rsidRPr="00EE34C1">
        <w:rPr>
          <w:rFonts w:ascii="Segoe UI" w:hAnsi="Segoe UI" w:cs="Segoe UI"/>
        </w:rPr>
        <w:t xml:space="preserve"> – the Trust is addressing these through and action plan.</w:t>
      </w:r>
      <w:r w:rsidRPr="003237DE">
        <w:rPr>
          <w:rFonts w:ascii="Segoe UI" w:hAnsi="Segoe UI" w:cs="Segoe UI"/>
        </w:rPr>
        <w:t xml:space="preserve"> So far</w:t>
      </w:r>
      <w:r w:rsidRPr="00EE34C1">
        <w:rPr>
          <w:rFonts w:ascii="Segoe UI" w:hAnsi="Segoe UI" w:cs="Segoe UI"/>
        </w:rPr>
        <w:t>,</w:t>
      </w:r>
      <w:r w:rsidRPr="003237DE">
        <w:rPr>
          <w:rFonts w:ascii="Segoe UI" w:hAnsi="Segoe UI" w:cs="Segoe UI"/>
        </w:rPr>
        <w:t xml:space="preserve"> </w:t>
      </w:r>
      <w:r w:rsidRPr="00EE34C1">
        <w:rPr>
          <w:rFonts w:ascii="Segoe UI" w:hAnsi="Segoe UI" w:cs="Segoe UI"/>
        </w:rPr>
        <w:t>ten (of the eighteen)</w:t>
      </w:r>
      <w:r w:rsidRPr="003237DE">
        <w:rPr>
          <w:rFonts w:ascii="Segoe UI" w:hAnsi="Segoe UI" w:cs="Segoe UI"/>
        </w:rPr>
        <w:t xml:space="preserve"> actions have been completed </w:t>
      </w:r>
      <w:r w:rsidRPr="00EE34C1">
        <w:rPr>
          <w:rFonts w:ascii="Segoe UI" w:hAnsi="Segoe UI" w:cs="Segoe UI"/>
        </w:rPr>
        <w:t>with the remaining eight</w:t>
      </w:r>
      <w:r w:rsidRPr="003237DE">
        <w:rPr>
          <w:rFonts w:ascii="Segoe UI" w:hAnsi="Segoe UI" w:cs="Segoe UI"/>
        </w:rPr>
        <w:t xml:space="preserve"> actions in progress. An update on the progress </w:t>
      </w:r>
      <w:r w:rsidRPr="00EE34C1">
        <w:rPr>
          <w:rFonts w:ascii="Segoe UI" w:hAnsi="Segoe UI" w:cs="Segoe UI"/>
        </w:rPr>
        <w:t>of</w:t>
      </w:r>
      <w:r w:rsidRPr="003237DE">
        <w:rPr>
          <w:rFonts w:ascii="Segoe UI" w:hAnsi="Segoe UI" w:cs="Segoe UI"/>
        </w:rPr>
        <w:t xml:space="preserve"> all actions is reported to the Executive Team monthly. The full results of the inspection are available at </w:t>
      </w:r>
      <w:hyperlink r:id="rId10" w:history="1">
        <w:r w:rsidRPr="003237DE">
          <w:rPr>
            <w:rFonts w:ascii="Segoe UI" w:hAnsi="Segoe UI" w:cs="Segoe UI"/>
          </w:rPr>
          <w:t>http://www.cqc.org.uk/provider/RNU</w:t>
        </w:r>
      </w:hyperlink>
    </w:p>
    <w:p w:rsidR="003237DE" w:rsidRPr="003237DE" w:rsidRDefault="003237DE" w:rsidP="002F4309">
      <w:pPr>
        <w:spacing w:after="0" w:line="240" w:lineRule="auto"/>
        <w:ind w:left="-426" w:right="-472"/>
        <w:jc w:val="both"/>
        <w:rPr>
          <w:rFonts w:ascii="Segoe UI" w:hAnsi="Segoe UI" w:cs="Segoe UI"/>
        </w:rPr>
      </w:pPr>
    </w:p>
    <w:p w:rsidR="003237DE" w:rsidRPr="003237DE" w:rsidRDefault="003237DE" w:rsidP="002F4309">
      <w:pPr>
        <w:spacing w:after="0" w:line="240" w:lineRule="auto"/>
        <w:ind w:left="-426" w:right="-472"/>
        <w:jc w:val="both"/>
        <w:rPr>
          <w:rFonts w:ascii="Segoe UI" w:hAnsi="Segoe UI" w:cs="Segoe UI"/>
        </w:rPr>
      </w:pPr>
      <w:r w:rsidRPr="003237DE">
        <w:rPr>
          <w:rFonts w:ascii="Segoe UI" w:hAnsi="Segoe UI" w:cs="Segoe UI"/>
        </w:rPr>
        <w:t>In November 2018</w:t>
      </w:r>
      <w:r w:rsidRPr="00EE34C1">
        <w:rPr>
          <w:rFonts w:ascii="Segoe UI" w:hAnsi="Segoe UI" w:cs="Segoe UI"/>
        </w:rPr>
        <w:t>,</w:t>
      </w:r>
      <w:r w:rsidRPr="003237DE">
        <w:rPr>
          <w:rFonts w:ascii="Segoe UI" w:hAnsi="Segoe UI" w:cs="Segoe UI"/>
        </w:rPr>
        <w:t xml:space="preserve"> OHFT was involved in a follow-up local system review in Oxfordshire to look at how health and social care providers and commissioners are working together to provide physical healthcare for people aged 65 and older. Oxfordshire was one of 20 local area systems selected to be part of the review. Details of the outcome of the original review in 2017 and follow-up review in 2018 can be found at </w:t>
      </w:r>
      <w:hyperlink r:id="rId11" w:history="1">
        <w:r w:rsidRPr="003237DE">
          <w:rPr>
            <w:rFonts w:ascii="Segoe UI" w:hAnsi="Segoe UI" w:cs="Segoe UI"/>
          </w:rPr>
          <w:t>https://www.cqc.org.uk/local-systems-review</w:t>
        </w:r>
      </w:hyperlink>
      <w:r w:rsidRPr="003237DE">
        <w:rPr>
          <w:rFonts w:ascii="Segoe UI" w:hAnsi="Segoe UI" w:cs="Segoe UI"/>
        </w:rPr>
        <w:t>.  The C</w:t>
      </w:r>
      <w:r w:rsidR="00CB22DF" w:rsidRPr="00EE34C1">
        <w:rPr>
          <w:rFonts w:ascii="Segoe UI" w:hAnsi="Segoe UI" w:cs="Segoe UI"/>
        </w:rPr>
        <w:t>QC</w:t>
      </w:r>
      <w:r w:rsidRPr="003237DE">
        <w:rPr>
          <w:rFonts w:ascii="Segoe UI" w:hAnsi="Segoe UI" w:cs="Segoe UI"/>
        </w:rPr>
        <w:t xml:space="preserve"> said they saw improvements, felt good foundations are in place and that the system is committed to making changes. The key areas identified for further improvement across the system are</w:t>
      </w:r>
      <w:r w:rsidR="00EE34C1">
        <w:rPr>
          <w:rFonts w:ascii="Segoe UI" w:hAnsi="Segoe UI" w:cs="Segoe UI"/>
        </w:rPr>
        <w:t>:</w:t>
      </w:r>
    </w:p>
    <w:p w:rsidR="003237DE" w:rsidRPr="003237DE" w:rsidRDefault="003237DE" w:rsidP="003237DE">
      <w:pPr>
        <w:spacing w:after="0" w:line="240" w:lineRule="auto"/>
        <w:jc w:val="both"/>
        <w:rPr>
          <w:rFonts w:ascii="Segoe UI" w:eastAsia="Calibri" w:hAnsi="Segoe UI" w:cs="Segoe UI"/>
          <w:color w:val="000000"/>
        </w:rPr>
      </w:pP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Finalising the refreshed Older Person’s Strategy and implementing this at pace</w:t>
      </w:r>
      <w:r w:rsidR="00F67ED0">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Better engagement with independent providers to help develop the social care market</w:t>
      </w:r>
      <w:r w:rsidR="00CB22DF">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Implementing a joint workforce strategy across organisations</w:t>
      </w:r>
      <w:r w:rsidR="00CB22DF">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Developing work on identifying and supporting carers</w:t>
      </w:r>
      <w:r w:rsidR="00CB22DF">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Support for self-funders – brokerage service and information</w:t>
      </w:r>
      <w:r w:rsidR="00CB22DF">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Continue with work to make cultural changes at senior and frontline levels to better support integrated working</w:t>
      </w:r>
      <w:r w:rsidR="00CB22DF">
        <w:rPr>
          <w:rFonts w:ascii="Segoe UI" w:eastAsia="Calibri" w:hAnsi="Segoe UI" w:cs="Segoe UI"/>
          <w:color w:val="000000"/>
        </w:rPr>
        <w:t>;</w:t>
      </w:r>
    </w:p>
    <w:p w:rsidR="003237DE" w:rsidRPr="003237DE" w:rsidRDefault="003237DE" w:rsidP="00EB3F5A">
      <w:pPr>
        <w:numPr>
          <w:ilvl w:val="0"/>
          <w:numId w:val="24"/>
        </w:numPr>
        <w:spacing w:after="0" w:line="240" w:lineRule="auto"/>
        <w:ind w:left="284"/>
        <w:contextualSpacing/>
        <w:jc w:val="both"/>
        <w:rPr>
          <w:rFonts w:ascii="Segoe UI" w:eastAsia="Calibri" w:hAnsi="Segoe UI" w:cs="Segoe UI"/>
          <w:color w:val="000000"/>
        </w:rPr>
      </w:pPr>
      <w:r w:rsidRPr="003237DE">
        <w:rPr>
          <w:rFonts w:ascii="Segoe UI" w:eastAsia="Calibri" w:hAnsi="Segoe UI" w:cs="Segoe UI"/>
          <w:color w:val="000000"/>
        </w:rPr>
        <w:t>Review of commissioned care pathways</w:t>
      </w:r>
      <w:r w:rsidR="00CB22DF">
        <w:rPr>
          <w:rFonts w:ascii="Segoe UI" w:eastAsia="Calibri" w:hAnsi="Segoe UI" w:cs="Segoe UI"/>
          <w:color w:val="000000"/>
        </w:rPr>
        <w:t>.</w:t>
      </w:r>
    </w:p>
    <w:p w:rsidR="003237DE" w:rsidRPr="003237DE" w:rsidRDefault="003237DE" w:rsidP="003237DE">
      <w:pPr>
        <w:spacing w:after="0" w:line="240" w:lineRule="auto"/>
        <w:jc w:val="both"/>
        <w:rPr>
          <w:rFonts w:ascii="Segoe UI" w:eastAsia="Calibri" w:hAnsi="Segoe UI" w:cs="Segoe UI"/>
        </w:rPr>
      </w:pPr>
    </w:p>
    <w:p w:rsidR="003237DE" w:rsidRPr="003237DE" w:rsidRDefault="003237DE" w:rsidP="002F4309">
      <w:pPr>
        <w:spacing w:after="0" w:line="240" w:lineRule="auto"/>
        <w:ind w:left="-426" w:right="-472"/>
        <w:jc w:val="both"/>
        <w:rPr>
          <w:rFonts w:ascii="Segoe UI" w:eastAsia="Calibri" w:hAnsi="Segoe UI" w:cs="Segoe UI"/>
          <w:color w:val="000000"/>
        </w:rPr>
      </w:pPr>
      <w:r w:rsidRPr="003237DE">
        <w:rPr>
          <w:rFonts w:ascii="Segoe UI" w:eastAsia="Calibri" w:hAnsi="Segoe UI" w:cs="Segoe UI"/>
          <w:color w:val="000000"/>
        </w:rPr>
        <w:t>The C</w:t>
      </w:r>
      <w:r w:rsidR="00CB22DF">
        <w:rPr>
          <w:rFonts w:ascii="Segoe UI" w:eastAsia="Calibri" w:hAnsi="Segoe UI" w:cs="Segoe UI"/>
          <w:color w:val="000000"/>
        </w:rPr>
        <w:t>QC</w:t>
      </w:r>
      <w:r w:rsidRPr="003237DE">
        <w:rPr>
          <w:rFonts w:ascii="Segoe UI" w:eastAsia="Calibri" w:hAnsi="Segoe UI" w:cs="Segoe UI"/>
          <w:color w:val="000000"/>
        </w:rPr>
        <w:t xml:space="preserve"> started a national thematic review in December 2018 on the use of restraint, seclusion and segregation for people with mental health problems, a learning disability or autism. As part of an initial phase OHFT has provided information to support the review. Further details about the review can be found at </w:t>
      </w:r>
      <w:hyperlink r:id="rId12" w:history="1">
        <w:r w:rsidRPr="003237DE">
          <w:rPr>
            <w:rFonts w:ascii="Segoe UI" w:eastAsia="Calibri" w:hAnsi="Segoe UI" w:cs="Segoe UI"/>
            <w:color w:val="000000"/>
            <w:u w:val="single"/>
          </w:rPr>
          <w:t>https://www.cqc.org.uk/news/stories/cqc-review-use-restraint-prolonged-seclusion-segregation-people-mental-health-problems</w:t>
        </w:r>
      </w:hyperlink>
    </w:p>
    <w:p w:rsidR="0093101D" w:rsidRDefault="0093101D" w:rsidP="002F4309">
      <w:pPr>
        <w:spacing w:after="0" w:line="240" w:lineRule="auto"/>
        <w:ind w:left="-426" w:right="-472"/>
        <w:jc w:val="both"/>
        <w:rPr>
          <w:rFonts w:ascii="Segoe UI" w:hAnsi="Segoe UI" w:cs="Segoe UI"/>
        </w:rPr>
      </w:pPr>
    </w:p>
    <w:p w:rsidR="0093101D" w:rsidRPr="0093101D" w:rsidRDefault="0093101D" w:rsidP="002F4309">
      <w:pPr>
        <w:spacing w:after="0" w:line="240" w:lineRule="auto"/>
        <w:ind w:left="-426" w:right="-472"/>
        <w:rPr>
          <w:rFonts w:ascii="Segoe UI" w:hAnsi="Segoe UI" w:cs="Segoe UI"/>
          <w:i/>
        </w:rPr>
      </w:pPr>
      <w:r w:rsidRPr="0093101D">
        <w:rPr>
          <w:rFonts w:ascii="Segoe UI" w:hAnsi="Segoe UI" w:cs="Segoe UI"/>
          <w:i/>
        </w:rPr>
        <w:t>Source: Quality Governance</w:t>
      </w:r>
    </w:p>
    <w:p w:rsidR="001C589C" w:rsidRPr="0059053C" w:rsidRDefault="001C589C" w:rsidP="0059053C">
      <w:pPr>
        <w:spacing w:after="0" w:line="240" w:lineRule="auto"/>
        <w:rPr>
          <w:rFonts w:ascii="Segoe UI" w:hAnsi="Segoe UI" w:cs="Segoe UI"/>
          <w:b/>
        </w:rPr>
      </w:pPr>
    </w:p>
    <w:p w:rsidR="001C589C" w:rsidRPr="002F4309" w:rsidRDefault="001C589C" w:rsidP="00914AA7">
      <w:pPr>
        <w:pStyle w:val="ListParagraph"/>
        <w:numPr>
          <w:ilvl w:val="1"/>
          <w:numId w:val="3"/>
        </w:numPr>
        <w:spacing w:after="0" w:line="240" w:lineRule="auto"/>
        <w:ind w:left="0"/>
        <w:rPr>
          <w:rFonts w:ascii="Segoe UI" w:hAnsi="Segoe UI" w:cs="Segoe UI"/>
          <w:b/>
          <w:bCs/>
        </w:rPr>
      </w:pPr>
      <w:r w:rsidRPr="002F4309">
        <w:rPr>
          <w:rFonts w:ascii="Segoe UI" w:hAnsi="Segoe UI" w:cs="Segoe UI"/>
          <w:b/>
          <w:bCs/>
        </w:rPr>
        <w:t>Quality Metrics</w:t>
      </w:r>
    </w:p>
    <w:p w:rsidR="001C589C" w:rsidRDefault="001C589C" w:rsidP="00322AC9">
      <w:pPr>
        <w:pStyle w:val="ListParagraph"/>
        <w:spacing w:after="0" w:line="240" w:lineRule="auto"/>
        <w:ind w:left="375"/>
        <w:rPr>
          <w:rFonts w:ascii="Segoe UI" w:hAnsi="Segoe UI" w:cs="Segoe UI"/>
          <w:b/>
        </w:rPr>
      </w:pPr>
    </w:p>
    <w:p w:rsidR="0053347F" w:rsidRDefault="0053347F" w:rsidP="002F4309">
      <w:pPr>
        <w:spacing w:after="0" w:line="240" w:lineRule="auto"/>
        <w:ind w:left="-426" w:right="-330"/>
        <w:jc w:val="both"/>
        <w:rPr>
          <w:rFonts w:ascii="Segoe UI" w:hAnsi="Segoe UI" w:cs="Segoe UI"/>
        </w:rPr>
      </w:pPr>
      <w:r w:rsidRPr="0053347F">
        <w:rPr>
          <w:rFonts w:ascii="Segoe UI" w:hAnsi="Segoe UI" w:cs="Segoe UI"/>
        </w:rPr>
        <w:t>Currently</w:t>
      </w:r>
      <w:r>
        <w:rPr>
          <w:rFonts w:ascii="Segoe UI" w:hAnsi="Segoe UI" w:cs="Segoe UI"/>
        </w:rPr>
        <w:t>,</w:t>
      </w:r>
      <w:r w:rsidRPr="0053347F">
        <w:rPr>
          <w:rFonts w:ascii="Segoe UI" w:hAnsi="Segoe UI" w:cs="Segoe UI"/>
        </w:rPr>
        <w:t xml:space="preserve"> information to support quality improvement is held in multiple systems, relying on manually pulling this</w:t>
      </w:r>
      <w:r>
        <w:rPr>
          <w:rFonts w:ascii="Segoe UI" w:hAnsi="Segoe UI" w:cs="Segoe UI"/>
        </w:rPr>
        <w:t xml:space="preserve"> work</w:t>
      </w:r>
      <w:r w:rsidRPr="0053347F">
        <w:rPr>
          <w:rFonts w:ascii="Segoe UI" w:hAnsi="Segoe UI" w:cs="Segoe UI"/>
        </w:rPr>
        <w:t xml:space="preserve"> together. Work has started to develop and implement an advanced business intelligence platform to automate and visualise the triangulation of information for managers and leaders to identify and monitor quality improvements. An automated solution will</w:t>
      </w:r>
      <w:r>
        <w:rPr>
          <w:rFonts w:ascii="Segoe UI" w:hAnsi="Segoe UI" w:cs="Segoe UI"/>
        </w:rPr>
        <w:t>:</w:t>
      </w:r>
      <w:r w:rsidRPr="0053347F">
        <w:rPr>
          <w:rFonts w:ascii="Segoe UI" w:hAnsi="Segoe UI" w:cs="Segoe UI"/>
        </w:rPr>
        <w:t xml:space="preserve"> </w:t>
      </w:r>
    </w:p>
    <w:p w:rsidR="0053347F" w:rsidRPr="0053347F" w:rsidRDefault="0053347F" w:rsidP="002F4309">
      <w:pPr>
        <w:pStyle w:val="ListParagraph"/>
        <w:numPr>
          <w:ilvl w:val="0"/>
          <w:numId w:val="25"/>
        </w:numPr>
        <w:spacing w:after="0" w:line="240" w:lineRule="auto"/>
        <w:ind w:left="0" w:right="-330"/>
        <w:jc w:val="both"/>
        <w:rPr>
          <w:rFonts w:ascii="Segoe UI" w:hAnsi="Segoe UI" w:cs="Segoe UI"/>
        </w:rPr>
      </w:pPr>
      <w:r w:rsidRPr="0053347F">
        <w:rPr>
          <w:rFonts w:ascii="Segoe UI" w:hAnsi="Segoe UI" w:cs="Segoe UI"/>
        </w:rPr>
        <w:t>improve accuracy</w:t>
      </w:r>
      <w:r>
        <w:rPr>
          <w:rFonts w:ascii="Segoe UI" w:hAnsi="Segoe UI" w:cs="Segoe UI"/>
        </w:rPr>
        <w:t>;</w:t>
      </w:r>
    </w:p>
    <w:p w:rsidR="0053347F" w:rsidRPr="0053347F" w:rsidRDefault="0053347F" w:rsidP="002F4309">
      <w:pPr>
        <w:pStyle w:val="ListParagraph"/>
        <w:numPr>
          <w:ilvl w:val="0"/>
          <w:numId w:val="25"/>
        </w:numPr>
        <w:spacing w:after="0" w:line="240" w:lineRule="auto"/>
        <w:ind w:left="0" w:right="-330"/>
        <w:jc w:val="both"/>
        <w:rPr>
          <w:rFonts w:ascii="Segoe UI" w:hAnsi="Segoe UI" w:cs="Segoe UI"/>
        </w:rPr>
      </w:pPr>
      <w:r w:rsidRPr="0053347F">
        <w:rPr>
          <w:rFonts w:ascii="Segoe UI" w:hAnsi="Segoe UI" w:cs="Segoe UI"/>
        </w:rPr>
        <w:lastRenderedPageBreak/>
        <w:t>analysis would be more sophisticated</w:t>
      </w:r>
      <w:r>
        <w:rPr>
          <w:rFonts w:ascii="Segoe UI" w:hAnsi="Segoe UI" w:cs="Segoe UI"/>
        </w:rPr>
        <w:t>;</w:t>
      </w:r>
    </w:p>
    <w:p w:rsidR="0053347F" w:rsidRPr="0053347F" w:rsidRDefault="0053347F" w:rsidP="002F4309">
      <w:pPr>
        <w:pStyle w:val="ListParagraph"/>
        <w:numPr>
          <w:ilvl w:val="0"/>
          <w:numId w:val="25"/>
        </w:numPr>
        <w:spacing w:after="0" w:line="240" w:lineRule="auto"/>
        <w:ind w:left="0" w:right="-330"/>
        <w:jc w:val="both"/>
        <w:rPr>
          <w:rFonts w:ascii="Segoe UI" w:hAnsi="Segoe UI" w:cs="Segoe UI"/>
        </w:rPr>
      </w:pPr>
      <w:r w:rsidRPr="0053347F">
        <w:rPr>
          <w:rFonts w:ascii="Segoe UI" w:hAnsi="Segoe UI" w:cs="Segoe UI"/>
        </w:rPr>
        <w:t>triangulated information will be available at all times, and</w:t>
      </w:r>
      <w:r>
        <w:rPr>
          <w:rFonts w:ascii="Segoe UI" w:hAnsi="Segoe UI" w:cs="Segoe UI"/>
        </w:rPr>
        <w:t>;</w:t>
      </w:r>
    </w:p>
    <w:p w:rsidR="0053347F" w:rsidRPr="0053347F" w:rsidRDefault="0053347F" w:rsidP="002F4309">
      <w:pPr>
        <w:pStyle w:val="ListParagraph"/>
        <w:numPr>
          <w:ilvl w:val="0"/>
          <w:numId w:val="25"/>
        </w:numPr>
        <w:spacing w:after="0" w:line="240" w:lineRule="auto"/>
        <w:ind w:left="0" w:right="-330"/>
        <w:jc w:val="both"/>
        <w:rPr>
          <w:rFonts w:ascii="Segoe UI" w:hAnsi="Segoe UI" w:cs="Segoe UI"/>
        </w:rPr>
      </w:pPr>
      <w:r w:rsidRPr="0053347F">
        <w:rPr>
          <w:rFonts w:ascii="Segoe UI" w:hAnsi="Segoe UI" w:cs="Segoe UI"/>
        </w:rPr>
        <w:t xml:space="preserve">a wider audience will be able to access the platform. </w:t>
      </w:r>
    </w:p>
    <w:p w:rsidR="0053347F" w:rsidRDefault="0053347F" w:rsidP="002F4309">
      <w:pPr>
        <w:spacing w:after="0" w:line="240" w:lineRule="auto"/>
        <w:ind w:left="-426" w:right="-330"/>
        <w:jc w:val="both"/>
        <w:rPr>
          <w:rFonts w:ascii="Segoe UI" w:hAnsi="Segoe UI" w:cs="Segoe UI"/>
        </w:rPr>
      </w:pPr>
    </w:p>
    <w:p w:rsidR="00F15BED" w:rsidRDefault="0053347F" w:rsidP="002F4309">
      <w:pPr>
        <w:spacing w:after="0" w:line="240" w:lineRule="auto"/>
        <w:ind w:left="-426" w:right="-330"/>
        <w:jc w:val="both"/>
        <w:rPr>
          <w:rFonts w:ascii="Segoe UI" w:hAnsi="Segoe UI" w:cs="Segoe UI"/>
        </w:rPr>
      </w:pPr>
      <w:r w:rsidRPr="0053347F">
        <w:rPr>
          <w:rFonts w:ascii="Segoe UI" w:hAnsi="Segoe UI" w:cs="Segoe UI"/>
        </w:rPr>
        <w:t>An interim solution with some basic measures across different systems at a service level has been introduced in 2018/1, with the longer-term plan to introduce a new intelligence platform in 2019 in which information can be drilled down to team, patient and staff. Training will be rolled out with the platform to improve how leaders interpret trends and variations in quality over time to direct improvement work.</w:t>
      </w:r>
    </w:p>
    <w:p w:rsidR="0093101D" w:rsidRDefault="0093101D" w:rsidP="002F4309">
      <w:pPr>
        <w:spacing w:after="0" w:line="240" w:lineRule="auto"/>
        <w:ind w:left="-426" w:right="-330"/>
        <w:rPr>
          <w:rFonts w:ascii="Segoe UI" w:hAnsi="Segoe UI" w:cs="Segoe UI"/>
        </w:rPr>
      </w:pPr>
    </w:p>
    <w:p w:rsidR="0093101D" w:rsidRPr="0093101D" w:rsidRDefault="0093101D" w:rsidP="002F4309">
      <w:pPr>
        <w:spacing w:after="0" w:line="240" w:lineRule="auto"/>
        <w:ind w:left="-426" w:right="-330"/>
        <w:rPr>
          <w:rFonts w:ascii="Segoe UI" w:hAnsi="Segoe UI" w:cs="Segoe UI"/>
          <w:i/>
        </w:rPr>
      </w:pPr>
      <w:r w:rsidRPr="0093101D">
        <w:rPr>
          <w:rFonts w:ascii="Segoe UI" w:hAnsi="Segoe UI" w:cs="Segoe UI"/>
          <w:i/>
        </w:rPr>
        <w:t>Source: Quality Governance</w:t>
      </w:r>
    </w:p>
    <w:p w:rsidR="00F15BED" w:rsidRPr="000B311A" w:rsidRDefault="00F15BED" w:rsidP="000B311A">
      <w:pPr>
        <w:spacing w:after="0" w:line="240" w:lineRule="auto"/>
        <w:rPr>
          <w:rFonts w:ascii="Segoe UI" w:hAnsi="Segoe UI" w:cs="Segoe UI"/>
        </w:rPr>
      </w:pPr>
    </w:p>
    <w:p w:rsidR="00322AC9" w:rsidRPr="00490967" w:rsidRDefault="00CB1448" w:rsidP="00EB3F5A">
      <w:pPr>
        <w:pStyle w:val="ListParagraph"/>
        <w:numPr>
          <w:ilvl w:val="0"/>
          <w:numId w:val="3"/>
        </w:numPr>
        <w:shd w:val="clear" w:color="auto" w:fill="FFFFFF" w:themeFill="background1"/>
        <w:spacing w:after="0" w:line="240" w:lineRule="auto"/>
        <w:ind w:left="0"/>
        <w:rPr>
          <w:rFonts w:ascii="Segoe UI" w:hAnsi="Segoe UI" w:cs="Segoe UI"/>
          <w:b/>
        </w:rPr>
      </w:pPr>
      <w:r w:rsidRPr="00490967">
        <w:rPr>
          <w:rFonts w:ascii="Segoe UI" w:hAnsi="Segoe UI" w:cs="Segoe UI"/>
          <w:b/>
        </w:rPr>
        <w:t>Workforce</w:t>
      </w:r>
    </w:p>
    <w:p w:rsidR="00B332E4" w:rsidRPr="00322AC9" w:rsidRDefault="00B332E4" w:rsidP="00322AC9">
      <w:pPr>
        <w:pStyle w:val="ListParagraph"/>
        <w:spacing w:after="0" w:line="240" w:lineRule="auto"/>
        <w:ind w:left="375"/>
        <w:rPr>
          <w:rFonts w:ascii="Segoe UI" w:hAnsi="Segoe UI" w:cs="Segoe UI"/>
          <w:b/>
        </w:rPr>
      </w:pPr>
    </w:p>
    <w:p w:rsidR="00322AC9" w:rsidRPr="00EB3F5A" w:rsidRDefault="00322AC9" w:rsidP="00EB3F5A">
      <w:pPr>
        <w:pStyle w:val="ListParagraph"/>
        <w:numPr>
          <w:ilvl w:val="1"/>
          <w:numId w:val="3"/>
        </w:numPr>
        <w:spacing w:after="0" w:line="240" w:lineRule="auto"/>
        <w:ind w:left="0"/>
        <w:rPr>
          <w:rFonts w:ascii="Segoe UI" w:hAnsi="Segoe UI" w:cs="Segoe UI"/>
          <w:b/>
          <w:bCs/>
        </w:rPr>
      </w:pPr>
      <w:r w:rsidRPr="00EB3F5A">
        <w:rPr>
          <w:rFonts w:ascii="Segoe UI" w:hAnsi="Segoe UI" w:cs="Segoe UI"/>
          <w:b/>
          <w:bCs/>
        </w:rPr>
        <w:t>Staff Turnover</w:t>
      </w:r>
    </w:p>
    <w:p w:rsidR="0059053C" w:rsidRPr="00EB3F5A" w:rsidRDefault="0059053C" w:rsidP="00EB3F5A">
      <w:pPr>
        <w:spacing w:after="0" w:line="240" w:lineRule="auto"/>
        <w:rPr>
          <w:rFonts w:ascii="Segoe UI" w:hAnsi="Segoe UI" w:cs="Segoe UI"/>
          <w:b/>
          <w:bCs/>
        </w:rPr>
      </w:pPr>
    </w:p>
    <w:p w:rsidR="00322AC9" w:rsidRPr="00EB3F5A" w:rsidRDefault="00052A2E" w:rsidP="00EB3F5A">
      <w:pPr>
        <w:spacing w:after="0" w:line="240" w:lineRule="auto"/>
        <w:ind w:left="-284"/>
        <w:rPr>
          <w:rFonts w:ascii="Segoe UI" w:hAnsi="Segoe UI" w:cs="Segoe UI"/>
          <w:i/>
        </w:rPr>
      </w:pPr>
      <w:bookmarkStart w:id="1" w:name="_Hlk535481246"/>
      <w:r w:rsidRPr="00EB3F5A">
        <w:rPr>
          <w:rFonts w:ascii="Segoe UI" w:hAnsi="Segoe UI" w:cs="Segoe UI"/>
          <w:i/>
        </w:rPr>
        <w:t>Refer to recent Q</w:t>
      </w:r>
      <w:r w:rsidR="00463517" w:rsidRPr="00EB3F5A">
        <w:rPr>
          <w:rFonts w:ascii="Segoe UI" w:hAnsi="Segoe UI" w:cs="Segoe UI"/>
          <w:i/>
        </w:rPr>
        <w:t>4</w:t>
      </w:r>
      <w:r w:rsidRPr="00EB3F5A">
        <w:rPr>
          <w:rFonts w:ascii="Segoe UI" w:hAnsi="Segoe UI" w:cs="Segoe UI"/>
          <w:i/>
        </w:rPr>
        <w:t xml:space="preserve"> workforce reports to sub-committees from Director of HR.</w:t>
      </w:r>
      <w:bookmarkEnd w:id="1"/>
    </w:p>
    <w:p w:rsidR="00322AC9" w:rsidRPr="00EB3F5A" w:rsidRDefault="00322AC9" w:rsidP="00F366AE">
      <w:pPr>
        <w:spacing w:after="0" w:line="240" w:lineRule="auto"/>
        <w:ind w:left="360"/>
        <w:rPr>
          <w:rFonts w:ascii="Segoe UI" w:hAnsi="Segoe UI" w:cs="Segoe UI"/>
          <w:i/>
        </w:rPr>
      </w:pPr>
    </w:p>
    <w:p w:rsidR="006F0282" w:rsidRPr="00EB3F5A" w:rsidRDefault="00322AC9" w:rsidP="00EB3F5A">
      <w:pPr>
        <w:spacing w:after="0" w:line="240" w:lineRule="auto"/>
        <w:ind w:left="-284"/>
        <w:rPr>
          <w:rFonts w:ascii="Segoe UI" w:hAnsi="Segoe UI" w:cs="Segoe UI"/>
          <w:b/>
        </w:rPr>
      </w:pPr>
      <w:r w:rsidRPr="00EB3F5A">
        <w:rPr>
          <w:rFonts w:ascii="Segoe UI" w:hAnsi="Segoe UI" w:cs="Segoe UI"/>
          <w:b/>
        </w:rPr>
        <w:t>4.1 Retaining and Engaging with o</w:t>
      </w:r>
      <w:r w:rsidR="006F0282" w:rsidRPr="00EB3F5A">
        <w:rPr>
          <w:rFonts w:ascii="Segoe UI" w:hAnsi="Segoe UI" w:cs="Segoe UI"/>
          <w:b/>
        </w:rPr>
        <w:t>ur Workforce</w:t>
      </w:r>
    </w:p>
    <w:p w:rsidR="00322AC9" w:rsidRPr="00EB3F5A" w:rsidRDefault="00322AC9" w:rsidP="00F366AE">
      <w:pPr>
        <w:spacing w:after="0" w:line="240" w:lineRule="auto"/>
        <w:ind w:left="360"/>
        <w:rPr>
          <w:rFonts w:ascii="Segoe UI" w:hAnsi="Segoe UI" w:cs="Segoe UI"/>
          <w:i/>
        </w:rPr>
      </w:pPr>
    </w:p>
    <w:p w:rsidR="00910163" w:rsidRPr="00EB3F5A" w:rsidRDefault="00052A2E" w:rsidP="00EB3F5A">
      <w:pPr>
        <w:spacing w:after="0" w:line="240" w:lineRule="auto"/>
        <w:ind w:left="-284"/>
        <w:rPr>
          <w:rFonts w:ascii="Segoe UI" w:hAnsi="Segoe UI" w:cs="Segoe UI"/>
          <w:strike/>
        </w:rPr>
      </w:pPr>
      <w:r w:rsidRPr="00EB3F5A">
        <w:rPr>
          <w:rFonts w:ascii="Segoe UI" w:hAnsi="Segoe UI" w:cs="Segoe UI"/>
          <w:i/>
        </w:rPr>
        <w:t>Refer recent Q</w:t>
      </w:r>
      <w:r w:rsidR="00463517" w:rsidRPr="00EB3F5A">
        <w:rPr>
          <w:rFonts w:ascii="Segoe UI" w:hAnsi="Segoe UI" w:cs="Segoe UI"/>
          <w:i/>
        </w:rPr>
        <w:t>4</w:t>
      </w:r>
      <w:r w:rsidRPr="00EB3F5A">
        <w:rPr>
          <w:rFonts w:ascii="Segoe UI" w:hAnsi="Segoe UI" w:cs="Segoe UI"/>
          <w:i/>
        </w:rPr>
        <w:t xml:space="preserve"> workforce reports to sub-committees from Director of HR.</w:t>
      </w:r>
    </w:p>
    <w:p w:rsidR="00322AC9" w:rsidRPr="00EB3F5A" w:rsidRDefault="00322AC9" w:rsidP="0059053C">
      <w:pPr>
        <w:spacing w:after="0" w:line="240" w:lineRule="auto"/>
        <w:rPr>
          <w:rFonts w:ascii="Segoe UI" w:hAnsi="Segoe UI" w:cs="Segoe UI"/>
        </w:rPr>
      </w:pPr>
    </w:p>
    <w:p w:rsidR="00C03D10" w:rsidRPr="00322AC9" w:rsidRDefault="00322AC9" w:rsidP="00EB3F5A">
      <w:pPr>
        <w:spacing w:after="0" w:line="240" w:lineRule="auto"/>
        <w:ind w:left="-284"/>
        <w:rPr>
          <w:rFonts w:ascii="Segoe UI" w:hAnsi="Segoe UI" w:cs="Segoe UI"/>
          <w:b/>
        </w:rPr>
      </w:pPr>
      <w:bookmarkStart w:id="2" w:name="_Hlk519767858"/>
      <w:r w:rsidRPr="00EB3F5A">
        <w:rPr>
          <w:rFonts w:ascii="Segoe UI" w:hAnsi="Segoe UI" w:cs="Segoe UI"/>
          <w:b/>
        </w:rPr>
        <w:t xml:space="preserve">4.2 </w:t>
      </w:r>
      <w:r w:rsidR="006F0282" w:rsidRPr="00EB3F5A">
        <w:rPr>
          <w:rFonts w:ascii="Segoe UI" w:hAnsi="Segoe UI" w:cs="Segoe UI"/>
          <w:b/>
        </w:rPr>
        <w:t xml:space="preserve">Agency </w:t>
      </w:r>
      <w:r w:rsidR="00C03D10" w:rsidRPr="00EB3F5A">
        <w:rPr>
          <w:rFonts w:ascii="Segoe UI" w:hAnsi="Segoe UI" w:cs="Segoe UI"/>
          <w:b/>
        </w:rPr>
        <w:t>Staffing</w:t>
      </w:r>
    </w:p>
    <w:bookmarkEnd w:id="2"/>
    <w:p w:rsidR="00322AC9" w:rsidRDefault="00322AC9" w:rsidP="000B311A">
      <w:pPr>
        <w:spacing w:after="0" w:line="240" w:lineRule="auto"/>
        <w:rPr>
          <w:rFonts w:ascii="Segoe UI" w:hAnsi="Segoe UI" w:cs="Segoe UI"/>
        </w:rPr>
      </w:pPr>
    </w:p>
    <w:p w:rsidR="001E1C2F" w:rsidRDefault="001E1C2F" w:rsidP="00EB3F5A">
      <w:pPr>
        <w:spacing w:after="0" w:line="240" w:lineRule="auto"/>
        <w:ind w:left="-284" w:right="-330"/>
        <w:jc w:val="both"/>
        <w:rPr>
          <w:rFonts w:ascii="Segoe UI" w:hAnsi="Segoe UI" w:cs="Segoe UI"/>
        </w:rPr>
      </w:pPr>
      <w:r w:rsidRPr="001E1C2F">
        <w:rPr>
          <w:rFonts w:ascii="Segoe UI" w:hAnsi="Segoe UI" w:cs="Segoe UI"/>
        </w:rPr>
        <w:t>The upward trajectory of spend on temporary staffing has steadied in FY19  compared to 2015</w:t>
      </w:r>
      <w:r>
        <w:rPr>
          <w:rFonts w:ascii="Segoe UI" w:hAnsi="Segoe UI" w:cs="Segoe UI"/>
        </w:rPr>
        <w:t>-</w:t>
      </w:r>
      <w:r w:rsidRPr="001E1C2F">
        <w:rPr>
          <w:rFonts w:ascii="Segoe UI" w:hAnsi="Segoe UI" w:cs="Segoe UI"/>
        </w:rPr>
        <w:t>18</w:t>
      </w:r>
      <w:r>
        <w:rPr>
          <w:rFonts w:ascii="Segoe UI" w:hAnsi="Segoe UI" w:cs="Segoe UI"/>
        </w:rPr>
        <w:t>,</w:t>
      </w:r>
      <w:r w:rsidRPr="001E1C2F">
        <w:rPr>
          <w:rFonts w:ascii="Segoe UI" w:hAnsi="Segoe UI" w:cs="Segoe UI"/>
        </w:rPr>
        <w:t xml:space="preserve"> and the increase in spend has been absorbed by growing the </w:t>
      </w:r>
      <w:r>
        <w:rPr>
          <w:rFonts w:ascii="Segoe UI" w:hAnsi="Segoe UI" w:cs="Segoe UI"/>
        </w:rPr>
        <w:t>b</w:t>
      </w:r>
      <w:r w:rsidRPr="001E1C2F">
        <w:rPr>
          <w:rFonts w:ascii="Segoe UI" w:hAnsi="Segoe UI" w:cs="Segoe UI"/>
        </w:rPr>
        <w:t>ank rather than by increasing agency use. It is hoped that the current use of temporary staffing can be maintained or reduced and therefore in FY20 through growing the bank further rather than maintaining agency spend it will decrease.</w:t>
      </w:r>
    </w:p>
    <w:p w:rsidR="001E1C2F" w:rsidRDefault="001E1C2F" w:rsidP="001E1C2F">
      <w:pPr>
        <w:spacing w:after="0" w:line="240" w:lineRule="auto"/>
        <w:rPr>
          <w:rFonts w:ascii="Segoe UI" w:hAnsi="Segoe UI" w:cs="Segoe UI"/>
        </w:rPr>
      </w:pPr>
    </w:p>
    <w:p w:rsidR="001E1C2F" w:rsidRPr="001E1C2F" w:rsidRDefault="001E1C2F" w:rsidP="001E1C2F">
      <w:pPr>
        <w:spacing w:after="0" w:line="240" w:lineRule="auto"/>
        <w:rPr>
          <w:rFonts w:ascii="Segoe UI" w:hAnsi="Segoe UI" w:cs="Segoe UI"/>
        </w:rPr>
      </w:pPr>
      <w:r w:rsidRPr="001E1C2F">
        <w:rPr>
          <w:rFonts w:ascii="Calibri" w:eastAsia="Calibri" w:hAnsi="Calibri" w:cs="Times New Roman"/>
          <w:noProof/>
          <w:lang w:eastAsia="en-GB"/>
        </w:rPr>
        <w:drawing>
          <wp:inline distT="0" distB="0" distL="0" distR="0" wp14:anchorId="5CA40078" wp14:editId="02632532">
            <wp:extent cx="5132271" cy="2552700"/>
            <wp:effectExtent l="0" t="0" r="0" b="0"/>
            <wp:docPr id="17" name="Picture 1" descr="cid:image001.png@01D4F437.CEE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437.CEE241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147719" cy="2560383"/>
                    </a:xfrm>
                    <a:prstGeom prst="rect">
                      <a:avLst/>
                    </a:prstGeom>
                    <a:noFill/>
                    <a:ln>
                      <a:noFill/>
                    </a:ln>
                  </pic:spPr>
                </pic:pic>
              </a:graphicData>
            </a:graphic>
          </wp:inline>
        </w:drawing>
      </w:r>
    </w:p>
    <w:p w:rsidR="001E1C2F" w:rsidRPr="001E1C2F" w:rsidRDefault="001E1C2F" w:rsidP="001E1C2F">
      <w:pPr>
        <w:spacing w:after="0" w:line="240" w:lineRule="auto"/>
        <w:rPr>
          <w:rFonts w:ascii="Segoe UI" w:hAnsi="Segoe UI" w:cs="Segoe UI"/>
        </w:rPr>
      </w:pPr>
    </w:p>
    <w:p w:rsidR="001E1C2F" w:rsidRPr="001E1C2F" w:rsidRDefault="001E1C2F" w:rsidP="00EB3F5A">
      <w:pPr>
        <w:spacing w:after="0" w:line="240" w:lineRule="auto"/>
        <w:ind w:left="-426" w:right="-472"/>
        <w:jc w:val="both"/>
        <w:rPr>
          <w:rFonts w:ascii="Segoe UI" w:hAnsi="Segoe UI" w:cs="Segoe UI"/>
        </w:rPr>
      </w:pPr>
      <w:r w:rsidRPr="001E1C2F">
        <w:rPr>
          <w:rFonts w:ascii="Segoe UI" w:hAnsi="Segoe UI" w:cs="Segoe UI"/>
        </w:rPr>
        <w:t xml:space="preserve">The Trust has continued to hold the line on not using agency staff for HCA shifts. The number of grade swaps to Registered nurses and expensive off-framework agency, remains a concern.  Work continues to grow the HCA bank although availability of training has become a barrier. This has been a major </w:t>
      </w:r>
      <w:r w:rsidRPr="001E1C2F">
        <w:rPr>
          <w:rFonts w:ascii="Segoe UI" w:hAnsi="Segoe UI" w:cs="Segoe UI"/>
        </w:rPr>
        <w:lastRenderedPageBreak/>
        <w:t>piece of work and will have significant benefits in raising the quality and reducing the reliance on Agency staff for the Trust.  Work to reduce the use of Thornbury agency use is also ongoing</w:t>
      </w:r>
    </w:p>
    <w:p w:rsidR="001E1C2F" w:rsidRPr="001E1C2F" w:rsidRDefault="001E1C2F" w:rsidP="00EB3F5A">
      <w:pPr>
        <w:spacing w:after="0" w:line="240" w:lineRule="auto"/>
        <w:ind w:left="-426" w:right="-472"/>
        <w:jc w:val="both"/>
        <w:rPr>
          <w:rFonts w:ascii="Segoe UI" w:hAnsi="Segoe UI" w:cs="Segoe UI"/>
        </w:rPr>
      </w:pPr>
    </w:p>
    <w:p w:rsidR="001E1C2F" w:rsidRPr="001E1C2F" w:rsidRDefault="001E1C2F" w:rsidP="00EB3F5A">
      <w:pPr>
        <w:spacing w:after="0" w:line="240" w:lineRule="auto"/>
        <w:ind w:left="-426" w:right="-472"/>
        <w:jc w:val="both"/>
        <w:rPr>
          <w:rFonts w:ascii="Segoe UI" w:hAnsi="Segoe UI" w:cs="Segoe UI"/>
        </w:rPr>
      </w:pPr>
      <w:r w:rsidRPr="001E1C2F">
        <w:rPr>
          <w:rFonts w:ascii="Segoe UI" w:hAnsi="Segoe UI" w:cs="Segoe UI"/>
        </w:rPr>
        <w:t>Significant focus is now being given to replace with bank workers admin and clerical and estates and facilities agency staff, with the new Staffing Solutions structure nearing completion.</w:t>
      </w:r>
    </w:p>
    <w:p w:rsidR="001E1C2F" w:rsidRPr="001E1C2F" w:rsidRDefault="001E1C2F" w:rsidP="00EB3F5A">
      <w:pPr>
        <w:spacing w:after="0" w:line="240" w:lineRule="auto"/>
        <w:ind w:left="-426" w:right="-472"/>
        <w:rPr>
          <w:rFonts w:ascii="Segoe UI" w:hAnsi="Segoe UI" w:cs="Segoe UI"/>
        </w:rPr>
      </w:pPr>
    </w:p>
    <w:p w:rsidR="00F15BED" w:rsidRDefault="001E1C2F" w:rsidP="00EB3F5A">
      <w:pPr>
        <w:spacing w:after="0" w:line="240" w:lineRule="auto"/>
        <w:ind w:left="-426" w:right="-472"/>
        <w:rPr>
          <w:rFonts w:ascii="Segoe UI" w:hAnsi="Segoe UI" w:cs="Segoe UI"/>
        </w:rPr>
      </w:pPr>
      <w:r w:rsidRPr="001E1C2F">
        <w:rPr>
          <w:rFonts w:ascii="Segoe UI" w:hAnsi="Segoe UI" w:cs="Segoe UI"/>
        </w:rPr>
        <w:t>Source: Staffing Solutions</w:t>
      </w:r>
    </w:p>
    <w:p w:rsidR="001E1C2F" w:rsidRPr="000B311A" w:rsidRDefault="001E1C2F" w:rsidP="000B311A">
      <w:pPr>
        <w:spacing w:after="0" w:line="240" w:lineRule="auto"/>
        <w:rPr>
          <w:rFonts w:ascii="Segoe UI" w:hAnsi="Segoe UI" w:cs="Segoe UI"/>
        </w:rPr>
      </w:pPr>
    </w:p>
    <w:p w:rsidR="00CB1448" w:rsidRPr="00EB3F5A" w:rsidRDefault="00CB1448" w:rsidP="00EB3F5A">
      <w:pPr>
        <w:pStyle w:val="ListParagraph"/>
        <w:numPr>
          <w:ilvl w:val="0"/>
          <w:numId w:val="3"/>
        </w:numPr>
        <w:shd w:val="clear" w:color="auto" w:fill="FFFFFF" w:themeFill="background1"/>
        <w:spacing w:after="0" w:line="240" w:lineRule="auto"/>
        <w:ind w:left="0"/>
        <w:rPr>
          <w:rFonts w:ascii="Segoe UI" w:hAnsi="Segoe UI" w:cs="Segoe UI"/>
          <w:b/>
          <w:sz w:val="24"/>
        </w:rPr>
      </w:pPr>
      <w:r w:rsidRPr="00EB3F5A">
        <w:rPr>
          <w:rFonts w:ascii="Segoe UI" w:hAnsi="Segoe UI" w:cs="Segoe UI"/>
          <w:b/>
          <w:sz w:val="24"/>
        </w:rPr>
        <w:t>Finance</w:t>
      </w:r>
      <w:r w:rsidR="00C619ED" w:rsidRPr="00EB3F5A">
        <w:rPr>
          <w:rFonts w:ascii="Segoe UI" w:hAnsi="Segoe UI" w:cs="Segoe UI"/>
          <w:b/>
          <w:sz w:val="24"/>
        </w:rPr>
        <w:t xml:space="preserve"> (savings)</w:t>
      </w:r>
    </w:p>
    <w:p w:rsidR="00322AC9" w:rsidRDefault="00322AC9" w:rsidP="000B311A">
      <w:pPr>
        <w:spacing w:after="0" w:line="240" w:lineRule="auto"/>
        <w:rPr>
          <w:rFonts w:ascii="Segoe UI" w:hAnsi="Segoe UI" w:cs="Segoe UI"/>
          <w:i/>
          <w:highlight w:val="yellow"/>
        </w:rPr>
      </w:pPr>
    </w:p>
    <w:p w:rsidR="0081215F" w:rsidRPr="0081215F" w:rsidRDefault="0081215F" w:rsidP="00EB3F5A">
      <w:pPr>
        <w:spacing w:after="0" w:line="240" w:lineRule="auto"/>
        <w:ind w:left="-426" w:right="-472"/>
        <w:jc w:val="both"/>
        <w:rPr>
          <w:rFonts w:ascii="Segoe UI" w:hAnsi="Segoe UI" w:cs="Segoe UI"/>
        </w:rPr>
      </w:pPr>
      <w:r w:rsidRPr="0081215F">
        <w:rPr>
          <w:rFonts w:ascii="Segoe UI" w:hAnsi="Segoe UI" w:cs="Segoe UI"/>
        </w:rPr>
        <w:t>The Trust has delivered savings of £8.5m as at 31 March 2019, which is £2.5m better than plan. The £8.5m savings include £0.9m of non-recurrent mitigations and agency premium cost avoidance, rather than cost reduction, of £0.7m.  It also includes £0.6m one-off PFI liability saving and £5.9m in respect of forensic new models of care.  A breakdown is given in the following table.</w:t>
      </w:r>
    </w:p>
    <w:p w:rsidR="0081215F" w:rsidRPr="0081215F" w:rsidRDefault="0081215F" w:rsidP="0081215F">
      <w:pPr>
        <w:spacing w:after="0" w:line="240" w:lineRule="auto"/>
        <w:rPr>
          <w:rFonts w:ascii="Segoe UI" w:hAnsi="Segoe UI" w:cs="Segoe UI"/>
        </w:rPr>
      </w:pPr>
    </w:p>
    <w:p w:rsidR="0081215F" w:rsidRPr="0081215F" w:rsidRDefault="0081215F" w:rsidP="0081215F">
      <w:pPr>
        <w:spacing w:after="0" w:line="240" w:lineRule="auto"/>
        <w:rPr>
          <w:rFonts w:ascii="Segoe UI" w:hAnsi="Segoe UI" w:cs="Segoe UI"/>
        </w:rPr>
      </w:pPr>
      <w:r w:rsidRPr="0081215F">
        <w:rPr>
          <w:noProof/>
          <w:lang w:eastAsia="en-GB"/>
        </w:rPr>
        <w:drawing>
          <wp:inline distT="0" distB="0" distL="0" distR="0" wp14:anchorId="2D070048" wp14:editId="00A28906">
            <wp:extent cx="5731510" cy="1643414"/>
            <wp:effectExtent l="0" t="0" r="2540" b="0"/>
            <wp:docPr id="18" name="Picture 18" descr="cid:image002.png@01D4F144.3C26E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F144.3C26E8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643414"/>
                    </a:xfrm>
                    <a:prstGeom prst="rect">
                      <a:avLst/>
                    </a:prstGeom>
                    <a:noFill/>
                    <a:ln>
                      <a:noFill/>
                    </a:ln>
                  </pic:spPr>
                </pic:pic>
              </a:graphicData>
            </a:graphic>
          </wp:inline>
        </w:drawing>
      </w:r>
    </w:p>
    <w:p w:rsidR="00F15BED" w:rsidRPr="00F15BED" w:rsidRDefault="00F15BED" w:rsidP="00AD0C6F">
      <w:pPr>
        <w:rPr>
          <w:rFonts w:ascii="Segoe UI" w:hAnsi="Segoe UI" w:cs="Segoe UI"/>
        </w:rPr>
      </w:pPr>
    </w:p>
    <w:p w:rsidR="009409B7" w:rsidRPr="00EB3F5A" w:rsidRDefault="009409B7" w:rsidP="00EB3F5A">
      <w:pPr>
        <w:pStyle w:val="ListParagraph"/>
        <w:numPr>
          <w:ilvl w:val="0"/>
          <w:numId w:val="3"/>
        </w:numPr>
        <w:spacing w:after="0" w:line="240" w:lineRule="auto"/>
        <w:ind w:left="142"/>
        <w:rPr>
          <w:rFonts w:ascii="Segoe UI" w:hAnsi="Segoe UI" w:cs="Segoe UI"/>
          <w:b/>
        </w:rPr>
      </w:pPr>
      <w:r w:rsidRPr="00EB3F5A">
        <w:rPr>
          <w:rFonts w:ascii="Segoe UI" w:hAnsi="Segoe UI" w:cs="Segoe UI"/>
          <w:b/>
        </w:rPr>
        <w:t>Key Programmes</w:t>
      </w:r>
    </w:p>
    <w:p w:rsidR="00F366AE" w:rsidRPr="00F366AE" w:rsidRDefault="00F366AE" w:rsidP="00F366AE">
      <w:pPr>
        <w:pStyle w:val="ListParagraph"/>
        <w:spacing w:after="0" w:line="240" w:lineRule="auto"/>
        <w:ind w:left="360"/>
        <w:rPr>
          <w:rFonts w:ascii="Segoe UI" w:hAnsi="Segoe UI" w:cs="Segoe UI"/>
          <w:b/>
        </w:rPr>
      </w:pPr>
    </w:p>
    <w:p w:rsidR="001A4D77" w:rsidRDefault="001A4D77" w:rsidP="00EB3F5A">
      <w:pPr>
        <w:spacing w:after="0" w:line="240" w:lineRule="auto"/>
        <w:ind w:left="-284"/>
        <w:rPr>
          <w:rFonts w:ascii="Segoe UI" w:hAnsi="Segoe UI" w:cs="Segoe UI"/>
        </w:rPr>
      </w:pPr>
      <w:r>
        <w:rPr>
          <w:rFonts w:ascii="Segoe UI" w:hAnsi="Segoe UI" w:cs="Segoe UI"/>
        </w:rPr>
        <w:t>The tables below summarise Q</w:t>
      </w:r>
      <w:r w:rsidR="0081215F">
        <w:rPr>
          <w:rFonts w:ascii="Segoe UI" w:hAnsi="Segoe UI" w:cs="Segoe UI"/>
        </w:rPr>
        <w:t>4</w:t>
      </w:r>
      <w:r>
        <w:rPr>
          <w:rFonts w:ascii="Segoe UI" w:hAnsi="Segoe UI" w:cs="Segoe UI"/>
        </w:rPr>
        <w:t xml:space="preserve"> progress on the Trust’s key programmes</w:t>
      </w:r>
      <w:r w:rsidR="0081215F">
        <w:rPr>
          <w:rFonts w:ascii="Segoe UI" w:hAnsi="Segoe UI" w:cs="Segoe UI"/>
        </w:rPr>
        <w:t>:</w:t>
      </w:r>
    </w:p>
    <w:p w:rsidR="0081215F" w:rsidRDefault="0081215F" w:rsidP="00EB3F5A">
      <w:pPr>
        <w:pStyle w:val="ListParagraph"/>
        <w:numPr>
          <w:ilvl w:val="0"/>
          <w:numId w:val="26"/>
        </w:numPr>
        <w:spacing w:after="0" w:line="240" w:lineRule="auto"/>
        <w:ind w:left="567"/>
        <w:rPr>
          <w:rFonts w:ascii="Segoe UI" w:hAnsi="Segoe UI" w:cs="Segoe UI"/>
        </w:rPr>
      </w:pPr>
      <w:r>
        <w:rPr>
          <w:rFonts w:ascii="Segoe UI" w:hAnsi="Segoe UI" w:cs="Segoe UI"/>
        </w:rPr>
        <w:t>Mental Health Transformation</w:t>
      </w:r>
    </w:p>
    <w:p w:rsidR="0081215F" w:rsidRDefault="0081215F" w:rsidP="00EB3F5A">
      <w:pPr>
        <w:pStyle w:val="ListParagraph"/>
        <w:numPr>
          <w:ilvl w:val="0"/>
          <w:numId w:val="26"/>
        </w:numPr>
        <w:spacing w:after="0" w:line="240" w:lineRule="auto"/>
        <w:ind w:left="567"/>
        <w:rPr>
          <w:rFonts w:ascii="Segoe UI" w:hAnsi="Segoe UI" w:cs="Segoe UI"/>
        </w:rPr>
      </w:pPr>
      <w:r>
        <w:rPr>
          <w:rFonts w:ascii="Segoe UI" w:hAnsi="Segoe UI" w:cs="Segoe UI"/>
        </w:rPr>
        <w:t>New Care Models</w:t>
      </w:r>
    </w:p>
    <w:p w:rsidR="002101E8" w:rsidRDefault="002101E8" w:rsidP="00400A3D">
      <w:pPr>
        <w:pStyle w:val="ListParagraph"/>
        <w:numPr>
          <w:ilvl w:val="0"/>
          <w:numId w:val="26"/>
        </w:numPr>
        <w:spacing w:after="0" w:line="240" w:lineRule="auto"/>
        <w:ind w:left="567"/>
        <w:rPr>
          <w:rFonts w:ascii="Segoe UI" w:hAnsi="Segoe UI" w:cs="Segoe UI"/>
        </w:rPr>
      </w:pPr>
      <w:r>
        <w:rPr>
          <w:rFonts w:ascii="Segoe UI" w:hAnsi="Segoe UI" w:cs="Segoe UI"/>
        </w:rPr>
        <w:t>Care Closer to Home and Care Alliance</w:t>
      </w:r>
    </w:p>
    <w:p w:rsidR="002101E8" w:rsidRPr="0081215F" w:rsidRDefault="002101E8" w:rsidP="00400A3D">
      <w:pPr>
        <w:pStyle w:val="ListParagraph"/>
        <w:numPr>
          <w:ilvl w:val="0"/>
          <w:numId w:val="26"/>
        </w:numPr>
        <w:spacing w:after="0" w:line="240" w:lineRule="auto"/>
        <w:ind w:left="567"/>
        <w:rPr>
          <w:rFonts w:ascii="Segoe UI" w:hAnsi="Segoe UI" w:cs="Segoe UI"/>
        </w:rPr>
      </w:pPr>
      <w:r>
        <w:rPr>
          <w:rFonts w:ascii="Segoe UI" w:hAnsi="Segoe UI" w:cs="Segoe UI"/>
        </w:rPr>
        <w:t>Learning Disabilities</w:t>
      </w:r>
    </w:p>
    <w:p w:rsidR="0081215F" w:rsidRPr="0081215F" w:rsidRDefault="0081215F" w:rsidP="0081215F">
      <w:pPr>
        <w:spacing w:after="0" w:line="240" w:lineRule="auto"/>
        <w:rPr>
          <w:rFonts w:ascii="Segoe UI" w:hAnsi="Segoe UI" w:cs="Segoe UI"/>
        </w:rPr>
      </w:pPr>
    </w:p>
    <w:tbl>
      <w:tblPr>
        <w:tblStyle w:val="TableGrid2"/>
        <w:tblW w:w="0" w:type="auto"/>
        <w:tblLook w:val="04A0" w:firstRow="1" w:lastRow="0" w:firstColumn="1" w:lastColumn="0" w:noHBand="0" w:noVBand="1"/>
      </w:tblPr>
      <w:tblGrid>
        <w:gridCol w:w="2830"/>
        <w:gridCol w:w="6186"/>
      </w:tblGrid>
      <w:tr w:rsidR="0081215F" w:rsidRPr="0081215F" w:rsidTr="00EB3F5A">
        <w:trPr>
          <w:tblHeader/>
        </w:trPr>
        <w:tc>
          <w:tcPr>
            <w:tcW w:w="2830" w:type="dxa"/>
            <w:shd w:val="clear" w:color="auto" w:fill="C6D9F1" w:themeFill="text2" w:themeFillTint="33"/>
          </w:tcPr>
          <w:p w:rsidR="0081215F" w:rsidRPr="0081215F" w:rsidRDefault="0081215F" w:rsidP="0081215F">
            <w:pPr>
              <w:jc w:val="center"/>
              <w:rPr>
                <w:rFonts w:ascii="Segoe UI" w:hAnsi="Segoe UI" w:cs="Segoe UI"/>
              </w:rPr>
            </w:pPr>
            <w:r w:rsidRPr="0081215F">
              <w:rPr>
                <w:rFonts w:ascii="Segoe UI" w:hAnsi="Segoe UI" w:cs="Segoe UI"/>
              </w:rPr>
              <w:t>Mental Health Transformation</w:t>
            </w:r>
          </w:p>
        </w:tc>
        <w:tc>
          <w:tcPr>
            <w:tcW w:w="6186" w:type="dxa"/>
            <w:shd w:val="clear" w:color="auto" w:fill="C6D9F1" w:themeFill="text2" w:themeFillTint="33"/>
          </w:tcPr>
          <w:p w:rsidR="0081215F" w:rsidRPr="0081215F" w:rsidRDefault="0081215F" w:rsidP="0081215F">
            <w:pPr>
              <w:jc w:val="center"/>
              <w:rPr>
                <w:rFonts w:ascii="Segoe UI" w:hAnsi="Segoe UI" w:cs="Segoe UI"/>
              </w:rPr>
            </w:pPr>
            <w:r w:rsidRPr="0081215F">
              <w:rPr>
                <w:rFonts w:ascii="Segoe UI" w:hAnsi="Segoe UI" w:cs="Segoe UI"/>
              </w:rPr>
              <w:t>Progress</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Perinatal Service</w:t>
            </w:r>
          </w:p>
        </w:tc>
        <w:tc>
          <w:tcPr>
            <w:tcW w:w="6186" w:type="dxa"/>
          </w:tcPr>
          <w:p w:rsidR="0081215F" w:rsidRPr="0081215F" w:rsidRDefault="0081215F" w:rsidP="0081215F">
            <w:pPr>
              <w:rPr>
                <w:rFonts w:ascii="Segoe UI" w:hAnsi="Segoe UI" w:cs="Segoe UI"/>
              </w:rPr>
            </w:pPr>
            <w:r w:rsidRPr="0081215F">
              <w:rPr>
                <w:rFonts w:ascii="Segoe UI" w:hAnsi="Segoe UI" w:cs="Segoe UI"/>
              </w:rPr>
              <w:t xml:space="preserve">Referral numbers similar to those anticipated in bid. </w:t>
            </w:r>
          </w:p>
          <w:p w:rsidR="0081215F" w:rsidRPr="0081215F" w:rsidRDefault="0081215F" w:rsidP="0081215F">
            <w:pPr>
              <w:rPr>
                <w:rFonts w:ascii="Segoe UI" w:hAnsi="Segoe UI" w:cs="Segoe UI"/>
              </w:rPr>
            </w:pP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Community Acute &amp; Crisis</w:t>
            </w:r>
          </w:p>
        </w:tc>
        <w:tc>
          <w:tcPr>
            <w:tcW w:w="6186" w:type="dxa"/>
          </w:tcPr>
          <w:p w:rsidR="0081215F" w:rsidRPr="0081215F" w:rsidRDefault="0081215F" w:rsidP="0081215F">
            <w:pPr>
              <w:rPr>
                <w:rFonts w:ascii="Segoe UI" w:hAnsi="Segoe UI" w:cs="Segoe UI"/>
              </w:rPr>
            </w:pPr>
            <w:r w:rsidRPr="0081215F">
              <w:rPr>
                <w:rFonts w:ascii="Segoe UI" w:hAnsi="Segoe UI" w:cs="Segoe UI"/>
              </w:rPr>
              <w:t>IPS Bid successful with 2 years NHSE funding.</w:t>
            </w:r>
          </w:p>
          <w:p w:rsidR="0081215F" w:rsidRPr="0081215F" w:rsidRDefault="0081215F" w:rsidP="0081215F">
            <w:pPr>
              <w:rPr>
                <w:rFonts w:ascii="Segoe UI" w:hAnsi="Segoe UI" w:cs="Segoe UI"/>
              </w:rPr>
            </w:pPr>
            <w:r w:rsidRPr="0081215F">
              <w:rPr>
                <w:rFonts w:ascii="Segoe UI" w:hAnsi="Segoe UI" w:cs="Segoe UI"/>
              </w:rPr>
              <w:t>OAPS – market review to ascertain if better value / quality can be procured in short term alongside reduction plan.</w:t>
            </w:r>
          </w:p>
          <w:p w:rsidR="0081215F" w:rsidRPr="0081215F" w:rsidRDefault="0081215F" w:rsidP="0081215F">
            <w:pPr>
              <w:rPr>
                <w:rFonts w:ascii="Segoe UI" w:hAnsi="Segoe UI" w:cs="Segoe UI"/>
              </w:rPr>
            </w:pPr>
            <w:r w:rsidRPr="0081215F">
              <w:rPr>
                <w:rFonts w:ascii="Segoe UI" w:hAnsi="Segoe UI" w:cs="Segoe UI"/>
              </w:rPr>
              <w:t>Oxford CRHTT BC complete and linked to contract negotiation.</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Children &amp; Young People</w:t>
            </w:r>
          </w:p>
        </w:tc>
        <w:tc>
          <w:tcPr>
            <w:tcW w:w="6186" w:type="dxa"/>
          </w:tcPr>
          <w:p w:rsidR="0081215F" w:rsidRPr="0081215F" w:rsidRDefault="0081215F" w:rsidP="0081215F">
            <w:pPr>
              <w:rPr>
                <w:rFonts w:ascii="Segoe UI" w:hAnsi="Segoe UI" w:cs="Segoe UI"/>
              </w:rPr>
            </w:pPr>
            <w:r w:rsidRPr="0081215F">
              <w:rPr>
                <w:rFonts w:ascii="Segoe UI" w:hAnsi="Segoe UI" w:cs="Segoe UI"/>
              </w:rPr>
              <w:t>Recruitment underway for Mental Health Support Teams.</w:t>
            </w:r>
          </w:p>
          <w:p w:rsidR="0081215F" w:rsidRPr="0081215F" w:rsidRDefault="0081215F" w:rsidP="0081215F">
            <w:pPr>
              <w:rPr>
                <w:rFonts w:ascii="Segoe UI" w:hAnsi="Segoe UI" w:cs="Segoe UI"/>
              </w:rPr>
            </w:pP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IAPT</w:t>
            </w:r>
          </w:p>
        </w:tc>
        <w:tc>
          <w:tcPr>
            <w:tcW w:w="6186" w:type="dxa"/>
          </w:tcPr>
          <w:p w:rsidR="0081215F" w:rsidRPr="0081215F" w:rsidRDefault="0081215F" w:rsidP="0081215F">
            <w:pPr>
              <w:rPr>
                <w:rFonts w:ascii="Segoe UI" w:hAnsi="Segoe UI" w:cs="Segoe UI"/>
              </w:rPr>
            </w:pPr>
            <w:r w:rsidRPr="0081215F">
              <w:rPr>
                <w:rFonts w:ascii="Segoe UI" w:hAnsi="Segoe UI" w:cs="Segoe UI"/>
              </w:rPr>
              <w:t xml:space="preserve">Meeting YTD access rates of 19% in each county, typically rising in each month. </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Dementia &amp; Frailty</w:t>
            </w:r>
          </w:p>
        </w:tc>
        <w:tc>
          <w:tcPr>
            <w:tcW w:w="6186" w:type="dxa"/>
          </w:tcPr>
          <w:p w:rsidR="0081215F" w:rsidRPr="0081215F" w:rsidRDefault="0081215F" w:rsidP="0081215F">
            <w:pPr>
              <w:rPr>
                <w:rFonts w:ascii="Segoe UI" w:hAnsi="Segoe UI" w:cs="Segoe UI"/>
              </w:rPr>
            </w:pPr>
            <w:r w:rsidRPr="0081215F">
              <w:rPr>
                <w:rFonts w:ascii="Segoe UI" w:hAnsi="Segoe UI" w:cs="Segoe UI"/>
              </w:rPr>
              <w:t>Dementia Strategy group formed in Bucks.</w:t>
            </w:r>
          </w:p>
          <w:p w:rsidR="0081215F" w:rsidRPr="0081215F" w:rsidRDefault="0081215F" w:rsidP="0081215F">
            <w:pPr>
              <w:rPr>
                <w:rFonts w:ascii="Segoe UI" w:hAnsi="Segoe UI" w:cs="Segoe UI"/>
              </w:rPr>
            </w:pPr>
            <w:r w:rsidRPr="0081215F">
              <w:rPr>
                <w:rFonts w:ascii="Segoe UI" w:hAnsi="Segoe UI" w:cs="Segoe UI"/>
              </w:rPr>
              <w:t>Plans continue to progress in Oxfordshire.</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lastRenderedPageBreak/>
              <w:t>Suicide Prevention</w:t>
            </w:r>
          </w:p>
        </w:tc>
        <w:tc>
          <w:tcPr>
            <w:tcW w:w="6186" w:type="dxa"/>
          </w:tcPr>
          <w:p w:rsidR="0081215F" w:rsidRPr="0081215F" w:rsidRDefault="0081215F" w:rsidP="0081215F">
            <w:pPr>
              <w:rPr>
                <w:rFonts w:ascii="Segoe UI" w:hAnsi="Segoe UI" w:cs="Segoe UI"/>
              </w:rPr>
            </w:pPr>
            <w:r w:rsidRPr="0081215F">
              <w:rPr>
                <w:rFonts w:ascii="Segoe UI" w:hAnsi="Segoe UI" w:cs="Segoe UI"/>
              </w:rPr>
              <w:t>Bid submitted on behalf of STP to develop ideal psychosocial assessment and associated training and guidance, roll out safety planning &amp; mood monitoring apps and BIRSH.</w:t>
            </w:r>
          </w:p>
        </w:tc>
      </w:tr>
    </w:tbl>
    <w:p w:rsidR="0081215F" w:rsidRPr="0081215F" w:rsidRDefault="0081215F" w:rsidP="0081215F">
      <w:pPr>
        <w:spacing w:after="0" w:line="240" w:lineRule="auto"/>
        <w:ind w:firstLine="720"/>
        <w:rPr>
          <w:rFonts w:ascii="Segoe UI" w:hAnsi="Segoe UI" w:cs="Segoe UI"/>
        </w:rPr>
      </w:pPr>
    </w:p>
    <w:p w:rsidR="0081215F" w:rsidRPr="0081215F" w:rsidRDefault="0081215F" w:rsidP="0081215F">
      <w:pPr>
        <w:spacing w:after="0" w:line="240" w:lineRule="auto"/>
        <w:ind w:firstLine="720"/>
        <w:rPr>
          <w:rFonts w:ascii="Segoe UI" w:hAnsi="Segoe UI" w:cs="Segoe UI"/>
        </w:rPr>
      </w:pPr>
    </w:p>
    <w:tbl>
      <w:tblPr>
        <w:tblStyle w:val="TableGrid2"/>
        <w:tblW w:w="0" w:type="auto"/>
        <w:tblLook w:val="04A0" w:firstRow="1" w:lastRow="0" w:firstColumn="1" w:lastColumn="0" w:noHBand="0" w:noVBand="1"/>
      </w:tblPr>
      <w:tblGrid>
        <w:gridCol w:w="2830"/>
        <w:gridCol w:w="6186"/>
      </w:tblGrid>
      <w:tr w:rsidR="0081215F" w:rsidRPr="0081215F" w:rsidTr="00EB3F5A">
        <w:tc>
          <w:tcPr>
            <w:tcW w:w="2830" w:type="dxa"/>
            <w:shd w:val="clear" w:color="auto" w:fill="C6D9F1" w:themeFill="text2" w:themeFillTint="33"/>
          </w:tcPr>
          <w:p w:rsidR="0081215F" w:rsidRPr="0081215F" w:rsidRDefault="0081215F" w:rsidP="0081215F">
            <w:pPr>
              <w:jc w:val="center"/>
              <w:rPr>
                <w:rFonts w:ascii="Segoe UI" w:hAnsi="Segoe UI" w:cs="Segoe UI"/>
              </w:rPr>
            </w:pPr>
            <w:r w:rsidRPr="0081215F">
              <w:rPr>
                <w:rFonts w:ascii="Segoe UI" w:hAnsi="Segoe UI" w:cs="Segoe UI"/>
              </w:rPr>
              <w:t>New Care Models</w:t>
            </w:r>
          </w:p>
        </w:tc>
        <w:tc>
          <w:tcPr>
            <w:tcW w:w="6186" w:type="dxa"/>
            <w:shd w:val="clear" w:color="auto" w:fill="C6D9F1" w:themeFill="text2" w:themeFillTint="33"/>
          </w:tcPr>
          <w:p w:rsidR="0081215F" w:rsidRPr="0081215F" w:rsidRDefault="0081215F" w:rsidP="0081215F">
            <w:pPr>
              <w:jc w:val="center"/>
              <w:rPr>
                <w:rFonts w:ascii="Segoe UI" w:hAnsi="Segoe UI" w:cs="Segoe UI"/>
              </w:rPr>
            </w:pPr>
            <w:r w:rsidRPr="0081215F">
              <w:rPr>
                <w:rFonts w:ascii="Segoe UI" w:hAnsi="Segoe UI" w:cs="Segoe UI"/>
              </w:rPr>
              <w:t>Progress</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Partnerships</w:t>
            </w:r>
          </w:p>
        </w:tc>
        <w:tc>
          <w:tcPr>
            <w:tcW w:w="6186" w:type="dxa"/>
          </w:tcPr>
          <w:p w:rsidR="0081215F" w:rsidRPr="0081215F" w:rsidRDefault="0081215F" w:rsidP="0081215F">
            <w:pPr>
              <w:tabs>
                <w:tab w:val="num" w:pos="720"/>
              </w:tabs>
              <w:rPr>
                <w:rFonts w:ascii="Segoe UI" w:hAnsi="Segoe UI" w:cs="Segoe UI"/>
              </w:rPr>
            </w:pPr>
            <w:r w:rsidRPr="0081215F">
              <w:rPr>
                <w:rFonts w:ascii="Segoe UI" w:hAnsi="Segoe UI" w:cs="Segoe UI"/>
                <w:lang w:val="en-US"/>
              </w:rPr>
              <w:t>Forensics partnership and governance structures have been successfully maintained for full 2-year pilot period. CAMHS T4 has good representation at the Clinical Governance Group, whilst the HOPE CAP is working well with good partner engagement.</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Clinical Model &amp; Quality</w:t>
            </w:r>
          </w:p>
        </w:tc>
        <w:tc>
          <w:tcPr>
            <w:tcW w:w="6186" w:type="dxa"/>
          </w:tcPr>
          <w:p w:rsidR="0081215F" w:rsidRPr="0081215F" w:rsidRDefault="0081215F" w:rsidP="0081215F">
            <w:pPr>
              <w:rPr>
                <w:rFonts w:ascii="Segoe UI" w:hAnsi="Segoe UI" w:cs="Segoe UI"/>
              </w:rPr>
            </w:pPr>
            <w:r w:rsidRPr="0081215F">
              <w:rPr>
                <w:rFonts w:ascii="Segoe UI" w:hAnsi="Segoe UI" w:cs="Segoe UI"/>
              </w:rPr>
              <w:t>The Forensics CAP and CAG are functioning successfully. Forensics network consultants are to implement Dundrum to support network-wide standardisation of access to services.</w:t>
            </w:r>
          </w:p>
          <w:p w:rsidR="0081215F" w:rsidRPr="0081215F" w:rsidRDefault="0081215F" w:rsidP="0081215F">
            <w:pPr>
              <w:rPr>
                <w:rFonts w:ascii="Segoe UI" w:hAnsi="Segoe UI" w:cs="Segoe UI"/>
              </w:rPr>
            </w:pPr>
            <w:r w:rsidRPr="0081215F">
              <w:rPr>
                <w:rFonts w:ascii="Segoe UI" w:hAnsi="Segoe UI" w:cs="Segoe UI"/>
              </w:rPr>
              <w:t>The CAMHS T4 operational model is to go live on April 2019.</w:t>
            </w:r>
          </w:p>
          <w:p w:rsidR="0081215F" w:rsidRPr="0081215F" w:rsidRDefault="0081215F" w:rsidP="0081215F">
            <w:pPr>
              <w:rPr>
                <w:rFonts w:ascii="Segoe UI" w:hAnsi="Segoe UI" w:cs="Segoe UI"/>
              </w:rPr>
            </w:pPr>
            <w:r w:rsidRPr="0081215F">
              <w:rPr>
                <w:rFonts w:ascii="Segoe UI" w:hAnsi="Segoe UI" w:cs="Segoe UI"/>
              </w:rPr>
              <w:t>The HOPE Clinical Model is maturing, and the SPA has been developed and handed over to operations.</w:t>
            </w:r>
          </w:p>
        </w:tc>
      </w:tr>
      <w:tr w:rsidR="0081215F" w:rsidRPr="0081215F" w:rsidTr="00EB3F5A">
        <w:tc>
          <w:tcPr>
            <w:tcW w:w="2830" w:type="dxa"/>
          </w:tcPr>
          <w:p w:rsidR="0081215F" w:rsidRPr="0081215F" w:rsidRDefault="0081215F" w:rsidP="0081215F">
            <w:pPr>
              <w:rPr>
                <w:rFonts w:ascii="Segoe UI" w:hAnsi="Segoe UI" w:cs="Segoe UI"/>
              </w:rPr>
            </w:pPr>
            <w:r w:rsidRPr="0081215F">
              <w:rPr>
                <w:rFonts w:ascii="Segoe UI" w:hAnsi="Segoe UI" w:cs="Segoe UI"/>
              </w:rPr>
              <w:t xml:space="preserve">Data sharing, validation and reporting </w:t>
            </w:r>
          </w:p>
        </w:tc>
        <w:tc>
          <w:tcPr>
            <w:tcW w:w="6186" w:type="dxa"/>
          </w:tcPr>
          <w:p w:rsidR="0081215F" w:rsidRPr="0081215F" w:rsidRDefault="0081215F" w:rsidP="0081215F">
            <w:pPr>
              <w:rPr>
                <w:rFonts w:ascii="Segoe UI" w:hAnsi="Segoe UI" w:cs="Segoe UI"/>
              </w:rPr>
            </w:pPr>
            <w:r w:rsidRPr="0081215F">
              <w:rPr>
                <w:rFonts w:ascii="Segoe UI" w:hAnsi="Segoe UI" w:cs="Segoe UI"/>
              </w:rPr>
              <w:t xml:space="preserve">Forensics comprehensive validation has been completed, and has been confirmed and agreed with NHSE. </w:t>
            </w:r>
          </w:p>
          <w:p w:rsidR="0081215F" w:rsidRPr="0081215F" w:rsidRDefault="0081215F" w:rsidP="0081215F">
            <w:pPr>
              <w:rPr>
                <w:rFonts w:ascii="Segoe UI" w:hAnsi="Segoe UI" w:cs="Segoe UI"/>
              </w:rPr>
            </w:pPr>
            <w:r w:rsidRPr="0081215F">
              <w:rPr>
                <w:rFonts w:ascii="Segoe UI" w:hAnsi="Segoe UI" w:cs="Segoe UI"/>
              </w:rPr>
              <w:t>HOPE Bed oversight continues.</w:t>
            </w:r>
          </w:p>
          <w:p w:rsidR="0081215F" w:rsidRPr="0081215F" w:rsidRDefault="0081215F" w:rsidP="0081215F">
            <w:pPr>
              <w:rPr>
                <w:rFonts w:ascii="Segoe UI" w:hAnsi="Segoe UI" w:cs="Segoe UI"/>
              </w:rPr>
            </w:pPr>
            <w:r w:rsidRPr="0081215F">
              <w:rPr>
                <w:rFonts w:ascii="Segoe UI" w:hAnsi="Segoe UI" w:cs="Segoe UI"/>
              </w:rPr>
              <w:t xml:space="preserve">HOPE &amp; CAMHS T4 data validation on going.  </w:t>
            </w:r>
          </w:p>
          <w:p w:rsidR="0081215F" w:rsidRPr="0081215F" w:rsidRDefault="0081215F" w:rsidP="0081215F">
            <w:pPr>
              <w:rPr>
                <w:rFonts w:ascii="Segoe UI" w:hAnsi="Segoe UI" w:cs="Segoe UI"/>
              </w:rPr>
            </w:pPr>
            <w:r w:rsidRPr="0081215F">
              <w:rPr>
                <w:rFonts w:ascii="Segoe UI" w:hAnsi="Segoe UI" w:cs="Segoe UI"/>
              </w:rPr>
              <w:t>Forensics validation and discrepancy correction ongoing.</w:t>
            </w:r>
          </w:p>
        </w:tc>
      </w:tr>
      <w:tr w:rsidR="0081215F" w:rsidRPr="0081215F" w:rsidTr="00EB3F5A">
        <w:trPr>
          <w:trHeight w:val="416"/>
        </w:trPr>
        <w:tc>
          <w:tcPr>
            <w:tcW w:w="2830" w:type="dxa"/>
          </w:tcPr>
          <w:p w:rsidR="0081215F" w:rsidRPr="0081215F" w:rsidRDefault="0081215F" w:rsidP="0081215F">
            <w:pPr>
              <w:rPr>
                <w:rFonts w:ascii="Segoe UI" w:hAnsi="Segoe UI" w:cs="Segoe UI"/>
              </w:rPr>
            </w:pPr>
            <w:r w:rsidRPr="0081215F">
              <w:rPr>
                <w:rFonts w:ascii="Segoe UI" w:hAnsi="Segoe UI" w:cs="Segoe UI"/>
              </w:rPr>
              <w:t>Finance</w:t>
            </w:r>
          </w:p>
        </w:tc>
        <w:tc>
          <w:tcPr>
            <w:tcW w:w="6186" w:type="dxa"/>
          </w:tcPr>
          <w:p w:rsidR="0081215F" w:rsidRPr="0081215F" w:rsidRDefault="0081215F" w:rsidP="0081215F">
            <w:pPr>
              <w:rPr>
                <w:rFonts w:ascii="Segoe UI" w:hAnsi="Segoe UI" w:cs="Segoe UI"/>
              </w:rPr>
            </w:pPr>
            <w:r w:rsidRPr="0081215F">
              <w:rPr>
                <w:rFonts w:ascii="Segoe UI" w:hAnsi="Segoe UI" w:cs="Segoe UI"/>
              </w:rPr>
              <w:t>All: Comprehensive support and SOP.</w:t>
            </w:r>
          </w:p>
          <w:p w:rsidR="0081215F" w:rsidRPr="0081215F" w:rsidRDefault="0081215F" w:rsidP="0081215F">
            <w:pPr>
              <w:rPr>
                <w:rFonts w:ascii="Segoe UI" w:hAnsi="Segoe UI" w:cs="Segoe UI"/>
              </w:rPr>
            </w:pPr>
            <w:r w:rsidRPr="0081215F">
              <w:rPr>
                <w:rFonts w:ascii="Segoe UI" w:hAnsi="Segoe UI" w:cs="Segoe UI"/>
              </w:rPr>
              <w:t xml:space="preserve">Forensics 18/19 budget to be formally agreed. </w:t>
            </w:r>
          </w:p>
        </w:tc>
      </w:tr>
    </w:tbl>
    <w:p w:rsidR="0081215F" w:rsidRPr="0081215F" w:rsidRDefault="0081215F" w:rsidP="0081215F">
      <w:pPr>
        <w:spacing w:after="0" w:line="240" w:lineRule="auto"/>
        <w:rPr>
          <w:rFonts w:ascii="Segoe UI" w:hAnsi="Segoe UI" w:cs="Segoe UI"/>
        </w:rPr>
      </w:pPr>
    </w:p>
    <w:p w:rsidR="0081215F" w:rsidRPr="0081215F" w:rsidRDefault="0081215F" w:rsidP="0081215F">
      <w:pPr>
        <w:spacing w:after="0" w:line="240" w:lineRule="auto"/>
        <w:rPr>
          <w:rFonts w:ascii="Segoe UI" w:hAnsi="Segoe UI" w:cs="Segoe UI"/>
        </w:rPr>
      </w:pPr>
    </w:p>
    <w:tbl>
      <w:tblPr>
        <w:tblW w:w="0" w:type="auto"/>
        <w:tblCellMar>
          <w:left w:w="0" w:type="dxa"/>
          <w:right w:w="0" w:type="dxa"/>
        </w:tblCellMar>
        <w:tblLook w:val="04A0" w:firstRow="1" w:lastRow="0" w:firstColumn="1" w:lastColumn="0" w:noHBand="0" w:noVBand="1"/>
      </w:tblPr>
      <w:tblGrid>
        <w:gridCol w:w="2825"/>
        <w:gridCol w:w="6181"/>
      </w:tblGrid>
      <w:tr w:rsidR="0081215F" w:rsidRPr="0081215F" w:rsidTr="00EB3F5A">
        <w:trPr>
          <w:tblHeader/>
        </w:trPr>
        <w:tc>
          <w:tcPr>
            <w:tcW w:w="282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1215F" w:rsidRPr="0081215F" w:rsidRDefault="0081215F" w:rsidP="0081215F">
            <w:pPr>
              <w:spacing w:after="0" w:line="240" w:lineRule="auto"/>
              <w:jc w:val="center"/>
              <w:rPr>
                <w:rFonts w:ascii="Segoe UI" w:hAnsi="Segoe UI" w:cs="Segoe UI"/>
              </w:rPr>
            </w:pPr>
            <w:r w:rsidRPr="0081215F">
              <w:rPr>
                <w:rFonts w:ascii="Segoe UI" w:hAnsi="Segoe UI" w:cs="Segoe UI"/>
              </w:rPr>
              <w:t>Care Alliance and Care Closer to Home</w:t>
            </w:r>
          </w:p>
        </w:tc>
        <w:tc>
          <w:tcPr>
            <w:tcW w:w="618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1215F" w:rsidRPr="0081215F" w:rsidRDefault="0081215F" w:rsidP="0081215F">
            <w:pPr>
              <w:spacing w:after="0" w:line="240" w:lineRule="auto"/>
              <w:jc w:val="center"/>
              <w:rPr>
                <w:rFonts w:ascii="Segoe UI" w:hAnsi="Segoe UI" w:cs="Segoe UI"/>
              </w:rPr>
            </w:pPr>
            <w:r w:rsidRPr="0081215F">
              <w:rPr>
                <w:rFonts w:ascii="Segoe UI" w:hAnsi="Segoe UI" w:cs="Segoe UI"/>
              </w:rPr>
              <w:t>Progress</w:t>
            </w:r>
          </w:p>
        </w:tc>
      </w:tr>
      <w:tr w:rsidR="0081215F" w:rsidRPr="0081215F" w:rsidTr="00EB3F5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15F" w:rsidRPr="0081215F" w:rsidRDefault="0081215F" w:rsidP="0081215F">
            <w:pPr>
              <w:spacing w:after="0" w:line="240" w:lineRule="auto"/>
              <w:rPr>
                <w:rFonts w:ascii="Segoe UI" w:hAnsi="Segoe UI" w:cs="Segoe UI"/>
              </w:rPr>
            </w:pPr>
            <w:r w:rsidRPr="0081215F">
              <w:rPr>
                <w:rFonts w:ascii="Segoe UI" w:hAnsi="Segoe UI" w:cs="Segoe UI"/>
              </w:rPr>
              <w:t>Oxfordshire Care Alliance</w:t>
            </w:r>
          </w:p>
        </w:tc>
        <w:tc>
          <w:tcPr>
            <w:tcW w:w="6181" w:type="dxa"/>
            <w:tcBorders>
              <w:top w:val="nil"/>
              <w:left w:val="nil"/>
              <w:bottom w:val="single" w:sz="8" w:space="0" w:color="auto"/>
              <w:right w:val="single" w:sz="8"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t xml:space="preserve">Work continues to progress between the GP Federations, and the communities services as Primary Care Networks are establishing.  Developing an overarching timeframe of all system activity to assist with planning and prioritisation in the delivery of neighbourhood working and urgent care services. </w:t>
            </w:r>
          </w:p>
        </w:tc>
      </w:tr>
      <w:tr w:rsidR="0081215F" w:rsidRPr="0081215F" w:rsidTr="00EB3F5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15F" w:rsidRPr="0081215F" w:rsidRDefault="0081215F" w:rsidP="0081215F">
            <w:pPr>
              <w:spacing w:after="0" w:line="240" w:lineRule="auto"/>
              <w:rPr>
                <w:rFonts w:ascii="Segoe UI" w:hAnsi="Segoe UI" w:cs="Segoe UI"/>
              </w:rPr>
            </w:pPr>
            <w:r w:rsidRPr="0081215F">
              <w:rPr>
                <w:rFonts w:ascii="Segoe UI" w:hAnsi="Segoe UI" w:cs="Segoe UI"/>
              </w:rPr>
              <w:t>Scheduled Care &amp; Prevention</w:t>
            </w:r>
          </w:p>
        </w:tc>
        <w:tc>
          <w:tcPr>
            <w:tcW w:w="6181" w:type="dxa"/>
            <w:tcBorders>
              <w:top w:val="nil"/>
              <w:left w:val="nil"/>
              <w:bottom w:val="single" w:sz="8" w:space="0" w:color="auto"/>
              <w:right w:val="single" w:sz="8"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t>Started to deliver Integrated Respiratory pathway.  Scoping diabetes pathway under way.  Review of ‘getting me home’ pathway and roll out planned.  Children’s Integrated Therapies and Palliative Care reviews on track.</w:t>
            </w:r>
          </w:p>
        </w:tc>
      </w:tr>
      <w:tr w:rsidR="0081215F" w:rsidRPr="0081215F" w:rsidTr="00EB3F5A">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15F" w:rsidRPr="0081215F" w:rsidRDefault="0081215F" w:rsidP="0081215F">
            <w:pPr>
              <w:spacing w:after="0" w:line="240" w:lineRule="auto"/>
              <w:rPr>
                <w:rFonts w:ascii="Segoe UI" w:hAnsi="Segoe UI" w:cs="Segoe UI"/>
              </w:rPr>
            </w:pPr>
            <w:r w:rsidRPr="0081215F">
              <w:rPr>
                <w:rFonts w:ascii="Segoe UI" w:hAnsi="Segoe UI" w:cs="Segoe UI"/>
              </w:rPr>
              <w:t>Unscheduled Care</w:t>
            </w:r>
          </w:p>
        </w:tc>
        <w:tc>
          <w:tcPr>
            <w:tcW w:w="6181" w:type="dxa"/>
            <w:tcBorders>
              <w:top w:val="nil"/>
              <w:left w:val="nil"/>
              <w:bottom w:val="single" w:sz="8" w:space="0" w:color="auto"/>
              <w:right w:val="single" w:sz="8"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t>EMU Outreach trial successful and in process of evidence gathering.  OOH integration with SPA on track.  Option appraisal for Clinical Coordination Centre underway.  Workshops to start scoping provision of sub-acute care in the community.</w:t>
            </w:r>
          </w:p>
        </w:tc>
      </w:tr>
      <w:tr w:rsidR="0081215F" w:rsidRPr="0081215F" w:rsidTr="00EB3F5A">
        <w:tc>
          <w:tcPr>
            <w:tcW w:w="282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1215F" w:rsidRPr="0081215F" w:rsidRDefault="0081215F" w:rsidP="0081215F">
            <w:pPr>
              <w:spacing w:after="0" w:line="240" w:lineRule="auto"/>
              <w:rPr>
                <w:rFonts w:ascii="Segoe UI" w:hAnsi="Segoe UI" w:cs="Segoe UI"/>
              </w:rPr>
            </w:pPr>
            <w:r w:rsidRPr="0081215F">
              <w:rPr>
                <w:rFonts w:ascii="Segoe UI" w:hAnsi="Segoe UI" w:cs="Segoe UI"/>
              </w:rPr>
              <w:t>Neighbourhood Teams &amp; Working (Frailty)</w:t>
            </w:r>
          </w:p>
        </w:tc>
        <w:tc>
          <w:tcPr>
            <w:tcW w:w="6181" w:type="dxa"/>
            <w:tcBorders>
              <w:top w:val="nil"/>
              <w:left w:val="nil"/>
              <w:bottom w:val="single" w:sz="4" w:space="0" w:color="auto"/>
              <w:right w:val="single" w:sz="8"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t xml:space="preserve">Work to develop escalating and complex pathway underway as a Neighbourhood Team (NT).  Working in partnership with Oxfordshire Training Network and Primary Care completed </w:t>
            </w:r>
            <w:r w:rsidRPr="0081215F">
              <w:rPr>
                <w:rFonts w:ascii="Segoe UI" w:hAnsi="Segoe UI" w:cs="Segoe UI"/>
              </w:rPr>
              <w:lastRenderedPageBreak/>
              <w:t>first training needs analysis pilot.  Work underway to identify a training needs analysis model to roll out across the county.  Completed first draft of data set to inform NT. SPA roll out with DNs on track.</w:t>
            </w:r>
          </w:p>
        </w:tc>
      </w:tr>
      <w:tr w:rsidR="0081215F" w:rsidRPr="0081215F" w:rsidTr="00EB3F5A">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lastRenderedPageBreak/>
              <w:t>Communication</w:t>
            </w:r>
          </w:p>
        </w:tc>
        <w:tc>
          <w:tcPr>
            <w:tcW w:w="6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15F" w:rsidRPr="0081215F" w:rsidRDefault="0081215F" w:rsidP="0081215F">
            <w:pPr>
              <w:spacing w:after="0" w:line="240" w:lineRule="auto"/>
              <w:rPr>
                <w:rFonts w:ascii="Segoe UI" w:hAnsi="Segoe UI" w:cs="Segoe UI"/>
              </w:rPr>
            </w:pPr>
            <w:r w:rsidRPr="0081215F">
              <w:rPr>
                <w:rFonts w:ascii="Segoe UI" w:hAnsi="Segoe UI" w:cs="Segoe UI"/>
              </w:rPr>
              <w:t>Internal Staff Briefings/Q&amp;A delivered in February 2019. Communication group established.  Intranet live April 2019.</w:t>
            </w:r>
          </w:p>
        </w:tc>
      </w:tr>
    </w:tbl>
    <w:p w:rsidR="001A4D77" w:rsidRDefault="001A4D77" w:rsidP="001A4D77">
      <w:pPr>
        <w:spacing w:after="0" w:line="240" w:lineRule="auto"/>
        <w:rPr>
          <w:rFonts w:ascii="Segoe UI" w:hAnsi="Segoe UI" w:cs="Segoe UI"/>
        </w:rPr>
      </w:pPr>
    </w:p>
    <w:p w:rsidR="001A4D77" w:rsidRPr="000B311A" w:rsidRDefault="001A4D77" w:rsidP="001A4D77">
      <w:pPr>
        <w:spacing w:after="0" w:line="240" w:lineRule="auto"/>
        <w:rPr>
          <w:rFonts w:ascii="Segoe UI" w:hAnsi="Segoe UI" w:cs="Segoe UI"/>
        </w:rPr>
      </w:pPr>
    </w:p>
    <w:tbl>
      <w:tblPr>
        <w:tblStyle w:val="TableGrid1"/>
        <w:tblW w:w="0" w:type="auto"/>
        <w:tblLook w:val="04A0" w:firstRow="1" w:lastRow="0" w:firstColumn="1" w:lastColumn="0" w:noHBand="0" w:noVBand="1"/>
      </w:tblPr>
      <w:tblGrid>
        <w:gridCol w:w="2830"/>
        <w:gridCol w:w="6186"/>
      </w:tblGrid>
      <w:tr w:rsidR="00435FD4" w:rsidRPr="00435FD4" w:rsidTr="00EB3F5A">
        <w:tc>
          <w:tcPr>
            <w:tcW w:w="2830" w:type="dxa"/>
            <w:shd w:val="clear" w:color="auto" w:fill="C6D9F1" w:themeFill="text2" w:themeFillTint="33"/>
          </w:tcPr>
          <w:p w:rsidR="00435FD4" w:rsidRPr="00435FD4" w:rsidRDefault="00435FD4" w:rsidP="00435FD4">
            <w:pPr>
              <w:jc w:val="center"/>
              <w:rPr>
                <w:rFonts w:ascii="Segoe UI" w:hAnsi="Segoe UI" w:cs="Segoe UI"/>
              </w:rPr>
            </w:pPr>
            <w:r w:rsidRPr="00435FD4">
              <w:rPr>
                <w:rFonts w:ascii="Segoe UI" w:hAnsi="Segoe UI" w:cs="Segoe UI"/>
              </w:rPr>
              <w:t xml:space="preserve">Learning Disabilities </w:t>
            </w:r>
          </w:p>
        </w:tc>
        <w:tc>
          <w:tcPr>
            <w:tcW w:w="6186" w:type="dxa"/>
            <w:shd w:val="clear" w:color="auto" w:fill="C6D9F1" w:themeFill="text2" w:themeFillTint="33"/>
          </w:tcPr>
          <w:p w:rsidR="00435FD4" w:rsidRPr="00435FD4" w:rsidRDefault="00435FD4" w:rsidP="00435FD4">
            <w:pPr>
              <w:jc w:val="center"/>
              <w:rPr>
                <w:rFonts w:ascii="Segoe UI" w:hAnsi="Segoe UI" w:cs="Segoe UI"/>
              </w:rPr>
            </w:pPr>
            <w:r w:rsidRPr="00435FD4">
              <w:rPr>
                <w:rFonts w:ascii="Segoe UI" w:hAnsi="Segoe UI" w:cs="Segoe UI"/>
              </w:rPr>
              <w:t>Progress</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Physical Health</w:t>
            </w:r>
          </w:p>
        </w:tc>
        <w:tc>
          <w:tcPr>
            <w:tcW w:w="6186" w:type="dxa"/>
          </w:tcPr>
          <w:p w:rsidR="00435FD4" w:rsidRPr="00435FD4" w:rsidRDefault="00435FD4" w:rsidP="00435FD4">
            <w:pPr>
              <w:rPr>
                <w:rFonts w:ascii="Segoe UI" w:hAnsi="Segoe UI" w:cs="Segoe UI"/>
              </w:rPr>
            </w:pPr>
            <w:r w:rsidRPr="00435FD4">
              <w:rPr>
                <w:rFonts w:ascii="Segoe UI" w:hAnsi="Segoe UI" w:cs="Segoe UI"/>
              </w:rPr>
              <w:t xml:space="preserve">Physical Health CQUIN completed </w:t>
            </w:r>
            <w:r>
              <w:rPr>
                <w:rFonts w:ascii="Segoe UI" w:hAnsi="Segoe UI" w:cs="Segoe UI"/>
              </w:rPr>
              <w:t>meaning</w:t>
            </w:r>
            <w:r w:rsidRPr="00435FD4">
              <w:rPr>
                <w:rFonts w:ascii="Segoe UI" w:hAnsi="Segoe UI" w:cs="Segoe UI"/>
              </w:rPr>
              <w:t xml:space="preserve"> that the Trust</w:t>
            </w:r>
            <w:r>
              <w:rPr>
                <w:rFonts w:ascii="Segoe UI" w:hAnsi="Segoe UI" w:cs="Segoe UI"/>
              </w:rPr>
              <w:t>’s</w:t>
            </w:r>
            <w:r w:rsidRPr="00435FD4">
              <w:rPr>
                <w:rFonts w:ascii="Segoe UI" w:hAnsi="Segoe UI" w:cs="Segoe UI"/>
              </w:rPr>
              <w:t xml:space="preserve"> Physical Health Strategy include</w:t>
            </w:r>
            <w:r>
              <w:rPr>
                <w:rFonts w:ascii="Segoe UI" w:hAnsi="Segoe UI" w:cs="Segoe UI"/>
              </w:rPr>
              <w:t>s</w:t>
            </w:r>
            <w:r w:rsidRPr="00435FD4">
              <w:rPr>
                <w:rFonts w:ascii="Segoe UI" w:hAnsi="Segoe UI" w:cs="Segoe UI"/>
              </w:rPr>
              <w:t xml:space="preserve"> people with a learning disability</w:t>
            </w:r>
            <w:r>
              <w:rPr>
                <w:rFonts w:ascii="Segoe UI" w:hAnsi="Segoe UI" w:cs="Segoe UI"/>
              </w:rPr>
              <w:t xml:space="preserve"> are</w:t>
            </w:r>
            <w:r w:rsidRPr="00435FD4">
              <w:rPr>
                <w:rFonts w:ascii="Segoe UI" w:hAnsi="Segoe UI" w:cs="Segoe UI"/>
              </w:rPr>
              <w:t xml:space="preserve"> supported by a detailed implementation plan.</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Mental Health</w:t>
            </w:r>
          </w:p>
          <w:p w:rsidR="00435FD4" w:rsidRPr="00435FD4" w:rsidRDefault="00435FD4" w:rsidP="00435FD4">
            <w:pPr>
              <w:rPr>
                <w:rFonts w:ascii="Segoe UI" w:hAnsi="Segoe UI" w:cs="Segoe UI"/>
              </w:rPr>
            </w:pPr>
          </w:p>
        </w:tc>
        <w:tc>
          <w:tcPr>
            <w:tcW w:w="6186" w:type="dxa"/>
          </w:tcPr>
          <w:p w:rsidR="00435FD4" w:rsidRPr="00435FD4" w:rsidRDefault="00435FD4" w:rsidP="00435FD4">
            <w:pPr>
              <w:rPr>
                <w:rFonts w:ascii="Segoe UI" w:hAnsi="Segoe UI" w:cs="Segoe UI"/>
              </w:rPr>
            </w:pPr>
            <w:r w:rsidRPr="00435FD4">
              <w:rPr>
                <w:rFonts w:ascii="Segoe UI" w:hAnsi="Segoe UI" w:cs="Segoe UI"/>
              </w:rPr>
              <w:t>Bucks GLTK baseline audit completed.</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Forensic</w:t>
            </w:r>
          </w:p>
        </w:tc>
        <w:tc>
          <w:tcPr>
            <w:tcW w:w="6186" w:type="dxa"/>
          </w:tcPr>
          <w:p w:rsidR="00435FD4" w:rsidRPr="00435FD4" w:rsidRDefault="00435FD4" w:rsidP="00435FD4">
            <w:pPr>
              <w:rPr>
                <w:rFonts w:ascii="Segoe UI" w:hAnsi="Segoe UI" w:cs="Segoe UI"/>
              </w:rPr>
            </w:pPr>
            <w:r w:rsidRPr="00435FD4">
              <w:rPr>
                <w:rFonts w:ascii="Segoe UI" w:hAnsi="Segoe UI" w:cs="Segoe UI"/>
              </w:rPr>
              <w:t>NHSE confirmed LSU capital bid.</w:t>
            </w:r>
          </w:p>
          <w:p w:rsidR="00435FD4" w:rsidRPr="00435FD4" w:rsidRDefault="00435FD4" w:rsidP="00435FD4">
            <w:pPr>
              <w:rPr>
                <w:rFonts w:ascii="Segoe UI" w:hAnsi="Segoe UI" w:cs="Segoe UI"/>
              </w:rPr>
            </w:pPr>
            <w:r w:rsidRPr="00435FD4">
              <w:rPr>
                <w:rFonts w:ascii="Segoe UI" w:hAnsi="Segoe UI" w:cs="Segoe UI"/>
              </w:rPr>
              <w:t xml:space="preserve">LSU detailed delivery and impact plan scoped and shared with Board. </w:t>
            </w:r>
          </w:p>
          <w:p w:rsidR="00435FD4" w:rsidRPr="00435FD4" w:rsidRDefault="00435FD4" w:rsidP="00435FD4">
            <w:pPr>
              <w:rPr>
                <w:rFonts w:ascii="Segoe UI" w:hAnsi="Segoe UI" w:cs="Segoe UI"/>
              </w:rPr>
            </w:pPr>
            <w:r w:rsidRPr="00435FD4">
              <w:rPr>
                <w:rFonts w:ascii="Segoe UI" w:hAnsi="Segoe UI" w:cs="Segoe UI"/>
              </w:rPr>
              <w:t>FIND team recruited and going live.</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Autism</w:t>
            </w:r>
          </w:p>
        </w:tc>
        <w:tc>
          <w:tcPr>
            <w:tcW w:w="6186" w:type="dxa"/>
          </w:tcPr>
          <w:p w:rsidR="00435FD4" w:rsidRPr="00435FD4" w:rsidRDefault="00435FD4" w:rsidP="00435FD4">
            <w:pPr>
              <w:rPr>
                <w:rFonts w:ascii="Segoe UI" w:hAnsi="Segoe UI" w:cs="Segoe UI"/>
              </w:rPr>
            </w:pPr>
            <w:r w:rsidRPr="00435FD4">
              <w:rPr>
                <w:rFonts w:ascii="Segoe UI" w:hAnsi="Segoe UI" w:cs="Segoe UI"/>
              </w:rPr>
              <w:t>Ox</w:t>
            </w:r>
            <w:r>
              <w:rPr>
                <w:rFonts w:ascii="Segoe UI" w:hAnsi="Segoe UI" w:cs="Segoe UI"/>
              </w:rPr>
              <w:t>fordshire</w:t>
            </w:r>
            <w:r w:rsidRPr="00435FD4">
              <w:rPr>
                <w:rFonts w:ascii="Segoe UI" w:hAnsi="Segoe UI" w:cs="Segoe UI"/>
              </w:rPr>
              <w:t xml:space="preserve"> Autism Strategy Implementation Group convened, high impact actions all underway.</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Quality</w:t>
            </w:r>
          </w:p>
        </w:tc>
        <w:tc>
          <w:tcPr>
            <w:tcW w:w="6186" w:type="dxa"/>
          </w:tcPr>
          <w:p w:rsidR="00435FD4" w:rsidRPr="00435FD4" w:rsidRDefault="00435FD4" w:rsidP="00435FD4">
            <w:pPr>
              <w:rPr>
                <w:rFonts w:ascii="Segoe UI" w:hAnsi="Segoe UI" w:cs="Segoe UI"/>
              </w:rPr>
            </w:pPr>
            <w:r w:rsidRPr="00435FD4">
              <w:rPr>
                <w:rFonts w:ascii="Segoe UI" w:hAnsi="Segoe UI" w:cs="Segoe UI"/>
              </w:rPr>
              <w:t>Service User Experience consultation data collated and analysed.</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Transition</w:t>
            </w:r>
          </w:p>
        </w:tc>
        <w:tc>
          <w:tcPr>
            <w:tcW w:w="6186" w:type="dxa"/>
          </w:tcPr>
          <w:p w:rsidR="00435FD4" w:rsidRPr="00435FD4" w:rsidRDefault="00435FD4" w:rsidP="00435FD4">
            <w:pPr>
              <w:rPr>
                <w:rFonts w:ascii="Segoe UI" w:hAnsi="Segoe UI" w:cs="Segoe UI"/>
              </w:rPr>
            </w:pPr>
            <w:r w:rsidRPr="00435FD4">
              <w:rPr>
                <w:rFonts w:ascii="Segoe UI" w:hAnsi="Segoe UI" w:cs="Segoe UI"/>
              </w:rPr>
              <w:t>LD Transition pathway signed off.</w:t>
            </w:r>
          </w:p>
        </w:tc>
      </w:tr>
      <w:tr w:rsidR="00435FD4" w:rsidRPr="00435FD4" w:rsidTr="00EB3F5A">
        <w:tc>
          <w:tcPr>
            <w:tcW w:w="2830" w:type="dxa"/>
          </w:tcPr>
          <w:p w:rsidR="00435FD4" w:rsidRPr="00435FD4" w:rsidRDefault="00435FD4" w:rsidP="00435FD4">
            <w:pPr>
              <w:rPr>
                <w:rFonts w:ascii="Segoe UI" w:hAnsi="Segoe UI" w:cs="Segoe UI"/>
              </w:rPr>
            </w:pPr>
            <w:r w:rsidRPr="00435FD4">
              <w:rPr>
                <w:rFonts w:ascii="Segoe UI" w:hAnsi="Segoe UI" w:cs="Segoe UI"/>
              </w:rPr>
              <w:t>Workforce</w:t>
            </w:r>
          </w:p>
        </w:tc>
        <w:tc>
          <w:tcPr>
            <w:tcW w:w="6186" w:type="dxa"/>
          </w:tcPr>
          <w:p w:rsidR="00435FD4" w:rsidRPr="00435FD4" w:rsidRDefault="00435FD4" w:rsidP="00435FD4">
            <w:pPr>
              <w:rPr>
                <w:rFonts w:ascii="Segoe UI" w:hAnsi="Segoe UI" w:cs="Segoe UI"/>
              </w:rPr>
            </w:pPr>
            <w:r w:rsidRPr="00435FD4">
              <w:rPr>
                <w:rFonts w:ascii="Segoe UI" w:hAnsi="Segoe UI" w:cs="Segoe UI"/>
              </w:rPr>
              <w:t xml:space="preserve">STP workforce plan signed off and submitted/ feedback from HEE/NSHE received/ response for BOB being collated by OHFT as lead partner. </w:t>
            </w:r>
          </w:p>
        </w:tc>
      </w:tr>
    </w:tbl>
    <w:p w:rsidR="008204FB" w:rsidRPr="000B311A" w:rsidRDefault="008204FB" w:rsidP="000B311A">
      <w:pPr>
        <w:spacing w:after="0" w:line="240" w:lineRule="auto"/>
        <w:rPr>
          <w:rFonts w:ascii="Segoe UI" w:hAnsi="Segoe UI" w:cs="Segoe UI"/>
        </w:rPr>
      </w:pPr>
    </w:p>
    <w:sectPr w:rsidR="008204FB" w:rsidRPr="000B311A" w:rsidSect="000B311A">
      <w:headerReference w:type="even" r:id="rId17"/>
      <w:headerReference w:type="default" r:id="rId18"/>
      <w:footerReference w:type="even" r:id="rId19"/>
      <w:footerReference w:type="default" r:id="rId20"/>
      <w:headerReference w:type="first" r:id="rId21"/>
      <w:footerReference w:type="first" r:id="rId2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2A" w:rsidRDefault="0015732A" w:rsidP="000C5D3F">
      <w:pPr>
        <w:spacing w:after="0" w:line="240" w:lineRule="auto"/>
      </w:pPr>
      <w:r>
        <w:separator/>
      </w:r>
    </w:p>
  </w:endnote>
  <w:endnote w:type="continuationSeparator" w:id="0">
    <w:p w:rsidR="0015732A" w:rsidRDefault="0015732A" w:rsidP="000C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69388"/>
      <w:docPartObj>
        <w:docPartGallery w:val="Page Numbers (Bottom of Page)"/>
        <w:docPartUnique/>
      </w:docPartObj>
    </w:sdtPr>
    <w:sdtEndPr>
      <w:rPr>
        <w:noProof/>
      </w:rPr>
    </w:sdtEndPr>
    <w:sdtContent>
      <w:p w:rsidR="000C5D3F" w:rsidRDefault="000C5D3F">
        <w:pPr>
          <w:pStyle w:val="Footer"/>
          <w:jc w:val="right"/>
        </w:pPr>
        <w:r>
          <w:fldChar w:fldCharType="begin"/>
        </w:r>
        <w:r>
          <w:instrText xml:space="preserve"> PAGE   \* MERGEFORMAT </w:instrText>
        </w:r>
        <w:r>
          <w:fldChar w:fldCharType="separate"/>
        </w:r>
        <w:r w:rsidR="00F86E70">
          <w:rPr>
            <w:noProof/>
          </w:rPr>
          <w:t>9</w:t>
        </w:r>
        <w:r>
          <w:rPr>
            <w:noProof/>
          </w:rPr>
          <w:fldChar w:fldCharType="end"/>
        </w:r>
      </w:p>
    </w:sdtContent>
  </w:sdt>
  <w:p w:rsidR="000C5D3F" w:rsidRDefault="000C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2A" w:rsidRDefault="0015732A" w:rsidP="000C5D3F">
      <w:pPr>
        <w:spacing w:after="0" w:line="240" w:lineRule="auto"/>
      </w:pPr>
      <w:r>
        <w:separator/>
      </w:r>
    </w:p>
  </w:footnote>
  <w:footnote w:type="continuationSeparator" w:id="0">
    <w:p w:rsidR="0015732A" w:rsidRDefault="0015732A" w:rsidP="000C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A78" w:rsidRDefault="00C16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30C1"/>
    <w:multiLevelType w:val="hybridMultilevel"/>
    <w:tmpl w:val="A4D4DD34"/>
    <w:lvl w:ilvl="0" w:tplc="333E631C">
      <w:numFmt w:val="bullet"/>
      <w:lvlText w:val="-"/>
      <w:lvlJc w:val="left"/>
      <w:pPr>
        <w:ind w:left="9018" w:hanging="720"/>
      </w:pPr>
      <w:rPr>
        <w:rFonts w:ascii="Segoe UI" w:eastAsiaTheme="minorHAnsi" w:hAnsi="Segoe UI" w:cs="Segoe UI" w:hint="default"/>
      </w:rPr>
    </w:lvl>
    <w:lvl w:ilvl="1" w:tplc="08090003" w:tentative="1">
      <w:start w:val="1"/>
      <w:numFmt w:val="bullet"/>
      <w:lvlText w:val="o"/>
      <w:lvlJc w:val="left"/>
      <w:pPr>
        <w:ind w:left="9378" w:hanging="360"/>
      </w:pPr>
      <w:rPr>
        <w:rFonts w:ascii="Courier New" w:hAnsi="Courier New" w:cs="Courier New" w:hint="default"/>
      </w:rPr>
    </w:lvl>
    <w:lvl w:ilvl="2" w:tplc="08090005" w:tentative="1">
      <w:start w:val="1"/>
      <w:numFmt w:val="bullet"/>
      <w:lvlText w:val=""/>
      <w:lvlJc w:val="left"/>
      <w:pPr>
        <w:ind w:left="10098" w:hanging="360"/>
      </w:pPr>
      <w:rPr>
        <w:rFonts w:ascii="Wingdings" w:hAnsi="Wingdings" w:hint="default"/>
      </w:rPr>
    </w:lvl>
    <w:lvl w:ilvl="3" w:tplc="08090001" w:tentative="1">
      <w:start w:val="1"/>
      <w:numFmt w:val="bullet"/>
      <w:lvlText w:val=""/>
      <w:lvlJc w:val="left"/>
      <w:pPr>
        <w:ind w:left="10818" w:hanging="360"/>
      </w:pPr>
      <w:rPr>
        <w:rFonts w:ascii="Symbol" w:hAnsi="Symbol" w:hint="default"/>
      </w:rPr>
    </w:lvl>
    <w:lvl w:ilvl="4" w:tplc="08090003" w:tentative="1">
      <w:start w:val="1"/>
      <w:numFmt w:val="bullet"/>
      <w:lvlText w:val="o"/>
      <w:lvlJc w:val="left"/>
      <w:pPr>
        <w:ind w:left="11538" w:hanging="360"/>
      </w:pPr>
      <w:rPr>
        <w:rFonts w:ascii="Courier New" w:hAnsi="Courier New" w:cs="Courier New" w:hint="default"/>
      </w:rPr>
    </w:lvl>
    <w:lvl w:ilvl="5" w:tplc="08090005" w:tentative="1">
      <w:start w:val="1"/>
      <w:numFmt w:val="bullet"/>
      <w:lvlText w:val=""/>
      <w:lvlJc w:val="left"/>
      <w:pPr>
        <w:ind w:left="12258" w:hanging="360"/>
      </w:pPr>
      <w:rPr>
        <w:rFonts w:ascii="Wingdings" w:hAnsi="Wingdings" w:hint="default"/>
      </w:rPr>
    </w:lvl>
    <w:lvl w:ilvl="6" w:tplc="08090001" w:tentative="1">
      <w:start w:val="1"/>
      <w:numFmt w:val="bullet"/>
      <w:lvlText w:val=""/>
      <w:lvlJc w:val="left"/>
      <w:pPr>
        <w:ind w:left="12978" w:hanging="360"/>
      </w:pPr>
      <w:rPr>
        <w:rFonts w:ascii="Symbol" w:hAnsi="Symbol" w:hint="default"/>
      </w:rPr>
    </w:lvl>
    <w:lvl w:ilvl="7" w:tplc="08090003" w:tentative="1">
      <w:start w:val="1"/>
      <w:numFmt w:val="bullet"/>
      <w:lvlText w:val="o"/>
      <w:lvlJc w:val="left"/>
      <w:pPr>
        <w:ind w:left="13698" w:hanging="360"/>
      </w:pPr>
      <w:rPr>
        <w:rFonts w:ascii="Courier New" w:hAnsi="Courier New" w:cs="Courier New" w:hint="default"/>
      </w:rPr>
    </w:lvl>
    <w:lvl w:ilvl="8" w:tplc="08090005" w:tentative="1">
      <w:start w:val="1"/>
      <w:numFmt w:val="bullet"/>
      <w:lvlText w:val=""/>
      <w:lvlJc w:val="left"/>
      <w:pPr>
        <w:ind w:left="14418" w:hanging="360"/>
      </w:pPr>
      <w:rPr>
        <w:rFonts w:ascii="Wingdings" w:hAnsi="Wingdings" w:hint="default"/>
      </w:rPr>
    </w:lvl>
  </w:abstractNum>
  <w:abstractNum w:abstractNumId="1" w15:restartNumberingAfterBreak="0">
    <w:nsid w:val="0C635F88"/>
    <w:multiLevelType w:val="hybridMultilevel"/>
    <w:tmpl w:val="4C74662A"/>
    <w:lvl w:ilvl="0" w:tplc="BE402F40">
      <w:start w:val="1"/>
      <w:numFmt w:val="bullet"/>
      <w:lvlText w:val="•"/>
      <w:lvlJc w:val="left"/>
      <w:pPr>
        <w:tabs>
          <w:tab w:val="num" w:pos="720"/>
        </w:tabs>
        <w:ind w:left="720" w:hanging="360"/>
      </w:pPr>
      <w:rPr>
        <w:rFonts w:ascii="Arial" w:hAnsi="Arial" w:hint="default"/>
      </w:rPr>
    </w:lvl>
    <w:lvl w:ilvl="1" w:tplc="0674E2D6" w:tentative="1">
      <w:start w:val="1"/>
      <w:numFmt w:val="bullet"/>
      <w:lvlText w:val="•"/>
      <w:lvlJc w:val="left"/>
      <w:pPr>
        <w:tabs>
          <w:tab w:val="num" w:pos="1440"/>
        </w:tabs>
        <w:ind w:left="1440" w:hanging="360"/>
      </w:pPr>
      <w:rPr>
        <w:rFonts w:ascii="Arial" w:hAnsi="Arial" w:hint="default"/>
      </w:rPr>
    </w:lvl>
    <w:lvl w:ilvl="2" w:tplc="CE6C9D54" w:tentative="1">
      <w:start w:val="1"/>
      <w:numFmt w:val="bullet"/>
      <w:lvlText w:val="•"/>
      <w:lvlJc w:val="left"/>
      <w:pPr>
        <w:tabs>
          <w:tab w:val="num" w:pos="2160"/>
        </w:tabs>
        <w:ind w:left="2160" w:hanging="360"/>
      </w:pPr>
      <w:rPr>
        <w:rFonts w:ascii="Arial" w:hAnsi="Arial" w:hint="default"/>
      </w:rPr>
    </w:lvl>
    <w:lvl w:ilvl="3" w:tplc="47FA9526" w:tentative="1">
      <w:start w:val="1"/>
      <w:numFmt w:val="bullet"/>
      <w:lvlText w:val="•"/>
      <w:lvlJc w:val="left"/>
      <w:pPr>
        <w:tabs>
          <w:tab w:val="num" w:pos="2880"/>
        </w:tabs>
        <w:ind w:left="2880" w:hanging="360"/>
      </w:pPr>
      <w:rPr>
        <w:rFonts w:ascii="Arial" w:hAnsi="Arial" w:hint="default"/>
      </w:rPr>
    </w:lvl>
    <w:lvl w:ilvl="4" w:tplc="529E0DDE" w:tentative="1">
      <w:start w:val="1"/>
      <w:numFmt w:val="bullet"/>
      <w:lvlText w:val="•"/>
      <w:lvlJc w:val="left"/>
      <w:pPr>
        <w:tabs>
          <w:tab w:val="num" w:pos="3600"/>
        </w:tabs>
        <w:ind w:left="3600" w:hanging="360"/>
      </w:pPr>
      <w:rPr>
        <w:rFonts w:ascii="Arial" w:hAnsi="Arial" w:hint="default"/>
      </w:rPr>
    </w:lvl>
    <w:lvl w:ilvl="5" w:tplc="5E44B37A" w:tentative="1">
      <w:start w:val="1"/>
      <w:numFmt w:val="bullet"/>
      <w:lvlText w:val="•"/>
      <w:lvlJc w:val="left"/>
      <w:pPr>
        <w:tabs>
          <w:tab w:val="num" w:pos="4320"/>
        </w:tabs>
        <w:ind w:left="4320" w:hanging="360"/>
      </w:pPr>
      <w:rPr>
        <w:rFonts w:ascii="Arial" w:hAnsi="Arial" w:hint="default"/>
      </w:rPr>
    </w:lvl>
    <w:lvl w:ilvl="6" w:tplc="F8986956" w:tentative="1">
      <w:start w:val="1"/>
      <w:numFmt w:val="bullet"/>
      <w:lvlText w:val="•"/>
      <w:lvlJc w:val="left"/>
      <w:pPr>
        <w:tabs>
          <w:tab w:val="num" w:pos="5040"/>
        </w:tabs>
        <w:ind w:left="5040" w:hanging="360"/>
      </w:pPr>
      <w:rPr>
        <w:rFonts w:ascii="Arial" w:hAnsi="Arial" w:hint="default"/>
      </w:rPr>
    </w:lvl>
    <w:lvl w:ilvl="7" w:tplc="62C6C422" w:tentative="1">
      <w:start w:val="1"/>
      <w:numFmt w:val="bullet"/>
      <w:lvlText w:val="•"/>
      <w:lvlJc w:val="left"/>
      <w:pPr>
        <w:tabs>
          <w:tab w:val="num" w:pos="5760"/>
        </w:tabs>
        <w:ind w:left="5760" w:hanging="360"/>
      </w:pPr>
      <w:rPr>
        <w:rFonts w:ascii="Arial" w:hAnsi="Arial" w:hint="default"/>
      </w:rPr>
    </w:lvl>
    <w:lvl w:ilvl="8" w:tplc="02EEA5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94702"/>
    <w:multiLevelType w:val="hybridMultilevel"/>
    <w:tmpl w:val="D9C85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24E"/>
    <w:multiLevelType w:val="hybridMultilevel"/>
    <w:tmpl w:val="6B46C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C0AB3"/>
    <w:multiLevelType w:val="hybridMultilevel"/>
    <w:tmpl w:val="4548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C410E"/>
    <w:multiLevelType w:val="hybridMultilevel"/>
    <w:tmpl w:val="26FCECB4"/>
    <w:lvl w:ilvl="0" w:tplc="9FDC55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64B"/>
    <w:multiLevelType w:val="hybridMultilevel"/>
    <w:tmpl w:val="8474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F05AB"/>
    <w:multiLevelType w:val="hybridMultilevel"/>
    <w:tmpl w:val="268401FC"/>
    <w:lvl w:ilvl="0" w:tplc="78B8A7F6">
      <w:start w:val="1"/>
      <w:numFmt w:val="bullet"/>
      <w:lvlText w:val="•"/>
      <w:lvlJc w:val="left"/>
      <w:pPr>
        <w:tabs>
          <w:tab w:val="num" w:pos="720"/>
        </w:tabs>
        <w:ind w:left="720" w:hanging="360"/>
      </w:pPr>
      <w:rPr>
        <w:rFonts w:ascii="Arial" w:hAnsi="Arial" w:hint="default"/>
      </w:rPr>
    </w:lvl>
    <w:lvl w:ilvl="1" w:tplc="F424B462" w:tentative="1">
      <w:start w:val="1"/>
      <w:numFmt w:val="bullet"/>
      <w:lvlText w:val="•"/>
      <w:lvlJc w:val="left"/>
      <w:pPr>
        <w:tabs>
          <w:tab w:val="num" w:pos="1440"/>
        </w:tabs>
        <w:ind w:left="1440" w:hanging="360"/>
      </w:pPr>
      <w:rPr>
        <w:rFonts w:ascii="Arial" w:hAnsi="Arial" w:hint="default"/>
      </w:rPr>
    </w:lvl>
    <w:lvl w:ilvl="2" w:tplc="8444C746" w:tentative="1">
      <w:start w:val="1"/>
      <w:numFmt w:val="bullet"/>
      <w:lvlText w:val="•"/>
      <w:lvlJc w:val="left"/>
      <w:pPr>
        <w:tabs>
          <w:tab w:val="num" w:pos="2160"/>
        </w:tabs>
        <w:ind w:left="2160" w:hanging="360"/>
      </w:pPr>
      <w:rPr>
        <w:rFonts w:ascii="Arial" w:hAnsi="Arial" w:hint="default"/>
      </w:rPr>
    </w:lvl>
    <w:lvl w:ilvl="3" w:tplc="53D45026" w:tentative="1">
      <w:start w:val="1"/>
      <w:numFmt w:val="bullet"/>
      <w:lvlText w:val="•"/>
      <w:lvlJc w:val="left"/>
      <w:pPr>
        <w:tabs>
          <w:tab w:val="num" w:pos="2880"/>
        </w:tabs>
        <w:ind w:left="2880" w:hanging="360"/>
      </w:pPr>
      <w:rPr>
        <w:rFonts w:ascii="Arial" w:hAnsi="Arial" w:hint="default"/>
      </w:rPr>
    </w:lvl>
    <w:lvl w:ilvl="4" w:tplc="3DC0663A" w:tentative="1">
      <w:start w:val="1"/>
      <w:numFmt w:val="bullet"/>
      <w:lvlText w:val="•"/>
      <w:lvlJc w:val="left"/>
      <w:pPr>
        <w:tabs>
          <w:tab w:val="num" w:pos="3600"/>
        </w:tabs>
        <w:ind w:left="3600" w:hanging="360"/>
      </w:pPr>
      <w:rPr>
        <w:rFonts w:ascii="Arial" w:hAnsi="Arial" w:hint="default"/>
      </w:rPr>
    </w:lvl>
    <w:lvl w:ilvl="5" w:tplc="549C3E3A" w:tentative="1">
      <w:start w:val="1"/>
      <w:numFmt w:val="bullet"/>
      <w:lvlText w:val="•"/>
      <w:lvlJc w:val="left"/>
      <w:pPr>
        <w:tabs>
          <w:tab w:val="num" w:pos="4320"/>
        </w:tabs>
        <w:ind w:left="4320" w:hanging="360"/>
      </w:pPr>
      <w:rPr>
        <w:rFonts w:ascii="Arial" w:hAnsi="Arial" w:hint="default"/>
      </w:rPr>
    </w:lvl>
    <w:lvl w:ilvl="6" w:tplc="84AEA81E" w:tentative="1">
      <w:start w:val="1"/>
      <w:numFmt w:val="bullet"/>
      <w:lvlText w:val="•"/>
      <w:lvlJc w:val="left"/>
      <w:pPr>
        <w:tabs>
          <w:tab w:val="num" w:pos="5040"/>
        </w:tabs>
        <w:ind w:left="5040" w:hanging="360"/>
      </w:pPr>
      <w:rPr>
        <w:rFonts w:ascii="Arial" w:hAnsi="Arial" w:hint="default"/>
      </w:rPr>
    </w:lvl>
    <w:lvl w:ilvl="7" w:tplc="F1F49DBE" w:tentative="1">
      <w:start w:val="1"/>
      <w:numFmt w:val="bullet"/>
      <w:lvlText w:val="•"/>
      <w:lvlJc w:val="left"/>
      <w:pPr>
        <w:tabs>
          <w:tab w:val="num" w:pos="5760"/>
        </w:tabs>
        <w:ind w:left="5760" w:hanging="360"/>
      </w:pPr>
      <w:rPr>
        <w:rFonts w:ascii="Arial" w:hAnsi="Arial" w:hint="default"/>
      </w:rPr>
    </w:lvl>
    <w:lvl w:ilvl="8" w:tplc="FD4E59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914F30"/>
    <w:multiLevelType w:val="hybridMultilevel"/>
    <w:tmpl w:val="70F4D8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A6A43"/>
    <w:multiLevelType w:val="hybridMultilevel"/>
    <w:tmpl w:val="CC927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36B22"/>
    <w:multiLevelType w:val="hybridMultilevel"/>
    <w:tmpl w:val="8B70B11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1252F7"/>
    <w:multiLevelType w:val="hybridMultilevel"/>
    <w:tmpl w:val="15027280"/>
    <w:lvl w:ilvl="0" w:tplc="0D66593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26D74"/>
    <w:multiLevelType w:val="hybridMultilevel"/>
    <w:tmpl w:val="70BC41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900B13"/>
    <w:multiLevelType w:val="hybridMultilevel"/>
    <w:tmpl w:val="176C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55A78"/>
    <w:multiLevelType w:val="hybridMultilevel"/>
    <w:tmpl w:val="E47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238A0"/>
    <w:multiLevelType w:val="hybridMultilevel"/>
    <w:tmpl w:val="3D4AA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54406"/>
    <w:multiLevelType w:val="hybridMultilevel"/>
    <w:tmpl w:val="346A1778"/>
    <w:lvl w:ilvl="0" w:tplc="C08064B0">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C3965"/>
    <w:multiLevelType w:val="hybridMultilevel"/>
    <w:tmpl w:val="20B2BD18"/>
    <w:lvl w:ilvl="0" w:tplc="B994DA44">
      <w:start w:val="1"/>
      <w:numFmt w:val="bullet"/>
      <w:lvlText w:val="•"/>
      <w:lvlJc w:val="left"/>
      <w:pPr>
        <w:tabs>
          <w:tab w:val="num" w:pos="720"/>
        </w:tabs>
        <w:ind w:left="720" w:hanging="360"/>
      </w:pPr>
      <w:rPr>
        <w:rFonts w:ascii="Arial" w:hAnsi="Arial" w:hint="default"/>
      </w:rPr>
    </w:lvl>
    <w:lvl w:ilvl="1" w:tplc="EA6E11A4" w:tentative="1">
      <w:start w:val="1"/>
      <w:numFmt w:val="bullet"/>
      <w:lvlText w:val="•"/>
      <w:lvlJc w:val="left"/>
      <w:pPr>
        <w:tabs>
          <w:tab w:val="num" w:pos="1440"/>
        </w:tabs>
        <w:ind w:left="1440" w:hanging="360"/>
      </w:pPr>
      <w:rPr>
        <w:rFonts w:ascii="Arial" w:hAnsi="Arial" w:hint="default"/>
      </w:rPr>
    </w:lvl>
    <w:lvl w:ilvl="2" w:tplc="2B20EA7A" w:tentative="1">
      <w:start w:val="1"/>
      <w:numFmt w:val="bullet"/>
      <w:lvlText w:val="•"/>
      <w:lvlJc w:val="left"/>
      <w:pPr>
        <w:tabs>
          <w:tab w:val="num" w:pos="2160"/>
        </w:tabs>
        <w:ind w:left="2160" w:hanging="360"/>
      </w:pPr>
      <w:rPr>
        <w:rFonts w:ascii="Arial" w:hAnsi="Arial" w:hint="default"/>
      </w:rPr>
    </w:lvl>
    <w:lvl w:ilvl="3" w:tplc="E7C4F4B2" w:tentative="1">
      <w:start w:val="1"/>
      <w:numFmt w:val="bullet"/>
      <w:lvlText w:val="•"/>
      <w:lvlJc w:val="left"/>
      <w:pPr>
        <w:tabs>
          <w:tab w:val="num" w:pos="2880"/>
        </w:tabs>
        <w:ind w:left="2880" w:hanging="360"/>
      </w:pPr>
      <w:rPr>
        <w:rFonts w:ascii="Arial" w:hAnsi="Arial" w:hint="default"/>
      </w:rPr>
    </w:lvl>
    <w:lvl w:ilvl="4" w:tplc="E8DCFE6E" w:tentative="1">
      <w:start w:val="1"/>
      <w:numFmt w:val="bullet"/>
      <w:lvlText w:val="•"/>
      <w:lvlJc w:val="left"/>
      <w:pPr>
        <w:tabs>
          <w:tab w:val="num" w:pos="3600"/>
        </w:tabs>
        <w:ind w:left="3600" w:hanging="360"/>
      </w:pPr>
      <w:rPr>
        <w:rFonts w:ascii="Arial" w:hAnsi="Arial" w:hint="default"/>
      </w:rPr>
    </w:lvl>
    <w:lvl w:ilvl="5" w:tplc="7A465686" w:tentative="1">
      <w:start w:val="1"/>
      <w:numFmt w:val="bullet"/>
      <w:lvlText w:val="•"/>
      <w:lvlJc w:val="left"/>
      <w:pPr>
        <w:tabs>
          <w:tab w:val="num" w:pos="4320"/>
        </w:tabs>
        <w:ind w:left="4320" w:hanging="360"/>
      </w:pPr>
      <w:rPr>
        <w:rFonts w:ascii="Arial" w:hAnsi="Arial" w:hint="default"/>
      </w:rPr>
    </w:lvl>
    <w:lvl w:ilvl="6" w:tplc="A5B8F8BA" w:tentative="1">
      <w:start w:val="1"/>
      <w:numFmt w:val="bullet"/>
      <w:lvlText w:val="•"/>
      <w:lvlJc w:val="left"/>
      <w:pPr>
        <w:tabs>
          <w:tab w:val="num" w:pos="5040"/>
        </w:tabs>
        <w:ind w:left="5040" w:hanging="360"/>
      </w:pPr>
      <w:rPr>
        <w:rFonts w:ascii="Arial" w:hAnsi="Arial" w:hint="default"/>
      </w:rPr>
    </w:lvl>
    <w:lvl w:ilvl="7" w:tplc="7988CA7C" w:tentative="1">
      <w:start w:val="1"/>
      <w:numFmt w:val="bullet"/>
      <w:lvlText w:val="•"/>
      <w:lvlJc w:val="left"/>
      <w:pPr>
        <w:tabs>
          <w:tab w:val="num" w:pos="5760"/>
        </w:tabs>
        <w:ind w:left="5760" w:hanging="360"/>
      </w:pPr>
      <w:rPr>
        <w:rFonts w:ascii="Arial" w:hAnsi="Arial" w:hint="default"/>
      </w:rPr>
    </w:lvl>
    <w:lvl w:ilvl="8" w:tplc="9AD206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42C7D"/>
    <w:multiLevelType w:val="hybridMultilevel"/>
    <w:tmpl w:val="8A44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C3BF6"/>
    <w:multiLevelType w:val="hybridMultilevel"/>
    <w:tmpl w:val="38AEC95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12AA7"/>
    <w:multiLevelType w:val="hybridMultilevel"/>
    <w:tmpl w:val="055AA58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963356"/>
    <w:multiLevelType w:val="multilevel"/>
    <w:tmpl w:val="DDB4F608"/>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1F41C0"/>
    <w:multiLevelType w:val="multilevel"/>
    <w:tmpl w:val="4A227C8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8BC0E21"/>
    <w:multiLevelType w:val="hybridMultilevel"/>
    <w:tmpl w:val="55B8092C"/>
    <w:lvl w:ilvl="0" w:tplc="61F21B46">
      <w:start w:val="1"/>
      <w:numFmt w:val="bullet"/>
      <w:lvlText w:val="•"/>
      <w:lvlJc w:val="left"/>
      <w:pPr>
        <w:tabs>
          <w:tab w:val="num" w:pos="720"/>
        </w:tabs>
        <w:ind w:left="720" w:hanging="360"/>
      </w:pPr>
      <w:rPr>
        <w:rFonts w:ascii="Arial" w:hAnsi="Arial" w:hint="default"/>
      </w:rPr>
    </w:lvl>
    <w:lvl w:ilvl="1" w:tplc="C8645E40" w:tentative="1">
      <w:start w:val="1"/>
      <w:numFmt w:val="bullet"/>
      <w:lvlText w:val="•"/>
      <w:lvlJc w:val="left"/>
      <w:pPr>
        <w:tabs>
          <w:tab w:val="num" w:pos="1440"/>
        </w:tabs>
        <w:ind w:left="1440" w:hanging="360"/>
      </w:pPr>
      <w:rPr>
        <w:rFonts w:ascii="Arial" w:hAnsi="Arial" w:hint="default"/>
      </w:rPr>
    </w:lvl>
    <w:lvl w:ilvl="2" w:tplc="56E04150" w:tentative="1">
      <w:start w:val="1"/>
      <w:numFmt w:val="bullet"/>
      <w:lvlText w:val="•"/>
      <w:lvlJc w:val="left"/>
      <w:pPr>
        <w:tabs>
          <w:tab w:val="num" w:pos="2160"/>
        </w:tabs>
        <w:ind w:left="2160" w:hanging="360"/>
      </w:pPr>
      <w:rPr>
        <w:rFonts w:ascii="Arial" w:hAnsi="Arial" w:hint="default"/>
      </w:rPr>
    </w:lvl>
    <w:lvl w:ilvl="3" w:tplc="21AC0D3C" w:tentative="1">
      <w:start w:val="1"/>
      <w:numFmt w:val="bullet"/>
      <w:lvlText w:val="•"/>
      <w:lvlJc w:val="left"/>
      <w:pPr>
        <w:tabs>
          <w:tab w:val="num" w:pos="2880"/>
        </w:tabs>
        <w:ind w:left="2880" w:hanging="360"/>
      </w:pPr>
      <w:rPr>
        <w:rFonts w:ascii="Arial" w:hAnsi="Arial" w:hint="default"/>
      </w:rPr>
    </w:lvl>
    <w:lvl w:ilvl="4" w:tplc="2F008C0A" w:tentative="1">
      <w:start w:val="1"/>
      <w:numFmt w:val="bullet"/>
      <w:lvlText w:val="•"/>
      <w:lvlJc w:val="left"/>
      <w:pPr>
        <w:tabs>
          <w:tab w:val="num" w:pos="3600"/>
        </w:tabs>
        <w:ind w:left="3600" w:hanging="360"/>
      </w:pPr>
      <w:rPr>
        <w:rFonts w:ascii="Arial" w:hAnsi="Arial" w:hint="default"/>
      </w:rPr>
    </w:lvl>
    <w:lvl w:ilvl="5" w:tplc="EE9A388E" w:tentative="1">
      <w:start w:val="1"/>
      <w:numFmt w:val="bullet"/>
      <w:lvlText w:val="•"/>
      <w:lvlJc w:val="left"/>
      <w:pPr>
        <w:tabs>
          <w:tab w:val="num" w:pos="4320"/>
        </w:tabs>
        <w:ind w:left="4320" w:hanging="360"/>
      </w:pPr>
      <w:rPr>
        <w:rFonts w:ascii="Arial" w:hAnsi="Arial" w:hint="default"/>
      </w:rPr>
    </w:lvl>
    <w:lvl w:ilvl="6" w:tplc="FBB4CA4E" w:tentative="1">
      <w:start w:val="1"/>
      <w:numFmt w:val="bullet"/>
      <w:lvlText w:val="•"/>
      <w:lvlJc w:val="left"/>
      <w:pPr>
        <w:tabs>
          <w:tab w:val="num" w:pos="5040"/>
        </w:tabs>
        <w:ind w:left="5040" w:hanging="360"/>
      </w:pPr>
      <w:rPr>
        <w:rFonts w:ascii="Arial" w:hAnsi="Arial" w:hint="default"/>
      </w:rPr>
    </w:lvl>
    <w:lvl w:ilvl="7" w:tplc="BB121E8C" w:tentative="1">
      <w:start w:val="1"/>
      <w:numFmt w:val="bullet"/>
      <w:lvlText w:val="•"/>
      <w:lvlJc w:val="left"/>
      <w:pPr>
        <w:tabs>
          <w:tab w:val="num" w:pos="5760"/>
        </w:tabs>
        <w:ind w:left="5760" w:hanging="360"/>
      </w:pPr>
      <w:rPr>
        <w:rFonts w:ascii="Arial" w:hAnsi="Arial" w:hint="default"/>
      </w:rPr>
    </w:lvl>
    <w:lvl w:ilvl="8" w:tplc="62CA5A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FC6F56"/>
    <w:multiLevelType w:val="hybridMultilevel"/>
    <w:tmpl w:val="24FAF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3110F"/>
    <w:multiLevelType w:val="hybridMultilevel"/>
    <w:tmpl w:val="E52C7EA6"/>
    <w:lvl w:ilvl="0" w:tplc="573C0534">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1"/>
  </w:num>
  <w:num w:numId="4">
    <w:abstractNumId w:val="4"/>
  </w:num>
  <w:num w:numId="5">
    <w:abstractNumId w:val="13"/>
  </w:num>
  <w:num w:numId="6">
    <w:abstractNumId w:val="14"/>
  </w:num>
  <w:num w:numId="7">
    <w:abstractNumId w:val="7"/>
  </w:num>
  <w:num w:numId="8">
    <w:abstractNumId w:val="17"/>
  </w:num>
  <w:num w:numId="9">
    <w:abstractNumId w:val="23"/>
  </w:num>
  <w:num w:numId="10">
    <w:abstractNumId w:val="1"/>
  </w:num>
  <w:num w:numId="11">
    <w:abstractNumId w:val="6"/>
  </w:num>
  <w:num w:numId="12">
    <w:abstractNumId w:val="15"/>
  </w:num>
  <w:num w:numId="13">
    <w:abstractNumId w:val="0"/>
  </w:num>
  <w:num w:numId="14">
    <w:abstractNumId w:val="20"/>
  </w:num>
  <w:num w:numId="15">
    <w:abstractNumId w:val="3"/>
  </w:num>
  <w:num w:numId="16">
    <w:abstractNumId w:val="16"/>
  </w:num>
  <w:num w:numId="17">
    <w:abstractNumId w:val="19"/>
  </w:num>
  <w:num w:numId="18">
    <w:abstractNumId w:val="2"/>
  </w:num>
  <w:num w:numId="19">
    <w:abstractNumId w:val="11"/>
  </w:num>
  <w:num w:numId="20">
    <w:abstractNumId w:val="24"/>
  </w:num>
  <w:num w:numId="21">
    <w:abstractNumId w:val="25"/>
  </w:num>
  <w:num w:numId="22">
    <w:abstractNumId w:val="18"/>
  </w:num>
  <w:num w:numId="23">
    <w:abstractNumId w:val="10"/>
  </w:num>
  <w:num w:numId="24">
    <w:abstractNumId w:val="1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7"/>
    <w:rsid w:val="00005B3B"/>
    <w:rsid w:val="00030336"/>
    <w:rsid w:val="00052A2E"/>
    <w:rsid w:val="000531E8"/>
    <w:rsid w:val="00061F12"/>
    <w:rsid w:val="000A7332"/>
    <w:rsid w:val="000B311A"/>
    <w:rsid w:val="000C5D3F"/>
    <w:rsid w:val="000D08FF"/>
    <w:rsid w:val="000D6D82"/>
    <w:rsid w:val="0012296C"/>
    <w:rsid w:val="00156E5B"/>
    <w:rsid w:val="0015732A"/>
    <w:rsid w:val="00167D76"/>
    <w:rsid w:val="00182369"/>
    <w:rsid w:val="001832E5"/>
    <w:rsid w:val="001847C4"/>
    <w:rsid w:val="00194E65"/>
    <w:rsid w:val="001A4D77"/>
    <w:rsid w:val="001A5C90"/>
    <w:rsid w:val="001B45EA"/>
    <w:rsid w:val="001C589C"/>
    <w:rsid w:val="001D2E7F"/>
    <w:rsid w:val="001E1C2F"/>
    <w:rsid w:val="001E72DD"/>
    <w:rsid w:val="00206AA3"/>
    <w:rsid w:val="002101E8"/>
    <w:rsid w:val="002249FA"/>
    <w:rsid w:val="00226EC4"/>
    <w:rsid w:val="00240FA9"/>
    <w:rsid w:val="002518C5"/>
    <w:rsid w:val="002543B4"/>
    <w:rsid w:val="002564A5"/>
    <w:rsid w:val="002638CD"/>
    <w:rsid w:val="002A3412"/>
    <w:rsid w:val="002B094F"/>
    <w:rsid w:val="002C4383"/>
    <w:rsid w:val="002D139C"/>
    <w:rsid w:val="002F2216"/>
    <w:rsid w:val="002F4309"/>
    <w:rsid w:val="00302934"/>
    <w:rsid w:val="003038B6"/>
    <w:rsid w:val="00307856"/>
    <w:rsid w:val="00315388"/>
    <w:rsid w:val="00322AC9"/>
    <w:rsid w:val="003237DE"/>
    <w:rsid w:val="00340F54"/>
    <w:rsid w:val="00353A43"/>
    <w:rsid w:val="00396A6A"/>
    <w:rsid w:val="00396B5E"/>
    <w:rsid w:val="003B0EE9"/>
    <w:rsid w:val="003F33BB"/>
    <w:rsid w:val="00400A3D"/>
    <w:rsid w:val="004340B7"/>
    <w:rsid w:val="00435FD4"/>
    <w:rsid w:val="00463517"/>
    <w:rsid w:val="004727DC"/>
    <w:rsid w:val="004777CF"/>
    <w:rsid w:val="00484DA6"/>
    <w:rsid w:val="00490967"/>
    <w:rsid w:val="004924E6"/>
    <w:rsid w:val="004A3104"/>
    <w:rsid w:val="004C55E0"/>
    <w:rsid w:val="004D0100"/>
    <w:rsid w:val="004D6F25"/>
    <w:rsid w:val="004F0F04"/>
    <w:rsid w:val="00505D27"/>
    <w:rsid w:val="0051459C"/>
    <w:rsid w:val="0053347F"/>
    <w:rsid w:val="0053378A"/>
    <w:rsid w:val="00583317"/>
    <w:rsid w:val="00586F12"/>
    <w:rsid w:val="0059053C"/>
    <w:rsid w:val="005C5D34"/>
    <w:rsid w:val="005F095C"/>
    <w:rsid w:val="00620373"/>
    <w:rsid w:val="006E60CB"/>
    <w:rsid w:val="006E749F"/>
    <w:rsid w:val="006F0282"/>
    <w:rsid w:val="007037B6"/>
    <w:rsid w:val="007203FE"/>
    <w:rsid w:val="00741049"/>
    <w:rsid w:val="0076297A"/>
    <w:rsid w:val="0077315E"/>
    <w:rsid w:val="007B2585"/>
    <w:rsid w:val="007E2FDB"/>
    <w:rsid w:val="0081215F"/>
    <w:rsid w:val="00817F9E"/>
    <w:rsid w:val="008204FB"/>
    <w:rsid w:val="0083204A"/>
    <w:rsid w:val="00851A6F"/>
    <w:rsid w:val="00855050"/>
    <w:rsid w:val="0087165D"/>
    <w:rsid w:val="008805DA"/>
    <w:rsid w:val="008816F5"/>
    <w:rsid w:val="00890DAE"/>
    <w:rsid w:val="008B1215"/>
    <w:rsid w:val="008B5CDF"/>
    <w:rsid w:val="008F2952"/>
    <w:rsid w:val="00910163"/>
    <w:rsid w:val="00914AA7"/>
    <w:rsid w:val="0093101D"/>
    <w:rsid w:val="009409B7"/>
    <w:rsid w:val="009513E1"/>
    <w:rsid w:val="009D4CD8"/>
    <w:rsid w:val="009E5AE5"/>
    <w:rsid w:val="009E61B5"/>
    <w:rsid w:val="009F059A"/>
    <w:rsid w:val="00A05965"/>
    <w:rsid w:val="00A2468C"/>
    <w:rsid w:val="00A90596"/>
    <w:rsid w:val="00AA4294"/>
    <w:rsid w:val="00AA4F80"/>
    <w:rsid w:val="00AD0C6F"/>
    <w:rsid w:val="00B01DCC"/>
    <w:rsid w:val="00B0459C"/>
    <w:rsid w:val="00B10C0C"/>
    <w:rsid w:val="00B23E4B"/>
    <w:rsid w:val="00B332E4"/>
    <w:rsid w:val="00B74A21"/>
    <w:rsid w:val="00B8793C"/>
    <w:rsid w:val="00BB04D6"/>
    <w:rsid w:val="00BD657F"/>
    <w:rsid w:val="00BF7AD8"/>
    <w:rsid w:val="00C03D10"/>
    <w:rsid w:val="00C04818"/>
    <w:rsid w:val="00C16A78"/>
    <w:rsid w:val="00C17985"/>
    <w:rsid w:val="00C24459"/>
    <w:rsid w:val="00C25FBA"/>
    <w:rsid w:val="00C50D3E"/>
    <w:rsid w:val="00C619ED"/>
    <w:rsid w:val="00CA219A"/>
    <w:rsid w:val="00CB1448"/>
    <w:rsid w:val="00CB22DF"/>
    <w:rsid w:val="00CB2BA6"/>
    <w:rsid w:val="00CB47AA"/>
    <w:rsid w:val="00CC3AEC"/>
    <w:rsid w:val="00CD7D17"/>
    <w:rsid w:val="00CE7CCA"/>
    <w:rsid w:val="00D07B9B"/>
    <w:rsid w:val="00D50AAA"/>
    <w:rsid w:val="00D6176C"/>
    <w:rsid w:val="00DF234A"/>
    <w:rsid w:val="00E01F3F"/>
    <w:rsid w:val="00E16FC4"/>
    <w:rsid w:val="00E26E5E"/>
    <w:rsid w:val="00E566A3"/>
    <w:rsid w:val="00E9105A"/>
    <w:rsid w:val="00EB3F5A"/>
    <w:rsid w:val="00EB675A"/>
    <w:rsid w:val="00ED7E9C"/>
    <w:rsid w:val="00EE34C1"/>
    <w:rsid w:val="00EE6EDC"/>
    <w:rsid w:val="00EF2C04"/>
    <w:rsid w:val="00F02B4C"/>
    <w:rsid w:val="00F04140"/>
    <w:rsid w:val="00F05945"/>
    <w:rsid w:val="00F079CB"/>
    <w:rsid w:val="00F11FFE"/>
    <w:rsid w:val="00F15BED"/>
    <w:rsid w:val="00F24E7F"/>
    <w:rsid w:val="00F366AE"/>
    <w:rsid w:val="00F67ED0"/>
    <w:rsid w:val="00F81E37"/>
    <w:rsid w:val="00F86E70"/>
    <w:rsid w:val="00FD1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6D3D8"/>
  <w15:chartTrackingRefBased/>
  <w15:docId w15:val="{6DE7CA5B-31E5-4C50-8F5F-92171325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6F5"/>
    <w:pPr>
      <w:spacing w:after="0" w:line="240" w:lineRule="auto"/>
    </w:pPr>
  </w:style>
  <w:style w:type="paragraph" w:styleId="Header">
    <w:name w:val="header"/>
    <w:basedOn w:val="Normal"/>
    <w:link w:val="HeaderChar"/>
    <w:uiPriority w:val="99"/>
    <w:unhideWhenUsed/>
    <w:rsid w:val="000C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3F"/>
  </w:style>
  <w:style w:type="paragraph" w:styleId="Footer">
    <w:name w:val="footer"/>
    <w:basedOn w:val="Normal"/>
    <w:link w:val="FooterChar"/>
    <w:uiPriority w:val="99"/>
    <w:unhideWhenUsed/>
    <w:rsid w:val="000C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D3F"/>
  </w:style>
  <w:style w:type="table" w:styleId="TableGrid">
    <w:name w:val="Table Grid"/>
    <w:basedOn w:val="TableNormal"/>
    <w:uiPriority w:val="59"/>
    <w:rsid w:val="001A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12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11FFE"/>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2518C5"/>
    <w:pPr>
      <w:ind w:left="720"/>
      <w:contextualSpacing/>
    </w:pPr>
  </w:style>
  <w:style w:type="paragraph" w:styleId="BalloonText">
    <w:name w:val="Balloon Text"/>
    <w:basedOn w:val="Normal"/>
    <w:link w:val="BalloonTextChar"/>
    <w:uiPriority w:val="99"/>
    <w:semiHidden/>
    <w:unhideWhenUsed/>
    <w:rsid w:val="00053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E8"/>
    <w:rPr>
      <w:rFonts w:ascii="Segoe UI" w:hAnsi="Segoe UI" w:cs="Segoe UI"/>
      <w:sz w:val="18"/>
      <w:szCs w:val="18"/>
    </w:rPr>
  </w:style>
  <w:style w:type="character" w:styleId="CommentReference">
    <w:name w:val="annotation reference"/>
    <w:basedOn w:val="DefaultParagraphFont"/>
    <w:uiPriority w:val="99"/>
    <w:semiHidden/>
    <w:unhideWhenUsed/>
    <w:rsid w:val="00463517"/>
    <w:rPr>
      <w:sz w:val="16"/>
      <w:szCs w:val="16"/>
    </w:rPr>
  </w:style>
  <w:style w:type="paragraph" w:styleId="CommentText">
    <w:name w:val="annotation text"/>
    <w:basedOn w:val="Normal"/>
    <w:link w:val="CommentTextChar"/>
    <w:uiPriority w:val="99"/>
    <w:semiHidden/>
    <w:unhideWhenUsed/>
    <w:rsid w:val="00463517"/>
    <w:pPr>
      <w:spacing w:line="240" w:lineRule="auto"/>
    </w:pPr>
    <w:rPr>
      <w:sz w:val="20"/>
      <w:szCs w:val="20"/>
    </w:rPr>
  </w:style>
  <w:style w:type="character" w:customStyle="1" w:styleId="CommentTextChar">
    <w:name w:val="Comment Text Char"/>
    <w:basedOn w:val="DefaultParagraphFont"/>
    <w:link w:val="CommentText"/>
    <w:uiPriority w:val="99"/>
    <w:semiHidden/>
    <w:rsid w:val="00463517"/>
    <w:rPr>
      <w:sz w:val="20"/>
      <w:szCs w:val="20"/>
    </w:rPr>
  </w:style>
  <w:style w:type="paragraph" w:styleId="CommentSubject">
    <w:name w:val="annotation subject"/>
    <w:basedOn w:val="CommentText"/>
    <w:next w:val="CommentText"/>
    <w:link w:val="CommentSubjectChar"/>
    <w:uiPriority w:val="99"/>
    <w:semiHidden/>
    <w:unhideWhenUsed/>
    <w:rsid w:val="00463517"/>
    <w:rPr>
      <w:b/>
      <w:bCs/>
    </w:rPr>
  </w:style>
  <w:style w:type="character" w:customStyle="1" w:styleId="CommentSubjectChar">
    <w:name w:val="Comment Subject Char"/>
    <w:basedOn w:val="CommentTextChar"/>
    <w:link w:val="CommentSubject"/>
    <w:uiPriority w:val="99"/>
    <w:semiHidden/>
    <w:rsid w:val="00463517"/>
    <w:rPr>
      <w:b/>
      <w:bCs/>
      <w:sz w:val="20"/>
      <w:szCs w:val="20"/>
    </w:rPr>
  </w:style>
  <w:style w:type="table" w:customStyle="1" w:styleId="TableGrid1">
    <w:name w:val="Table Grid1"/>
    <w:basedOn w:val="TableNormal"/>
    <w:next w:val="TableGrid"/>
    <w:uiPriority w:val="59"/>
    <w:rsid w:val="0043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2037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2037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3237DE"/>
    <w:rPr>
      <w:rFonts w:ascii="Arial" w:hAnsi="Arial" w:cs="Times New Roman"/>
      <w:b/>
      <w:color w:val="7AB800"/>
      <w:vertAlign w:val="superscript"/>
    </w:rPr>
  </w:style>
  <w:style w:type="paragraph" w:styleId="FootnoteText">
    <w:name w:val="footnote text"/>
    <w:basedOn w:val="Normal"/>
    <w:link w:val="FootnoteTextChar"/>
    <w:uiPriority w:val="99"/>
    <w:semiHidden/>
    <w:rsid w:val="003237D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3237DE"/>
    <w:rPr>
      <w:rFonts w:ascii="Arial" w:eastAsia="Times New Roman" w:hAnsi="Arial" w:cs="Times New Roman"/>
      <w:sz w:val="20"/>
      <w:szCs w:val="20"/>
      <w:lang w:eastAsia="en-GB"/>
    </w:rPr>
  </w:style>
  <w:style w:type="table" w:customStyle="1" w:styleId="TableGrid2">
    <w:name w:val="Table Grid2"/>
    <w:basedOn w:val="TableNormal"/>
    <w:next w:val="TableGrid"/>
    <w:uiPriority w:val="59"/>
    <w:rsid w:val="00812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1276">
      <w:bodyDiv w:val="1"/>
      <w:marLeft w:val="0"/>
      <w:marRight w:val="0"/>
      <w:marTop w:val="0"/>
      <w:marBottom w:val="0"/>
      <w:divBdr>
        <w:top w:val="none" w:sz="0" w:space="0" w:color="auto"/>
        <w:left w:val="none" w:sz="0" w:space="0" w:color="auto"/>
        <w:bottom w:val="none" w:sz="0" w:space="0" w:color="auto"/>
        <w:right w:val="none" w:sz="0" w:space="0" w:color="auto"/>
      </w:divBdr>
    </w:div>
    <w:div w:id="72552507">
      <w:bodyDiv w:val="1"/>
      <w:marLeft w:val="0"/>
      <w:marRight w:val="0"/>
      <w:marTop w:val="0"/>
      <w:marBottom w:val="0"/>
      <w:divBdr>
        <w:top w:val="none" w:sz="0" w:space="0" w:color="auto"/>
        <w:left w:val="none" w:sz="0" w:space="0" w:color="auto"/>
        <w:bottom w:val="none" w:sz="0" w:space="0" w:color="auto"/>
        <w:right w:val="none" w:sz="0" w:space="0" w:color="auto"/>
      </w:divBdr>
    </w:div>
    <w:div w:id="73161449">
      <w:bodyDiv w:val="1"/>
      <w:marLeft w:val="0"/>
      <w:marRight w:val="0"/>
      <w:marTop w:val="0"/>
      <w:marBottom w:val="0"/>
      <w:divBdr>
        <w:top w:val="none" w:sz="0" w:space="0" w:color="auto"/>
        <w:left w:val="none" w:sz="0" w:space="0" w:color="auto"/>
        <w:bottom w:val="none" w:sz="0" w:space="0" w:color="auto"/>
        <w:right w:val="none" w:sz="0" w:space="0" w:color="auto"/>
      </w:divBdr>
    </w:div>
    <w:div w:id="75901765">
      <w:bodyDiv w:val="1"/>
      <w:marLeft w:val="0"/>
      <w:marRight w:val="0"/>
      <w:marTop w:val="0"/>
      <w:marBottom w:val="0"/>
      <w:divBdr>
        <w:top w:val="none" w:sz="0" w:space="0" w:color="auto"/>
        <w:left w:val="none" w:sz="0" w:space="0" w:color="auto"/>
        <w:bottom w:val="none" w:sz="0" w:space="0" w:color="auto"/>
        <w:right w:val="none" w:sz="0" w:space="0" w:color="auto"/>
      </w:divBdr>
    </w:div>
    <w:div w:id="230193673">
      <w:bodyDiv w:val="1"/>
      <w:marLeft w:val="0"/>
      <w:marRight w:val="0"/>
      <w:marTop w:val="0"/>
      <w:marBottom w:val="0"/>
      <w:divBdr>
        <w:top w:val="none" w:sz="0" w:space="0" w:color="auto"/>
        <w:left w:val="none" w:sz="0" w:space="0" w:color="auto"/>
        <w:bottom w:val="none" w:sz="0" w:space="0" w:color="auto"/>
        <w:right w:val="none" w:sz="0" w:space="0" w:color="auto"/>
      </w:divBdr>
    </w:div>
    <w:div w:id="236209898">
      <w:bodyDiv w:val="1"/>
      <w:marLeft w:val="0"/>
      <w:marRight w:val="0"/>
      <w:marTop w:val="0"/>
      <w:marBottom w:val="0"/>
      <w:divBdr>
        <w:top w:val="none" w:sz="0" w:space="0" w:color="auto"/>
        <w:left w:val="none" w:sz="0" w:space="0" w:color="auto"/>
        <w:bottom w:val="none" w:sz="0" w:space="0" w:color="auto"/>
        <w:right w:val="none" w:sz="0" w:space="0" w:color="auto"/>
      </w:divBdr>
    </w:div>
    <w:div w:id="240876572">
      <w:bodyDiv w:val="1"/>
      <w:marLeft w:val="0"/>
      <w:marRight w:val="0"/>
      <w:marTop w:val="0"/>
      <w:marBottom w:val="0"/>
      <w:divBdr>
        <w:top w:val="none" w:sz="0" w:space="0" w:color="auto"/>
        <w:left w:val="none" w:sz="0" w:space="0" w:color="auto"/>
        <w:bottom w:val="none" w:sz="0" w:space="0" w:color="auto"/>
        <w:right w:val="none" w:sz="0" w:space="0" w:color="auto"/>
      </w:divBdr>
    </w:div>
    <w:div w:id="270669893">
      <w:bodyDiv w:val="1"/>
      <w:marLeft w:val="0"/>
      <w:marRight w:val="0"/>
      <w:marTop w:val="0"/>
      <w:marBottom w:val="0"/>
      <w:divBdr>
        <w:top w:val="none" w:sz="0" w:space="0" w:color="auto"/>
        <w:left w:val="none" w:sz="0" w:space="0" w:color="auto"/>
        <w:bottom w:val="none" w:sz="0" w:space="0" w:color="auto"/>
        <w:right w:val="none" w:sz="0" w:space="0" w:color="auto"/>
      </w:divBdr>
    </w:div>
    <w:div w:id="288707004">
      <w:bodyDiv w:val="1"/>
      <w:marLeft w:val="0"/>
      <w:marRight w:val="0"/>
      <w:marTop w:val="0"/>
      <w:marBottom w:val="0"/>
      <w:divBdr>
        <w:top w:val="none" w:sz="0" w:space="0" w:color="auto"/>
        <w:left w:val="none" w:sz="0" w:space="0" w:color="auto"/>
        <w:bottom w:val="none" w:sz="0" w:space="0" w:color="auto"/>
        <w:right w:val="none" w:sz="0" w:space="0" w:color="auto"/>
      </w:divBdr>
    </w:div>
    <w:div w:id="307832112">
      <w:bodyDiv w:val="1"/>
      <w:marLeft w:val="0"/>
      <w:marRight w:val="0"/>
      <w:marTop w:val="0"/>
      <w:marBottom w:val="0"/>
      <w:divBdr>
        <w:top w:val="none" w:sz="0" w:space="0" w:color="auto"/>
        <w:left w:val="none" w:sz="0" w:space="0" w:color="auto"/>
        <w:bottom w:val="none" w:sz="0" w:space="0" w:color="auto"/>
        <w:right w:val="none" w:sz="0" w:space="0" w:color="auto"/>
      </w:divBdr>
    </w:div>
    <w:div w:id="472407330">
      <w:bodyDiv w:val="1"/>
      <w:marLeft w:val="0"/>
      <w:marRight w:val="0"/>
      <w:marTop w:val="0"/>
      <w:marBottom w:val="0"/>
      <w:divBdr>
        <w:top w:val="none" w:sz="0" w:space="0" w:color="auto"/>
        <w:left w:val="none" w:sz="0" w:space="0" w:color="auto"/>
        <w:bottom w:val="none" w:sz="0" w:space="0" w:color="auto"/>
        <w:right w:val="none" w:sz="0" w:space="0" w:color="auto"/>
      </w:divBdr>
    </w:div>
    <w:div w:id="489322512">
      <w:bodyDiv w:val="1"/>
      <w:marLeft w:val="0"/>
      <w:marRight w:val="0"/>
      <w:marTop w:val="0"/>
      <w:marBottom w:val="0"/>
      <w:divBdr>
        <w:top w:val="none" w:sz="0" w:space="0" w:color="auto"/>
        <w:left w:val="none" w:sz="0" w:space="0" w:color="auto"/>
        <w:bottom w:val="none" w:sz="0" w:space="0" w:color="auto"/>
        <w:right w:val="none" w:sz="0" w:space="0" w:color="auto"/>
      </w:divBdr>
    </w:div>
    <w:div w:id="557936709">
      <w:bodyDiv w:val="1"/>
      <w:marLeft w:val="0"/>
      <w:marRight w:val="0"/>
      <w:marTop w:val="0"/>
      <w:marBottom w:val="0"/>
      <w:divBdr>
        <w:top w:val="none" w:sz="0" w:space="0" w:color="auto"/>
        <w:left w:val="none" w:sz="0" w:space="0" w:color="auto"/>
        <w:bottom w:val="none" w:sz="0" w:space="0" w:color="auto"/>
        <w:right w:val="none" w:sz="0" w:space="0" w:color="auto"/>
      </w:divBdr>
    </w:div>
    <w:div w:id="582839687">
      <w:bodyDiv w:val="1"/>
      <w:marLeft w:val="0"/>
      <w:marRight w:val="0"/>
      <w:marTop w:val="0"/>
      <w:marBottom w:val="0"/>
      <w:divBdr>
        <w:top w:val="none" w:sz="0" w:space="0" w:color="auto"/>
        <w:left w:val="none" w:sz="0" w:space="0" w:color="auto"/>
        <w:bottom w:val="none" w:sz="0" w:space="0" w:color="auto"/>
        <w:right w:val="none" w:sz="0" w:space="0" w:color="auto"/>
      </w:divBdr>
    </w:div>
    <w:div w:id="612787042">
      <w:bodyDiv w:val="1"/>
      <w:marLeft w:val="0"/>
      <w:marRight w:val="0"/>
      <w:marTop w:val="0"/>
      <w:marBottom w:val="0"/>
      <w:divBdr>
        <w:top w:val="none" w:sz="0" w:space="0" w:color="auto"/>
        <w:left w:val="none" w:sz="0" w:space="0" w:color="auto"/>
        <w:bottom w:val="none" w:sz="0" w:space="0" w:color="auto"/>
        <w:right w:val="none" w:sz="0" w:space="0" w:color="auto"/>
      </w:divBdr>
    </w:div>
    <w:div w:id="653949131">
      <w:bodyDiv w:val="1"/>
      <w:marLeft w:val="0"/>
      <w:marRight w:val="0"/>
      <w:marTop w:val="0"/>
      <w:marBottom w:val="0"/>
      <w:divBdr>
        <w:top w:val="none" w:sz="0" w:space="0" w:color="auto"/>
        <w:left w:val="none" w:sz="0" w:space="0" w:color="auto"/>
        <w:bottom w:val="none" w:sz="0" w:space="0" w:color="auto"/>
        <w:right w:val="none" w:sz="0" w:space="0" w:color="auto"/>
      </w:divBdr>
    </w:div>
    <w:div w:id="666664776">
      <w:bodyDiv w:val="1"/>
      <w:marLeft w:val="0"/>
      <w:marRight w:val="0"/>
      <w:marTop w:val="0"/>
      <w:marBottom w:val="0"/>
      <w:divBdr>
        <w:top w:val="none" w:sz="0" w:space="0" w:color="auto"/>
        <w:left w:val="none" w:sz="0" w:space="0" w:color="auto"/>
        <w:bottom w:val="none" w:sz="0" w:space="0" w:color="auto"/>
        <w:right w:val="none" w:sz="0" w:space="0" w:color="auto"/>
      </w:divBdr>
    </w:div>
    <w:div w:id="670059904">
      <w:bodyDiv w:val="1"/>
      <w:marLeft w:val="0"/>
      <w:marRight w:val="0"/>
      <w:marTop w:val="0"/>
      <w:marBottom w:val="0"/>
      <w:divBdr>
        <w:top w:val="none" w:sz="0" w:space="0" w:color="auto"/>
        <w:left w:val="none" w:sz="0" w:space="0" w:color="auto"/>
        <w:bottom w:val="none" w:sz="0" w:space="0" w:color="auto"/>
        <w:right w:val="none" w:sz="0" w:space="0" w:color="auto"/>
      </w:divBdr>
    </w:div>
    <w:div w:id="705983868">
      <w:bodyDiv w:val="1"/>
      <w:marLeft w:val="0"/>
      <w:marRight w:val="0"/>
      <w:marTop w:val="0"/>
      <w:marBottom w:val="0"/>
      <w:divBdr>
        <w:top w:val="none" w:sz="0" w:space="0" w:color="auto"/>
        <w:left w:val="none" w:sz="0" w:space="0" w:color="auto"/>
        <w:bottom w:val="none" w:sz="0" w:space="0" w:color="auto"/>
        <w:right w:val="none" w:sz="0" w:space="0" w:color="auto"/>
      </w:divBdr>
    </w:div>
    <w:div w:id="709574647">
      <w:bodyDiv w:val="1"/>
      <w:marLeft w:val="0"/>
      <w:marRight w:val="0"/>
      <w:marTop w:val="0"/>
      <w:marBottom w:val="0"/>
      <w:divBdr>
        <w:top w:val="none" w:sz="0" w:space="0" w:color="auto"/>
        <w:left w:val="none" w:sz="0" w:space="0" w:color="auto"/>
        <w:bottom w:val="none" w:sz="0" w:space="0" w:color="auto"/>
        <w:right w:val="none" w:sz="0" w:space="0" w:color="auto"/>
      </w:divBdr>
    </w:div>
    <w:div w:id="755249449">
      <w:bodyDiv w:val="1"/>
      <w:marLeft w:val="0"/>
      <w:marRight w:val="0"/>
      <w:marTop w:val="0"/>
      <w:marBottom w:val="0"/>
      <w:divBdr>
        <w:top w:val="none" w:sz="0" w:space="0" w:color="auto"/>
        <w:left w:val="none" w:sz="0" w:space="0" w:color="auto"/>
        <w:bottom w:val="none" w:sz="0" w:space="0" w:color="auto"/>
        <w:right w:val="none" w:sz="0" w:space="0" w:color="auto"/>
      </w:divBdr>
    </w:div>
    <w:div w:id="787896461">
      <w:bodyDiv w:val="1"/>
      <w:marLeft w:val="0"/>
      <w:marRight w:val="0"/>
      <w:marTop w:val="0"/>
      <w:marBottom w:val="0"/>
      <w:divBdr>
        <w:top w:val="none" w:sz="0" w:space="0" w:color="auto"/>
        <w:left w:val="none" w:sz="0" w:space="0" w:color="auto"/>
        <w:bottom w:val="none" w:sz="0" w:space="0" w:color="auto"/>
        <w:right w:val="none" w:sz="0" w:space="0" w:color="auto"/>
      </w:divBdr>
    </w:div>
    <w:div w:id="806168716">
      <w:bodyDiv w:val="1"/>
      <w:marLeft w:val="0"/>
      <w:marRight w:val="0"/>
      <w:marTop w:val="0"/>
      <w:marBottom w:val="0"/>
      <w:divBdr>
        <w:top w:val="none" w:sz="0" w:space="0" w:color="auto"/>
        <w:left w:val="none" w:sz="0" w:space="0" w:color="auto"/>
        <w:bottom w:val="none" w:sz="0" w:space="0" w:color="auto"/>
        <w:right w:val="none" w:sz="0" w:space="0" w:color="auto"/>
      </w:divBdr>
    </w:div>
    <w:div w:id="846823363">
      <w:bodyDiv w:val="1"/>
      <w:marLeft w:val="0"/>
      <w:marRight w:val="0"/>
      <w:marTop w:val="0"/>
      <w:marBottom w:val="0"/>
      <w:divBdr>
        <w:top w:val="none" w:sz="0" w:space="0" w:color="auto"/>
        <w:left w:val="none" w:sz="0" w:space="0" w:color="auto"/>
        <w:bottom w:val="none" w:sz="0" w:space="0" w:color="auto"/>
        <w:right w:val="none" w:sz="0" w:space="0" w:color="auto"/>
      </w:divBdr>
    </w:div>
    <w:div w:id="898058918">
      <w:bodyDiv w:val="1"/>
      <w:marLeft w:val="0"/>
      <w:marRight w:val="0"/>
      <w:marTop w:val="0"/>
      <w:marBottom w:val="0"/>
      <w:divBdr>
        <w:top w:val="none" w:sz="0" w:space="0" w:color="auto"/>
        <w:left w:val="none" w:sz="0" w:space="0" w:color="auto"/>
        <w:bottom w:val="none" w:sz="0" w:space="0" w:color="auto"/>
        <w:right w:val="none" w:sz="0" w:space="0" w:color="auto"/>
      </w:divBdr>
    </w:div>
    <w:div w:id="935020104">
      <w:bodyDiv w:val="1"/>
      <w:marLeft w:val="0"/>
      <w:marRight w:val="0"/>
      <w:marTop w:val="0"/>
      <w:marBottom w:val="0"/>
      <w:divBdr>
        <w:top w:val="none" w:sz="0" w:space="0" w:color="auto"/>
        <w:left w:val="none" w:sz="0" w:space="0" w:color="auto"/>
        <w:bottom w:val="none" w:sz="0" w:space="0" w:color="auto"/>
        <w:right w:val="none" w:sz="0" w:space="0" w:color="auto"/>
      </w:divBdr>
    </w:div>
    <w:div w:id="970401645">
      <w:bodyDiv w:val="1"/>
      <w:marLeft w:val="0"/>
      <w:marRight w:val="0"/>
      <w:marTop w:val="0"/>
      <w:marBottom w:val="0"/>
      <w:divBdr>
        <w:top w:val="none" w:sz="0" w:space="0" w:color="auto"/>
        <w:left w:val="none" w:sz="0" w:space="0" w:color="auto"/>
        <w:bottom w:val="none" w:sz="0" w:space="0" w:color="auto"/>
        <w:right w:val="none" w:sz="0" w:space="0" w:color="auto"/>
      </w:divBdr>
    </w:div>
    <w:div w:id="1096487427">
      <w:bodyDiv w:val="1"/>
      <w:marLeft w:val="0"/>
      <w:marRight w:val="0"/>
      <w:marTop w:val="0"/>
      <w:marBottom w:val="0"/>
      <w:divBdr>
        <w:top w:val="none" w:sz="0" w:space="0" w:color="auto"/>
        <w:left w:val="none" w:sz="0" w:space="0" w:color="auto"/>
        <w:bottom w:val="none" w:sz="0" w:space="0" w:color="auto"/>
        <w:right w:val="none" w:sz="0" w:space="0" w:color="auto"/>
      </w:divBdr>
    </w:div>
    <w:div w:id="1103502006">
      <w:bodyDiv w:val="1"/>
      <w:marLeft w:val="0"/>
      <w:marRight w:val="0"/>
      <w:marTop w:val="0"/>
      <w:marBottom w:val="0"/>
      <w:divBdr>
        <w:top w:val="none" w:sz="0" w:space="0" w:color="auto"/>
        <w:left w:val="none" w:sz="0" w:space="0" w:color="auto"/>
        <w:bottom w:val="none" w:sz="0" w:space="0" w:color="auto"/>
        <w:right w:val="none" w:sz="0" w:space="0" w:color="auto"/>
      </w:divBdr>
      <w:divsChild>
        <w:div w:id="270095521">
          <w:marLeft w:val="446"/>
          <w:marRight w:val="0"/>
          <w:marTop w:val="0"/>
          <w:marBottom w:val="0"/>
          <w:divBdr>
            <w:top w:val="none" w:sz="0" w:space="0" w:color="auto"/>
            <w:left w:val="none" w:sz="0" w:space="0" w:color="auto"/>
            <w:bottom w:val="none" w:sz="0" w:space="0" w:color="auto"/>
            <w:right w:val="none" w:sz="0" w:space="0" w:color="auto"/>
          </w:divBdr>
        </w:div>
        <w:div w:id="532349572">
          <w:marLeft w:val="446"/>
          <w:marRight w:val="0"/>
          <w:marTop w:val="0"/>
          <w:marBottom w:val="0"/>
          <w:divBdr>
            <w:top w:val="none" w:sz="0" w:space="0" w:color="auto"/>
            <w:left w:val="none" w:sz="0" w:space="0" w:color="auto"/>
            <w:bottom w:val="none" w:sz="0" w:space="0" w:color="auto"/>
            <w:right w:val="none" w:sz="0" w:space="0" w:color="auto"/>
          </w:divBdr>
        </w:div>
        <w:div w:id="413206103">
          <w:marLeft w:val="446"/>
          <w:marRight w:val="0"/>
          <w:marTop w:val="0"/>
          <w:marBottom w:val="0"/>
          <w:divBdr>
            <w:top w:val="none" w:sz="0" w:space="0" w:color="auto"/>
            <w:left w:val="none" w:sz="0" w:space="0" w:color="auto"/>
            <w:bottom w:val="none" w:sz="0" w:space="0" w:color="auto"/>
            <w:right w:val="none" w:sz="0" w:space="0" w:color="auto"/>
          </w:divBdr>
        </w:div>
        <w:div w:id="68577390">
          <w:marLeft w:val="446"/>
          <w:marRight w:val="0"/>
          <w:marTop w:val="0"/>
          <w:marBottom w:val="0"/>
          <w:divBdr>
            <w:top w:val="none" w:sz="0" w:space="0" w:color="auto"/>
            <w:left w:val="none" w:sz="0" w:space="0" w:color="auto"/>
            <w:bottom w:val="none" w:sz="0" w:space="0" w:color="auto"/>
            <w:right w:val="none" w:sz="0" w:space="0" w:color="auto"/>
          </w:divBdr>
        </w:div>
        <w:div w:id="472334249">
          <w:marLeft w:val="446"/>
          <w:marRight w:val="0"/>
          <w:marTop w:val="0"/>
          <w:marBottom w:val="0"/>
          <w:divBdr>
            <w:top w:val="none" w:sz="0" w:space="0" w:color="auto"/>
            <w:left w:val="none" w:sz="0" w:space="0" w:color="auto"/>
            <w:bottom w:val="none" w:sz="0" w:space="0" w:color="auto"/>
            <w:right w:val="none" w:sz="0" w:space="0" w:color="auto"/>
          </w:divBdr>
        </w:div>
      </w:divsChild>
    </w:div>
    <w:div w:id="1155300575">
      <w:bodyDiv w:val="1"/>
      <w:marLeft w:val="0"/>
      <w:marRight w:val="0"/>
      <w:marTop w:val="0"/>
      <w:marBottom w:val="0"/>
      <w:divBdr>
        <w:top w:val="none" w:sz="0" w:space="0" w:color="auto"/>
        <w:left w:val="none" w:sz="0" w:space="0" w:color="auto"/>
        <w:bottom w:val="none" w:sz="0" w:space="0" w:color="auto"/>
        <w:right w:val="none" w:sz="0" w:space="0" w:color="auto"/>
      </w:divBdr>
    </w:div>
    <w:div w:id="1188593244">
      <w:bodyDiv w:val="1"/>
      <w:marLeft w:val="0"/>
      <w:marRight w:val="0"/>
      <w:marTop w:val="0"/>
      <w:marBottom w:val="0"/>
      <w:divBdr>
        <w:top w:val="none" w:sz="0" w:space="0" w:color="auto"/>
        <w:left w:val="none" w:sz="0" w:space="0" w:color="auto"/>
        <w:bottom w:val="none" w:sz="0" w:space="0" w:color="auto"/>
        <w:right w:val="none" w:sz="0" w:space="0" w:color="auto"/>
      </w:divBdr>
    </w:div>
    <w:div w:id="1205409212">
      <w:bodyDiv w:val="1"/>
      <w:marLeft w:val="0"/>
      <w:marRight w:val="0"/>
      <w:marTop w:val="0"/>
      <w:marBottom w:val="0"/>
      <w:divBdr>
        <w:top w:val="none" w:sz="0" w:space="0" w:color="auto"/>
        <w:left w:val="none" w:sz="0" w:space="0" w:color="auto"/>
        <w:bottom w:val="none" w:sz="0" w:space="0" w:color="auto"/>
        <w:right w:val="none" w:sz="0" w:space="0" w:color="auto"/>
      </w:divBdr>
    </w:div>
    <w:div w:id="1221357722">
      <w:bodyDiv w:val="1"/>
      <w:marLeft w:val="0"/>
      <w:marRight w:val="0"/>
      <w:marTop w:val="0"/>
      <w:marBottom w:val="0"/>
      <w:divBdr>
        <w:top w:val="none" w:sz="0" w:space="0" w:color="auto"/>
        <w:left w:val="none" w:sz="0" w:space="0" w:color="auto"/>
        <w:bottom w:val="none" w:sz="0" w:space="0" w:color="auto"/>
        <w:right w:val="none" w:sz="0" w:space="0" w:color="auto"/>
      </w:divBdr>
    </w:div>
    <w:div w:id="1223250176">
      <w:bodyDiv w:val="1"/>
      <w:marLeft w:val="0"/>
      <w:marRight w:val="0"/>
      <w:marTop w:val="0"/>
      <w:marBottom w:val="0"/>
      <w:divBdr>
        <w:top w:val="none" w:sz="0" w:space="0" w:color="auto"/>
        <w:left w:val="none" w:sz="0" w:space="0" w:color="auto"/>
        <w:bottom w:val="none" w:sz="0" w:space="0" w:color="auto"/>
        <w:right w:val="none" w:sz="0" w:space="0" w:color="auto"/>
      </w:divBdr>
    </w:div>
    <w:div w:id="1319067259">
      <w:bodyDiv w:val="1"/>
      <w:marLeft w:val="0"/>
      <w:marRight w:val="0"/>
      <w:marTop w:val="0"/>
      <w:marBottom w:val="0"/>
      <w:divBdr>
        <w:top w:val="none" w:sz="0" w:space="0" w:color="auto"/>
        <w:left w:val="none" w:sz="0" w:space="0" w:color="auto"/>
        <w:bottom w:val="none" w:sz="0" w:space="0" w:color="auto"/>
        <w:right w:val="none" w:sz="0" w:space="0" w:color="auto"/>
      </w:divBdr>
    </w:div>
    <w:div w:id="1329363523">
      <w:bodyDiv w:val="1"/>
      <w:marLeft w:val="0"/>
      <w:marRight w:val="0"/>
      <w:marTop w:val="0"/>
      <w:marBottom w:val="0"/>
      <w:divBdr>
        <w:top w:val="none" w:sz="0" w:space="0" w:color="auto"/>
        <w:left w:val="none" w:sz="0" w:space="0" w:color="auto"/>
        <w:bottom w:val="none" w:sz="0" w:space="0" w:color="auto"/>
        <w:right w:val="none" w:sz="0" w:space="0" w:color="auto"/>
      </w:divBdr>
    </w:div>
    <w:div w:id="1342004646">
      <w:bodyDiv w:val="1"/>
      <w:marLeft w:val="0"/>
      <w:marRight w:val="0"/>
      <w:marTop w:val="0"/>
      <w:marBottom w:val="0"/>
      <w:divBdr>
        <w:top w:val="none" w:sz="0" w:space="0" w:color="auto"/>
        <w:left w:val="none" w:sz="0" w:space="0" w:color="auto"/>
        <w:bottom w:val="none" w:sz="0" w:space="0" w:color="auto"/>
        <w:right w:val="none" w:sz="0" w:space="0" w:color="auto"/>
      </w:divBdr>
    </w:div>
    <w:div w:id="1352612808">
      <w:bodyDiv w:val="1"/>
      <w:marLeft w:val="0"/>
      <w:marRight w:val="0"/>
      <w:marTop w:val="0"/>
      <w:marBottom w:val="0"/>
      <w:divBdr>
        <w:top w:val="none" w:sz="0" w:space="0" w:color="auto"/>
        <w:left w:val="none" w:sz="0" w:space="0" w:color="auto"/>
        <w:bottom w:val="none" w:sz="0" w:space="0" w:color="auto"/>
        <w:right w:val="none" w:sz="0" w:space="0" w:color="auto"/>
      </w:divBdr>
    </w:div>
    <w:div w:id="1384988339">
      <w:bodyDiv w:val="1"/>
      <w:marLeft w:val="0"/>
      <w:marRight w:val="0"/>
      <w:marTop w:val="0"/>
      <w:marBottom w:val="0"/>
      <w:divBdr>
        <w:top w:val="none" w:sz="0" w:space="0" w:color="auto"/>
        <w:left w:val="none" w:sz="0" w:space="0" w:color="auto"/>
        <w:bottom w:val="none" w:sz="0" w:space="0" w:color="auto"/>
        <w:right w:val="none" w:sz="0" w:space="0" w:color="auto"/>
      </w:divBdr>
    </w:div>
    <w:div w:id="1420563575">
      <w:bodyDiv w:val="1"/>
      <w:marLeft w:val="0"/>
      <w:marRight w:val="0"/>
      <w:marTop w:val="0"/>
      <w:marBottom w:val="0"/>
      <w:divBdr>
        <w:top w:val="none" w:sz="0" w:space="0" w:color="auto"/>
        <w:left w:val="none" w:sz="0" w:space="0" w:color="auto"/>
        <w:bottom w:val="none" w:sz="0" w:space="0" w:color="auto"/>
        <w:right w:val="none" w:sz="0" w:space="0" w:color="auto"/>
      </w:divBdr>
    </w:div>
    <w:div w:id="1423376645">
      <w:bodyDiv w:val="1"/>
      <w:marLeft w:val="0"/>
      <w:marRight w:val="0"/>
      <w:marTop w:val="0"/>
      <w:marBottom w:val="0"/>
      <w:divBdr>
        <w:top w:val="none" w:sz="0" w:space="0" w:color="auto"/>
        <w:left w:val="none" w:sz="0" w:space="0" w:color="auto"/>
        <w:bottom w:val="none" w:sz="0" w:space="0" w:color="auto"/>
        <w:right w:val="none" w:sz="0" w:space="0" w:color="auto"/>
      </w:divBdr>
    </w:div>
    <w:div w:id="1449734076">
      <w:bodyDiv w:val="1"/>
      <w:marLeft w:val="0"/>
      <w:marRight w:val="0"/>
      <w:marTop w:val="0"/>
      <w:marBottom w:val="0"/>
      <w:divBdr>
        <w:top w:val="none" w:sz="0" w:space="0" w:color="auto"/>
        <w:left w:val="none" w:sz="0" w:space="0" w:color="auto"/>
        <w:bottom w:val="none" w:sz="0" w:space="0" w:color="auto"/>
        <w:right w:val="none" w:sz="0" w:space="0" w:color="auto"/>
      </w:divBdr>
    </w:div>
    <w:div w:id="1537235522">
      <w:bodyDiv w:val="1"/>
      <w:marLeft w:val="0"/>
      <w:marRight w:val="0"/>
      <w:marTop w:val="0"/>
      <w:marBottom w:val="0"/>
      <w:divBdr>
        <w:top w:val="none" w:sz="0" w:space="0" w:color="auto"/>
        <w:left w:val="none" w:sz="0" w:space="0" w:color="auto"/>
        <w:bottom w:val="none" w:sz="0" w:space="0" w:color="auto"/>
        <w:right w:val="none" w:sz="0" w:space="0" w:color="auto"/>
      </w:divBdr>
    </w:div>
    <w:div w:id="1543249056">
      <w:bodyDiv w:val="1"/>
      <w:marLeft w:val="0"/>
      <w:marRight w:val="0"/>
      <w:marTop w:val="0"/>
      <w:marBottom w:val="0"/>
      <w:divBdr>
        <w:top w:val="none" w:sz="0" w:space="0" w:color="auto"/>
        <w:left w:val="none" w:sz="0" w:space="0" w:color="auto"/>
        <w:bottom w:val="none" w:sz="0" w:space="0" w:color="auto"/>
        <w:right w:val="none" w:sz="0" w:space="0" w:color="auto"/>
      </w:divBdr>
    </w:div>
    <w:div w:id="1565213346">
      <w:bodyDiv w:val="1"/>
      <w:marLeft w:val="0"/>
      <w:marRight w:val="0"/>
      <w:marTop w:val="0"/>
      <w:marBottom w:val="0"/>
      <w:divBdr>
        <w:top w:val="none" w:sz="0" w:space="0" w:color="auto"/>
        <w:left w:val="none" w:sz="0" w:space="0" w:color="auto"/>
        <w:bottom w:val="none" w:sz="0" w:space="0" w:color="auto"/>
        <w:right w:val="none" w:sz="0" w:space="0" w:color="auto"/>
      </w:divBdr>
    </w:div>
    <w:div w:id="1681270270">
      <w:bodyDiv w:val="1"/>
      <w:marLeft w:val="0"/>
      <w:marRight w:val="0"/>
      <w:marTop w:val="0"/>
      <w:marBottom w:val="0"/>
      <w:divBdr>
        <w:top w:val="none" w:sz="0" w:space="0" w:color="auto"/>
        <w:left w:val="none" w:sz="0" w:space="0" w:color="auto"/>
        <w:bottom w:val="none" w:sz="0" w:space="0" w:color="auto"/>
        <w:right w:val="none" w:sz="0" w:space="0" w:color="auto"/>
      </w:divBdr>
    </w:div>
    <w:div w:id="1811166197">
      <w:bodyDiv w:val="1"/>
      <w:marLeft w:val="0"/>
      <w:marRight w:val="0"/>
      <w:marTop w:val="0"/>
      <w:marBottom w:val="0"/>
      <w:divBdr>
        <w:top w:val="none" w:sz="0" w:space="0" w:color="auto"/>
        <w:left w:val="none" w:sz="0" w:space="0" w:color="auto"/>
        <w:bottom w:val="none" w:sz="0" w:space="0" w:color="auto"/>
        <w:right w:val="none" w:sz="0" w:space="0" w:color="auto"/>
      </w:divBdr>
      <w:divsChild>
        <w:div w:id="1625497285">
          <w:marLeft w:val="274"/>
          <w:marRight w:val="0"/>
          <w:marTop w:val="0"/>
          <w:marBottom w:val="0"/>
          <w:divBdr>
            <w:top w:val="none" w:sz="0" w:space="0" w:color="auto"/>
            <w:left w:val="none" w:sz="0" w:space="0" w:color="auto"/>
            <w:bottom w:val="none" w:sz="0" w:space="0" w:color="auto"/>
            <w:right w:val="none" w:sz="0" w:space="0" w:color="auto"/>
          </w:divBdr>
        </w:div>
        <w:div w:id="1277714231">
          <w:marLeft w:val="274"/>
          <w:marRight w:val="0"/>
          <w:marTop w:val="0"/>
          <w:marBottom w:val="0"/>
          <w:divBdr>
            <w:top w:val="none" w:sz="0" w:space="0" w:color="auto"/>
            <w:left w:val="none" w:sz="0" w:space="0" w:color="auto"/>
            <w:bottom w:val="none" w:sz="0" w:space="0" w:color="auto"/>
            <w:right w:val="none" w:sz="0" w:space="0" w:color="auto"/>
          </w:divBdr>
        </w:div>
        <w:div w:id="164321486">
          <w:marLeft w:val="274"/>
          <w:marRight w:val="0"/>
          <w:marTop w:val="0"/>
          <w:marBottom w:val="0"/>
          <w:divBdr>
            <w:top w:val="none" w:sz="0" w:space="0" w:color="auto"/>
            <w:left w:val="none" w:sz="0" w:space="0" w:color="auto"/>
            <w:bottom w:val="none" w:sz="0" w:space="0" w:color="auto"/>
            <w:right w:val="none" w:sz="0" w:space="0" w:color="auto"/>
          </w:divBdr>
        </w:div>
        <w:div w:id="632098978">
          <w:marLeft w:val="274"/>
          <w:marRight w:val="0"/>
          <w:marTop w:val="0"/>
          <w:marBottom w:val="0"/>
          <w:divBdr>
            <w:top w:val="none" w:sz="0" w:space="0" w:color="auto"/>
            <w:left w:val="none" w:sz="0" w:space="0" w:color="auto"/>
            <w:bottom w:val="none" w:sz="0" w:space="0" w:color="auto"/>
            <w:right w:val="none" w:sz="0" w:space="0" w:color="auto"/>
          </w:divBdr>
        </w:div>
        <w:div w:id="910117172">
          <w:marLeft w:val="274"/>
          <w:marRight w:val="0"/>
          <w:marTop w:val="0"/>
          <w:marBottom w:val="0"/>
          <w:divBdr>
            <w:top w:val="none" w:sz="0" w:space="0" w:color="auto"/>
            <w:left w:val="none" w:sz="0" w:space="0" w:color="auto"/>
            <w:bottom w:val="none" w:sz="0" w:space="0" w:color="auto"/>
            <w:right w:val="none" w:sz="0" w:space="0" w:color="auto"/>
          </w:divBdr>
        </w:div>
      </w:divsChild>
    </w:div>
    <w:div w:id="1839693698">
      <w:bodyDiv w:val="1"/>
      <w:marLeft w:val="0"/>
      <w:marRight w:val="0"/>
      <w:marTop w:val="0"/>
      <w:marBottom w:val="0"/>
      <w:divBdr>
        <w:top w:val="none" w:sz="0" w:space="0" w:color="auto"/>
        <w:left w:val="none" w:sz="0" w:space="0" w:color="auto"/>
        <w:bottom w:val="none" w:sz="0" w:space="0" w:color="auto"/>
        <w:right w:val="none" w:sz="0" w:space="0" w:color="auto"/>
      </w:divBdr>
    </w:div>
    <w:div w:id="1887449470">
      <w:bodyDiv w:val="1"/>
      <w:marLeft w:val="0"/>
      <w:marRight w:val="0"/>
      <w:marTop w:val="0"/>
      <w:marBottom w:val="0"/>
      <w:divBdr>
        <w:top w:val="none" w:sz="0" w:space="0" w:color="auto"/>
        <w:left w:val="none" w:sz="0" w:space="0" w:color="auto"/>
        <w:bottom w:val="none" w:sz="0" w:space="0" w:color="auto"/>
        <w:right w:val="none" w:sz="0" w:space="0" w:color="auto"/>
      </w:divBdr>
    </w:div>
    <w:div w:id="1898927751">
      <w:bodyDiv w:val="1"/>
      <w:marLeft w:val="0"/>
      <w:marRight w:val="0"/>
      <w:marTop w:val="0"/>
      <w:marBottom w:val="0"/>
      <w:divBdr>
        <w:top w:val="none" w:sz="0" w:space="0" w:color="auto"/>
        <w:left w:val="none" w:sz="0" w:space="0" w:color="auto"/>
        <w:bottom w:val="none" w:sz="0" w:space="0" w:color="auto"/>
        <w:right w:val="none" w:sz="0" w:space="0" w:color="auto"/>
      </w:divBdr>
    </w:div>
    <w:div w:id="1939167561">
      <w:bodyDiv w:val="1"/>
      <w:marLeft w:val="0"/>
      <w:marRight w:val="0"/>
      <w:marTop w:val="0"/>
      <w:marBottom w:val="0"/>
      <w:divBdr>
        <w:top w:val="none" w:sz="0" w:space="0" w:color="auto"/>
        <w:left w:val="none" w:sz="0" w:space="0" w:color="auto"/>
        <w:bottom w:val="none" w:sz="0" w:space="0" w:color="auto"/>
        <w:right w:val="none" w:sz="0" w:space="0" w:color="auto"/>
      </w:divBdr>
    </w:div>
    <w:div w:id="2016226790">
      <w:bodyDiv w:val="1"/>
      <w:marLeft w:val="0"/>
      <w:marRight w:val="0"/>
      <w:marTop w:val="0"/>
      <w:marBottom w:val="0"/>
      <w:divBdr>
        <w:top w:val="none" w:sz="0" w:space="0" w:color="auto"/>
        <w:left w:val="none" w:sz="0" w:space="0" w:color="auto"/>
        <w:bottom w:val="none" w:sz="0" w:space="0" w:color="auto"/>
        <w:right w:val="none" w:sz="0" w:space="0" w:color="auto"/>
      </w:divBdr>
    </w:div>
    <w:div w:id="2021540111">
      <w:bodyDiv w:val="1"/>
      <w:marLeft w:val="0"/>
      <w:marRight w:val="0"/>
      <w:marTop w:val="0"/>
      <w:marBottom w:val="0"/>
      <w:divBdr>
        <w:top w:val="none" w:sz="0" w:space="0" w:color="auto"/>
        <w:left w:val="none" w:sz="0" w:space="0" w:color="auto"/>
        <w:bottom w:val="none" w:sz="0" w:space="0" w:color="auto"/>
        <w:right w:val="none" w:sz="0" w:space="0" w:color="auto"/>
      </w:divBdr>
    </w:div>
    <w:div w:id="2101178867">
      <w:bodyDiv w:val="1"/>
      <w:marLeft w:val="0"/>
      <w:marRight w:val="0"/>
      <w:marTop w:val="0"/>
      <w:marBottom w:val="0"/>
      <w:divBdr>
        <w:top w:val="none" w:sz="0" w:space="0" w:color="auto"/>
        <w:left w:val="none" w:sz="0" w:space="0" w:color="auto"/>
        <w:bottom w:val="none" w:sz="0" w:space="0" w:color="auto"/>
        <w:right w:val="none" w:sz="0" w:space="0" w:color="auto"/>
      </w:divBdr>
    </w:div>
    <w:div w:id="2105762379">
      <w:bodyDiv w:val="1"/>
      <w:marLeft w:val="0"/>
      <w:marRight w:val="0"/>
      <w:marTop w:val="0"/>
      <w:marBottom w:val="0"/>
      <w:divBdr>
        <w:top w:val="none" w:sz="0" w:space="0" w:color="auto"/>
        <w:left w:val="none" w:sz="0" w:space="0" w:color="auto"/>
        <w:bottom w:val="none" w:sz="0" w:space="0" w:color="auto"/>
        <w:right w:val="none" w:sz="0" w:space="0" w:color="auto"/>
      </w:divBdr>
    </w:div>
    <w:div w:id="21286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cqc.org.uk/news/stories/cqc-review-use-restraint-prolonged-seclusion-segregation-people-mental-health-proble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png@01D4F144.3C26E88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local-systems-re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cqc.org.uk/provider/RN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cid:image001.png@01D4F437.CEE2416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Craig (RNU) Oxford Health</dc:creator>
  <cp:keywords/>
  <dc:description/>
  <cp:lastModifiedBy>Smith Hannah (RNU) Oxford Health</cp:lastModifiedBy>
  <cp:revision>6</cp:revision>
  <cp:lastPrinted>2019-01-18T10:49:00Z</cp:lastPrinted>
  <dcterms:created xsi:type="dcterms:W3CDTF">2019-04-17T15:33:00Z</dcterms:created>
  <dcterms:modified xsi:type="dcterms:W3CDTF">2019-04-18T08:51:00Z</dcterms:modified>
</cp:coreProperties>
</file>