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66D780B1" wp14:editId="7470F62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C90F33" w:rsidP="00EF1914">
      <w:pPr>
        <w:pStyle w:val="Heading1"/>
        <w:tabs>
          <w:tab w:val="left" w:pos="1425"/>
          <w:tab w:val="center" w:pos="4323"/>
        </w:tabs>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2CA0B0BB" wp14:editId="11234CA3">
                <wp:simplePos x="0" y="0"/>
                <wp:positionH relativeFrom="column">
                  <wp:posOffset>4377110</wp:posOffset>
                </wp:positionH>
                <wp:positionV relativeFrom="paragraph">
                  <wp:posOffset>146961</wp:posOffset>
                </wp:positionV>
                <wp:extent cx="1836752" cy="571500"/>
                <wp:effectExtent l="0" t="0" r="1143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752" cy="571500"/>
                        </a:xfrm>
                        <a:prstGeom prst="rect">
                          <a:avLst/>
                        </a:prstGeom>
                        <a:solidFill>
                          <a:srgbClr val="FFFFFF"/>
                        </a:solidFill>
                        <a:ln w="9525">
                          <a:solidFill>
                            <a:srgbClr val="000000"/>
                          </a:solidFill>
                          <a:miter lim="800000"/>
                          <a:headEnd/>
                          <a:tailEnd/>
                        </a:ln>
                      </wps:spPr>
                      <wps:txbx>
                        <w:txbxContent>
                          <w:p w:rsidR="00DC414F" w:rsidRPr="00DC414F" w:rsidRDefault="00DC414F">
                            <w:pPr>
                              <w:jc w:val="center"/>
                              <w:rPr>
                                <w:rFonts w:ascii="Segoe UI" w:hAnsi="Segoe UI" w:cs="Segoe UI"/>
                                <w:b/>
                                <w:sz w:val="22"/>
                                <w:szCs w:val="22"/>
                              </w:rPr>
                            </w:pPr>
                            <w:r>
                              <w:rPr>
                                <w:rFonts w:ascii="Segoe UI" w:hAnsi="Segoe UI" w:cs="Segoe UI"/>
                                <w:b/>
                                <w:sz w:val="22"/>
                                <w:szCs w:val="22"/>
                              </w:rPr>
                              <w:t>Appendix to CEO report</w:t>
                            </w:r>
                          </w:p>
                          <w:p w:rsidR="009D7EA9" w:rsidRPr="009F3009" w:rsidRDefault="00020D3B">
                            <w:pPr>
                              <w:jc w:val="center"/>
                              <w:rPr>
                                <w:rFonts w:ascii="Segoe UI" w:hAnsi="Segoe UI" w:cs="Segoe UI"/>
                              </w:rPr>
                            </w:pPr>
                            <w:r>
                              <w:rPr>
                                <w:rFonts w:ascii="Segoe UI" w:hAnsi="Segoe UI" w:cs="Segoe UI"/>
                                <w:b/>
                              </w:rPr>
                              <w:t xml:space="preserve">BOD </w:t>
                            </w:r>
                            <w:r w:rsidR="007001B9">
                              <w:rPr>
                                <w:rFonts w:ascii="Segoe UI" w:hAnsi="Segoe UI" w:cs="Segoe UI"/>
                                <w:b/>
                              </w:rPr>
                              <w:t>5</w:t>
                            </w:r>
                            <w:r w:rsidR="006E3C1C">
                              <w:rPr>
                                <w:rFonts w:ascii="Segoe UI" w:hAnsi="Segoe UI" w:cs="Segoe UI"/>
                                <w:b/>
                              </w:rPr>
                              <w:t>8</w:t>
                            </w:r>
                            <w:r w:rsidR="00DC414F">
                              <w:rPr>
                                <w:rFonts w:ascii="Segoe UI" w:hAnsi="Segoe UI" w:cs="Segoe UI"/>
                                <w:b/>
                              </w:rPr>
                              <w:t>(ii)</w:t>
                            </w:r>
                            <w:r w:rsidR="007001B9">
                              <w:rPr>
                                <w:rFonts w:ascii="Segoe UI" w:hAnsi="Segoe UI" w:cs="Segoe UI"/>
                                <w:b/>
                              </w:rPr>
                              <w:t>/</w:t>
                            </w:r>
                            <w:r w:rsidR="009D7EA9" w:rsidRPr="009F3009">
                              <w:rPr>
                                <w:rFonts w:ascii="Segoe UI" w:hAnsi="Segoe UI" w:cs="Segoe UI"/>
                                <w:b/>
                              </w:rPr>
                              <w:t>201</w:t>
                            </w:r>
                            <w:r w:rsidR="00D645A6">
                              <w:rPr>
                                <w:rFonts w:ascii="Segoe UI" w:hAnsi="Segoe UI" w:cs="Segoe UI"/>
                                <w:b/>
                              </w:rPr>
                              <w:t>9</w:t>
                            </w:r>
                          </w:p>
                          <w:p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6E3C1C">
                              <w:rPr>
                                <w:rFonts w:ascii="Segoe UI" w:hAnsi="Segoe UI" w:cs="Segoe UI"/>
                                <w:sz w:val="22"/>
                                <w:szCs w:val="22"/>
                              </w:rPr>
                              <w:t>7</w:t>
                            </w:r>
                            <w:r w:rsidR="009D7EA9" w:rsidRPr="0004788D">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B0BB" id="Rectangle 10" o:spid="_x0000_s1026" style="position:absolute;margin-left:344.65pt;margin-top:11.55pt;width:144.6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">
                <v:textbox inset="0,0,0,0">
                  <w:txbxContent>
                    <w:p w:rsidR="00DC414F" w:rsidRPr="00DC414F" w:rsidRDefault="00DC414F">
                      <w:pPr>
                        <w:jc w:val="center"/>
                        <w:rPr>
                          <w:rFonts w:ascii="Segoe UI" w:hAnsi="Segoe UI" w:cs="Segoe UI"/>
                          <w:b/>
                          <w:sz w:val="22"/>
                          <w:szCs w:val="22"/>
                        </w:rPr>
                      </w:pPr>
                      <w:r>
                        <w:rPr>
                          <w:rFonts w:ascii="Segoe UI" w:hAnsi="Segoe UI" w:cs="Segoe UI"/>
                          <w:b/>
                          <w:sz w:val="22"/>
                          <w:szCs w:val="22"/>
                        </w:rPr>
                        <w:t>Appendix to CEO report</w:t>
                      </w:r>
                    </w:p>
                    <w:p w:rsidR="009D7EA9" w:rsidRPr="009F3009" w:rsidRDefault="00020D3B">
                      <w:pPr>
                        <w:jc w:val="center"/>
                        <w:rPr>
                          <w:rFonts w:ascii="Segoe UI" w:hAnsi="Segoe UI" w:cs="Segoe UI"/>
                        </w:rPr>
                      </w:pPr>
                      <w:r>
                        <w:rPr>
                          <w:rFonts w:ascii="Segoe UI" w:hAnsi="Segoe UI" w:cs="Segoe UI"/>
                          <w:b/>
                        </w:rPr>
                        <w:t xml:space="preserve">BOD </w:t>
                      </w:r>
                      <w:r w:rsidR="007001B9">
                        <w:rPr>
                          <w:rFonts w:ascii="Segoe UI" w:hAnsi="Segoe UI" w:cs="Segoe UI"/>
                          <w:b/>
                        </w:rPr>
                        <w:t>5</w:t>
                      </w:r>
                      <w:r w:rsidR="006E3C1C">
                        <w:rPr>
                          <w:rFonts w:ascii="Segoe UI" w:hAnsi="Segoe UI" w:cs="Segoe UI"/>
                          <w:b/>
                        </w:rPr>
                        <w:t>8</w:t>
                      </w:r>
                      <w:r w:rsidR="00DC414F">
                        <w:rPr>
                          <w:rFonts w:ascii="Segoe UI" w:hAnsi="Segoe UI" w:cs="Segoe UI"/>
                          <w:b/>
                        </w:rPr>
                        <w:t>(ii)</w:t>
                      </w:r>
                      <w:r w:rsidR="007001B9">
                        <w:rPr>
                          <w:rFonts w:ascii="Segoe UI" w:hAnsi="Segoe UI" w:cs="Segoe UI"/>
                          <w:b/>
                        </w:rPr>
                        <w:t>/</w:t>
                      </w:r>
                      <w:r w:rsidR="009D7EA9" w:rsidRPr="009F3009">
                        <w:rPr>
                          <w:rFonts w:ascii="Segoe UI" w:hAnsi="Segoe UI" w:cs="Segoe UI"/>
                          <w:b/>
                        </w:rPr>
                        <w:t>201</w:t>
                      </w:r>
                      <w:r w:rsidR="00D645A6">
                        <w:rPr>
                          <w:rFonts w:ascii="Segoe UI" w:hAnsi="Segoe UI" w:cs="Segoe UI"/>
                          <w:b/>
                        </w:rPr>
                        <w:t>9</w:t>
                      </w:r>
                    </w:p>
                    <w:p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6E3C1C">
                        <w:rPr>
                          <w:rFonts w:ascii="Segoe UI" w:hAnsi="Segoe UI" w:cs="Segoe UI"/>
                          <w:sz w:val="22"/>
                          <w:szCs w:val="22"/>
                        </w:rPr>
                        <w:t>7</w:t>
                      </w:r>
                      <w:r w:rsidR="009D7EA9" w:rsidRPr="0004788D">
                        <w:rPr>
                          <w:rFonts w:ascii="Segoe UI" w:hAnsi="Segoe UI" w:cs="Segoe UI"/>
                          <w:sz w:val="22"/>
                          <w:szCs w:val="22"/>
                        </w:rPr>
                        <w:t>)</w:t>
                      </w:r>
                    </w:p>
                  </w:txbxContent>
                </v:textbox>
              </v:rect>
            </w:pict>
          </mc:Fallback>
        </mc:AlternateContent>
      </w:r>
      <w:r w:rsidR="00EF1914">
        <w:rPr>
          <w:rFonts w:ascii="Segoe UI" w:hAnsi="Segoe UI" w:cs="Segoe UI"/>
          <w:sz w:val="28"/>
          <w:u w:val="none"/>
        </w:rPr>
        <w:tab/>
      </w:r>
      <w:r w:rsidR="00EF1914">
        <w:rPr>
          <w:rFonts w:ascii="Segoe UI" w:hAnsi="Segoe UI" w:cs="Segoe UI"/>
          <w:sz w:val="28"/>
          <w:u w:val="none"/>
        </w:rPr>
        <w:tab/>
      </w: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3D754C">
      <w:pPr>
        <w:jc w:val="center"/>
        <w:rPr>
          <w:rFonts w:ascii="Segoe UI" w:hAnsi="Segoe UI" w:cs="Segoe UI"/>
          <w:b/>
        </w:rPr>
      </w:pPr>
      <w:r>
        <w:rPr>
          <w:rFonts w:ascii="Segoe UI" w:hAnsi="Segoe UI" w:cs="Segoe UI"/>
          <w:b/>
        </w:rPr>
        <w:t>2</w:t>
      </w:r>
      <w:r w:rsidR="00555D9A">
        <w:rPr>
          <w:rFonts w:ascii="Segoe UI" w:hAnsi="Segoe UI" w:cs="Segoe UI"/>
          <w:b/>
        </w:rPr>
        <w:t>4</w:t>
      </w:r>
      <w:r w:rsidRPr="003D754C">
        <w:rPr>
          <w:rFonts w:ascii="Segoe UI" w:hAnsi="Segoe UI" w:cs="Segoe UI"/>
          <w:b/>
          <w:vertAlign w:val="superscript"/>
        </w:rPr>
        <w:t>th</w:t>
      </w:r>
      <w:r>
        <w:rPr>
          <w:rFonts w:ascii="Segoe UI" w:hAnsi="Segoe UI" w:cs="Segoe UI"/>
          <w:b/>
        </w:rPr>
        <w:t xml:space="preserve"> </w:t>
      </w:r>
      <w:proofErr w:type="gramStart"/>
      <w:r>
        <w:rPr>
          <w:rFonts w:ascii="Segoe UI" w:hAnsi="Segoe UI" w:cs="Segoe UI"/>
          <w:b/>
        </w:rPr>
        <w:t>Ma</w:t>
      </w:r>
      <w:r w:rsidR="00555D9A">
        <w:rPr>
          <w:rFonts w:ascii="Segoe UI" w:hAnsi="Segoe UI" w:cs="Segoe UI"/>
          <w:b/>
        </w:rPr>
        <w:t>y</w:t>
      </w:r>
      <w:r w:rsidR="003A34EF">
        <w:rPr>
          <w:rFonts w:ascii="Segoe UI" w:hAnsi="Segoe UI" w:cs="Segoe UI"/>
          <w:b/>
        </w:rPr>
        <w:t>,</w:t>
      </w:r>
      <w:proofErr w:type="gramEnd"/>
      <w:r w:rsidR="00145747">
        <w:rPr>
          <w:rFonts w:ascii="Segoe UI" w:hAnsi="Segoe UI" w:cs="Segoe UI"/>
          <w:b/>
        </w:rPr>
        <w:t xml:space="preserve"> 201</w:t>
      </w:r>
      <w:r w:rsidR="00914199">
        <w:rPr>
          <w:rFonts w:ascii="Segoe UI" w:hAnsi="Segoe UI" w:cs="Segoe UI"/>
          <w:b/>
        </w:rPr>
        <w:t>9</w:t>
      </w:r>
    </w:p>
    <w:p w:rsidR="005D3499" w:rsidRPr="00FA3993" w:rsidRDefault="005D3499">
      <w:pPr>
        <w:jc w:val="center"/>
        <w:rPr>
          <w:rFonts w:ascii="Segoe UI" w:hAnsi="Segoe UI" w:cs="Segoe UI"/>
          <w:b/>
        </w:rPr>
      </w:pPr>
    </w:p>
    <w:p w:rsidR="005D3499" w:rsidRPr="00FA3993" w:rsidRDefault="008622DB" w:rsidP="00FD2279">
      <w:pPr>
        <w:jc w:val="center"/>
        <w:rPr>
          <w:rFonts w:ascii="Segoe UI" w:hAnsi="Segoe UI" w:cs="Segoe UI"/>
          <w:b/>
        </w:rPr>
      </w:pPr>
      <w:r>
        <w:rPr>
          <w:rFonts w:ascii="Segoe UI" w:hAnsi="Segoe UI" w:cs="Segoe UI"/>
          <w:b/>
        </w:rPr>
        <w:t>Legal, Regulatory and Policy Update</w:t>
      </w:r>
    </w:p>
    <w:p w:rsidR="005D3499" w:rsidRPr="00FA3993" w:rsidRDefault="005D3499">
      <w:pPr>
        <w:rPr>
          <w:rFonts w:ascii="Segoe UI" w:hAnsi="Segoe UI" w:cs="Segoe UI"/>
          <w:b/>
        </w:rPr>
      </w:pPr>
    </w:p>
    <w:p w:rsidR="00241A66" w:rsidRDefault="008622DB"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p>
    <w:p w:rsidR="007A2CF0" w:rsidRPr="00B80276" w:rsidRDefault="007A2CF0" w:rsidP="007A2CF0">
      <w:pPr>
        <w:jc w:val="both"/>
        <w:rPr>
          <w:rFonts w:ascii="Segoe UI" w:hAnsi="Segoe UI" w:cs="Segoe UI"/>
          <w:b/>
          <w:sz w:val="22"/>
          <w:szCs w:val="22"/>
        </w:rPr>
      </w:pPr>
      <w:r w:rsidRPr="00B80276">
        <w:rPr>
          <w:rFonts w:ascii="Segoe UI" w:hAnsi="Segoe UI" w:cs="Segoe UI"/>
          <w:b/>
          <w:sz w:val="22"/>
          <w:szCs w:val="22"/>
        </w:rPr>
        <w:t>Executive Summary</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the monthly report to inform the Board of Directors on recent </w:t>
      </w:r>
      <w:r w:rsidR="002D0AEB">
        <w:rPr>
          <w:rFonts w:ascii="Segoe UI" w:hAnsi="Segoe UI" w:cs="Segoe UI"/>
          <w:sz w:val="22"/>
          <w:szCs w:val="22"/>
        </w:rPr>
        <w:t xml:space="preserve">legislation, </w:t>
      </w:r>
      <w:r w:rsidRPr="00B80276">
        <w:rPr>
          <w:rFonts w:ascii="Segoe UI" w:hAnsi="Segoe UI" w:cs="Segoe UI"/>
          <w:sz w:val="22"/>
          <w:szCs w:val="22"/>
        </w:rPr>
        <w:t>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w:t>
      </w:r>
      <w:r w:rsidR="00105104">
        <w:rPr>
          <w:rFonts w:ascii="Segoe UI" w:hAnsi="Segoe UI" w:cs="Segoe UI"/>
          <w:sz w:val="22"/>
          <w:szCs w:val="22"/>
        </w:rPr>
        <w:t xml:space="preserve">port covers the period from </w:t>
      </w:r>
      <w:r w:rsidR="00DF4521" w:rsidRPr="00B80276">
        <w:rPr>
          <w:rFonts w:ascii="Segoe UI" w:hAnsi="Segoe UI" w:cs="Segoe UI"/>
          <w:sz w:val="22"/>
          <w:szCs w:val="22"/>
        </w:rPr>
        <w:t>mid</w:t>
      </w:r>
      <w:r w:rsidR="00DF4521">
        <w:rPr>
          <w:rFonts w:ascii="Segoe UI" w:hAnsi="Segoe UI" w:cs="Segoe UI"/>
          <w:sz w:val="22"/>
          <w:szCs w:val="22"/>
        </w:rPr>
        <w:t>-</w:t>
      </w:r>
      <w:r w:rsidR="00555D9A">
        <w:rPr>
          <w:rFonts w:ascii="Segoe UI" w:hAnsi="Segoe UI" w:cs="Segoe UI"/>
          <w:sz w:val="22"/>
          <w:szCs w:val="22"/>
        </w:rPr>
        <w:t>March</w:t>
      </w:r>
      <w:r w:rsidRPr="00B80276">
        <w:rPr>
          <w:rFonts w:ascii="Segoe UI" w:hAnsi="Segoe UI" w:cs="Segoe UI"/>
          <w:sz w:val="22"/>
          <w:szCs w:val="22"/>
        </w:rPr>
        <w:t xml:space="preserve"> </w:t>
      </w:r>
      <w:r w:rsidR="00DF4521">
        <w:rPr>
          <w:rFonts w:ascii="Segoe UI" w:hAnsi="Segoe UI" w:cs="Segoe UI"/>
          <w:sz w:val="22"/>
          <w:szCs w:val="22"/>
        </w:rPr>
        <w:t>to mid-</w:t>
      </w:r>
      <w:r w:rsidR="003D754C">
        <w:rPr>
          <w:rFonts w:ascii="Segoe UI" w:hAnsi="Segoe UI" w:cs="Segoe UI"/>
          <w:sz w:val="22"/>
          <w:szCs w:val="22"/>
        </w:rPr>
        <w:t>Ma</w:t>
      </w:r>
      <w:r w:rsidR="00555D9A">
        <w:rPr>
          <w:rFonts w:ascii="Segoe UI" w:hAnsi="Segoe UI" w:cs="Segoe UI"/>
          <w:sz w:val="22"/>
          <w:szCs w:val="22"/>
        </w:rPr>
        <w:t>y</w:t>
      </w:r>
      <w:r w:rsidR="00DF4521">
        <w:rPr>
          <w:rFonts w:ascii="Segoe UI" w:hAnsi="Segoe UI" w:cs="Segoe UI"/>
          <w:sz w:val="22"/>
          <w:szCs w:val="22"/>
        </w:rPr>
        <w:t xml:space="preserve"> </w:t>
      </w:r>
      <w:r w:rsidRPr="00B80276">
        <w:rPr>
          <w:rFonts w:ascii="Segoe UI" w:hAnsi="Segoe UI" w:cs="Segoe UI"/>
          <w:sz w:val="22"/>
          <w:szCs w:val="22"/>
        </w:rPr>
        <w:t>201</w:t>
      </w:r>
      <w:r w:rsidR="00105104">
        <w:rPr>
          <w:rFonts w:ascii="Segoe UI" w:hAnsi="Segoe UI" w:cs="Segoe UI"/>
          <w:sz w:val="22"/>
          <w:szCs w:val="22"/>
        </w:rPr>
        <w:t>9</w:t>
      </w:r>
      <w:r w:rsidRPr="00B80276">
        <w:rPr>
          <w:rFonts w:ascii="Segoe UI" w:hAnsi="Segoe UI" w:cs="Segoe UI"/>
          <w:sz w:val="22"/>
          <w:szCs w:val="22"/>
        </w:rPr>
        <w:t xml:space="preserve"> and includes </w:t>
      </w:r>
      <w:r w:rsidR="00235D40">
        <w:rPr>
          <w:rFonts w:ascii="Segoe UI" w:hAnsi="Segoe UI" w:cs="Segoe UI"/>
          <w:sz w:val="22"/>
          <w:szCs w:val="22"/>
        </w:rPr>
        <w:t xml:space="preserve">any </w:t>
      </w:r>
      <w:r w:rsidRPr="00B80276">
        <w:rPr>
          <w:rFonts w:ascii="Segoe UI" w:hAnsi="Segoe UI" w:cs="Segoe UI"/>
          <w:sz w:val="22"/>
          <w:szCs w:val="22"/>
        </w:rPr>
        <w:t>noteworthy contributions covered by health think tanks.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sidRPr="00B80276">
        <w:rPr>
          <w:rFonts w:ascii="Segoe UI" w:hAnsi="Segoe UI" w:cs="Segoe UI"/>
          <w:sz w:val="22"/>
          <w:szCs w:val="22"/>
        </w:rPr>
        <w:t xml:space="preserve">  Chairs of Board Committees should consider whether more detailed assurances relevant to their committees, are necessary, utilising this report as a constructive stimulant to inform the composition of meeting agendas and reporting focus as necessary or appropriate.</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Executive team meeting agenda will make certain Executive Directors are aware of the changes relevant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rsidR="00FA3993" w:rsidRPr="00B80276" w:rsidRDefault="00FA3993" w:rsidP="007A2CF0">
      <w:pPr>
        <w:jc w:val="both"/>
        <w:rPr>
          <w:rFonts w:ascii="Segoe UI" w:hAnsi="Segoe UI" w:cs="Segoe UI"/>
          <w:b/>
          <w:sz w:val="22"/>
          <w:szCs w:val="22"/>
        </w:rPr>
      </w:pPr>
      <w:r w:rsidRPr="00B80276">
        <w:rPr>
          <w:rFonts w:ascii="Segoe UI" w:hAnsi="Segoe UI" w:cs="Segoe UI"/>
          <w:b/>
          <w:sz w:val="22"/>
          <w:szCs w:val="22"/>
        </w:rPr>
        <w:lastRenderedPageBreak/>
        <w:t>Governance Route/Approval Process</w:t>
      </w:r>
    </w:p>
    <w:p w:rsidR="005D3499" w:rsidRPr="00B80276" w:rsidRDefault="008622DB" w:rsidP="008622DB">
      <w:pPr>
        <w:jc w:val="both"/>
        <w:rPr>
          <w:rFonts w:ascii="Segoe UI" w:hAnsi="Segoe UI" w:cs="Segoe UI"/>
          <w:sz w:val="22"/>
          <w:szCs w:val="22"/>
        </w:rPr>
      </w:pPr>
      <w:r w:rsidRPr="00B80276">
        <w:rPr>
          <w:rFonts w:ascii="Segoe UI" w:hAnsi="Segoe UI" w:cs="Segoe UI"/>
          <w:sz w:val="22"/>
          <w:szCs w:val="22"/>
        </w:rPr>
        <w:t>This is a monthly report</w:t>
      </w:r>
      <w:r w:rsidR="00332937">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rsidR="00551AD9" w:rsidRPr="00B80276" w:rsidRDefault="00551AD9" w:rsidP="0073522A">
      <w:pPr>
        <w:jc w:val="both"/>
        <w:rPr>
          <w:rFonts w:ascii="Segoe UI" w:hAnsi="Segoe UI" w:cs="Segoe UI"/>
          <w:b/>
          <w:sz w:val="22"/>
          <w:szCs w:val="22"/>
        </w:rPr>
      </w:pPr>
    </w:p>
    <w:p w:rsidR="0073522A" w:rsidRPr="00B80276" w:rsidRDefault="0073522A" w:rsidP="0073522A">
      <w:pPr>
        <w:jc w:val="both"/>
        <w:rPr>
          <w:rFonts w:ascii="Segoe UI" w:hAnsi="Segoe UI" w:cs="Segoe UI"/>
          <w:b/>
          <w:sz w:val="22"/>
          <w:szCs w:val="22"/>
        </w:rPr>
      </w:pPr>
      <w:r w:rsidRPr="00B80276">
        <w:rPr>
          <w:rFonts w:ascii="Segoe UI" w:hAnsi="Segoe UI" w:cs="Segoe UI"/>
          <w:b/>
          <w:sz w:val="22"/>
          <w:szCs w:val="22"/>
        </w:rPr>
        <w:t>Recommendation</w:t>
      </w:r>
    </w:p>
    <w:p w:rsidR="005D3499" w:rsidRPr="00266248" w:rsidRDefault="00266248">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note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p>
    <w:p w:rsidR="00266248" w:rsidRPr="00B80276" w:rsidRDefault="00266248">
      <w:pPr>
        <w:jc w:val="both"/>
        <w:rPr>
          <w:rFonts w:ascii="Segoe UI" w:hAnsi="Segoe UI" w:cs="Segoe UI"/>
          <w:b/>
          <w:sz w:val="22"/>
          <w:szCs w:val="22"/>
        </w:rPr>
      </w:pPr>
    </w:p>
    <w:p w:rsidR="008622DB" w:rsidRPr="00B80276" w:rsidRDefault="002619EF" w:rsidP="008622DB">
      <w:pPr>
        <w:jc w:val="both"/>
        <w:rPr>
          <w:rFonts w:ascii="Segoe UI" w:hAnsi="Segoe UI" w:cs="Segoe UI"/>
          <w:sz w:val="22"/>
          <w:szCs w:val="22"/>
        </w:rPr>
      </w:pPr>
      <w:r w:rsidRPr="00B80276">
        <w:rPr>
          <w:rFonts w:ascii="Segoe UI" w:hAnsi="Segoe UI" w:cs="Segoe UI"/>
          <w:b/>
          <w:sz w:val="22"/>
          <w:szCs w:val="22"/>
        </w:rPr>
        <w:t>Author and T</w:t>
      </w:r>
      <w:r w:rsidR="0073522A" w:rsidRPr="00B80276">
        <w:rPr>
          <w:rFonts w:ascii="Segoe UI" w:hAnsi="Segoe UI" w:cs="Segoe UI"/>
          <w:b/>
          <w:sz w:val="22"/>
          <w:szCs w:val="22"/>
        </w:rPr>
        <w:t>itle:</w:t>
      </w:r>
      <w:r w:rsidR="008622DB" w:rsidRPr="00B80276">
        <w:rPr>
          <w:rFonts w:ascii="Segoe UI" w:hAnsi="Segoe UI" w:cs="Segoe UI"/>
          <w:b/>
          <w:sz w:val="22"/>
          <w:szCs w:val="22"/>
        </w:rPr>
        <w:t xml:space="preserve"> </w:t>
      </w:r>
      <w:r w:rsidR="003A34EF" w:rsidRPr="00B80276">
        <w:rPr>
          <w:rFonts w:ascii="Segoe UI" w:hAnsi="Segoe UI" w:cs="Segoe UI"/>
          <w:b/>
          <w:sz w:val="22"/>
          <w:szCs w:val="22"/>
        </w:rPr>
        <w:tab/>
      </w:r>
      <w:r w:rsidR="003A34EF" w:rsidRPr="00B80276">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p>
    <w:p w:rsidR="00FA3993" w:rsidRPr="00B80276" w:rsidRDefault="0073522A" w:rsidP="00FA3993">
      <w:pPr>
        <w:jc w:val="both"/>
        <w:rPr>
          <w:rFonts w:ascii="Segoe UI" w:hAnsi="Segoe UI" w:cs="Segoe UI"/>
          <w:b/>
          <w:sz w:val="22"/>
          <w:szCs w:val="22"/>
        </w:rPr>
      </w:pPr>
      <w:r w:rsidRPr="00B80276">
        <w:rPr>
          <w:rFonts w:ascii="Segoe UI" w:hAnsi="Segoe UI" w:cs="Segoe UI"/>
          <w:b/>
          <w:sz w:val="22"/>
          <w:szCs w:val="22"/>
        </w:rPr>
        <w:t>Lead Executive Director:</w:t>
      </w:r>
      <w:r w:rsidR="008622DB" w:rsidRPr="00B80276">
        <w:rPr>
          <w:rFonts w:ascii="Segoe UI" w:hAnsi="Segoe UI" w:cs="Segoe UI"/>
          <w:b/>
          <w:sz w:val="22"/>
          <w:szCs w:val="22"/>
        </w:rPr>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r w:rsidR="008622DB" w:rsidRPr="00B80276">
        <w:rPr>
          <w:rFonts w:ascii="Segoe UI" w:hAnsi="Segoe UI" w:cs="Segoe UI"/>
          <w:sz w:val="22"/>
          <w:szCs w:val="22"/>
        </w:rPr>
        <w:tab/>
        <w:t xml:space="preserve"> </w:t>
      </w:r>
    </w:p>
    <w:p w:rsidR="00FA3993" w:rsidRPr="00B80276" w:rsidRDefault="00FA3993" w:rsidP="00FA3993">
      <w:pPr>
        <w:jc w:val="both"/>
        <w:rPr>
          <w:rFonts w:ascii="Segoe UI" w:hAnsi="Segoe UI" w:cs="Segoe UI"/>
          <w:sz w:val="22"/>
          <w:szCs w:val="22"/>
        </w:rPr>
      </w:pPr>
    </w:p>
    <w:p w:rsidR="00FA3993"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A risk assessment has been undertaken around the legal issues that this report presents and there are no issues that need to be referred to the Trust Solicitors</w:t>
      </w:r>
    </w:p>
    <w:p w:rsidR="002250DE" w:rsidRPr="00B80276" w:rsidRDefault="002250DE" w:rsidP="002250DE">
      <w:pPr>
        <w:ind w:left="720"/>
        <w:jc w:val="both"/>
        <w:rPr>
          <w:rFonts w:ascii="Segoe UI" w:hAnsi="Segoe UI" w:cs="Segoe UI"/>
          <w:i/>
          <w:sz w:val="22"/>
          <w:szCs w:val="22"/>
        </w:rPr>
      </w:pPr>
    </w:p>
    <w:p w:rsidR="00FB35C1"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Strategic Objectives –</w:t>
      </w:r>
      <w:r w:rsidR="00A50246">
        <w:rPr>
          <w:rFonts w:ascii="Segoe UI" w:hAnsi="Segoe UI" w:cs="Segoe UI"/>
          <w:i/>
          <w:sz w:val="22"/>
          <w:szCs w:val="22"/>
        </w:rPr>
        <w:t xml:space="preserve"> all relevant </w:t>
      </w:r>
    </w:p>
    <w:p w:rsidR="003A34EF" w:rsidRPr="00B80276" w:rsidRDefault="003A34EF" w:rsidP="003A34EF">
      <w:pPr>
        <w:pStyle w:val="ListParagrap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Default="003A34EF"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Pr="00B80276" w:rsidRDefault="00B80276" w:rsidP="003A34EF">
      <w:pPr>
        <w:ind w:left="720"/>
        <w:jc w:val="both"/>
        <w:rPr>
          <w:rFonts w:ascii="Segoe UI" w:hAnsi="Segoe UI" w:cs="Segoe UI"/>
          <w:b/>
          <w:i/>
          <w:sz w:val="22"/>
          <w:szCs w:val="22"/>
        </w:rPr>
      </w:pPr>
    </w:p>
    <w:p w:rsidR="003A34EF" w:rsidRDefault="003A34EF" w:rsidP="003A34EF">
      <w:pPr>
        <w:ind w:left="720"/>
        <w:jc w:val="both"/>
        <w:rPr>
          <w:rFonts w:ascii="Segoe UI" w:hAnsi="Segoe UI" w:cs="Segoe UI"/>
          <w:b/>
          <w:i/>
          <w:sz w:val="22"/>
          <w:szCs w:val="22"/>
        </w:rPr>
      </w:pPr>
    </w:p>
    <w:p w:rsidR="0057472D" w:rsidRDefault="0057472D" w:rsidP="003A34EF">
      <w:pPr>
        <w:ind w:left="720"/>
        <w:jc w:val="both"/>
        <w:rPr>
          <w:rFonts w:ascii="Segoe UI" w:hAnsi="Segoe UI" w:cs="Segoe UI"/>
          <w:b/>
          <w:i/>
          <w:sz w:val="22"/>
          <w:szCs w:val="22"/>
        </w:rPr>
      </w:pPr>
      <w:bookmarkStart w:id="0" w:name="_GoBack"/>
      <w:bookmarkEnd w:id="0"/>
    </w:p>
    <w:p w:rsidR="00F24623" w:rsidRDefault="00F24623" w:rsidP="003A34EF">
      <w:pPr>
        <w:ind w:left="720"/>
        <w:jc w:val="both"/>
        <w:rPr>
          <w:rFonts w:ascii="Segoe UI" w:hAnsi="Segoe UI" w:cs="Segoe UI"/>
          <w:b/>
          <w:i/>
          <w:sz w:val="22"/>
          <w:szCs w:val="22"/>
        </w:rPr>
      </w:pPr>
    </w:p>
    <w:p w:rsidR="00F24623" w:rsidRDefault="00F24623" w:rsidP="003A34EF">
      <w:pPr>
        <w:ind w:left="720"/>
        <w:jc w:val="both"/>
        <w:rPr>
          <w:rFonts w:ascii="Segoe UI" w:hAnsi="Segoe UI" w:cs="Segoe UI"/>
          <w:b/>
          <w:i/>
          <w:sz w:val="22"/>
          <w:szCs w:val="22"/>
        </w:rPr>
      </w:pPr>
    </w:p>
    <w:p w:rsidR="00F24623" w:rsidRPr="00B80276" w:rsidRDefault="00F24623" w:rsidP="003A34EF">
      <w:pPr>
        <w:ind w:left="720"/>
        <w:jc w:val="both"/>
        <w:rPr>
          <w:rFonts w:ascii="Segoe UI" w:hAnsi="Segoe UI" w:cs="Segoe UI"/>
          <w:b/>
          <w:i/>
          <w:sz w:val="22"/>
          <w:szCs w:val="22"/>
        </w:rPr>
      </w:pPr>
    </w:p>
    <w:p w:rsidR="003F7366" w:rsidRPr="00B80276" w:rsidRDefault="008622DB" w:rsidP="00DF10CC">
      <w:pPr>
        <w:jc w:val="both"/>
        <w:rPr>
          <w:rFonts w:ascii="Segoe UI" w:hAnsi="Segoe UI" w:cs="Segoe UI"/>
          <w:i/>
          <w:sz w:val="22"/>
          <w:szCs w:val="22"/>
        </w:rPr>
      </w:pPr>
      <w:r w:rsidRPr="00B80276">
        <w:rPr>
          <w:rFonts w:ascii="Segoe UI" w:hAnsi="Segoe UI" w:cs="Segoe UI"/>
          <w:b/>
          <w:i/>
          <w:sz w:val="22"/>
          <w:szCs w:val="22"/>
        </w:rPr>
        <w:lastRenderedPageBreak/>
        <w:t>LEGAL, REGULATORY AND POLICY UPDATE</w:t>
      </w:r>
    </w:p>
    <w:p w:rsidR="00030247" w:rsidRPr="00B80276" w:rsidRDefault="00030247" w:rsidP="0073522A">
      <w:pPr>
        <w:jc w:val="both"/>
        <w:rPr>
          <w:rFonts w:ascii="Segoe UI" w:hAnsi="Segoe UI" w:cs="Segoe UI"/>
          <w:sz w:val="22"/>
          <w:szCs w:val="22"/>
        </w:rPr>
      </w:pPr>
    </w:p>
    <w:p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This report provides an update to inform the Board of Directors on recent regulation and compliance guidance issued by such as NHSI, NHS England, the Care Quality Commission and other relevant bodies where their actions have a consequential impact on the Trust or an awareness of the change/impending change is relevant to the Board of Directors.</w:t>
      </w:r>
    </w:p>
    <w:p w:rsidR="008622DB" w:rsidRPr="00B80276" w:rsidRDefault="008622DB" w:rsidP="008622DB">
      <w:pPr>
        <w:ind w:left="720"/>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Proposals regarding any matters arising out of the regular Legal &amp; Regulatory Update report will where necessary be received by the Executive Team Meeting to ensure timely updates, to enable the Trust to respond as necessary or helpful to consultations and to ensure preparedness for the implications of, and compliance with changes in mandatory frameworks.  </w:t>
      </w:r>
    </w:p>
    <w:p w:rsidR="00D870AD" w:rsidRPr="00B80276" w:rsidRDefault="00D870AD" w:rsidP="00D870AD">
      <w:pPr>
        <w:pStyle w:val="ListParagraph"/>
        <w:ind w:left="1446"/>
        <w:jc w:val="both"/>
        <w:rPr>
          <w:rFonts w:ascii="Segoe UI" w:hAnsi="Segoe UI" w:cs="Segoe UI"/>
          <w:i/>
          <w:sz w:val="22"/>
          <w:szCs w:val="22"/>
        </w:rPr>
      </w:pPr>
    </w:p>
    <w:p w:rsidR="003F7366" w:rsidRPr="00B80276" w:rsidRDefault="00D870AD" w:rsidP="0073522A">
      <w:pPr>
        <w:jc w:val="both"/>
        <w:rPr>
          <w:rFonts w:ascii="Segoe UI" w:hAnsi="Segoe UI" w:cs="Segoe UI"/>
          <w:b/>
          <w:sz w:val="22"/>
          <w:szCs w:val="22"/>
        </w:rPr>
      </w:pPr>
      <w:r w:rsidRPr="00B80276">
        <w:rPr>
          <w:rFonts w:ascii="Segoe UI" w:hAnsi="Segoe UI" w:cs="Segoe UI"/>
          <w:b/>
          <w:sz w:val="22"/>
          <w:szCs w:val="22"/>
        </w:rPr>
        <w:t>BACKGROUND</w:t>
      </w:r>
    </w:p>
    <w:p w:rsidR="003F7366" w:rsidRPr="00B80276" w:rsidRDefault="003F7366" w:rsidP="0073522A">
      <w:pPr>
        <w:jc w:val="both"/>
        <w:rPr>
          <w:rFonts w:ascii="Segoe UI" w:hAnsi="Segoe UI" w:cs="Segoe UI"/>
          <w:i/>
          <w:sz w:val="22"/>
          <w:szCs w:val="22"/>
        </w:rPr>
      </w:pPr>
    </w:p>
    <w:p w:rsidR="00214D03" w:rsidRPr="00264404" w:rsidRDefault="008137A1" w:rsidP="00695E0F">
      <w:pPr>
        <w:pStyle w:val="ListParagraph"/>
        <w:numPr>
          <w:ilvl w:val="0"/>
          <w:numId w:val="2"/>
        </w:numPr>
        <w:ind w:left="66" w:firstLine="66"/>
        <w:jc w:val="both"/>
        <w:rPr>
          <w:rFonts w:ascii="Segoe UI" w:hAnsi="Segoe UI" w:cs="Segoe UI"/>
          <w:b/>
          <w:sz w:val="22"/>
          <w:szCs w:val="22"/>
        </w:rPr>
      </w:pPr>
      <w:bookmarkStart w:id="1" w:name="_Hlk528581436"/>
      <w:r>
        <w:rPr>
          <w:rFonts w:ascii="Segoe UI" w:hAnsi="Segoe UI" w:cs="Segoe UI"/>
          <w:b/>
          <w:bCs/>
          <w:sz w:val="22"/>
          <w:szCs w:val="22"/>
          <w:lang w:val="en-GB"/>
        </w:rPr>
        <w:t xml:space="preserve">Visiting children in residential </w:t>
      </w:r>
      <w:r w:rsidR="002220BA">
        <w:rPr>
          <w:rFonts w:ascii="Segoe UI" w:hAnsi="Segoe UI" w:cs="Segoe UI"/>
          <w:b/>
          <w:bCs/>
          <w:sz w:val="22"/>
          <w:szCs w:val="22"/>
          <w:lang w:val="en-GB"/>
        </w:rPr>
        <w:t>special schools and colleges</w:t>
      </w:r>
    </w:p>
    <w:p w:rsidR="00A617B0" w:rsidRPr="00A617B0" w:rsidRDefault="00C168C8" w:rsidP="00A617B0">
      <w:pPr>
        <w:pStyle w:val="ListParagraph"/>
        <w:ind w:left="66"/>
        <w:jc w:val="both"/>
        <w:rPr>
          <w:rFonts w:ascii="Segoe UI" w:hAnsi="Segoe UI" w:cs="Segoe UI"/>
          <w:sz w:val="22"/>
          <w:szCs w:val="22"/>
          <w:lang w:val="en-GB"/>
        </w:rPr>
      </w:pPr>
      <w:r>
        <w:rPr>
          <w:rFonts w:ascii="Segoe UI" w:hAnsi="Segoe UI" w:cs="Segoe UI"/>
          <w:sz w:val="22"/>
          <w:szCs w:val="22"/>
        </w:rPr>
        <w:t xml:space="preserve"> </w:t>
      </w:r>
    </w:p>
    <w:p w:rsidR="008E0366" w:rsidRPr="008E0366" w:rsidRDefault="00745544" w:rsidP="008E0366">
      <w:pPr>
        <w:pStyle w:val="ListParagraph"/>
        <w:ind w:left="66"/>
        <w:jc w:val="both"/>
        <w:rPr>
          <w:rFonts w:ascii="Segoe UI" w:hAnsi="Segoe UI" w:cs="Segoe UI"/>
          <w:sz w:val="22"/>
          <w:szCs w:val="22"/>
        </w:rPr>
      </w:pPr>
      <w:r>
        <w:rPr>
          <w:rFonts w:ascii="Segoe UI" w:hAnsi="Segoe UI" w:cs="Segoe UI"/>
          <w:sz w:val="22"/>
          <w:szCs w:val="22"/>
        </w:rPr>
        <w:t>The Children’s Commissioner for England has written</w:t>
      </w:r>
      <w:r w:rsidR="008E0366" w:rsidRPr="008E0366">
        <w:rPr>
          <w:rFonts w:ascii="Segoe UI" w:hAnsi="Segoe UI" w:cs="Segoe UI"/>
          <w:sz w:val="22"/>
          <w:szCs w:val="22"/>
        </w:rPr>
        <w:t xml:space="preserve"> to all CAMHS tier 4 units, both NHS and private hospitals, in England that provide hospital services for children</w:t>
      </w:r>
      <w:r w:rsidR="00FD21B4">
        <w:rPr>
          <w:rFonts w:ascii="Segoe UI" w:hAnsi="Segoe UI" w:cs="Segoe UI"/>
          <w:sz w:val="22"/>
          <w:szCs w:val="22"/>
        </w:rPr>
        <w:t xml:space="preserve"> and</w:t>
      </w:r>
      <w:r w:rsidR="00FD21B4" w:rsidRPr="00FD21B4">
        <w:rPr>
          <w:rFonts w:ascii="Segoe UI" w:hAnsi="Segoe UI" w:cs="Segoe UI"/>
          <w:b/>
          <w:sz w:val="22"/>
          <w:szCs w:val="22"/>
          <w:lang w:val="en"/>
        </w:rPr>
        <w:t xml:space="preserve"> </w:t>
      </w:r>
      <w:r w:rsidR="00FD21B4" w:rsidRPr="00FD21B4">
        <w:rPr>
          <w:rFonts w:ascii="Segoe UI" w:hAnsi="Segoe UI" w:cs="Segoe UI"/>
          <w:sz w:val="22"/>
          <w:szCs w:val="22"/>
          <w:lang w:val="en"/>
        </w:rPr>
        <w:t>to all Directors of Children’s Services in England</w:t>
      </w:r>
      <w:r w:rsidR="008E0366" w:rsidRPr="008E0366">
        <w:rPr>
          <w:rFonts w:ascii="Segoe UI" w:hAnsi="Segoe UI" w:cs="Segoe UI"/>
          <w:sz w:val="22"/>
          <w:szCs w:val="22"/>
        </w:rPr>
        <w:t xml:space="preserve"> to raise awareness of responsibilities under </w:t>
      </w:r>
      <w:r w:rsidR="008E0366" w:rsidRPr="004E1DE4">
        <w:rPr>
          <w:rFonts w:ascii="Segoe UI" w:hAnsi="Segoe UI" w:cs="Segoe UI"/>
          <w:bCs/>
          <w:sz w:val="22"/>
          <w:szCs w:val="22"/>
        </w:rPr>
        <w:t>S.85 and 86 of the Children Act 1989</w:t>
      </w:r>
      <w:r w:rsidR="008E0366" w:rsidRPr="004E1DE4">
        <w:rPr>
          <w:rFonts w:ascii="Segoe UI" w:hAnsi="Segoe UI" w:cs="Segoe UI"/>
          <w:sz w:val="22"/>
          <w:szCs w:val="22"/>
        </w:rPr>
        <w:t xml:space="preserve">, and to give information about </w:t>
      </w:r>
      <w:r w:rsidR="00956831" w:rsidRPr="004E1DE4">
        <w:rPr>
          <w:rFonts w:ascii="Segoe UI" w:hAnsi="Segoe UI" w:cs="Segoe UI"/>
          <w:sz w:val="22"/>
          <w:szCs w:val="22"/>
        </w:rPr>
        <w:t>the</w:t>
      </w:r>
      <w:r w:rsidR="008E0366" w:rsidRPr="004E1DE4">
        <w:rPr>
          <w:rFonts w:ascii="Segoe UI" w:hAnsi="Segoe UI" w:cs="Segoe UI"/>
          <w:sz w:val="22"/>
          <w:szCs w:val="22"/>
        </w:rPr>
        <w:t xml:space="preserve"> </w:t>
      </w:r>
      <w:r w:rsidR="008E0366" w:rsidRPr="004E1DE4">
        <w:rPr>
          <w:rFonts w:ascii="Segoe UI" w:hAnsi="Segoe UI" w:cs="Segoe UI"/>
          <w:bCs/>
          <w:i/>
          <w:iCs/>
          <w:sz w:val="22"/>
          <w:szCs w:val="22"/>
        </w:rPr>
        <w:t>Help at Hand</w:t>
      </w:r>
      <w:r w:rsidR="008E0366" w:rsidRPr="004E1DE4">
        <w:rPr>
          <w:rFonts w:ascii="Segoe UI" w:hAnsi="Segoe UI" w:cs="Segoe UI"/>
          <w:sz w:val="22"/>
          <w:szCs w:val="22"/>
        </w:rPr>
        <w:t xml:space="preserve"> advice and representation service.</w:t>
      </w:r>
      <w:r w:rsidR="008E0366" w:rsidRPr="008E0366">
        <w:rPr>
          <w:rFonts w:ascii="Segoe UI" w:hAnsi="Segoe UI" w:cs="Segoe UI"/>
          <w:sz w:val="22"/>
          <w:szCs w:val="22"/>
        </w:rPr>
        <w:t xml:space="preserve"> </w:t>
      </w:r>
    </w:p>
    <w:p w:rsidR="008E0366" w:rsidRPr="008E0366" w:rsidRDefault="008E0366" w:rsidP="008E0366">
      <w:pPr>
        <w:pStyle w:val="ListParagraph"/>
        <w:ind w:left="66"/>
        <w:jc w:val="both"/>
        <w:rPr>
          <w:rFonts w:ascii="Segoe UI" w:hAnsi="Segoe UI" w:cs="Segoe UI"/>
          <w:sz w:val="22"/>
          <w:szCs w:val="22"/>
          <w:lang w:val="en-GB"/>
        </w:rPr>
      </w:pPr>
      <w:r w:rsidRPr="008E0366">
        <w:rPr>
          <w:rFonts w:ascii="Segoe UI" w:hAnsi="Segoe UI" w:cs="Segoe UI"/>
          <w:sz w:val="22"/>
          <w:szCs w:val="22"/>
          <w:lang w:val="en-GB"/>
        </w:rPr>
        <w:t> </w:t>
      </w:r>
    </w:p>
    <w:p w:rsidR="008E0366" w:rsidRPr="008E0366" w:rsidRDefault="008E0366" w:rsidP="008E0366">
      <w:pPr>
        <w:pStyle w:val="ListParagraph"/>
        <w:ind w:left="66"/>
        <w:jc w:val="both"/>
        <w:rPr>
          <w:rFonts w:ascii="Segoe UI" w:hAnsi="Segoe UI" w:cs="Segoe UI"/>
          <w:sz w:val="22"/>
          <w:szCs w:val="22"/>
        </w:rPr>
      </w:pPr>
      <w:r w:rsidRPr="008E0366">
        <w:rPr>
          <w:rFonts w:ascii="Segoe UI" w:hAnsi="Segoe UI" w:cs="Segoe UI"/>
          <w:sz w:val="22"/>
          <w:szCs w:val="22"/>
        </w:rPr>
        <w:t xml:space="preserve">In November 2017 the Department for Education and the Department of Health issued statutory guidance entitled: </w:t>
      </w:r>
      <w:r w:rsidRPr="004E1DE4">
        <w:rPr>
          <w:rFonts w:ascii="Segoe UI" w:hAnsi="Segoe UI" w:cs="Segoe UI"/>
          <w:bCs/>
          <w:i/>
          <w:iCs/>
          <w:sz w:val="22"/>
          <w:szCs w:val="22"/>
        </w:rPr>
        <w:t>‘Statutory visits for children with special educational needs and disabilities or health conditions in long-term residential settings’</w:t>
      </w:r>
      <w:r w:rsidRPr="008E0366">
        <w:rPr>
          <w:rFonts w:ascii="Segoe UI" w:hAnsi="Segoe UI" w:cs="Segoe UI"/>
          <w:i/>
          <w:iCs/>
          <w:sz w:val="22"/>
          <w:szCs w:val="22"/>
        </w:rPr>
        <w:t xml:space="preserve">, </w:t>
      </w:r>
    </w:p>
    <w:p w:rsidR="008E0366" w:rsidRPr="008E0366" w:rsidRDefault="0057472D" w:rsidP="008E0366">
      <w:pPr>
        <w:pStyle w:val="ListParagraph"/>
        <w:ind w:left="66"/>
        <w:jc w:val="both"/>
        <w:rPr>
          <w:rFonts w:ascii="Segoe UI" w:hAnsi="Segoe UI" w:cs="Segoe UI"/>
          <w:sz w:val="22"/>
          <w:szCs w:val="22"/>
        </w:rPr>
      </w:pPr>
      <w:hyperlink r:id="rId9" w:history="1">
        <w:r w:rsidR="008E0366" w:rsidRPr="008E0366">
          <w:rPr>
            <w:rStyle w:val="Hyperlink"/>
            <w:rFonts w:ascii="Segoe UI" w:hAnsi="Segoe UI" w:cs="Segoe UI"/>
            <w:sz w:val="22"/>
            <w:szCs w:val="22"/>
          </w:rPr>
          <w:t>https://assets.publishing.service.gov.uk/government/uploads/system/uploads/attachment_data/file/656849/Visiting_children_in_residential_special_schools_and_colleges.pdf</w:t>
        </w:r>
      </w:hyperlink>
    </w:p>
    <w:p w:rsidR="008E0366" w:rsidRPr="008E0366" w:rsidRDefault="008E0366" w:rsidP="008E0366">
      <w:pPr>
        <w:pStyle w:val="ListParagraph"/>
        <w:ind w:left="66"/>
        <w:jc w:val="both"/>
        <w:rPr>
          <w:rFonts w:ascii="Segoe UI" w:hAnsi="Segoe UI" w:cs="Segoe UI"/>
          <w:sz w:val="22"/>
          <w:szCs w:val="22"/>
        </w:rPr>
      </w:pPr>
      <w:r w:rsidRPr="008E0366">
        <w:rPr>
          <w:rFonts w:ascii="Segoe UI" w:hAnsi="Segoe UI" w:cs="Segoe UI"/>
          <w:sz w:val="22"/>
          <w:szCs w:val="22"/>
        </w:rPr>
        <w:t> </w:t>
      </w:r>
    </w:p>
    <w:p w:rsidR="008E0366" w:rsidRPr="008E0366" w:rsidRDefault="008E0366" w:rsidP="008E0366">
      <w:pPr>
        <w:pStyle w:val="ListParagraph"/>
        <w:ind w:left="66"/>
        <w:jc w:val="both"/>
        <w:rPr>
          <w:rFonts w:ascii="Segoe UI" w:hAnsi="Segoe UI" w:cs="Segoe UI"/>
          <w:sz w:val="22"/>
          <w:szCs w:val="22"/>
        </w:rPr>
      </w:pPr>
      <w:r w:rsidRPr="008E0366">
        <w:rPr>
          <w:rFonts w:ascii="Segoe UI" w:hAnsi="Segoe UI" w:cs="Segoe UI"/>
          <w:sz w:val="22"/>
          <w:szCs w:val="22"/>
        </w:rPr>
        <w:t>In summary the guidance requires</w:t>
      </w:r>
      <w:r w:rsidR="00D032B3">
        <w:rPr>
          <w:rFonts w:ascii="Segoe UI" w:hAnsi="Segoe UI" w:cs="Segoe UI"/>
          <w:sz w:val="22"/>
          <w:szCs w:val="22"/>
        </w:rPr>
        <w:t xml:space="preserve"> where a child is provided accommodation by health authorities </w:t>
      </w:r>
      <w:r w:rsidR="007D7A14">
        <w:rPr>
          <w:rFonts w:ascii="Segoe UI" w:hAnsi="Segoe UI" w:cs="Segoe UI"/>
          <w:sz w:val="22"/>
          <w:szCs w:val="22"/>
        </w:rPr>
        <w:t>for a consecutive period of at least three months</w:t>
      </w:r>
      <w:r w:rsidR="00BF37F1">
        <w:rPr>
          <w:rFonts w:ascii="Segoe UI" w:hAnsi="Segoe UI" w:cs="Segoe UI"/>
          <w:sz w:val="22"/>
          <w:szCs w:val="22"/>
        </w:rPr>
        <w:t xml:space="preserve"> (or intention to do so) </w:t>
      </w:r>
      <w:r w:rsidR="00D20525">
        <w:rPr>
          <w:rFonts w:ascii="Segoe UI" w:hAnsi="Segoe UI" w:cs="Segoe UI"/>
          <w:sz w:val="22"/>
          <w:szCs w:val="22"/>
        </w:rPr>
        <w:t>there is a requirement to notify the Director of Children’s Services</w:t>
      </w:r>
      <w:r w:rsidR="002C3616">
        <w:rPr>
          <w:rFonts w:ascii="Segoe UI" w:hAnsi="Segoe UI" w:cs="Segoe UI"/>
          <w:sz w:val="22"/>
          <w:szCs w:val="22"/>
        </w:rPr>
        <w:t xml:space="preserve"> of the responsible authority where the child is normally resident.</w:t>
      </w:r>
    </w:p>
    <w:p w:rsidR="008E0366" w:rsidRPr="008E0366" w:rsidRDefault="008E0366" w:rsidP="008E0366">
      <w:pPr>
        <w:pStyle w:val="ListParagraph"/>
        <w:ind w:left="66"/>
        <w:jc w:val="both"/>
        <w:rPr>
          <w:rFonts w:ascii="Segoe UI" w:hAnsi="Segoe UI" w:cs="Segoe UI"/>
          <w:sz w:val="22"/>
          <w:szCs w:val="22"/>
        </w:rPr>
      </w:pPr>
      <w:r w:rsidRPr="008E0366">
        <w:rPr>
          <w:rFonts w:ascii="Segoe UI" w:hAnsi="Segoe UI" w:cs="Segoe UI"/>
          <w:b/>
          <w:bCs/>
          <w:sz w:val="22"/>
          <w:szCs w:val="22"/>
          <w:lang w:val="en"/>
        </w:rPr>
        <w:t> </w:t>
      </w:r>
    </w:p>
    <w:p w:rsidR="008E0366" w:rsidRPr="008E0366" w:rsidRDefault="008E0366" w:rsidP="008E0366">
      <w:pPr>
        <w:pStyle w:val="ListParagraph"/>
        <w:ind w:left="66"/>
        <w:jc w:val="both"/>
        <w:rPr>
          <w:rFonts w:ascii="Segoe UI" w:hAnsi="Segoe UI" w:cs="Segoe UI"/>
          <w:sz w:val="22"/>
          <w:szCs w:val="22"/>
        </w:rPr>
      </w:pPr>
      <w:r w:rsidRPr="008E0366">
        <w:rPr>
          <w:rFonts w:ascii="Segoe UI" w:hAnsi="Segoe UI" w:cs="Segoe UI"/>
          <w:sz w:val="22"/>
          <w:szCs w:val="22"/>
          <w:lang w:val="en"/>
        </w:rPr>
        <w:t> </w:t>
      </w:r>
      <w:r w:rsidR="000F239E">
        <w:rPr>
          <w:rFonts w:ascii="Segoe UI" w:hAnsi="Segoe UI" w:cs="Segoe UI"/>
          <w:sz w:val="22"/>
          <w:szCs w:val="22"/>
          <w:lang w:val="en"/>
        </w:rPr>
        <w:t xml:space="preserve">The local authority will then </w:t>
      </w:r>
      <w:r w:rsidRPr="008E0366">
        <w:rPr>
          <w:rFonts w:ascii="Segoe UI" w:hAnsi="Segoe UI" w:cs="Segoe UI"/>
          <w:sz w:val="22"/>
          <w:szCs w:val="22"/>
          <w:lang w:val="en"/>
        </w:rPr>
        <w:t>take such steps as are reasonably practicable to enable them to determine whether the child’s welfare is adequately safeguarded and promoted while he is accommodated by the accommodating authority; and</w:t>
      </w:r>
      <w:r w:rsidR="000F239E">
        <w:rPr>
          <w:rFonts w:ascii="Segoe UI" w:hAnsi="Segoe UI" w:cs="Segoe UI"/>
          <w:sz w:val="22"/>
          <w:szCs w:val="22"/>
          <w:lang w:val="en"/>
        </w:rPr>
        <w:t xml:space="preserve"> </w:t>
      </w:r>
      <w:r w:rsidR="00202ECC">
        <w:rPr>
          <w:rFonts w:ascii="Segoe UI" w:hAnsi="Segoe UI" w:cs="Segoe UI"/>
          <w:sz w:val="22"/>
          <w:szCs w:val="22"/>
          <w:lang w:val="en"/>
        </w:rPr>
        <w:t>c</w:t>
      </w:r>
      <w:r w:rsidRPr="008E0366">
        <w:rPr>
          <w:rFonts w:ascii="Segoe UI" w:hAnsi="Segoe UI" w:cs="Segoe UI"/>
          <w:sz w:val="22"/>
          <w:szCs w:val="22"/>
          <w:lang w:val="en"/>
        </w:rPr>
        <w:t>onsider the extent to which (if at all) they should exercise any of their functions under this Act with respect to the child.</w:t>
      </w:r>
    </w:p>
    <w:p w:rsidR="008E0366" w:rsidRPr="008E0366" w:rsidRDefault="008E0366" w:rsidP="008E0366">
      <w:pPr>
        <w:pStyle w:val="ListParagraph"/>
        <w:ind w:left="66"/>
        <w:jc w:val="both"/>
        <w:rPr>
          <w:rFonts w:ascii="Segoe UI" w:hAnsi="Segoe UI" w:cs="Segoe UI"/>
          <w:sz w:val="22"/>
          <w:szCs w:val="22"/>
        </w:rPr>
      </w:pPr>
      <w:r w:rsidRPr="008E0366">
        <w:rPr>
          <w:rFonts w:ascii="Segoe UI" w:hAnsi="Segoe UI" w:cs="Segoe UI"/>
          <w:sz w:val="22"/>
          <w:szCs w:val="22"/>
          <w:lang w:val="en"/>
        </w:rPr>
        <w:t> </w:t>
      </w:r>
    </w:p>
    <w:p w:rsidR="008E0366" w:rsidRPr="008E0366" w:rsidRDefault="008E0366" w:rsidP="008E0366">
      <w:pPr>
        <w:pStyle w:val="ListParagraph"/>
        <w:ind w:left="66"/>
        <w:jc w:val="both"/>
        <w:rPr>
          <w:rFonts w:ascii="Segoe UI" w:hAnsi="Segoe UI" w:cs="Segoe UI"/>
          <w:sz w:val="22"/>
          <w:szCs w:val="22"/>
        </w:rPr>
      </w:pPr>
      <w:r w:rsidRPr="000F239E">
        <w:rPr>
          <w:rFonts w:ascii="Segoe UI" w:hAnsi="Segoe UI" w:cs="Segoe UI"/>
          <w:sz w:val="22"/>
          <w:szCs w:val="22"/>
          <w:lang w:val="en"/>
        </w:rPr>
        <w:t xml:space="preserve">In </w:t>
      </w:r>
      <w:r w:rsidRPr="000F239E">
        <w:rPr>
          <w:rFonts w:ascii="Segoe UI" w:hAnsi="Segoe UI" w:cs="Segoe UI"/>
          <w:bCs/>
          <w:sz w:val="22"/>
          <w:szCs w:val="22"/>
          <w:lang w:val="en"/>
        </w:rPr>
        <w:t>Section 86</w:t>
      </w:r>
      <w:r w:rsidRPr="008E0366">
        <w:rPr>
          <w:rFonts w:ascii="Segoe UI" w:hAnsi="Segoe UI" w:cs="Segoe UI"/>
          <w:sz w:val="22"/>
          <w:szCs w:val="22"/>
          <w:lang w:val="en"/>
        </w:rPr>
        <w:t xml:space="preserve"> the same duty extends to private hospitals, but these are required to notify the local authority in which they are geographically located.</w:t>
      </w:r>
    </w:p>
    <w:p w:rsidR="008E0366" w:rsidRPr="008E0366" w:rsidRDefault="008E0366" w:rsidP="008E0366">
      <w:pPr>
        <w:pStyle w:val="ListParagraph"/>
        <w:ind w:left="66"/>
        <w:jc w:val="both"/>
        <w:rPr>
          <w:rFonts w:ascii="Segoe UI" w:hAnsi="Segoe UI" w:cs="Segoe UI"/>
          <w:sz w:val="22"/>
          <w:szCs w:val="22"/>
          <w:lang w:val="en-GB"/>
        </w:rPr>
      </w:pPr>
      <w:r w:rsidRPr="008E0366">
        <w:rPr>
          <w:rFonts w:ascii="Segoe UI" w:hAnsi="Segoe UI" w:cs="Segoe UI"/>
          <w:sz w:val="22"/>
          <w:szCs w:val="22"/>
          <w:lang w:val="en"/>
        </w:rPr>
        <w:t> </w:t>
      </w:r>
    </w:p>
    <w:p w:rsidR="008E0366" w:rsidRPr="008E0366" w:rsidRDefault="008E0366" w:rsidP="002025D2">
      <w:pPr>
        <w:pStyle w:val="ListParagraph"/>
        <w:numPr>
          <w:ilvl w:val="0"/>
          <w:numId w:val="11"/>
        </w:numPr>
        <w:jc w:val="both"/>
        <w:rPr>
          <w:rFonts w:ascii="Segoe UI" w:hAnsi="Segoe UI" w:cs="Segoe UI"/>
          <w:sz w:val="22"/>
          <w:szCs w:val="22"/>
        </w:rPr>
      </w:pPr>
      <w:r w:rsidRPr="008E0366">
        <w:rPr>
          <w:rFonts w:ascii="Segoe UI" w:hAnsi="Segoe UI" w:cs="Segoe UI"/>
          <w:b/>
          <w:bCs/>
          <w:sz w:val="22"/>
          <w:szCs w:val="22"/>
        </w:rPr>
        <w:lastRenderedPageBreak/>
        <w:t>Help at Hand Service</w:t>
      </w:r>
    </w:p>
    <w:p w:rsidR="008E0366" w:rsidRPr="008E0366" w:rsidRDefault="008E0366" w:rsidP="008E0366">
      <w:pPr>
        <w:pStyle w:val="ListParagraph"/>
        <w:ind w:left="66"/>
        <w:jc w:val="both"/>
        <w:rPr>
          <w:rFonts w:ascii="Segoe UI" w:hAnsi="Segoe UI" w:cs="Segoe UI"/>
          <w:sz w:val="22"/>
          <w:szCs w:val="22"/>
        </w:rPr>
      </w:pPr>
      <w:r w:rsidRPr="008E0366">
        <w:rPr>
          <w:rFonts w:ascii="Segoe UI" w:hAnsi="Segoe UI" w:cs="Segoe UI"/>
          <w:sz w:val="22"/>
          <w:szCs w:val="22"/>
        </w:rPr>
        <w:t> </w:t>
      </w:r>
    </w:p>
    <w:p w:rsidR="008E0366" w:rsidRPr="008E0366" w:rsidRDefault="008E0366" w:rsidP="008E0366">
      <w:pPr>
        <w:pStyle w:val="ListParagraph"/>
        <w:ind w:left="66"/>
        <w:jc w:val="both"/>
        <w:rPr>
          <w:rFonts w:ascii="Segoe UI" w:hAnsi="Segoe UI" w:cs="Segoe UI"/>
          <w:sz w:val="22"/>
          <w:szCs w:val="22"/>
        </w:rPr>
      </w:pPr>
      <w:r w:rsidRPr="008E0366">
        <w:rPr>
          <w:rFonts w:ascii="Segoe UI" w:hAnsi="Segoe UI" w:cs="Segoe UI"/>
          <w:sz w:val="22"/>
          <w:szCs w:val="22"/>
        </w:rPr>
        <w:t>The Help at Hand service supports, advises and makes representations on behalf of children who are in care, or are care leavers, or are otherwise working with local authority children’s social care,</w:t>
      </w:r>
      <w:r w:rsidR="00C7680A">
        <w:rPr>
          <w:rFonts w:ascii="Segoe UI" w:hAnsi="Segoe UI" w:cs="Segoe UI"/>
          <w:sz w:val="22"/>
          <w:szCs w:val="22"/>
        </w:rPr>
        <w:t xml:space="preserve"> </w:t>
      </w:r>
      <w:r w:rsidRPr="008E0366">
        <w:rPr>
          <w:rFonts w:ascii="Segoe UI" w:hAnsi="Segoe UI" w:cs="Segoe UI"/>
          <w:sz w:val="22"/>
          <w:szCs w:val="22"/>
        </w:rPr>
        <w:t>or are living away from home in some other provision such as residential school, hospital or youth custody. The primary purpose of Help at Hand is to ensure that all decisions and plans made for children living away from their families, are made taking their views and wishes into account and in their best interests, whilst ensuring their rights are maintained.</w:t>
      </w:r>
      <w:r w:rsidR="00CD0511">
        <w:rPr>
          <w:rFonts w:ascii="Segoe UI" w:hAnsi="Segoe UI" w:cs="Segoe UI"/>
          <w:sz w:val="22"/>
          <w:szCs w:val="22"/>
        </w:rPr>
        <w:t xml:space="preserve">  </w:t>
      </w:r>
      <w:r w:rsidRPr="008E0366">
        <w:rPr>
          <w:rFonts w:ascii="Segoe UI" w:hAnsi="Segoe UI" w:cs="Segoe UI"/>
          <w:sz w:val="22"/>
          <w:szCs w:val="22"/>
        </w:rPr>
        <w:t>Further information about Help at Hand can be found at:</w:t>
      </w:r>
    </w:p>
    <w:p w:rsidR="008E0366" w:rsidRPr="008E0366" w:rsidRDefault="0057472D" w:rsidP="008E0366">
      <w:pPr>
        <w:pStyle w:val="ListParagraph"/>
        <w:ind w:left="66"/>
        <w:jc w:val="both"/>
        <w:rPr>
          <w:rFonts w:ascii="Segoe UI" w:hAnsi="Segoe UI" w:cs="Segoe UI"/>
          <w:sz w:val="22"/>
          <w:szCs w:val="22"/>
        </w:rPr>
      </w:pPr>
      <w:hyperlink r:id="rId10" w:history="1">
        <w:r w:rsidR="008E0366" w:rsidRPr="008E0366">
          <w:rPr>
            <w:rStyle w:val="Hyperlink"/>
            <w:rFonts w:ascii="Segoe UI" w:hAnsi="Segoe UI" w:cs="Segoe UI"/>
            <w:sz w:val="22"/>
            <w:szCs w:val="22"/>
          </w:rPr>
          <w:t>https://www.childrenscommissioner.gov.uk/help-at-hand/</w:t>
        </w:r>
      </w:hyperlink>
      <w:r w:rsidR="008E0366" w:rsidRPr="008E0366">
        <w:rPr>
          <w:rFonts w:ascii="Segoe UI" w:hAnsi="Segoe UI" w:cs="Segoe UI"/>
          <w:sz w:val="22"/>
          <w:szCs w:val="22"/>
        </w:rPr>
        <w:t xml:space="preserve"> </w:t>
      </w:r>
    </w:p>
    <w:p w:rsidR="008362A6" w:rsidRDefault="008362A6" w:rsidP="00214D03">
      <w:pPr>
        <w:pStyle w:val="ListParagraph"/>
        <w:ind w:left="66"/>
        <w:jc w:val="both"/>
        <w:rPr>
          <w:rFonts w:ascii="Segoe UI" w:hAnsi="Segoe UI" w:cs="Segoe UI"/>
          <w:sz w:val="22"/>
          <w:szCs w:val="22"/>
        </w:rPr>
      </w:pPr>
    </w:p>
    <w:p w:rsidR="00E0160D" w:rsidRPr="002025D2" w:rsidRDefault="009C2863" w:rsidP="002025D2">
      <w:pPr>
        <w:pStyle w:val="ListParagraph"/>
        <w:ind w:left="66"/>
        <w:jc w:val="both"/>
        <w:rPr>
          <w:rFonts w:ascii="Segoe UI" w:hAnsi="Segoe UI" w:cs="Segoe UI"/>
          <w:b/>
          <w:sz w:val="22"/>
          <w:szCs w:val="22"/>
        </w:rPr>
      </w:pPr>
      <w:r w:rsidRPr="009C2863">
        <w:rPr>
          <w:rFonts w:ascii="Segoe UI" w:hAnsi="Segoe UI" w:cs="Segoe UI"/>
          <w:b/>
          <w:sz w:val="22"/>
          <w:szCs w:val="22"/>
        </w:rPr>
        <w:t xml:space="preserve">OH Position:  </w:t>
      </w:r>
      <w:r w:rsidR="0003117D">
        <w:rPr>
          <w:rFonts w:ascii="Segoe UI" w:hAnsi="Segoe UI" w:cs="Segoe UI"/>
          <w:b/>
          <w:sz w:val="22"/>
          <w:szCs w:val="22"/>
          <w:lang w:val="en"/>
        </w:rPr>
        <w:t>We have been invited to</w:t>
      </w:r>
      <w:r w:rsidR="002025D2" w:rsidRPr="002025D2">
        <w:rPr>
          <w:rFonts w:ascii="Segoe UI" w:hAnsi="Segoe UI" w:cs="Segoe UI"/>
          <w:b/>
          <w:sz w:val="22"/>
          <w:szCs w:val="22"/>
          <w:lang w:val="en"/>
        </w:rPr>
        <w:t xml:space="preserve"> enter into dialogue with our local authority(</w:t>
      </w:r>
      <w:proofErr w:type="spellStart"/>
      <w:r w:rsidR="002025D2" w:rsidRPr="002025D2">
        <w:rPr>
          <w:rFonts w:ascii="Segoe UI" w:hAnsi="Segoe UI" w:cs="Segoe UI"/>
          <w:b/>
          <w:sz w:val="22"/>
          <w:szCs w:val="22"/>
          <w:lang w:val="en"/>
        </w:rPr>
        <w:t>ies</w:t>
      </w:r>
      <w:proofErr w:type="spellEnd"/>
      <w:r w:rsidR="002025D2" w:rsidRPr="002025D2">
        <w:rPr>
          <w:rFonts w:ascii="Segoe UI" w:hAnsi="Segoe UI" w:cs="Segoe UI"/>
          <w:b/>
          <w:sz w:val="22"/>
          <w:szCs w:val="22"/>
          <w:lang w:val="en"/>
        </w:rPr>
        <w:t>) children’s service to establish the best route for referrals and liaison, so that there is a robust system to carry out these S.85 and S.86 duties.</w:t>
      </w:r>
      <w:r w:rsidR="0003117D">
        <w:rPr>
          <w:rFonts w:ascii="Segoe UI" w:hAnsi="Segoe UI" w:cs="Segoe UI"/>
          <w:b/>
          <w:sz w:val="22"/>
          <w:szCs w:val="22"/>
          <w:lang w:val="en"/>
        </w:rPr>
        <w:t xml:space="preserve">  We will additionally ensure </w:t>
      </w:r>
      <w:r w:rsidR="00174FCE">
        <w:rPr>
          <w:rFonts w:ascii="Segoe UI" w:hAnsi="Segoe UI" w:cs="Segoe UI"/>
          <w:b/>
          <w:sz w:val="22"/>
          <w:szCs w:val="22"/>
          <w:lang w:val="en"/>
        </w:rPr>
        <w:t xml:space="preserve">awareness and </w:t>
      </w:r>
      <w:r w:rsidR="0003117D">
        <w:rPr>
          <w:rFonts w:ascii="Segoe UI" w:hAnsi="Segoe UI" w:cs="Segoe UI"/>
          <w:b/>
          <w:sz w:val="22"/>
          <w:szCs w:val="22"/>
          <w:lang w:val="en"/>
        </w:rPr>
        <w:t>promotion</w:t>
      </w:r>
      <w:r w:rsidR="00174FCE">
        <w:rPr>
          <w:rFonts w:ascii="Segoe UI" w:hAnsi="Segoe UI" w:cs="Segoe UI"/>
          <w:b/>
          <w:sz w:val="22"/>
          <w:szCs w:val="22"/>
          <w:lang w:val="en"/>
        </w:rPr>
        <w:t xml:space="preserve"> of</w:t>
      </w:r>
      <w:r w:rsidR="00E0160D" w:rsidRPr="00E0160D">
        <w:rPr>
          <w:rFonts w:ascii="Segoe UI" w:hAnsi="Segoe UI" w:cs="Segoe UI"/>
          <w:b/>
          <w:sz w:val="22"/>
          <w:szCs w:val="22"/>
        </w:rPr>
        <w:t xml:space="preserve"> the Help at Hand service and its role and remit to local health advocacy services, and to children in hospital for long periods.</w:t>
      </w:r>
      <w:r w:rsidR="00C22109">
        <w:rPr>
          <w:rFonts w:ascii="Segoe UI" w:hAnsi="Segoe UI" w:cs="Segoe UI"/>
          <w:b/>
          <w:sz w:val="22"/>
          <w:szCs w:val="22"/>
        </w:rPr>
        <w:t xml:space="preserve">  This will help ensure </w:t>
      </w:r>
      <w:r w:rsidR="00DC6018">
        <w:rPr>
          <w:rFonts w:ascii="Segoe UI" w:hAnsi="Segoe UI" w:cs="Segoe UI"/>
          <w:b/>
          <w:sz w:val="22"/>
          <w:szCs w:val="22"/>
        </w:rPr>
        <w:t xml:space="preserve">children’s needs including education are being met, including early discharge planning </w:t>
      </w:r>
      <w:r w:rsidR="006019DB">
        <w:rPr>
          <w:rFonts w:ascii="Segoe UI" w:hAnsi="Segoe UI" w:cs="Segoe UI"/>
          <w:b/>
          <w:sz w:val="22"/>
          <w:szCs w:val="22"/>
        </w:rPr>
        <w:t>working with the child and parents.</w:t>
      </w:r>
    </w:p>
    <w:p w:rsidR="002025D2" w:rsidRPr="002025D2" w:rsidRDefault="002025D2" w:rsidP="002025D2">
      <w:pPr>
        <w:pStyle w:val="ListParagraph"/>
        <w:ind w:left="66"/>
        <w:jc w:val="both"/>
        <w:rPr>
          <w:rFonts w:ascii="Segoe UI" w:hAnsi="Segoe UI" w:cs="Segoe UI"/>
          <w:b/>
          <w:sz w:val="22"/>
          <w:szCs w:val="22"/>
          <w:lang w:val="en-GB"/>
        </w:rPr>
      </w:pPr>
      <w:r w:rsidRPr="002025D2">
        <w:rPr>
          <w:rFonts w:ascii="Segoe UI" w:hAnsi="Segoe UI" w:cs="Segoe UI"/>
          <w:b/>
          <w:sz w:val="22"/>
          <w:szCs w:val="22"/>
          <w:lang w:val="en"/>
        </w:rPr>
        <w:t> </w:t>
      </w:r>
    </w:p>
    <w:p w:rsidR="00A95672" w:rsidRPr="00A95672" w:rsidRDefault="00C63B86" w:rsidP="005F4401">
      <w:pPr>
        <w:pStyle w:val="ListParagraph"/>
        <w:numPr>
          <w:ilvl w:val="0"/>
          <w:numId w:val="2"/>
        </w:numPr>
        <w:ind w:left="66" w:firstLine="66"/>
        <w:jc w:val="both"/>
        <w:rPr>
          <w:rFonts w:ascii="Segoe UI" w:hAnsi="Segoe UI" w:cs="Segoe UI"/>
          <w:sz w:val="22"/>
          <w:szCs w:val="22"/>
          <w:lang w:val="en-GB"/>
        </w:rPr>
      </w:pPr>
      <w:r w:rsidRPr="00A95672">
        <w:rPr>
          <w:rFonts w:ascii="Segoe UI" w:hAnsi="Segoe UI" w:cs="Segoe UI"/>
          <w:b/>
          <w:bCs/>
          <w:sz w:val="22"/>
          <w:szCs w:val="22"/>
          <w:lang w:val="en-GB"/>
        </w:rPr>
        <w:t xml:space="preserve">NHS Long Term Plan – NHSE&amp;I funding </w:t>
      </w:r>
    </w:p>
    <w:p w:rsidR="008D3EB0" w:rsidRDefault="008D3EB0" w:rsidP="00A95672">
      <w:pPr>
        <w:pStyle w:val="ListParagraph"/>
        <w:ind w:left="132"/>
        <w:jc w:val="both"/>
        <w:rPr>
          <w:rFonts w:ascii="Segoe UI" w:hAnsi="Segoe UI" w:cs="Segoe UI"/>
          <w:sz w:val="22"/>
          <w:szCs w:val="22"/>
          <w:lang w:val="en-GB"/>
        </w:rPr>
      </w:pPr>
    </w:p>
    <w:p w:rsidR="00634F1B" w:rsidRDefault="00634F1B" w:rsidP="00634F1B">
      <w:pPr>
        <w:pStyle w:val="ListParagraph"/>
        <w:ind w:left="132"/>
        <w:jc w:val="both"/>
        <w:rPr>
          <w:rFonts w:ascii="Segoe UI" w:hAnsi="Segoe UI" w:cs="Segoe UI"/>
          <w:sz w:val="22"/>
          <w:szCs w:val="22"/>
          <w:lang w:val="en-GB"/>
        </w:rPr>
      </w:pPr>
      <w:r w:rsidRPr="00634F1B">
        <w:rPr>
          <w:rFonts w:ascii="Segoe UI" w:hAnsi="Segoe UI" w:cs="Segoe UI"/>
          <w:sz w:val="22"/>
          <w:szCs w:val="22"/>
          <w:lang w:val="en-GB"/>
        </w:rPr>
        <w:t xml:space="preserve">Building on the collaborative approach to developing The </w:t>
      </w:r>
      <w:r w:rsidR="008B3360" w:rsidRPr="00634F1B">
        <w:rPr>
          <w:rFonts w:ascii="Segoe UI" w:hAnsi="Segoe UI" w:cs="Segoe UI"/>
          <w:sz w:val="22"/>
          <w:szCs w:val="22"/>
          <w:lang w:val="en-GB"/>
        </w:rPr>
        <w:t>Long-Term</w:t>
      </w:r>
      <w:r w:rsidRPr="00634F1B">
        <w:rPr>
          <w:rFonts w:ascii="Segoe UI" w:hAnsi="Segoe UI" w:cs="Segoe UI"/>
          <w:sz w:val="22"/>
          <w:szCs w:val="22"/>
          <w:lang w:val="en-GB"/>
        </w:rPr>
        <w:t xml:space="preserve"> Plan, </w:t>
      </w:r>
      <w:r w:rsidR="00997497">
        <w:rPr>
          <w:rFonts w:ascii="Segoe UI" w:hAnsi="Segoe UI" w:cs="Segoe UI"/>
          <w:sz w:val="22"/>
          <w:szCs w:val="22"/>
          <w:lang w:val="en-GB"/>
        </w:rPr>
        <w:t>an</w:t>
      </w:r>
      <w:r w:rsidRPr="00634F1B">
        <w:rPr>
          <w:rFonts w:ascii="Segoe UI" w:hAnsi="Segoe UI" w:cs="Segoe UI"/>
          <w:sz w:val="22"/>
          <w:szCs w:val="22"/>
          <w:lang w:val="en-GB"/>
        </w:rPr>
        <w:t xml:space="preserve"> NHS Assembly will be formed as a new national forum to bring together a range of stakeholders from across the health and care system to advise </w:t>
      </w:r>
      <w:r w:rsidR="00E66DD9">
        <w:rPr>
          <w:rFonts w:ascii="Segoe UI" w:hAnsi="Segoe UI" w:cs="Segoe UI"/>
          <w:sz w:val="22"/>
          <w:szCs w:val="22"/>
          <w:lang w:val="en-GB"/>
        </w:rPr>
        <w:t>the</w:t>
      </w:r>
      <w:r w:rsidRPr="00634F1B">
        <w:rPr>
          <w:rFonts w:ascii="Segoe UI" w:hAnsi="Segoe UI" w:cs="Segoe UI"/>
          <w:sz w:val="22"/>
          <w:szCs w:val="22"/>
          <w:lang w:val="en-GB"/>
        </w:rPr>
        <w:t xml:space="preserve"> two boards as part of a “guiding coalition” to support the implementation of The </w:t>
      </w:r>
      <w:r w:rsidR="00322D7E" w:rsidRPr="00634F1B">
        <w:rPr>
          <w:rFonts w:ascii="Segoe UI" w:hAnsi="Segoe UI" w:cs="Segoe UI"/>
          <w:sz w:val="22"/>
          <w:szCs w:val="22"/>
          <w:lang w:val="en-GB"/>
        </w:rPr>
        <w:t>Long-Term</w:t>
      </w:r>
      <w:r w:rsidRPr="00634F1B">
        <w:rPr>
          <w:rFonts w:ascii="Segoe UI" w:hAnsi="Segoe UI" w:cs="Segoe UI"/>
          <w:sz w:val="22"/>
          <w:szCs w:val="22"/>
          <w:lang w:val="en-GB"/>
        </w:rPr>
        <w:t xml:space="preserve"> Plan. The Assembly will comprise around fifty individuals, drawn from national and frontline clinical leaders, patient leaders, staff representatives, health and care system leaders and voluntary, community and social enterprise sector leaders, who will bring their experience, knowledge and links to wider networks to inform the discussion and debate of the Assembly. </w:t>
      </w:r>
    </w:p>
    <w:p w:rsidR="00E66DD9" w:rsidRPr="00634F1B" w:rsidRDefault="00E66DD9" w:rsidP="00634F1B">
      <w:pPr>
        <w:pStyle w:val="ListParagraph"/>
        <w:ind w:left="132"/>
        <w:jc w:val="both"/>
        <w:rPr>
          <w:rFonts w:ascii="Segoe UI" w:hAnsi="Segoe UI" w:cs="Segoe UI"/>
          <w:sz w:val="22"/>
          <w:szCs w:val="22"/>
          <w:lang w:val="en-GB"/>
        </w:rPr>
      </w:pPr>
    </w:p>
    <w:p w:rsidR="00C63B86" w:rsidRPr="00A95672" w:rsidRDefault="00634F1B" w:rsidP="00634F1B">
      <w:pPr>
        <w:pStyle w:val="ListParagraph"/>
        <w:ind w:left="132"/>
        <w:jc w:val="both"/>
        <w:rPr>
          <w:rFonts w:ascii="Segoe UI" w:hAnsi="Segoe UI" w:cs="Segoe UI"/>
          <w:sz w:val="22"/>
          <w:szCs w:val="22"/>
          <w:lang w:val="en-GB"/>
        </w:rPr>
      </w:pPr>
      <w:r w:rsidRPr="00634F1B">
        <w:rPr>
          <w:rFonts w:ascii="Segoe UI" w:hAnsi="Segoe UI" w:cs="Segoe UI"/>
          <w:sz w:val="22"/>
          <w:szCs w:val="22"/>
          <w:lang w:val="en-GB"/>
        </w:rPr>
        <w:t>Th</w:t>
      </w:r>
      <w:r w:rsidR="00E66DD9">
        <w:rPr>
          <w:rFonts w:ascii="Segoe UI" w:hAnsi="Segoe UI" w:cs="Segoe UI"/>
          <w:sz w:val="22"/>
          <w:szCs w:val="22"/>
          <w:lang w:val="en-GB"/>
        </w:rPr>
        <w:t>e</w:t>
      </w:r>
      <w:r w:rsidRPr="00634F1B">
        <w:rPr>
          <w:rFonts w:ascii="Segoe UI" w:hAnsi="Segoe UI" w:cs="Segoe UI"/>
          <w:sz w:val="22"/>
          <w:szCs w:val="22"/>
          <w:lang w:val="en-GB"/>
        </w:rPr>
        <w:t xml:space="preserve"> document</w:t>
      </w:r>
      <w:r w:rsidR="00AF4509">
        <w:rPr>
          <w:rFonts w:ascii="Segoe UI" w:hAnsi="Segoe UI" w:cs="Segoe UI"/>
          <w:sz w:val="22"/>
          <w:szCs w:val="22"/>
          <w:lang w:val="en-GB"/>
        </w:rPr>
        <w:t xml:space="preserve"> </w:t>
      </w:r>
      <w:r w:rsidR="00322D7E">
        <w:rPr>
          <w:rFonts w:ascii="Segoe UI" w:hAnsi="Segoe UI" w:cs="Segoe UI"/>
          <w:sz w:val="22"/>
          <w:szCs w:val="22"/>
          <w:lang w:val="en-GB"/>
        </w:rPr>
        <w:t>i</w:t>
      </w:r>
      <w:r w:rsidR="00AF4509">
        <w:rPr>
          <w:rFonts w:ascii="Segoe UI" w:hAnsi="Segoe UI" w:cs="Segoe UI"/>
          <w:sz w:val="22"/>
          <w:szCs w:val="22"/>
          <w:lang w:val="en-GB"/>
        </w:rPr>
        <w:t xml:space="preserve">n the link </w:t>
      </w:r>
      <w:r w:rsidRPr="00634F1B">
        <w:rPr>
          <w:rFonts w:ascii="Segoe UI" w:hAnsi="Segoe UI" w:cs="Segoe UI"/>
          <w:sz w:val="22"/>
          <w:szCs w:val="22"/>
          <w:lang w:val="en-GB"/>
        </w:rPr>
        <w:t xml:space="preserve">provides information about NHS England’s and NHS Improvement’s funding in 2019/20. It also sets out how NHS England and NHS Improvement will support The </w:t>
      </w:r>
      <w:r w:rsidR="00322D7E" w:rsidRPr="00634F1B">
        <w:rPr>
          <w:rFonts w:ascii="Segoe UI" w:hAnsi="Segoe UI" w:cs="Segoe UI"/>
          <w:sz w:val="22"/>
          <w:szCs w:val="22"/>
          <w:lang w:val="en-GB"/>
        </w:rPr>
        <w:t>Long-Term</w:t>
      </w:r>
      <w:r w:rsidRPr="00634F1B">
        <w:rPr>
          <w:rFonts w:ascii="Segoe UI" w:hAnsi="Segoe UI" w:cs="Segoe UI"/>
          <w:sz w:val="22"/>
          <w:szCs w:val="22"/>
          <w:lang w:val="en-GB"/>
        </w:rPr>
        <w:t xml:space="preserve"> Plan through distribution of funding, people and resources, to transform local health and care systems. </w:t>
      </w:r>
      <w:hyperlink r:id="rId11" w:history="1">
        <w:r w:rsidR="00C63B86" w:rsidRPr="00A95672">
          <w:rPr>
            <w:rStyle w:val="Hyperlink"/>
            <w:rFonts w:ascii="Segoe UI" w:hAnsi="Segoe UI" w:cs="Segoe UI"/>
            <w:sz w:val="22"/>
            <w:szCs w:val="22"/>
            <w:lang w:val="en-GB"/>
          </w:rPr>
          <w:t>https://improvement.nhs.uk/about-us/corporate-publications/publications/nhs-england-and-nhs-improvement-funding-and-resource-201920-supporting-nhs-long-term-plan/</w:t>
        </w:r>
      </w:hyperlink>
      <w:r w:rsidR="00C63B86" w:rsidRPr="00A95672">
        <w:rPr>
          <w:rFonts w:ascii="Segoe UI" w:hAnsi="Segoe UI" w:cs="Segoe UI"/>
          <w:sz w:val="22"/>
          <w:szCs w:val="22"/>
          <w:lang w:val="en-GB"/>
        </w:rPr>
        <w:t xml:space="preserve"> </w:t>
      </w:r>
    </w:p>
    <w:p w:rsidR="009A4C6B" w:rsidRDefault="009A4C6B" w:rsidP="009A4C6B">
      <w:pPr>
        <w:spacing w:line="266" w:lineRule="auto"/>
        <w:rPr>
          <w:rFonts w:ascii="Arial" w:eastAsia="Calibri" w:hAnsi="Arial" w:cs="Arial"/>
          <w:sz w:val="21"/>
          <w:szCs w:val="21"/>
          <w:lang w:val="en-GB" w:eastAsia="en-GB"/>
        </w:rPr>
      </w:pPr>
    </w:p>
    <w:p w:rsidR="00FD10BE" w:rsidRDefault="0023120A" w:rsidP="00695E0F">
      <w:pPr>
        <w:pStyle w:val="ListParagraph"/>
        <w:numPr>
          <w:ilvl w:val="0"/>
          <w:numId w:val="2"/>
        </w:numPr>
        <w:ind w:left="0" w:firstLine="66"/>
        <w:jc w:val="both"/>
        <w:rPr>
          <w:rFonts w:ascii="Segoe UI" w:hAnsi="Segoe UI" w:cs="Segoe UI"/>
          <w:b/>
          <w:bCs/>
          <w:sz w:val="22"/>
          <w:szCs w:val="22"/>
          <w:lang w:val="en"/>
        </w:rPr>
      </w:pPr>
      <w:r>
        <w:rPr>
          <w:rFonts w:ascii="Segoe UI" w:hAnsi="Segoe UI" w:cs="Segoe UI"/>
          <w:b/>
          <w:bCs/>
          <w:sz w:val="22"/>
          <w:szCs w:val="22"/>
          <w:lang w:val="en"/>
        </w:rPr>
        <w:t xml:space="preserve">What the </w:t>
      </w:r>
      <w:r w:rsidR="00ED0935">
        <w:rPr>
          <w:rFonts w:ascii="Segoe UI" w:hAnsi="Segoe UI" w:cs="Segoe UI"/>
          <w:b/>
          <w:bCs/>
          <w:sz w:val="22"/>
          <w:szCs w:val="22"/>
          <w:lang w:val="en"/>
        </w:rPr>
        <w:t>long-term</w:t>
      </w:r>
      <w:r>
        <w:rPr>
          <w:rFonts w:ascii="Segoe UI" w:hAnsi="Segoe UI" w:cs="Segoe UI"/>
          <w:b/>
          <w:bCs/>
          <w:sz w:val="22"/>
          <w:szCs w:val="22"/>
          <w:lang w:val="en"/>
        </w:rPr>
        <w:t xml:space="preserve"> plan means for system working</w:t>
      </w:r>
    </w:p>
    <w:p w:rsidR="00FD10BE" w:rsidRDefault="00FD10BE" w:rsidP="00FD10BE">
      <w:pPr>
        <w:jc w:val="both"/>
        <w:rPr>
          <w:rFonts w:ascii="Segoe UI" w:hAnsi="Segoe UI" w:cs="Segoe UI"/>
          <w:b/>
          <w:bCs/>
          <w:sz w:val="22"/>
          <w:szCs w:val="22"/>
          <w:lang w:val="en"/>
        </w:rPr>
      </w:pPr>
    </w:p>
    <w:p w:rsidR="005C470A" w:rsidRPr="00E37074" w:rsidRDefault="0023120A" w:rsidP="00FD10BE">
      <w:pPr>
        <w:jc w:val="both"/>
        <w:rPr>
          <w:rFonts w:ascii="Segoe UI" w:hAnsi="Segoe UI" w:cs="Segoe UI"/>
          <w:bCs/>
          <w:sz w:val="22"/>
          <w:szCs w:val="22"/>
        </w:rPr>
      </w:pPr>
      <w:r w:rsidRPr="0023120A">
        <w:rPr>
          <w:rFonts w:ascii="Segoe UI" w:hAnsi="Segoe UI" w:cs="Segoe UI"/>
          <w:bCs/>
          <w:sz w:val="22"/>
          <w:szCs w:val="22"/>
        </w:rPr>
        <w:t xml:space="preserve">This briefing is a part of a series of updates from NHS Providers on the progress of sustainability and transformation partnerships (STPs) and integrated care systems (ICSs), and the implementation of the </w:t>
      </w:r>
      <w:proofErr w:type="gramStart"/>
      <w:r w:rsidRPr="0023120A">
        <w:rPr>
          <w:rFonts w:ascii="Segoe UI" w:hAnsi="Segoe UI" w:cs="Segoe UI"/>
          <w:bCs/>
          <w:sz w:val="22"/>
          <w:szCs w:val="22"/>
        </w:rPr>
        <w:t>long term</w:t>
      </w:r>
      <w:proofErr w:type="gramEnd"/>
      <w:r w:rsidRPr="0023120A">
        <w:rPr>
          <w:rFonts w:ascii="Segoe UI" w:hAnsi="Segoe UI" w:cs="Segoe UI"/>
          <w:bCs/>
          <w:sz w:val="22"/>
          <w:szCs w:val="22"/>
        </w:rPr>
        <w:t xml:space="preserve"> plan.</w:t>
      </w:r>
      <w:r w:rsidR="00E2311B">
        <w:rPr>
          <w:rFonts w:ascii="Segoe UI" w:hAnsi="Segoe UI" w:cs="Segoe UI"/>
          <w:bCs/>
          <w:sz w:val="22"/>
          <w:szCs w:val="22"/>
        </w:rPr>
        <w:t xml:space="preserve"> </w:t>
      </w:r>
      <w:r w:rsidR="00562334">
        <w:rPr>
          <w:rFonts w:ascii="Segoe UI" w:hAnsi="Segoe UI" w:cs="Segoe UI"/>
          <w:bCs/>
          <w:sz w:val="22"/>
          <w:szCs w:val="22"/>
        </w:rPr>
        <w:t xml:space="preserve"> </w:t>
      </w:r>
      <w:r w:rsidR="00E2311B">
        <w:rPr>
          <w:rFonts w:ascii="Segoe UI" w:hAnsi="Segoe UI" w:cs="Segoe UI"/>
          <w:bCs/>
          <w:sz w:val="22"/>
          <w:szCs w:val="22"/>
        </w:rPr>
        <w:t>It is intended to</w:t>
      </w:r>
      <w:r w:rsidRPr="0023120A">
        <w:rPr>
          <w:rFonts w:ascii="Segoe UI" w:hAnsi="Segoe UI" w:cs="Segoe UI"/>
          <w:bCs/>
          <w:sz w:val="22"/>
          <w:szCs w:val="22"/>
        </w:rPr>
        <w:t xml:space="preserve"> support trust board </w:t>
      </w:r>
      <w:r w:rsidRPr="00E37074">
        <w:rPr>
          <w:rFonts w:ascii="Segoe UI" w:hAnsi="Segoe UI" w:cs="Segoe UI"/>
          <w:bCs/>
          <w:sz w:val="22"/>
          <w:szCs w:val="22"/>
        </w:rPr>
        <w:lastRenderedPageBreak/>
        <w:t xml:space="preserve">directors, their line reports and foundation trust governors to make sense of the rapidly evolving national policy direction with regard to system working. </w:t>
      </w:r>
    </w:p>
    <w:p w:rsidR="00946888" w:rsidRPr="00E37074" w:rsidRDefault="0023120A" w:rsidP="00FD10BE">
      <w:pPr>
        <w:jc w:val="both"/>
        <w:rPr>
          <w:rFonts w:ascii="Segoe UI" w:hAnsi="Segoe UI" w:cs="Segoe UI"/>
          <w:bCs/>
          <w:sz w:val="22"/>
          <w:szCs w:val="22"/>
        </w:rPr>
      </w:pPr>
      <w:r w:rsidRPr="00E37074">
        <w:rPr>
          <w:rFonts w:ascii="Segoe UI" w:hAnsi="Segoe UI" w:cs="Segoe UI"/>
          <w:bCs/>
          <w:sz w:val="22"/>
          <w:szCs w:val="22"/>
        </w:rPr>
        <w:br/>
        <w:t>This briefing addresses the commitments set out in the plan and analyses what they mean for providers within a system context under six key themes: the future of system working, legislative change, governance and accountability, regulation, finances and population health and integration.</w:t>
      </w:r>
      <w:r w:rsidR="005C470A" w:rsidRPr="00E37074">
        <w:rPr>
          <w:rFonts w:ascii="Segoe UI" w:hAnsi="Segoe UI" w:cs="Segoe UI"/>
          <w:bCs/>
          <w:sz w:val="22"/>
          <w:szCs w:val="22"/>
        </w:rPr>
        <w:t xml:space="preserve"> See link here:</w:t>
      </w:r>
      <w:r w:rsidR="00B821A2" w:rsidRPr="00E37074">
        <w:rPr>
          <w:rFonts w:ascii="Segoe UI" w:hAnsi="Segoe UI" w:cs="Segoe UI"/>
          <w:bCs/>
          <w:sz w:val="22"/>
          <w:szCs w:val="22"/>
        </w:rPr>
        <w:t xml:space="preserve"> </w:t>
      </w:r>
      <w:hyperlink r:id="rId12" w:history="1">
        <w:r w:rsidR="005C470A" w:rsidRPr="00E37074">
          <w:rPr>
            <w:rStyle w:val="Hyperlink"/>
            <w:rFonts w:ascii="Segoe UI" w:hAnsi="Segoe UI" w:cs="Segoe UI"/>
            <w:bCs/>
            <w:sz w:val="22"/>
            <w:szCs w:val="22"/>
          </w:rPr>
          <w:t>what the long term plan means for the future of system working</w:t>
        </w:r>
      </w:hyperlink>
      <w:r w:rsidR="00B83DC5" w:rsidRPr="00E37074">
        <w:rPr>
          <w:rFonts w:ascii="Segoe UI" w:hAnsi="Segoe UI" w:cs="Segoe UI"/>
          <w:bCs/>
          <w:sz w:val="22"/>
          <w:szCs w:val="22"/>
        </w:rPr>
        <w:t>.</w:t>
      </w:r>
    </w:p>
    <w:p w:rsidR="0023120A" w:rsidRPr="00E37074" w:rsidRDefault="0023120A" w:rsidP="00FD10BE">
      <w:pPr>
        <w:jc w:val="both"/>
        <w:rPr>
          <w:rFonts w:ascii="Segoe UI" w:hAnsi="Segoe UI" w:cs="Segoe UI"/>
          <w:b/>
          <w:bCs/>
          <w:sz w:val="22"/>
          <w:szCs w:val="22"/>
        </w:rPr>
      </w:pPr>
    </w:p>
    <w:p w:rsidR="00FD10BE" w:rsidRPr="00FD10BE" w:rsidRDefault="00FD10BE" w:rsidP="00FD10BE">
      <w:pPr>
        <w:jc w:val="both"/>
        <w:rPr>
          <w:rFonts w:ascii="Segoe UI" w:hAnsi="Segoe UI" w:cs="Segoe UI"/>
          <w:b/>
          <w:bCs/>
          <w:sz w:val="22"/>
          <w:szCs w:val="22"/>
          <w:lang w:val="en-GB"/>
        </w:rPr>
      </w:pPr>
      <w:r w:rsidRPr="00E37074">
        <w:rPr>
          <w:rFonts w:ascii="Segoe UI" w:hAnsi="Segoe UI" w:cs="Segoe UI"/>
          <w:b/>
          <w:bCs/>
          <w:sz w:val="22"/>
          <w:szCs w:val="22"/>
        </w:rPr>
        <w:t xml:space="preserve">OH Position:  </w:t>
      </w:r>
      <w:r w:rsidR="00936991" w:rsidRPr="00E37074">
        <w:rPr>
          <w:rFonts w:ascii="Segoe UI" w:hAnsi="Segoe UI" w:cs="Segoe UI"/>
          <w:b/>
          <w:bCs/>
          <w:sz w:val="22"/>
          <w:szCs w:val="22"/>
          <w:lang w:val="en-GB"/>
        </w:rPr>
        <w:t xml:space="preserve">As part of </w:t>
      </w:r>
      <w:r w:rsidR="00E37074" w:rsidRPr="00E37074">
        <w:rPr>
          <w:rFonts w:ascii="Segoe UI" w:hAnsi="Segoe UI" w:cs="Segoe UI"/>
          <w:b/>
          <w:bCs/>
          <w:sz w:val="22"/>
          <w:szCs w:val="22"/>
          <w:lang w:val="en-GB"/>
        </w:rPr>
        <w:t>the STP and existing and emerging ICSs,</w:t>
      </w:r>
      <w:r w:rsidR="00C40AD1" w:rsidRPr="00E37074">
        <w:rPr>
          <w:rFonts w:ascii="Segoe UI" w:hAnsi="Segoe UI" w:cs="Segoe UI"/>
          <w:b/>
          <w:bCs/>
          <w:sz w:val="22"/>
          <w:szCs w:val="22"/>
          <w:lang w:val="en-GB"/>
        </w:rPr>
        <w:t xml:space="preserve"> the Trust will</w:t>
      </w:r>
      <w:r w:rsidR="00811196" w:rsidRPr="00E37074">
        <w:rPr>
          <w:rFonts w:ascii="Segoe UI" w:hAnsi="Segoe UI" w:cs="Segoe UI"/>
          <w:b/>
          <w:bCs/>
          <w:sz w:val="22"/>
          <w:szCs w:val="22"/>
          <w:lang w:val="en-GB"/>
        </w:rPr>
        <w:t xml:space="preserve"> </w:t>
      </w:r>
      <w:r w:rsidR="000C7B41">
        <w:rPr>
          <w:rFonts w:ascii="Segoe UI" w:hAnsi="Segoe UI" w:cs="Segoe UI"/>
          <w:b/>
          <w:bCs/>
          <w:sz w:val="22"/>
          <w:szCs w:val="22"/>
          <w:lang w:val="en-GB"/>
        </w:rPr>
        <w:t xml:space="preserve">continue to </w:t>
      </w:r>
      <w:r w:rsidR="00811196" w:rsidRPr="00E37074">
        <w:rPr>
          <w:rFonts w:ascii="Segoe UI" w:hAnsi="Segoe UI" w:cs="Segoe UI"/>
          <w:b/>
          <w:bCs/>
          <w:sz w:val="22"/>
          <w:szCs w:val="22"/>
          <w:lang w:val="en-GB"/>
        </w:rPr>
        <w:t xml:space="preserve">work to </w:t>
      </w:r>
      <w:r w:rsidRPr="00E37074">
        <w:rPr>
          <w:rFonts w:ascii="Segoe UI" w:hAnsi="Segoe UI" w:cs="Segoe UI"/>
          <w:b/>
          <w:bCs/>
          <w:sz w:val="22"/>
          <w:szCs w:val="22"/>
          <w:lang w:val="en-GB"/>
        </w:rPr>
        <w:t>model what th</w:t>
      </w:r>
      <w:r w:rsidR="00E37074" w:rsidRPr="00E37074">
        <w:rPr>
          <w:rFonts w:ascii="Segoe UI" w:hAnsi="Segoe UI" w:cs="Segoe UI"/>
          <w:b/>
          <w:bCs/>
          <w:sz w:val="22"/>
          <w:szCs w:val="22"/>
          <w:lang w:val="en-GB"/>
        </w:rPr>
        <w:t>is</w:t>
      </w:r>
      <w:r w:rsidRPr="00E37074">
        <w:rPr>
          <w:rFonts w:ascii="Segoe UI" w:hAnsi="Segoe UI" w:cs="Segoe UI"/>
          <w:b/>
          <w:bCs/>
          <w:sz w:val="22"/>
          <w:szCs w:val="22"/>
          <w:lang w:val="en-GB"/>
        </w:rPr>
        <w:t xml:space="preserve"> mean</w:t>
      </w:r>
      <w:r w:rsidR="00E37074" w:rsidRPr="00E37074">
        <w:rPr>
          <w:rFonts w:ascii="Segoe UI" w:hAnsi="Segoe UI" w:cs="Segoe UI"/>
          <w:b/>
          <w:bCs/>
          <w:sz w:val="22"/>
          <w:szCs w:val="22"/>
          <w:lang w:val="en-GB"/>
        </w:rPr>
        <w:t>s</w:t>
      </w:r>
      <w:r w:rsidRPr="00E37074">
        <w:rPr>
          <w:rFonts w:ascii="Segoe UI" w:hAnsi="Segoe UI" w:cs="Segoe UI"/>
          <w:b/>
          <w:bCs/>
          <w:sz w:val="22"/>
          <w:szCs w:val="22"/>
          <w:lang w:val="en-GB"/>
        </w:rPr>
        <w:t xml:space="preserve"> for </w:t>
      </w:r>
      <w:r w:rsidR="00811196" w:rsidRPr="00E37074">
        <w:rPr>
          <w:rFonts w:ascii="Segoe UI" w:hAnsi="Segoe UI" w:cs="Segoe UI"/>
          <w:b/>
          <w:bCs/>
          <w:sz w:val="22"/>
          <w:szCs w:val="22"/>
          <w:lang w:val="en-GB"/>
        </w:rPr>
        <w:t>OHFT</w:t>
      </w:r>
      <w:r w:rsidR="00E37074" w:rsidRPr="00E37074">
        <w:rPr>
          <w:rFonts w:ascii="Segoe UI" w:hAnsi="Segoe UI" w:cs="Segoe UI"/>
          <w:b/>
          <w:bCs/>
          <w:sz w:val="22"/>
          <w:szCs w:val="22"/>
          <w:lang w:val="en-GB"/>
        </w:rPr>
        <w:t xml:space="preserve"> and for its part in </w:t>
      </w:r>
      <w:proofErr w:type="gramStart"/>
      <w:r w:rsidR="00E37074" w:rsidRPr="00E37074">
        <w:rPr>
          <w:rFonts w:ascii="Segoe UI" w:hAnsi="Segoe UI" w:cs="Segoe UI"/>
          <w:b/>
          <w:bCs/>
          <w:sz w:val="22"/>
          <w:szCs w:val="22"/>
          <w:lang w:val="en-GB"/>
        </w:rPr>
        <w:t xml:space="preserve">the </w:t>
      </w:r>
      <w:r w:rsidR="003B3C26">
        <w:rPr>
          <w:rFonts w:ascii="Segoe UI" w:hAnsi="Segoe UI" w:cs="Segoe UI"/>
          <w:b/>
          <w:bCs/>
          <w:sz w:val="22"/>
          <w:szCs w:val="22"/>
          <w:lang w:val="en-GB"/>
        </w:rPr>
        <w:t xml:space="preserve"> healthcare</w:t>
      </w:r>
      <w:proofErr w:type="gramEnd"/>
      <w:r w:rsidR="003B3C26">
        <w:rPr>
          <w:rFonts w:ascii="Segoe UI" w:hAnsi="Segoe UI" w:cs="Segoe UI"/>
          <w:b/>
          <w:bCs/>
          <w:sz w:val="22"/>
          <w:szCs w:val="22"/>
          <w:lang w:val="en-GB"/>
        </w:rPr>
        <w:t xml:space="preserve"> </w:t>
      </w:r>
      <w:r w:rsidR="00E37074" w:rsidRPr="00E37074">
        <w:rPr>
          <w:rFonts w:ascii="Segoe UI" w:hAnsi="Segoe UI" w:cs="Segoe UI"/>
          <w:b/>
          <w:bCs/>
          <w:sz w:val="22"/>
          <w:szCs w:val="22"/>
          <w:lang w:val="en-GB"/>
        </w:rPr>
        <w:t>system.</w:t>
      </w:r>
    </w:p>
    <w:p w:rsidR="00FD10BE" w:rsidRPr="00FD10BE" w:rsidRDefault="00FD10BE" w:rsidP="00FD10BE">
      <w:pPr>
        <w:jc w:val="both"/>
        <w:rPr>
          <w:rFonts w:ascii="Segoe UI" w:hAnsi="Segoe UI" w:cs="Segoe UI"/>
          <w:b/>
          <w:bCs/>
          <w:sz w:val="22"/>
          <w:szCs w:val="22"/>
          <w:lang w:val="en"/>
        </w:rPr>
      </w:pPr>
    </w:p>
    <w:p w:rsidR="009149E6" w:rsidRPr="00B6751F" w:rsidRDefault="006762FE" w:rsidP="00695E0F">
      <w:pPr>
        <w:pStyle w:val="ListParagraph"/>
        <w:numPr>
          <w:ilvl w:val="0"/>
          <w:numId w:val="2"/>
        </w:numPr>
        <w:ind w:left="0" w:firstLine="66"/>
        <w:jc w:val="both"/>
        <w:rPr>
          <w:rFonts w:ascii="Segoe UI" w:hAnsi="Segoe UI" w:cs="Segoe UI"/>
          <w:b/>
          <w:bCs/>
          <w:sz w:val="22"/>
          <w:szCs w:val="22"/>
          <w:lang w:val="en"/>
        </w:rPr>
      </w:pPr>
      <w:r>
        <w:rPr>
          <w:rFonts w:ascii="Segoe UI" w:hAnsi="Segoe UI" w:cs="Segoe UI"/>
          <w:b/>
          <w:bCs/>
          <w:sz w:val="22"/>
          <w:szCs w:val="22"/>
          <w:lang w:val="en"/>
        </w:rPr>
        <w:t>Organization-wide improvement in health care</w:t>
      </w:r>
    </w:p>
    <w:p w:rsidR="00FD23BA" w:rsidRDefault="00FD23BA" w:rsidP="00FD23BA">
      <w:pPr>
        <w:pStyle w:val="ListParagraph"/>
        <w:ind w:left="66"/>
        <w:jc w:val="both"/>
        <w:rPr>
          <w:rFonts w:ascii="Segoe UI" w:hAnsi="Segoe UI" w:cs="Segoe UI"/>
          <w:sz w:val="22"/>
          <w:szCs w:val="22"/>
        </w:rPr>
      </w:pPr>
    </w:p>
    <w:p w:rsidR="00B810B5" w:rsidRDefault="00A767D2" w:rsidP="00DF2EB5">
      <w:pPr>
        <w:pStyle w:val="ListParagraph"/>
        <w:ind w:left="66"/>
        <w:jc w:val="both"/>
        <w:rPr>
          <w:rFonts w:ascii="Segoe UI" w:hAnsi="Segoe UI" w:cs="Segoe UI"/>
          <w:b/>
          <w:sz w:val="22"/>
          <w:szCs w:val="22"/>
        </w:rPr>
      </w:pPr>
      <w:r w:rsidRPr="00A767D2">
        <w:rPr>
          <w:rFonts w:ascii="Segoe UI" w:hAnsi="Segoe UI" w:cs="Segoe UI"/>
          <w:sz w:val="22"/>
          <w:szCs w:val="22"/>
        </w:rPr>
        <w:t xml:space="preserve">The Health Foundation launched their new report </w:t>
      </w:r>
      <w:hyperlink r:id="rId13" w:history="1">
        <w:r w:rsidRPr="00A767D2">
          <w:rPr>
            <w:rStyle w:val="Hyperlink"/>
            <w:rFonts w:ascii="Segoe UI" w:hAnsi="Segoe UI" w:cs="Segoe UI"/>
            <w:i/>
            <w:iCs/>
            <w:sz w:val="22"/>
            <w:szCs w:val="22"/>
          </w:rPr>
          <w:t>The Improvement Journey: why organisation-wide improvement in health care matters, and how to get started.</w:t>
        </w:r>
      </w:hyperlink>
      <w:r w:rsidRPr="00A767D2">
        <w:rPr>
          <w:rFonts w:ascii="Segoe UI" w:hAnsi="Segoe UI" w:cs="Segoe UI"/>
          <w:sz w:val="22"/>
          <w:szCs w:val="22"/>
        </w:rPr>
        <w:t xml:space="preserve"> The report is a practical guide to developing an organisation-wide approach to improvement and </w:t>
      </w:r>
      <w:proofErr w:type="spellStart"/>
      <w:r w:rsidRPr="00A767D2">
        <w:rPr>
          <w:rFonts w:ascii="Segoe UI" w:hAnsi="Segoe UI" w:cs="Segoe UI"/>
          <w:sz w:val="22"/>
          <w:szCs w:val="22"/>
        </w:rPr>
        <w:t>summarises</w:t>
      </w:r>
      <w:proofErr w:type="spellEnd"/>
      <w:r w:rsidRPr="00A767D2">
        <w:rPr>
          <w:rFonts w:ascii="Segoe UI" w:hAnsi="Segoe UI" w:cs="Segoe UI"/>
          <w:sz w:val="22"/>
          <w:szCs w:val="22"/>
        </w:rPr>
        <w:t xml:space="preserve"> the benefits of such an approach, outlining the key elements and steps NHS trust leaders should adopt when pursuing this agenda. In addition to the </w:t>
      </w:r>
      <w:hyperlink r:id="rId14" w:history="1">
        <w:r w:rsidRPr="00A767D2">
          <w:rPr>
            <w:rStyle w:val="Hyperlink"/>
            <w:rFonts w:ascii="Segoe UI" w:hAnsi="Segoe UI" w:cs="Segoe UI"/>
            <w:sz w:val="22"/>
            <w:szCs w:val="22"/>
          </w:rPr>
          <w:t>report</w:t>
        </w:r>
      </w:hyperlink>
      <w:r w:rsidRPr="00A767D2">
        <w:rPr>
          <w:rFonts w:ascii="Segoe UI" w:hAnsi="Segoe UI" w:cs="Segoe UI"/>
          <w:sz w:val="22"/>
          <w:szCs w:val="22"/>
        </w:rPr>
        <w:t>, the Health Foundation have developed a</w:t>
      </w:r>
      <w:hyperlink r:id="rId15" w:history="1">
        <w:r w:rsidRPr="00A767D2">
          <w:rPr>
            <w:rStyle w:val="Hyperlink"/>
            <w:rFonts w:ascii="Segoe UI" w:hAnsi="Segoe UI" w:cs="Segoe UI"/>
            <w:sz w:val="22"/>
            <w:szCs w:val="22"/>
          </w:rPr>
          <w:t xml:space="preserve"> poster </w:t>
        </w:r>
      </w:hyperlink>
      <w:r w:rsidRPr="00A767D2">
        <w:rPr>
          <w:rFonts w:ascii="Segoe UI" w:hAnsi="Segoe UI" w:cs="Segoe UI"/>
          <w:sz w:val="22"/>
          <w:szCs w:val="22"/>
        </w:rPr>
        <w:t xml:space="preserve">which shows the six key steps in the improvement journey: assessing readiness, securing board support, securing wider </w:t>
      </w:r>
      <w:proofErr w:type="spellStart"/>
      <w:r w:rsidRPr="00A767D2">
        <w:rPr>
          <w:rFonts w:ascii="Segoe UI" w:hAnsi="Segoe UI" w:cs="Segoe UI"/>
          <w:sz w:val="22"/>
          <w:szCs w:val="22"/>
        </w:rPr>
        <w:t>organisational</w:t>
      </w:r>
      <w:proofErr w:type="spellEnd"/>
      <w:r w:rsidRPr="00A767D2">
        <w:rPr>
          <w:rFonts w:ascii="Segoe UI" w:hAnsi="Segoe UI" w:cs="Segoe UI"/>
          <w:sz w:val="22"/>
          <w:szCs w:val="22"/>
        </w:rPr>
        <w:t xml:space="preserve"> buy-in and creating a vision, developing improvement skills and infrastructure, aligning activity and sustaining an organisation-wide approach.</w:t>
      </w:r>
      <w:r w:rsidR="00FD23BA">
        <w:rPr>
          <w:rFonts w:ascii="Segoe UI" w:hAnsi="Segoe UI" w:cs="Segoe UI"/>
          <w:sz w:val="22"/>
          <w:szCs w:val="22"/>
        </w:rPr>
        <w:br/>
      </w:r>
    </w:p>
    <w:p w:rsidR="00DF2EB5" w:rsidRPr="00DF2EB5" w:rsidRDefault="00FD23BA" w:rsidP="00DF2EB5">
      <w:pPr>
        <w:pStyle w:val="ListParagraph"/>
        <w:ind w:left="66"/>
        <w:jc w:val="both"/>
        <w:rPr>
          <w:rFonts w:ascii="Segoe UI" w:hAnsi="Segoe UI" w:cs="Segoe UI"/>
          <w:b/>
          <w:sz w:val="22"/>
          <w:szCs w:val="22"/>
          <w:lang w:val="en"/>
        </w:rPr>
      </w:pPr>
      <w:r w:rsidRPr="00FD23BA">
        <w:rPr>
          <w:rFonts w:ascii="Segoe UI" w:hAnsi="Segoe UI" w:cs="Segoe UI"/>
          <w:b/>
          <w:sz w:val="22"/>
          <w:szCs w:val="22"/>
        </w:rPr>
        <w:t xml:space="preserve">OH Position: </w:t>
      </w:r>
      <w:r w:rsidR="009C2863">
        <w:rPr>
          <w:rFonts w:ascii="Segoe UI" w:hAnsi="Segoe UI" w:cs="Segoe UI"/>
          <w:b/>
          <w:sz w:val="22"/>
          <w:szCs w:val="22"/>
        </w:rPr>
        <w:t xml:space="preserve"> </w:t>
      </w:r>
      <w:r w:rsidR="00C36D1E" w:rsidRPr="00B95ABF">
        <w:rPr>
          <w:rFonts w:ascii="Segoe UI" w:hAnsi="Segoe UI" w:cs="Segoe UI"/>
          <w:b/>
          <w:sz w:val="22"/>
          <w:szCs w:val="22"/>
          <w:lang w:val="en-GB"/>
        </w:rPr>
        <w:t>We will continue to review such reports in order to learn and improve</w:t>
      </w:r>
      <w:r w:rsidR="0084236E" w:rsidRPr="00B95ABF">
        <w:rPr>
          <w:rFonts w:ascii="Segoe UI" w:hAnsi="Segoe UI" w:cs="Segoe UI"/>
          <w:b/>
          <w:sz w:val="22"/>
          <w:szCs w:val="22"/>
          <w:lang w:val="en-GB"/>
        </w:rPr>
        <w:t xml:space="preserve"> </w:t>
      </w:r>
      <w:r w:rsidR="00B95ABF" w:rsidRPr="00B95ABF">
        <w:rPr>
          <w:rFonts w:ascii="Segoe UI" w:hAnsi="Segoe UI" w:cs="Segoe UI"/>
          <w:b/>
          <w:sz w:val="22"/>
          <w:szCs w:val="22"/>
          <w:lang w:val="en-GB"/>
        </w:rPr>
        <w:t>and will ensure ongoing recognition of the Board’s support for OH’s improvement journey.</w:t>
      </w:r>
    </w:p>
    <w:p w:rsidR="00FD23BA" w:rsidRDefault="00FD23BA" w:rsidP="007A4A0F">
      <w:pPr>
        <w:pStyle w:val="ListParagraph"/>
        <w:ind w:left="66"/>
        <w:jc w:val="both"/>
        <w:rPr>
          <w:rFonts w:ascii="Segoe UI" w:hAnsi="Segoe UI" w:cs="Segoe UI"/>
          <w:b/>
          <w:sz w:val="22"/>
          <w:szCs w:val="22"/>
        </w:rPr>
      </w:pPr>
    </w:p>
    <w:p w:rsidR="0034462A" w:rsidRPr="004A628C" w:rsidRDefault="000A7ED2" w:rsidP="004A628C">
      <w:pPr>
        <w:pStyle w:val="ListParagraph"/>
        <w:numPr>
          <w:ilvl w:val="0"/>
          <w:numId w:val="2"/>
        </w:numPr>
        <w:ind w:left="0" w:firstLine="66"/>
        <w:jc w:val="both"/>
        <w:rPr>
          <w:rFonts w:ascii="Segoe UI" w:hAnsi="Segoe UI" w:cs="Segoe UI"/>
          <w:b/>
          <w:sz w:val="22"/>
          <w:szCs w:val="22"/>
        </w:rPr>
      </w:pPr>
      <w:r>
        <w:rPr>
          <w:rFonts w:ascii="Segoe UI" w:hAnsi="Segoe UI" w:cs="Segoe UI"/>
          <w:b/>
          <w:bCs/>
          <w:color w:val="000000"/>
          <w:sz w:val="22"/>
          <w:szCs w:val="22"/>
          <w:lang w:val="en-GB"/>
        </w:rPr>
        <w:t xml:space="preserve"> </w:t>
      </w:r>
      <w:r w:rsidR="00C00E56">
        <w:rPr>
          <w:rFonts w:ascii="Segoe UI" w:hAnsi="Segoe UI" w:cs="Segoe UI"/>
          <w:b/>
          <w:sz w:val="22"/>
          <w:szCs w:val="22"/>
          <w:lang w:val="en"/>
        </w:rPr>
        <w:t>We still need to talk about Boards</w:t>
      </w:r>
    </w:p>
    <w:p w:rsidR="003E0214" w:rsidRPr="009803BB" w:rsidRDefault="003E0214" w:rsidP="00347684">
      <w:pPr>
        <w:pStyle w:val="ListParagraph"/>
        <w:ind w:left="66"/>
        <w:jc w:val="both"/>
        <w:rPr>
          <w:rFonts w:ascii="Segoe UI" w:hAnsi="Segoe UI" w:cs="Segoe UI"/>
          <w:sz w:val="22"/>
          <w:szCs w:val="22"/>
        </w:rPr>
      </w:pPr>
    </w:p>
    <w:p w:rsidR="006C6CCA" w:rsidRDefault="00C00E56" w:rsidP="00347684">
      <w:pPr>
        <w:pStyle w:val="ListParagraph"/>
        <w:ind w:left="66"/>
        <w:jc w:val="both"/>
        <w:rPr>
          <w:rFonts w:ascii="Segoe UI" w:hAnsi="Segoe UI" w:cs="Segoe UI"/>
          <w:sz w:val="22"/>
          <w:szCs w:val="22"/>
        </w:rPr>
      </w:pPr>
      <w:r w:rsidRPr="00C00E56">
        <w:rPr>
          <w:rFonts w:ascii="Segoe UI" w:hAnsi="Segoe UI" w:cs="Segoe UI"/>
          <w:sz w:val="22"/>
          <w:szCs w:val="22"/>
        </w:rPr>
        <w:t xml:space="preserve">In the summer of 2015 </w:t>
      </w:r>
      <w:r w:rsidR="006C6CCA">
        <w:rPr>
          <w:rFonts w:ascii="Segoe UI" w:hAnsi="Segoe UI" w:cs="Segoe UI"/>
          <w:sz w:val="22"/>
          <w:szCs w:val="22"/>
        </w:rPr>
        <w:t>NHS Providers</w:t>
      </w:r>
      <w:r w:rsidRPr="00C00E56">
        <w:rPr>
          <w:rFonts w:ascii="Segoe UI" w:hAnsi="Segoe UI" w:cs="Segoe UI"/>
          <w:sz w:val="22"/>
          <w:szCs w:val="22"/>
        </w:rPr>
        <w:t xml:space="preserve"> published </w:t>
      </w:r>
      <w:r w:rsidR="006C6CCA">
        <w:rPr>
          <w:rFonts w:ascii="Segoe UI" w:hAnsi="Segoe UI" w:cs="Segoe UI"/>
          <w:sz w:val="22"/>
          <w:szCs w:val="22"/>
        </w:rPr>
        <w:t>a</w:t>
      </w:r>
      <w:r w:rsidRPr="00C00E56">
        <w:rPr>
          <w:rFonts w:ascii="Segoe UI" w:hAnsi="Segoe UI" w:cs="Segoe UI"/>
          <w:sz w:val="22"/>
          <w:szCs w:val="22"/>
        </w:rPr>
        <w:t xml:space="preserve"> paper </w:t>
      </w:r>
      <w:r w:rsidRPr="00C00E56">
        <w:rPr>
          <w:rFonts w:ascii="Segoe UI" w:hAnsi="Segoe UI" w:cs="Segoe UI"/>
          <w:i/>
          <w:iCs/>
          <w:sz w:val="22"/>
          <w:szCs w:val="22"/>
        </w:rPr>
        <w:t>We need to talk about boards</w:t>
      </w:r>
      <w:r w:rsidRPr="00C00E56">
        <w:rPr>
          <w:rFonts w:ascii="Segoe UI" w:hAnsi="Segoe UI" w:cs="Segoe UI"/>
          <w:sz w:val="22"/>
          <w:szCs w:val="22"/>
        </w:rPr>
        <w:t xml:space="preserve">, in the context of the </w:t>
      </w:r>
      <w:r w:rsidRPr="00C00E56">
        <w:rPr>
          <w:rFonts w:ascii="Segoe UI" w:hAnsi="Segoe UI" w:cs="Segoe UI"/>
          <w:i/>
          <w:iCs/>
          <w:sz w:val="22"/>
          <w:szCs w:val="22"/>
        </w:rPr>
        <w:t>Five year forward view</w:t>
      </w:r>
      <w:r w:rsidRPr="00C00E56">
        <w:rPr>
          <w:rFonts w:ascii="Segoe UI" w:hAnsi="Segoe UI" w:cs="Segoe UI"/>
          <w:sz w:val="22"/>
          <w:szCs w:val="22"/>
        </w:rPr>
        <w:t xml:space="preserve"> and the debate that ensued about legal and </w:t>
      </w:r>
      <w:proofErr w:type="spellStart"/>
      <w:r w:rsidRPr="00C00E56">
        <w:rPr>
          <w:rFonts w:ascii="Segoe UI" w:hAnsi="Segoe UI" w:cs="Segoe UI"/>
          <w:sz w:val="22"/>
          <w:szCs w:val="22"/>
        </w:rPr>
        <w:t>organisational</w:t>
      </w:r>
      <w:proofErr w:type="spellEnd"/>
      <w:r w:rsidRPr="00C00E56">
        <w:rPr>
          <w:rFonts w:ascii="Segoe UI" w:hAnsi="Segoe UI" w:cs="Segoe UI"/>
          <w:sz w:val="22"/>
          <w:szCs w:val="22"/>
        </w:rPr>
        <w:t xml:space="preserve"> forms. Much has changed since then, with the publication of the NHS long term plan and the drive towards system working, with its emphasis on collaboration rather than competition.</w:t>
      </w:r>
    </w:p>
    <w:p w:rsidR="00466292" w:rsidRDefault="00C00E56" w:rsidP="00347684">
      <w:pPr>
        <w:pStyle w:val="ListParagraph"/>
        <w:ind w:left="66"/>
        <w:jc w:val="both"/>
        <w:rPr>
          <w:rFonts w:ascii="Segoe UI" w:hAnsi="Segoe UI" w:cs="Segoe UI"/>
          <w:sz w:val="22"/>
          <w:szCs w:val="22"/>
        </w:rPr>
      </w:pPr>
      <w:r w:rsidRPr="00C00E56">
        <w:rPr>
          <w:rFonts w:ascii="Segoe UI" w:hAnsi="Segoe UI" w:cs="Segoe UI"/>
          <w:sz w:val="22"/>
          <w:szCs w:val="22"/>
        </w:rPr>
        <w:br/>
        <w:t xml:space="preserve">However, even in the context set out above, individual organisations remain important. They are the only bodies corporate within systems with the legal powers to make decisions and are legally accountable for the outcomes of that decision making. </w:t>
      </w:r>
      <w:r w:rsidR="00E94314">
        <w:rPr>
          <w:rFonts w:ascii="Segoe UI" w:hAnsi="Segoe UI" w:cs="Segoe UI"/>
          <w:sz w:val="22"/>
          <w:szCs w:val="22"/>
        </w:rPr>
        <w:t>D</w:t>
      </w:r>
      <w:r w:rsidRPr="00C00E56">
        <w:rPr>
          <w:rFonts w:ascii="Segoe UI" w:hAnsi="Segoe UI" w:cs="Segoe UI"/>
          <w:sz w:val="22"/>
          <w:szCs w:val="22"/>
        </w:rPr>
        <w:t xml:space="preserve">irectors are answerable to the board even when making decisions under delegated powers and all board members are liable for the ensuing outcomes. For providers, this means the board, which embodies the organisation, remains the legitimate unit of decision making. </w:t>
      </w:r>
      <w:proofErr w:type="gramStart"/>
      <w:r w:rsidRPr="00C00E56">
        <w:rPr>
          <w:rFonts w:ascii="Segoe UI" w:hAnsi="Segoe UI" w:cs="Segoe UI"/>
          <w:sz w:val="22"/>
          <w:szCs w:val="22"/>
        </w:rPr>
        <w:lastRenderedPageBreak/>
        <w:t>So</w:t>
      </w:r>
      <w:proofErr w:type="gramEnd"/>
      <w:r w:rsidRPr="00C00E56">
        <w:rPr>
          <w:rFonts w:ascii="Segoe UI" w:hAnsi="Segoe UI" w:cs="Segoe UI"/>
          <w:sz w:val="22"/>
          <w:szCs w:val="22"/>
        </w:rPr>
        <w:t xml:space="preserve"> while system working is likely to impact on the way in which boards work, it has made board oversight more important than ever.</w:t>
      </w:r>
    </w:p>
    <w:p w:rsidR="00C00E56" w:rsidRPr="00797B1E" w:rsidRDefault="0057472D" w:rsidP="00347684">
      <w:pPr>
        <w:pStyle w:val="ListParagraph"/>
        <w:ind w:left="66"/>
        <w:jc w:val="both"/>
        <w:rPr>
          <w:rFonts w:ascii="Segoe UI" w:hAnsi="Segoe UI" w:cs="Segoe UI"/>
          <w:sz w:val="22"/>
          <w:szCs w:val="22"/>
        </w:rPr>
      </w:pPr>
      <w:hyperlink r:id="rId16" w:history="1">
        <w:r w:rsidR="00797B1E" w:rsidRPr="00797B1E">
          <w:rPr>
            <w:rStyle w:val="Hyperlink"/>
            <w:rFonts w:ascii="Segoe UI" w:hAnsi="Segoe UI" w:cs="Segoe UI"/>
            <w:sz w:val="22"/>
            <w:szCs w:val="22"/>
          </w:rPr>
          <w:t>https://nhsproviders.org/we-still-need-to-talk-about-boards</w:t>
        </w:r>
      </w:hyperlink>
      <w:r w:rsidR="00797B1E" w:rsidRPr="00797B1E">
        <w:rPr>
          <w:rFonts w:ascii="Segoe UI" w:hAnsi="Segoe UI" w:cs="Segoe UI"/>
          <w:sz w:val="22"/>
          <w:szCs w:val="22"/>
        </w:rPr>
        <w:t xml:space="preserve"> </w:t>
      </w:r>
    </w:p>
    <w:bookmarkEnd w:id="1"/>
    <w:p w:rsidR="00797B1E" w:rsidRDefault="00797B1E" w:rsidP="00A86977">
      <w:pPr>
        <w:jc w:val="both"/>
        <w:rPr>
          <w:rFonts w:ascii="Segoe UI" w:hAnsi="Segoe UI" w:cs="Segoe UI"/>
          <w:b/>
        </w:rPr>
      </w:pPr>
    </w:p>
    <w:p w:rsidR="00A86977" w:rsidRDefault="00A86977" w:rsidP="00A86977">
      <w:pPr>
        <w:jc w:val="both"/>
        <w:rPr>
          <w:rFonts w:ascii="Segoe UI" w:hAnsi="Segoe UI" w:cs="Segoe UI"/>
          <w:b/>
        </w:rPr>
      </w:pPr>
      <w:r w:rsidRPr="00F945DB">
        <w:rPr>
          <w:rFonts w:ascii="Segoe UI" w:hAnsi="Segoe UI" w:cs="Segoe UI"/>
          <w:b/>
        </w:rPr>
        <w:t>RECOMMENDATION</w:t>
      </w:r>
    </w:p>
    <w:p w:rsidR="00445CFF" w:rsidRPr="00F945DB" w:rsidRDefault="00445CFF" w:rsidP="00A86977">
      <w:pPr>
        <w:jc w:val="both"/>
        <w:rPr>
          <w:rFonts w:ascii="Segoe UI" w:hAnsi="Segoe UI" w:cs="Segoe UI"/>
          <w:b/>
        </w:rPr>
      </w:pPr>
    </w:p>
    <w:p w:rsidR="001F4408" w:rsidRDefault="00266248" w:rsidP="006D1325">
      <w:pPr>
        <w:jc w:val="both"/>
        <w:rPr>
          <w:rFonts w:ascii="Segoe UI" w:hAnsi="Segoe UI" w:cs="Segoe UI"/>
          <w:sz w:val="22"/>
          <w:szCs w:val="22"/>
        </w:rPr>
      </w:pPr>
      <w:r w:rsidRPr="00387B3D">
        <w:rPr>
          <w:rFonts w:ascii="Segoe UI" w:hAnsi="Segoe UI" w:cs="Segoe UI"/>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w:t>
      </w:r>
      <w:r w:rsidR="003E0214">
        <w:rPr>
          <w:rFonts w:ascii="Segoe UI" w:hAnsi="Segoe UI" w:cs="Segoe UI"/>
          <w:sz w:val="22"/>
          <w:szCs w:val="22"/>
        </w:rPr>
        <w:t xml:space="preserve">or prepare for </w:t>
      </w:r>
      <w:r w:rsidRPr="00387B3D">
        <w:rPr>
          <w:rFonts w:ascii="Segoe UI" w:hAnsi="Segoe UI" w:cs="Segoe UI"/>
          <w:sz w:val="22"/>
          <w:szCs w:val="22"/>
        </w:rPr>
        <w:t xml:space="preserve">compliance against any Trust’s obligations are appropriate and effective.  </w:t>
      </w:r>
    </w:p>
    <w:p w:rsidR="00F0351A" w:rsidRDefault="00F0351A" w:rsidP="006D1325">
      <w:pPr>
        <w:jc w:val="both"/>
        <w:rPr>
          <w:rFonts w:ascii="Segoe UI" w:hAnsi="Segoe UI" w:cs="Segoe UI"/>
          <w:color w:val="000000"/>
          <w:sz w:val="22"/>
          <w:szCs w:val="22"/>
          <w:lang w:val="en" w:eastAsia="en-GB"/>
        </w:rPr>
      </w:pPr>
    </w:p>
    <w:p w:rsidR="00F0351A" w:rsidRPr="00F0351A" w:rsidRDefault="00F0351A" w:rsidP="007309AE">
      <w:pPr>
        <w:ind w:left="3600" w:hanging="3600"/>
        <w:jc w:val="both"/>
        <w:rPr>
          <w:rFonts w:ascii="Segoe UI" w:hAnsi="Segoe UI" w:cs="Segoe UI"/>
          <w:b/>
          <w:color w:val="000000"/>
          <w:sz w:val="22"/>
          <w:szCs w:val="22"/>
          <w:lang w:val="en" w:eastAsia="en-GB"/>
        </w:rPr>
      </w:pPr>
      <w:r w:rsidRPr="00F0351A">
        <w:rPr>
          <w:rFonts w:ascii="Segoe UI" w:hAnsi="Segoe UI" w:cs="Segoe UI"/>
          <w:b/>
          <w:color w:val="000000"/>
          <w:sz w:val="22"/>
          <w:szCs w:val="22"/>
          <w:lang w:val="en" w:eastAsia="en-GB"/>
        </w:rPr>
        <w:t xml:space="preserve">Lead Executive and Author: </w:t>
      </w:r>
      <w:r w:rsidR="007309AE">
        <w:rPr>
          <w:rFonts w:ascii="Segoe UI" w:hAnsi="Segoe UI" w:cs="Segoe UI"/>
          <w:b/>
          <w:color w:val="000000"/>
          <w:sz w:val="22"/>
          <w:szCs w:val="22"/>
          <w:lang w:val="en" w:eastAsia="en-GB"/>
        </w:rPr>
        <w:tab/>
      </w:r>
      <w:r w:rsidRPr="00F0351A">
        <w:rPr>
          <w:rFonts w:ascii="Segoe UI" w:hAnsi="Segoe UI" w:cs="Segoe UI"/>
          <w:b/>
          <w:color w:val="000000"/>
          <w:sz w:val="22"/>
          <w:szCs w:val="22"/>
          <w:lang w:val="en" w:eastAsia="en-GB"/>
        </w:rPr>
        <w:t>Kerry Rogers, Director of Corporate Affairs &amp; Company Secretary</w:t>
      </w:r>
    </w:p>
    <w:sectPr w:rsidR="00F0351A" w:rsidRPr="00F0351A" w:rsidSect="00E07513">
      <w:headerReference w:type="first" r:id="rId17"/>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ACD" w:rsidRDefault="00802ACD" w:rsidP="005B3E3C">
      <w:r>
        <w:separator/>
      </w:r>
    </w:p>
  </w:endnote>
  <w:endnote w:type="continuationSeparator" w:id="0">
    <w:p w:rsidR="00802ACD" w:rsidRDefault="00802AC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ACD" w:rsidRDefault="00802ACD" w:rsidP="005B3E3C">
      <w:r>
        <w:separator/>
      </w:r>
    </w:p>
  </w:footnote>
  <w:footnote w:type="continuationSeparator" w:id="0">
    <w:p w:rsidR="00802ACD" w:rsidRDefault="00802ACD"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A9" w:rsidRDefault="009D7EA9"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9D7EA9" w:rsidRDefault="009D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D9A"/>
    <w:multiLevelType w:val="multilevel"/>
    <w:tmpl w:val="13B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0D06"/>
    <w:multiLevelType w:val="hybridMultilevel"/>
    <w:tmpl w:val="1C428F00"/>
    <w:lvl w:ilvl="0" w:tplc="370AC5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D75A5"/>
    <w:multiLevelType w:val="hybridMultilevel"/>
    <w:tmpl w:val="67C4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346FD"/>
    <w:multiLevelType w:val="multilevel"/>
    <w:tmpl w:val="38B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0286F"/>
    <w:multiLevelType w:val="hybridMultilevel"/>
    <w:tmpl w:val="0C6C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0E0A89"/>
    <w:multiLevelType w:val="hybridMultilevel"/>
    <w:tmpl w:val="50C03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77654F"/>
    <w:multiLevelType w:val="hybridMultilevel"/>
    <w:tmpl w:val="BE7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A4090"/>
    <w:multiLevelType w:val="hybridMultilevel"/>
    <w:tmpl w:val="44D2A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3F6E"/>
    <w:rsid w:val="00017DF3"/>
    <w:rsid w:val="00020D3B"/>
    <w:rsid w:val="0002773D"/>
    <w:rsid w:val="00030247"/>
    <w:rsid w:val="0003073D"/>
    <w:rsid w:val="0003117D"/>
    <w:rsid w:val="0004150A"/>
    <w:rsid w:val="00044F9C"/>
    <w:rsid w:val="0004507D"/>
    <w:rsid w:val="0004515B"/>
    <w:rsid w:val="0004788D"/>
    <w:rsid w:val="00063E0F"/>
    <w:rsid w:val="00071842"/>
    <w:rsid w:val="000821AD"/>
    <w:rsid w:val="000A3A29"/>
    <w:rsid w:val="000A5A07"/>
    <w:rsid w:val="000A7ED2"/>
    <w:rsid w:val="000B420F"/>
    <w:rsid w:val="000B4318"/>
    <w:rsid w:val="000B592F"/>
    <w:rsid w:val="000C2F9B"/>
    <w:rsid w:val="000C7B41"/>
    <w:rsid w:val="000E064E"/>
    <w:rsid w:val="000E317C"/>
    <w:rsid w:val="000F239E"/>
    <w:rsid w:val="00105104"/>
    <w:rsid w:val="001058A7"/>
    <w:rsid w:val="00110B12"/>
    <w:rsid w:val="0011477A"/>
    <w:rsid w:val="00114D71"/>
    <w:rsid w:val="0012093B"/>
    <w:rsid w:val="001248EE"/>
    <w:rsid w:val="00145747"/>
    <w:rsid w:val="00156D1A"/>
    <w:rsid w:val="00165DC0"/>
    <w:rsid w:val="0016783B"/>
    <w:rsid w:val="00167FD0"/>
    <w:rsid w:val="00174E8B"/>
    <w:rsid w:val="00174FCE"/>
    <w:rsid w:val="00186D40"/>
    <w:rsid w:val="00194901"/>
    <w:rsid w:val="001952D6"/>
    <w:rsid w:val="001A1C28"/>
    <w:rsid w:val="001B5873"/>
    <w:rsid w:val="001D5827"/>
    <w:rsid w:val="001E3FB9"/>
    <w:rsid w:val="001F4408"/>
    <w:rsid w:val="001F484F"/>
    <w:rsid w:val="001F76ED"/>
    <w:rsid w:val="002025D2"/>
    <w:rsid w:val="00202ECC"/>
    <w:rsid w:val="00203B45"/>
    <w:rsid w:val="00214D03"/>
    <w:rsid w:val="002220BA"/>
    <w:rsid w:val="002250DE"/>
    <w:rsid w:val="00227FCE"/>
    <w:rsid w:val="0023120A"/>
    <w:rsid w:val="00235D40"/>
    <w:rsid w:val="00241A66"/>
    <w:rsid w:val="0024364A"/>
    <w:rsid w:val="00257044"/>
    <w:rsid w:val="002619EF"/>
    <w:rsid w:val="00262F0F"/>
    <w:rsid w:val="00264404"/>
    <w:rsid w:val="00266248"/>
    <w:rsid w:val="002663A4"/>
    <w:rsid w:val="002821F8"/>
    <w:rsid w:val="002851FB"/>
    <w:rsid w:val="00285C0B"/>
    <w:rsid w:val="00291F65"/>
    <w:rsid w:val="00292613"/>
    <w:rsid w:val="002A2D99"/>
    <w:rsid w:val="002A4C08"/>
    <w:rsid w:val="002A6EF6"/>
    <w:rsid w:val="002A73E8"/>
    <w:rsid w:val="002C2F97"/>
    <w:rsid w:val="002C3616"/>
    <w:rsid w:val="002D0AEB"/>
    <w:rsid w:val="002E6FC6"/>
    <w:rsid w:val="00306AF0"/>
    <w:rsid w:val="00322D7E"/>
    <w:rsid w:val="00326E47"/>
    <w:rsid w:val="003277EC"/>
    <w:rsid w:val="00330318"/>
    <w:rsid w:val="00332937"/>
    <w:rsid w:val="00335681"/>
    <w:rsid w:val="00340FBE"/>
    <w:rsid w:val="0034462A"/>
    <w:rsid w:val="00346A21"/>
    <w:rsid w:val="00347684"/>
    <w:rsid w:val="0036666A"/>
    <w:rsid w:val="00367678"/>
    <w:rsid w:val="003818BC"/>
    <w:rsid w:val="00387B3D"/>
    <w:rsid w:val="003927AC"/>
    <w:rsid w:val="00395D53"/>
    <w:rsid w:val="003971F6"/>
    <w:rsid w:val="003A0C58"/>
    <w:rsid w:val="003A34EF"/>
    <w:rsid w:val="003A5ADB"/>
    <w:rsid w:val="003A6D26"/>
    <w:rsid w:val="003B0200"/>
    <w:rsid w:val="003B3C26"/>
    <w:rsid w:val="003C41F9"/>
    <w:rsid w:val="003C4672"/>
    <w:rsid w:val="003C4687"/>
    <w:rsid w:val="003C78DB"/>
    <w:rsid w:val="003D2450"/>
    <w:rsid w:val="003D754C"/>
    <w:rsid w:val="003E0214"/>
    <w:rsid w:val="003E5FC6"/>
    <w:rsid w:val="003F0711"/>
    <w:rsid w:val="003F2AF4"/>
    <w:rsid w:val="003F7366"/>
    <w:rsid w:val="004067D4"/>
    <w:rsid w:val="004231AD"/>
    <w:rsid w:val="004326BB"/>
    <w:rsid w:val="004447FD"/>
    <w:rsid w:val="00445CFF"/>
    <w:rsid w:val="00450F07"/>
    <w:rsid w:val="00455258"/>
    <w:rsid w:val="00456DDE"/>
    <w:rsid w:val="004610FF"/>
    <w:rsid w:val="00466292"/>
    <w:rsid w:val="004742D0"/>
    <w:rsid w:val="00475E68"/>
    <w:rsid w:val="004905FD"/>
    <w:rsid w:val="00491CF8"/>
    <w:rsid w:val="00492EFE"/>
    <w:rsid w:val="0049418F"/>
    <w:rsid w:val="004A085A"/>
    <w:rsid w:val="004A628C"/>
    <w:rsid w:val="004A62FF"/>
    <w:rsid w:val="004B24E1"/>
    <w:rsid w:val="004B55F5"/>
    <w:rsid w:val="004C24AA"/>
    <w:rsid w:val="004C3EF0"/>
    <w:rsid w:val="004E1DE4"/>
    <w:rsid w:val="004E55CB"/>
    <w:rsid w:val="004F4BBA"/>
    <w:rsid w:val="005017ED"/>
    <w:rsid w:val="005233AA"/>
    <w:rsid w:val="00544BEC"/>
    <w:rsid w:val="00550790"/>
    <w:rsid w:val="00551AD9"/>
    <w:rsid w:val="00551B0F"/>
    <w:rsid w:val="00553FC7"/>
    <w:rsid w:val="00555D9A"/>
    <w:rsid w:val="005568CE"/>
    <w:rsid w:val="0056090C"/>
    <w:rsid w:val="00562334"/>
    <w:rsid w:val="00562485"/>
    <w:rsid w:val="005659FB"/>
    <w:rsid w:val="00573B9D"/>
    <w:rsid w:val="0057472D"/>
    <w:rsid w:val="00590383"/>
    <w:rsid w:val="005A2605"/>
    <w:rsid w:val="005B071D"/>
    <w:rsid w:val="005B3421"/>
    <w:rsid w:val="005B3E3C"/>
    <w:rsid w:val="005C3FC1"/>
    <w:rsid w:val="005C41BA"/>
    <w:rsid w:val="005C470A"/>
    <w:rsid w:val="005D0402"/>
    <w:rsid w:val="005D3499"/>
    <w:rsid w:val="005E2583"/>
    <w:rsid w:val="005F1219"/>
    <w:rsid w:val="006019DB"/>
    <w:rsid w:val="006045FD"/>
    <w:rsid w:val="00615A4F"/>
    <w:rsid w:val="0061684E"/>
    <w:rsid w:val="00632A68"/>
    <w:rsid w:val="0063324A"/>
    <w:rsid w:val="00634F1B"/>
    <w:rsid w:val="006405A8"/>
    <w:rsid w:val="0065159E"/>
    <w:rsid w:val="006672E4"/>
    <w:rsid w:val="0067042C"/>
    <w:rsid w:val="006762FE"/>
    <w:rsid w:val="00677D9D"/>
    <w:rsid w:val="0068070B"/>
    <w:rsid w:val="00694C36"/>
    <w:rsid w:val="00695E0F"/>
    <w:rsid w:val="006A290B"/>
    <w:rsid w:val="006A4634"/>
    <w:rsid w:val="006B14EF"/>
    <w:rsid w:val="006C2E68"/>
    <w:rsid w:val="006C30DF"/>
    <w:rsid w:val="006C60D2"/>
    <w:rsid w:val="006C6CCA"/>
    <w:rsid w:val="006D1325"/>
    <w:rsid w:val="006D3193"/>
    <w:rsid w:val="006D6C55"/>
    <w:rsid w:val="006E3C1C"/>
    <w:rsid w:val="006E3C3E"/>
    <w:rsid w:val="006F2F62"/>
    <w:rsid w:val="006F313C"/>
    <w:rsid w:val="007001B9"/>
    <w:rsid w:val="007309AE"/>
    <w:rsid w:val="0073522A"/>
    <w:rsid w:val="00736099"/>
    <w:rsid w:val="0074345C"/>
    <w:rsid w:val="00745544"/>
    <w:rsid w:val="00750E6D"/>
    <w:rsid w:val="007769CD"/>
    <w:rsid w:val="0078032B"/>
    <w:rsid w:val="00781566"/>
    <w:rsid w:val="00790D66"/>
    <w:rsid w:val="007975B2"/>
    <w:rsid w:val="007976E7"/>
    <w:rsid w:val="00797B1E"/>
    <w:rsid w:val="007A2CF0"/>
    <w:rsid w:val="007A4A0F"/>
    <w:rsid w:val="007B02FB"/>
    <w:rsid w:val="007B451F"/>
    <w:rsid w:val="007B6D77"/>
    <w:rsid w:val="007D623E"/>
    <w:rsid w:val="007D6B60"/>
    <w:rsid w:val="007D7A14"/>
    <w:rsid w:val="00802701"/>
    <w:rsid w:val="00802ACD"/>
    <w:rsid w:val="008038A2"/>
    <w:rsid w:val="00811196"/>
    <w:rsid w:val="00811FE8"/>
    <w:rsid w:val="008137A1"/>
    <w:rsid w:val="00817E0E"/>
    <w:rsid w:val="008213DF"/>
    <w:rsid w:val="008275FD"/>
    <w:rsid w:val="008362A6"/>
    <w:rsid w:val="0084236E"/>
    <w:rsid w:val="0084720C"/>
    <w:rsid w:val="008511BB"/>
    <w:rsid w:val="008534A9"/>
    <w:rsid w:val="008622DB"/>
    <w:rsid w:val="0086436B"/>
    <w:rsid w:val="00864ACD"/>
    <w:rsid w:val="0086574E"/>
    <w:rsid w:val="0087420C"/>
    <w:rsid w:val="0088046A"/>
    <w:rsid w:val="00894B97"/>
    <w:rsid w:val="008B3360"/>
    <w:rsid w:val="008B4ABB"/>
    <w:rsid w:val="008C3B32"/>
    <w:rsid w:val="008C7220"/>
    <w:rsid w:val="008D3EB0"/>
    <w:rsid w:val="008E0366"/>
    <w:rsid w:val="00914199"/>
    <w:rsid w:val="009149E6"/>
    <w:rsid w:val="00915F27"/>
    <w:rsid w:val="009266D5"/>
    <w:rsid w:val="00936991"/>
    <w:rsid w:val="00937546"/>
    <w:rsid w:val="009434E1"/>
    <w:rsid w:val="00946888"/>
    <w:rsid w:val="00946E6E"/>
    <w:rsid w:val="00956099"/>
    <w:rsid w:val="00956831"/>
    <w:rsid w:val="009803BB"/>
    <w:rsid w:val="009869DE"/>
    <w:rsid w:val="00990220"/>
    <w:rsid w:val="00997497"/>
    <w:rsid w:val="009A1E38"/>
    <w:rsid w:val="009A3993"/>
    <w:rsid w:val="009A4C6B"/>
    <w:rsid w:val="009C2863"/>
    <w:rsid w:val="009D7E61"/>
    <w:rsid w:val="009D7EA9"/>
    <w:rsid w:val="009E3E0E"/>
    <w:rsid w:val="009F3009"/>
    <w:rsid w:val="009F5489"/>
    <w:rsid w:val="00A07FEA"/>
    <w:rsid w:val="00A2080F"/>
    <w:rsid w:val="00A20B7E"/>
    <w:rsid w:val="00A50246"/>
    <w:rsid w:val="00A55C7D"/>
    <w:rsid w:val="00A617B0"/>
    <w:rsid w:val="00A624CB"/>
    <w:rsid w:val="00A674FB"/>
    <w:rsid w:val="00A767D2"/>
    <w:rsid w:val="00A82044"/>
    <w:rsid w:val="00A85311"/>
    <w:rsid w:val="00A86977"/>
    <w:rsid w:val="00A91775"/>
    <w:rsid w:val="00A93FE6"/>
    <w:rsid w:val="00A94A0A"/>
    <w:rsid w:val="00A95672"/>
    <w:rsid w:val="00AA0C3F"/>
    <w:rsid w:val="00AA1F23"/>
    <w:rsid w:val="00AA47C9"/>
    <w:rsid w:val="00AC3814"/>
    <w:rsid w:val="00AC74DE"/>
    <w:rsid w:val="00AD7469"/>
    <w:rsid w:val="00AE2755"/>
    <w:rsid w:val="00AE567A"/>
    <w:rsid w:val="00AF0562"/>
    <w:rsid w:val="00AF182B"/>
    <w:rsid w:val="00AF3ECC"/>
    <w:rsid w:val="00AF4509"/>
    <w:rsid w:val="00AF4705"/>
    <w:rsid w:val="00B10FB2"/>
    <w:rsid w:val="00B139E7"/>
    <w:rsid w:val="00B1658A"/>
    <w:rsid w:val="00B26E1A"/>
    <w:rsid w:val="00B26F2C"/>
    <w:rsid w:val="00B32AB6"/>
    <w:rsid w:val="00B42CF0"/>
    <w:rsid w:val="00B4513E"/>
    <w:rsid w:val="00B50D5E"/>
    <w:rsid w:val="00B57187"/>
    <w:rsid w:val="00B61EDF"/>
    <w:rsid w:val="00B6751F"/>
    <w:rsid w:val="00B7238E"/>
    <w:rsid w:val="00B80276"/>
    <w:rsid w:val="00B810B5"/>
    <w:rsid w:val="00B821A2"/>
    <w:rsid w:val="00B83DC5"/>
    <w:rsid w:val="00B946D4"/>
    <w:rsid w:val="00B95ABF"/>
    <w:rsid w:val="00B96BC5"/>
    <w:rsid w:val="00BA3B3E"/>
    <w:rsid w:val="00BC152C"/>
    <w:rsid w:val="00BC57BF"/>
    <w:rsid w:val="00BD270E"/>
    <w:rsid w:val="00BE1C56"/>
    <w:rsid w:val="00BF3538"/>
    <w:rsid w:val="00BF37F1"/>
    <w:rsid w:val="00BF5367"/>
    <w:rsid w:val="00C00E56"/>
    <w:rsid w:val="00C04E5D"/>
    <w:rsid w:val="00C07817"/>
    <w:rsid w:val="00C07C3F"/>
    <w:rsid w:val="00C11AA2"/>
    <w:rsid w:val="00C12DFD"/>
    <w:rsid w:val="00C16604"/>
    <w:rsid w:val="00C168C8"/>
    <w:rsid w:val="00C22109"/>
    <w:rsid w:val="00C36D1E"/>
    <w:rsid w:val="00C40AD1"/>
    <w:rsid w:val="00C51484"/>
    <w:rsid w:val="00C57905"/>
    <w:rsid w:val="00C57E3A"/>
    <w:rsid w:val="00C57F41"/>
    <w:rsid w:val="00C60271"/>
    <w:rsid w:val="00C62286"/>
    <w:rsid w:val="00C63B86"/>
    <w:rsid w:val="00C67635"/>
    <w:rsid w:val="00C71005"/>
    <w:rsid w:val="00C72669"/>
    <w:rsid w:val="00C7680A"/>
    <w:rsid w:val="00C85379"/>
    <w:rsid w:val="00C860AE"/>
    <w:rsid w:val="00C87C30"/>
    <w:rsid w:val="00C90F33"/>
    <w:rsid w:val="00C945CE"/>
    <w:rsid w:val="00C94945"/>
    <w:rsid w:val="00CB4CF2"/>
    <w:rsid w:val="00CD0511"/>
    <w:rsid w:val="00CF1587"/>
    <w:rsid w:val="00CF3A9C"/>
    <w:rsid w:val="00CF68DC"/>
    <w:rsid w:val="00D032B3"/>
    <w:rsid w:val="00D04468"/>
    <w:rsid w:val="00D07064"/>
    <w:rsid w:val="00D101CB"/>
    <w:rsid w:val="00D14EF2"/>
    <w:rsid w:val="00D20525"/>
    <w:rsid w:val="00D2063F"/>
    <w:rsid w:val="00D279FC"/>
    <w:rsid w:val="00D3074C"/>
    <w:rsid w:val="00D322F3"/>
    <w:rsid w:val="00D42EDB"/>
    <w:rsid w:val="00D44BE5"/>
    <w:rsid w:val="00D557DE"/>
    <w:rsid w:val="00D55ADD"/>
    <w:rsid w:val="00D645A6"/>
    <w:rsid w:val="00D8544F"/>
    <w:rsid w:val="00D870AD"/>
    <w:rsid w:val="00D90A16"/>
    <w:rsid w:val="00D922D3"/>
    <w:rsid w:val="00D95720"/>
    <w:rsid w:val="00DA064E"/>
    <w:rsid w:val="00DA0FA6"/>
    <w:rsid w:val="00DB0979"/>
    <w:rsid w:val="00DB161E"/>
    <w:rsid w:val="00DC3156"/>
    <w:rsid w:val="00DC414F"/>
    <w:rsid w:val="00DC6018"/>
    <w:rsid w:val="00DD33DF"/>
    <w:rsid w:val="00DE1293"/>
    <w:rsid w:val="00DF10CC"/>
    <w:rsid w:val="00DF2EB5"/>
    <w:rsid w:val="00DF4521"/>
    <w:rsid w:val="00DF66D6"/>
    <w:rsid w:val="00E008D9"/>
    <w:rsid w:val="00E0160D"/>
    <w:rsid w:val="00E021EE"/>
    <w:rsid w:val="00E04958"/>
    <w:rsid w:val="00E07513"/>
    <w:rsid w:val="00E2311B"/>
    <w:rsid w:val="00E27E78"/>
    <w:rsid w:val="00E37074"/>
    <w:rsid w:val="00E41CBC"/>
    <w:rsid w:val="00E458D6"/>
    <w:rsid w:val="00E46D4A"/>
    <w:rsid w:val="00E46F8F"/>
    <w:rsid w:val="00E57E9F"/>
    <w:rsid w:val="00E617A3"/>
    <w:rsid w:val="00E66DD9"/>
    <w:rsid w:val="00E67AB5"/>
    <w:rsid w:val="00E67E82"/>
    <w:rsid w:val="00E7639B"/>
    <w:rsid w:val="00E827C5"/>
    <w:rsid w:val="00E90573"/>
    <w:rsid w:val="00E94314"/>
    <w:rsid w:val="00EA0A02"/>
    <w:rsid w:val="00EA1D80"/>
    <w:rsid w:val="00EB62C9"/>
    <w:rsid w:val="00EC0677"/>
    <w:rsid w:val="00EC4E6B"/>
    <w:rsid w:val="00EC60CA"/>
    <w:rsid w:val="00ED0935"/>
    <w:rsid w:val="00ED36F4"/>
    <w:rsid w:val="00EE5F5A"/>
    <w:rsid w:val="00EF1914"/>
    <w:rsid w:val="00F0351A"/>
    <w:rsid w:val="00F24623"/>
    <w:rsid w:val="00F24EB2"/>
    <w:rsid w:val="00F425E8"/>
    <w:rsid w:val="00F441EF"/>
    <w:rsid w:val="00F50A07"/>
    <w:rsid w:val="00F54D12"/>
    <w:rsid w:val="00F566A9"/>
    <w:rsid w:val="00F57119"/>
    <w:rsid w:val="00F758C6"/>
    <w:rsid w:val="00F77C13"/>
    <w:rsid w:val="00F84FCE"/>
    <w:rsid w:val="00F863B9"/>
    <w:rsid w:val="00F87842"/>
    <w:rsid w:val="00F945DB"/>
    <w:rsid w:val="00F95A18"/>
    <w:rsid w:val="00FA3993"/>
    <w:rsid w:val="00FA5118"/>
    <w:rsid w:val="00FB35C1"/>
    <w:rsid w:val="00FB4AAA"/>
    <w:rsid w:val="00FD10BE"/>
    <w:rsid w:val="00FD21B4"/>
    <w:rsid w:val="00FD2279"/>
    <w:rsid w:val="00FD23BA"/>
    <w:rsid w:val="00FD6683"/>
    <w:rsid w:val="00FE113A"/>
    <w:rsid w:val="00FE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5A2FBB"/>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eu.mimecast.com/s/QOQoCmqJpijjlB7HGrxoip?domain=nhsproviders.cmail19.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u.mimecast.com/s/NfJACz6ZJTMRpxjtqVYLk?domain=nhsproviders.cmail19.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hsproviders.org/we-still-need-to-talk-about-bo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rovement.nhs.uk/about-us/corporate-publications/publications/nhs-england-and-nhs-improvement-funding-and-resource-201920-supporting-nhs-long-term-plan/" TargetMode="External"/><Relationship Id="rId5" Type="http://schemas.openxmlformats.org/officeDocument/2006/relationships/webSettings" Target="webSettings.xml"/><Relationship Id="rId15" Type="http://schemas.openxmlformats.org/officeDocument/2006/relationships/hyperlink" Target="https://protect-eu.mimecast.com/s/FeGOCoZLrhrrYj1T1KAC0j?domain=nhsproviders.cmail19.com" TargetMode="External"/><Relationship Id="rId10" Type="http://schemas.openxmlformats.org/officeDocument/2006/relationships/hyperlink" Target="https://protect-eu.mimecast.com/s/AheDC794rsAA1m8uWpUg5?domain=childrenscommissioner.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tect-eu.mimecast.com/s/Q8f7C6WZqTrrYopiplChO?domain=assets.publishing.service.gov.uk" TargetMode="External"/><Relationship Id="rId14" Type="http://schemas.openxmlformats.org/officeDocument/2006/relationships/hyperlink" Target="https://protect-eu.mimecast.com/s/8bWbCnRKqI77DA1s9wj7C_?domain=nhsproviders.cmail1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F004-403D-4037-8946-3E8A5CAA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1693</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Weerawarnakula Surangi (RNU) Oxford Health</cp:lastModifiedBy>
  <cp:revision>68</cp:revision>
  <cp:lastPrinted>2014-03-17T14:55:00Z</cp:lastPrinted>
  <dcterms:created xsi:type="dcterms:W3CDTF">2019-05-20T10:16:00Z</dcterms:created>
  <dcterms:modified xsi:type="dcterms:W3CDTF">2019-05-21T13:56:00Z</dcterms:modified>
</cp:coreProperties>
</file>