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Default="007B6D77" w:rsidP="0086436B">
      <w:pPr>
        <w:ind w:right="-900"/>
        <w:jc w:val="right"/>
        <w:rPr>
          <w:lang w:val="en-GB"/>
        </w:rPr>
      </w:pPr>
      <w:r>
        <w:rPr>
          <w:noProof/>
          <w:lang w:val="en-GB" w:eastAsia="en-GB"/>
        </w:rPr>
        <w:drawing>
          <wp:inline distT="0" distB="0" distL="0" distR="0" wp14:anchorId="36C336EE" wp14:editId="7A1F1316">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152C2FE7" wp14:editId="5B365C9A">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25508D">
                            <w:pPr>
                              <w:jc w:val="center"/>
                              <w:rPr>
                                <w:rFonts w:ascii="Arial" w:hAnsi="Arial" w:cs="Arial"/>
                              </w:rPr>
                            </w:pPr>
                            <w:r>
                              <w:rPr>
                                <w:rFonts w:ascii="Arial" w:hAnsi="Arial" w:cs="Arial"/>
                                <w:b/>
                              </w:rPr>
                              <w:t xml:space="preserve">BOD </w:t>
                            </w:r>
                            <w:r w:rsidR="000D14B7">
                              <w:rPr>
                                <w:rFonts w:ascii="Arial" w:hAnsi="Arial" w:cs="Arial"/>
                                <w:b/>
                              </w:rPr>
                              <w:t>59</w:t>
                            </w:r>
                            <w:r w:rsidR="000D14B7">
                              <w:rPr>
                                <w:rFonts w:ascii="Arial" w:hAnsi="Arial" w:cs="Arial"/>
                                <w:b/>
                              </w:rPr>
                              <w:t>/2019</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0D14B7">
                              <w:rPr>
                                <w:rFonts w:ascii="Arial" w:hAnsi="Arial" w:cs="Arial"/>
                                <w:sz w:val="22"/>
                                <w:szCs w:val="22"/>
                              </w:rPr>
                              <w:t>8</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2FE7"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25508D">
                      <w:pPr>
                        <w:jc w:val="center"/>
                        <w:rPr>
                          <w:rFonts w:ascii="Arial" w:hAnsi="Arial" w:cs="Arial"/>
                        </w:rPr>
                      </w:pPr>
                      <w:r>
                        <w:rPr>
                          <w:rFonts w:ascii="Arial" w:hAnsi="Arial" w:cs="Arial"/>
                          <w:b/>
                        </w:rPr>
                        <w:t xml:space="preserve">BOD </w:t>
                      </w:r>
                      <w:r w:rsidR="000D14B7">
                        <w:rPr>
                          <w:rFonts w:ascii="Arial" w:hAnsi="Arial" w:cs="Arial"/>
                          <w:b/>
                        </w:rPr>
                        <w:t>59</w:t>
                      </w:r>
                      <w:r w:rsidR="000D14B7">
                        <w:rPr>
                          <w:rFonts w:ascii="Arial" w:hAnsi="Arial" w:cs="Arial"/>
                          <w:b/>
                        </w:rPr>
                        <w:t>/2019</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0D14B7">
                        <w:rPr>
                          <w:rFonts w:ascii="Arial" w:hAnsi="Arial" w:cs="Arial"/>
                          <w:sz w:val="22"/>
                          <w:szCs w:val="22"/>
                        </w:rPr>
                        <w:t>8</w:t>
                      </w:r>
                      <w:r w:rsidR="0025508D">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Pr="00A80A17" w:rsidRDefault="005D3499" w:rsidP="00FA5118">
      <w:pPr>
        <w:pStyle w:val="Heading1"/>
        <w:jc w:val="center"/>
        <w:rPr>
          <w:rFonts w:ascii="Segoe UI" w:hAnsi="Segoe UI" w:cs="Segoe UI"/>
          <w:sz w:val="24"/>
        </w:rPr>
      </w:pPr>
    </w:p>
    <w:p w:rsidR="005D3499" w:rsidRPr="00A80A17" w:rsidRDefault="005D3499">
      <w:pPr>
        <w:pStyle w:val="Heading1"/>
        <w:jc w:val="center"/>
        <w:rPr>
          <w:rFonts w:ascii="Segoe UI" w:hAnsi="Segoe UI" w:cs="Segoe UI"/>
          <w:sz w:val="28"/>
          <w:u w:val="none"/>
        </w:rPr>
      </w:pPr>
    </w:p>
    <w:p w:rsidR="005E2583" w:rsidRPr="00A80A17" w:rsidRDefault="005D3499">
      <w:pPr>
        <w:pStyle w:val="Heading1"/>
        <w:jc w:val="center"/>
        <w:rPr>
          <w:rFonts w:ascii="Segoe UI" w:hAnsi="Segoe UI" w:cs="Segoe UI"/>
          <w:sz w:val="28"/>
          <w:u w:val="none"/>
        </w:rPr>
      </w:pPr>
      <w:r w:rsidRPr="00A80A17">
        <w:rPr>
          <w:rFonts w:ascii="Segoe UI" w:hAnsi="Segoe UI" w:cs="Segoe UI"/>
          <w:sz w:val="28"/>
          <w:u w:val="none"/>
        </w:rPr>
        <w:t xml:space="preserve">Report to the Meeting </w:t>
      </w:r>
      <w:r w:rsidR="00B50D5E" w:rsidRPr="00A80A17">
        <w:rPr>
          <w:rFonts w:ascii="Segoe UI" w:hAnsi="Segoe UI" w:cs="Segoe UI"/>
          <w:sz w:val="28"/>
          <w:u w:val="none"/>
        </w:rPr>
        <w:t xml:space="preserve">of the </w:t>
      </w:r>
    </w:p>
    <w:p w:rsidR="002821F8" w:rsidRPr="00A80A17" w:rsidRDefault="00B50D5E">
      <w:pPr>
        <w:pStyle w:val="Heading1"/>
        <w:jc w:val="center"/>
        <w:rPr>
          <w:rFonts w:ascii="Segoe UI" w:hAnsi="Segoe UI" w:cs="Segoe UI"/>
          <w:sz w:val="28"/>
          <w:u w:val="none"/>
        </w:rPr>
      </w:pPr>
      <w:r w:rsidRPr="00A80A17">
        <w:rPr>
          <w:rFonts w:ascii="Segoe UI" w:hAnsi="Segoe UI" w:cs="Segoe UI"/>
          <w:sz w:val="28"/>
          <w:u w:val="none"/>
        </w:rPr>
        <w:t xml:space="preserve">Oxford Health NHS </w:t>
      </w:r>
      <w:r w:rsidR="002821F8" w:rsidRPr="00A80A17">
        <w:rPr>
          <w:rFonts w:ascii="Segoe UI" w:hAnsi="Segoe UI" w:cs="Segoe UI"/>
          <w:sz w:val="28"/>
          <w:u w:val="none"/>
        </w:rPr>
        <w:t xml:space="preserve">Foundation Trust </w:t>
      </w:r>
    </w:p>
    <w:p w:rsidR="005D3499" w:rsidRPr="00A80A17" w:rsidRDefault="005D3499">
      <w:pPr>
        <w:pStyle w:val="Heading1"/>
        <w:jc w:val="center"/>
        <w:rPr>
          <w:rFonts w:ascii="Segoe UI" w:hAnsi="Segoe UI" w:cs="Segoe UI"/>
          <w:sz w:val="28"/>
          <w:u w:val="none"/>
        </w:rPr>
      </w:pPr>
      <w:r w:rsidRPr="00A80A17">
        <w:rPr>
          <w:rFonts w:ascii="Segoe UI" w:hAnsi="Segoe UI" w:cs="Segoe UI"/>
          <w:sz w:val="28"/>
          <w:u w:val="none"/>
        </w:rPr>
        <w:t>Board</w:t>
      </w:r>
      <w:r w:rsidR="002821F8" w:rsidRPr="00A80A17">
        <w:rPr>
          <w:rFonts w:ascii="Segoe UI" w:hAnsi="Segoe UI" w:cs="Segoe UI"/>
          <w:sz w:val="28"/>
          <w:u w:val="none"/>
        </w:rPr>
        <w:t xml:space="preserve"> of Directors</w:t>
      </w:r>
    </w:p>
    <w:p w:rsidR="005D3499" w:rsidRPr="00A80A17" w:rsidRDefault="005D3499" w:rsidP="00A85311">
      <w:pPr>
        <w:rPr>
          <w:rFonts w:ascii="Segoe UI" w:hAnsi="Segoe UI" w:cs="Segoe UI"/>
          <w:b/>
        </w:rPr>
      </w:pPr>
    </w:p>
    <w:p w:rsidR="005D3499" w:rsidRPr="00A80A17" w:rsidRDefault="00014845">
      <w:pPr>
        <w:jc w:val="center"/>
        <w:rPr>
          <w:rFonts w:ascii="Segoe UI" w:hAnsi="Segoe UI" w:cs="Segoe UI"/>
          <w:b/>
        </w:rPr>
      </w:pPr>
      <w:r w:rsidRPr="00A80A17">
        <w:rPr>
          <w:rFonts w:ascii="Segoe UI" w:hAnsi="Segoe UI" w:cs="Segoe UI"/>
          <w:b/>
        </w:rPr>
        <w:t>23rd</w:t>
      </w:r>
      <w:r w:rsidR="001E12EB" w:rsidRPr="00A80A17">
        <w:rPr>
          <w:rFonts w:ascii="Segoe UI" w:hAnsi="Segoe UI" w:cs="Segoe UI"/>
          <w:b/>
        </w:rPr>
        <w:t xml:space="preserve"> May</w:t>
      </w:r>
      <w:r w:rsidR="004D3F55" w:rsidRPr="00A80A17">
        <w:rPr>
          <w:rFonts w:ascii="Segoe UI" w:hAnsi="Segoe UI" w:cs="Segoe UI"/>
          <w:b/>
        </w:rPr>
        <w:t xml:space="preserve"> </w:t>
      </w:r>
      <w:r w:rsidR="00465CF0" w:rsidRPr="00A80A17">
        <w:rPr>
          <w:rFonts w:ascii="Segoe UI" w:hAnsi="Segoe UI" w:cs="Segoe UI"/>
          <w:b/>
        </w:rPr>
        <w:t>2019</w:t>
      </w:r>
      <w:bookmarkStart w:id="0" w:name="_GoBack"/>
      <w:bookmarkEnd w:id="0"/>
    </w:p>
    <w:p w:rsidR="005D3499" w:rsidRPr="00A80A17" w:rsidRDefault="005D3499">
      <w:pPr>
        <w:jc w:val="center"/>
        <w:rPr>
          <w:rFonts w:ascii="Segoe UI" w:hAnsi="Segoe UI" w:cs="Segoe UI"/>
          <w:b/>
        </w:rPr>
      </w:pPr>
    </w:p>
    <w:p w:rsidR="005D3499" w:rsidRPr="00A80A17" w:rsidRDefault="00922966" w:rsidP="003C136E">
      <w:pPr>
        <w:jc w:val="center"/>
        <w:rPr>
          <w:rFonts w:ascii="Segoe UI" w:hAnsi="Segoe UI" w:cs="Segoe UI"/>
          <w:b/>
        </w:rPr>
      </w:pPr>
      <w:r w:rsidRPr="00A80A17">
        <w:rPr>
          <w:rFonts w:ascii="Segoe UI" w:hAnsi="Segoe UI" w:cs="Segoe UI"/>
          <w:b/>
        </w:rPr>
        <w:t>Monthly Performance Report</w:t>
      </w:r>
      <w:r w:rsidR="000B77F9" w:rsidRPr="00A80A17">
        <w:rPr>
          <w:rFonts w:ascii="Segoe UI" w:hAnsi="Segoe UI" w:cs="Segoe UI"/>
          <w:b/>
        </w:rPr>
        <w:t xml:space="preserve"> – </w:t>
      </w:r>
      <w:r w:rsidR="001E12EB" w:rsidRPr="00A80A17">
        <w:rPr>
          <w:rFonts w:ascii="Segoe UI" w:hAnsi="Segoe UI" w:cs="Segoe UI"/>
          <w:b/>
        </w:rPr>
        <w:t>M1 April</w:t>
      </w:r>
      <w:r w:rsidR="00465CF0" w:rsidRPr="00A80A17">
        <w:rPr>
          <w:rFonts w:ascii="Segoe UI" w:hAnsi="Segoe UI" w:cs="Segoe UI"/>
          <w:b/>
        </w:rPr>
        <w:t xml:space="preserve"> 2019</w:t>
      </w:r>
    </w:p>
    <w:p w:rsidR="005D3499" w:rsidRPr="00A80A17" w:rsidRDefault="005D3499">
      <w:pPr>
        <w:rPr>
          <w:rFonts w:ascii="Segoe UI" w:hAnsi="Segoe UI" w:cs="Segoe UI"/>
          <w:b/>
        </w:rPr>
      </w:pPr>
    </w:p>
    <w:p w:rsidR="00292613" w:rsidRPr="00A80A17" w:rsidRDefault="00292613" w:rsidP="00292613">
      <w:pPr>
        <w:rPr>
          <w:rFonts w:ascii="Segoe UI" w:hAnsi="Segoe UI" w:cs="Segoe UI"/>
          <w:b/>
          <w:u w:val="single"/>
        </w:rPr>
      </w:pPr>
      <w:r w:rsidRPr="00A80A17">
        <w:rPr>
          <w:rFonts w:ascii="Segoe UI" w:hAnsi="Segoe UI" w:cs="Segoe UI"/>
          <w:b/>
          <w:u w:val="single"/>
        </w:rPr>
        <w:t xml:space="preserve">For: </w:t>
      </w:r>
      <w:r w:rsidR="00C36082" w:rsidRPr="00A80A17">
        <w:rPr>
          <w:rFonts w:ascii="Segoe UI" w:hAnsi="Segoe UI" w:cs="Segoe UI"/>
          <w:b/>
          <w:u w:val="single"/>
        </w:rPr>
        <w:t xml:space="preserve">Information </w:t>
      </w:r>
    </w:p>
    <w:p w:rsidR="00292613" w:rsidRPr="00A80A17" w:rsidRDefault="00292613">
      <w:pPr>
        <w:rPr>
          <w:rFonts w:ascii="Segoe UI" w:hAnsi="Segoe UI" w:cs="Segoe UI"/>
          <w:b/>
        </w:rPr>
      </w:pPr>
    </w:p>
    <w:p w:rsidR="007A2CF0" w:rsidRPr="00A80A17" w:rsidRDefault="007A2CF0" w:rsidP="007A2CF0">
      <w:pPr>
        <w:jc w:val="both"/>
        <w:rPr>
          <w:rFonts w:ascii="Segoe UI" w:hAnsi="Segoe UI" w:cs="Segoe UI"/>
          <w:b/>
        </w:rPr>
      </w:pPr>
      <w:r w:rsidRPr="00A80A17">
        <w:rPr>
          <w:rFonts w:ascii="Segoe UI" w:hAnsi="Segoe UI" w:cs="Segoe UI"/>
          <w:b/>
        </w:rPr>
        <w:t>Executive Summary</w:t>
      </w:r>
    </w:p>
    <w:p w:rsidR="007A2CF0" w:rsidRPr="00A80A17" w:rsidRDefault="007A2CF0" w:rsidP="007A2CF0">
      <w:pPr>
        <w:jc w:val="both"/>
        <w:rPr>
          <w:rFonts w:ascii="Segoe UI" w:hAnsi="Segoe UI" w:cs="Segoe UI"/>
          <w:b/>
          <w:sz w:val="22"/>
          <w:szCs w:val="22"/>
        </w:rPr>
      </w:pPr>
    </w:p>
    <w:p w:rsidR="00C83803" w:rsidRPr="00E23391" w:rsidRDefault="00E6088B" w:rsidP="006B6FE8">
      <w:pPr>
        <w:jc w:val="both"/>
        <w:rPr>
          <w:rFonts w:ascii="Segoe UI" w:hAnsi="Segoe UI" w:cs="Segoe UI"/>
          <w:sz w:val="22"/>
          <w:szCs w:val="22"/>
        </w:rPr>
      </w:pPr>
      <w:r w:rsidRPr="00A80A17">
        <w:rPr>
          <w:rFonts w:ascii="Segoe UI" w:hAnsi="Segoe UI" w:cs="Segoe UI"/>
          <w:sz w:val="22"/>
          <w:szCs w:val="22"/>
        </w:rPr>
        <w:t xml:space="preserve">This report </w:t>
      </w:r>
      <w:proofErr w:type="spellStart"/>
      <w:r w:rsidRPr="00A80A17">
        <w:rPr>
          <w:rFonts w:ascii="Segoe UI" w:hAnsi="Segoe UI" w:cs="Segoe UI"/>
          <w:sz w:val="22"/>
          <w:szCs w:val="22"/>
        </w:rPr>
        <w:t>summarises</w:t>
      </w:r>
      <w:proofErr w:type="spellEnd"/>
      <w:r w:rsidRPr="00A80A17">
        <w:rPr>
          <w:rFonts w:ascii="Segoe UI" w:hAnsi="Segoe UI" w:cs="Segoe UI"/>
          <w:sz w:val="22"/>
          <w:szCs w:val="22"/>
        </w:rPr>
        <w:t xml:space="preserve"> and provides assurance against the Trust’s national and locally contracted </w:t>
      </w:r>
      <w:r w:rsidR="00C57113" w:rsidRPr="00A80A17">
        <w:rPr>
          <w:rFonts w:ascii="Segoe UI" w:hAnsi="Segoe UI" w:cs="Segoe UI"/>
          <w:sz w:val="22"/>
          <w:szCs w:val="22"/>
        </w:rPr>
        <w:t>key performance indicators (KPI</w:t>
      </w:r>
      <w:r w:rsidRPr="00A80A17">
        <w:rPr>
          <w:rFonts w:ascii="Segoe UI" w:hAnsi="Segoe UI" w:cs="Segoe UI"/>
          <w:sz w:val="22"/>
          <w:szCs w:val="22"/>
        </w:rPr>
        <w:t xml:space="preserve">s) for Month </w:t>
      </w:r>
      <w:r w:rsidR="007B4CA2" w:rsidRPr="00A80A17">
        <w:rPr>
          <w:rFonts w:ascii="Segoe UI" w:hAnsi="Segoe UI" w:cs="Segoe UI"/>
          <w:sz w:val="22"/>
          <w:szCs w:val="22"/>
        </w:rPr>
        <w:t>1</w:t>
      </w:r>
      <w:r w:rsidRPr="00A80A17">
        <w:rPr>
          <w:rFonts w:ascii="Segoe UI" w:hAnsi="Segoe UI" w:cs="Segoe UI"/>
          <w:sz w:val="22"/>
          <w:szCs w:val="22"/>
        </w:rPr>
        <w:t xml:space="preserve"> (</w:t>
      </w:r>
      <w:r w:rsidR="007B4CA2" w:rsidRPr="00A80A17">
        <w:rPr>
          <w:rFonts w:ascii="Segoe UI" w:hAnsi="Segoe UI" w:cs="Segoe UI"/>
          <w:sz w:val="22"/>
          <w:szCs w:val="22"/>
        </w:rPr>
        <w:t>April</w:t>
      </w:r>
      <w:r w:rsidR="00AF75DA" w:rsidRPr="00A80A17">
        <w:rPr>
          <w:rFonts w:ascii="Segoe UI" w:hAnsi="Segoe UI" w:cs="Segoe UI"/>
          <w:sz w:val="22"/>
          <w:szCs w:val="22"/>
        </w:rPr>
        <w:t>)</w:t>
      </w:r>
      <w:r w:rsidR="00731303" w:rsidRPr="00A80A17">
        <w:rPr>
          <w:rFonts w:ascii="Segoe UI" w:hAnsi="Segoe UI" w:cs="Segoe UI"/>
          <w:sz w:val="22"/>
          <w:szCs w:val="22"/>
        </w:rPr>
        <w:t xml:space="preserve"> 2019</w:t>
      </w:r>
      <w:r w:rsidRPr="00A80A17">
        <w:rPr>
          <w:rFonts w:ascii="Segoe UI" w:hAnsi="Segoe UI" w:cs="Segoe UI"/>
          <w:sz w:val="22"/>
          <w:szCs w:val="22"/>
        </w:rPr>
        <w:t xml:space="preserve">.  Overall, the Trust </w:t>
      </w:r>
      <w:r w:rsidRPr="00E23391">
        <w:rPr>
          <w:rFonts w:ascii="Segoe UI" w:hAnsi="Segoe UI" w:cs="Segoe UI"/>
          <w:sz w:val="22"/>
          <w:szCs w:val="22"/>
        </w:rPr>
        <w:t xml:space="preserve">achieved </w:t>
      </w:r>
      <w:r w:rsidR="00E23391" w:rsidRPr="00E23391">
        <w:rPr>
          <w:rFonts w:ascii="Segoe UI" w:hAnsi="Segoe UI" w:cs="Segoe UI"/>
          <w:sz w:val="22"/>
          <w:szCs w:val="22"/>
        </w:rPr>
        <w:t>280 out of 360 targeted indicators in April (78%)</w:t>
      </w:r>
    </w:p>
    <w:p w:rsidR="00AF75DA" w:rsidRPr="00A80A17" w:rsidRDefault="00AF75DA" w:rsidP="006B6FE8">
      <w:pPr>
        <w:jc w:val="both"/>
        <w:rPr>
          <w:rFonts w:ascii="Segoe UI" w:hAnsi="Segoe UI" w:cs="Segoe UI"/>
          <w:sz w:val="22"/>
          <w:szCs w:val="22"/>
        </w:rPr>
      </w:pPr>
    </w:p>
    <w:p w:rsidR="00274738" w:rsidRPr="00A80A17" w:rsidRDefault="00C57113" w:rsidP="00C83803">
      <w:pPr>
        <w:jc w:val="both"/>
        <w:rPr>
          <w:rFonts w:ascii="Segoe UI" w:hAnsi="Segoe UI" w:cs="Segoe UI"/>
          <w:b/>
          <w:sz w:val="22"/>
          <w:szCs w:val="22"/>
        </w:rPr>
      </w:pPr>
      <w:r w:rsidRPr="00A80A17">
        <w:rPr>
          <w:rFonts w:ascii="Segoe UI" w:hAnsi="Segoe UI" w:cs="Segoe UI"/>
          <w:b/>
        </w:rPr>
        <w:t>Performance Trend</w:t>
      </w:r>
      <w:r w:rsidR="00C83803" w:rsidRPr="00A80A17">
        <w:rPr>
          <w:rFonts w:ascii="Segoe UI" w:hAnsi="Segoe UI" w:cs="Segoe UI"/>
          <w:b/>
          <w:sz w:val="22"/>
          <w:szCs w:val="22"/>
        </w:rPr>
        <w:t>:</w:t>
      </w:r>
    </w:p>
    <w:p w:rsidR="00AF75DA" w:rsidRPr="00A80A17" w:rsidRDefault="00AF75DA" w:rsidP="00C83803">
      <w:pPr>
        <w:jc w:val="both"/>
        <w:rPr>
          <w:rFonts w:ascii="Segoe UI" w:hAnsi="Segoe UI" w:cs="Segoe UI"/>
          <w:b/>
          <w:sz w:val="22"/>
          <w:szCs w:val="22"/>
        </w:rPr>
      </w:pPr>
    </w:p>
    <w:p w:rsidR="00274738" w:rsidRPr="00A80A17" w:rsidRDefault="00E23391" w:rsidP="00274738">
      <w:pPr>
        <w:jc w:val="center"/>
        <w:rPr>
          <w:rFonts w:ascii="Segoe UI" w:hAnsi="Segoe UI" w:cs="Segoe UI"/>
          <w:b/>
        </w:rPr>
      </w:pPr>
      <w:r>
        <w:rPr>
          <w:noProof/>
        </w:rPr>
        <w:drawing>
          <wp:inline distT="0" distB="0" distL="0" distR="0" wp14:anchorId="7672A337" wp14:editId="563076A7">
            <wp:extent cx="3521226" cy="2435677"/>
            <wp:effectExtent l="0" t="0" r="3175" b="3175"/>
            <wp:docPr id="5" name="Chart 5">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3803" w:rsidRPr="00A80A17" w:rsidRDefault="00C83803" w:rsidP="006B6FE8">
      <w:pPr>
        <w:jc w:val="both"/>
        <w:rPr>
          <w:rFonts w:ascii="Segoe UI" w:hAnsi="Segoe UI" w:cs="Segoe UI"/>
        </w:rPr>
      </w:pPr>
    </w:p>
    <w:p w:rsidR="00FD74D2" w:rsidRPr="00A80A17" w:rsidRDefault="00FD74D2" w:rsidP="00294343">
      <w:pPr>
        <w:jc w:val="center"/>
        <w:rPr>
          <w:rFonts w:ascii="Segoe UI" w:hAnsi="Segoe UI" w:cs="Segoe UI"/>
          <w:noProof/>
          <w:lang w:val="en-GB" w:eastAsia="en-GB"/>
        </w:rPr>
      </w:pPr>
    </w:p>
    <w:p w:rsidR="00FD74D2" w:rsidRPr="00A80A17" w:rsidRDefault="00E23391" w:rsidP="00294343">
      <w:pPr>
        <w:jc w:val="center"/>
        <w:rPr>
          <w:rFonts w:ascii="Segoe UI" w:hAnsi="Segoe UI" w:cs="Segoe UI"/>
          <w:noProof/>
          <w:lang w:val="en-GB" w:eastAsia="en-GB"/>
        </w:rPr>
      </w:pPr>
      <w:r>
        <w:rPr>
          <w:noProof/>
        </w:rPr>
        <w:lastRenderedPageBreak/>
        <w:drawing>
          <wp:inline distT="0" distB="0" distL="0" distR="0" wp14:anchorId="2BEFFF25" wp14:editId="1ABBAC3D">
            <wp:extent cx="3753492" cy="2435678"/>
            <wp:effectExtent l="0" t="0" r="18415" b="3175"/>
            <wp:docPr id="7" name="Chart 7">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09C4" w:rsidRPr="00A80A17" w:rsidRDefault="005E09C4" w:rsidP="00294343">
      <w:pPr>
        <w:jc w:val="center"/>
        <w:rPr>
          <w:rFonts w:ascii="Segoe UI" w:hAnsi="Segoe UI" w:cs="Segoe UI"/>
        </w:rPr>
      </w:pPr>
    </w:p>
    <w:p w:rsidR="003C19D3" w:rsidRPr="00A80A17" w:rsidRDefault="00C57113" w:rsidP="006B6FE8">
      <w:pPr>
        <w:jc w:val="both"/>
        <w:rPr>
          <w:rFonts w:ascii="Segoe UI" w:hAnsi="Segoe UI" w:cs="Segoe UI"/>
          <w:sz w:val="22"/>
          <w:szCs w:val="22"/>
        </w:rPr>
      </w:pPr>
      <w:r w:rsidRPr="00E23391">
        <w:rPr>
          <w:rFonts w:ascii="Segoe UI" w:hAnsi="Segoe UI" w:cs="Segoe UI"/>
          <w:sz w:val="22"/>
          <w:szCs w:val="22"/>
        </w:rPr>
        <w:t xml:space="preserve">The number of </w:t>
      </w:r>
      <w:r w:rsidR="00731303" w:rsidRPr="00E23391">
        <w:rPr>
          <w:rFonts w:ascii="Segoe UI" w:hAnsi="Segoe UI" w:cs="Segoe UI"/>
          <w:sz w:val="22"/>
          <w:szCs w:val="22"/>
        </w:rPr>
        <w:t xml:space="preserve">locally </w:t>
      </w:r>
      <w:r w:rsidR="00731303" w:rsidRPr="00E23391">
        <w:rPr>
          <w:rFonts w:ascii="Segoe UI" w:hAnsi="Segoe UI" w:cs="Segoe UI"/>
          <w:b/>
          <w:sz w:val="22"/>
          <w:szCs w:val="22"/>
        </w:rPr>
        <w:t>contracted</w:t>
      </w:r>
      <w:r w:rsidR="00731303" w:rsidRPr="00E23391">
        <w:rPr>
          <w:rFonts w:ascii="Segoe UI" w:hAnsi="Segoe UI" w:cs="Segoe UI"/>
          <w:sz w:val="22"/>
          <w:szCs w:val="22"/>
        </w:rPr>
        <w:t xml:space="preserve"> </w:t>
      </w:r>
      <w:r w:rsidRPr="00E23391">
        <w:rPr>
          <w:rFonts w:ascii="Segoe UI" w:hAnsi="Segoe UI" w:cs="Segoe UI"/>
          <w:sz w:val="22"/>
          <w:szCs w:val="22"/>
        </w:rPr>
        <w:t xml:space="preserve">indicators </w:t>
      </w:r>
      <w:r w:rsidR="00E23391" w:rsidRPr="00E23391">
        <w:rPr>
          <w:rFonts w:ascii="Segoe UI" w:hAnsi="Segoe UI" w:cs="Segoe UI"/>
          <w:sz w:val="22"/>
          <w:szCs w:val="22"/>
        </w:rPr>
        <w:t xml:space="preserve">(excluding JMG) </w:t>
      </w:r>
      <w:r w:rsidRPr="00E23391">
        <w:rPr>
          <w:rFonts w:ascii="Segoe UI" w:hAnsi="Segoe UI" w:cs="Segoe UI"/>
          <w:sz w:val="22"/>
          <w:szCs w:val="22"/>
        </w:rPr>
        <w:t>varie</w:t>
      </w:r>
      <w:r w:rsidR="00F266F2" w:rsidRPr="00E23391">
        <w:rPr>
          <w:rFonts w:ascii="Segoe UI" w:hAnsi="Segoe UI" w:cs="Segoe UI"/>
          <w:sz w:val="22"/>
          <w:szCs w:val="22"/>
        </w:rPr>
        <w:t>d</w:t>
      </w:r>
      <w:r w:rsidRPr="00E23391">
        <w:rPr>
          <w:rFonts w:ascii="Segoe UI" w:hAnsi="Segoe UI" w:cs="Segoe UI"/>
          <w:sz w:val="22"/>
          <w:szCs w:val="22"/>
        </w:rPr>
        <w:t xml:space="preserve"> throughout the year as is illustrated in the graph above</w:t>
      </w:r>
      <w:r w:rsidR="000104E4" w:rsidRPr="00E23391">
        <w:rPr>
          <w:rFonts w:ascii="Segoe UI" w:hAnsi="Segoe UI" w:cs="Segoe UI"/>
          <w:sz w:val="22"/>
          <w:szCs w:val="22"/>
        </w:rPr>
        <w:t xml:space="preserve">.  </w:t>
      </w:r>
      <w:r w:rsidRPr="00E23391">
        <w:rPr>
          <w:rFonts w:ascii="Segoe UI" w:hAnsi="Segoe UI" w:cs="Segoe UI"/>
          <w:sz w:val="22"/>
          <w:szCs w:val="22"/>
        </w:rPr>
        <w:t>This is due to some indicators only being reportable on a quarterly basis.</w:t>
      </w:r>
      <w:r w:rsidR="00731303" w:rsidRPr="00E23391">
        <w:rPr>
          <w:rFonts w:ascii="Segoe UI" w:hAnsi="Segoe UI" w:cs="Segoe UI"/>
          <w:sz w:val="22"/>
          <w:szCs w:val="22"/>
        </w:rPr>
        <w:t xml:space="preserve">  Of the </w:t>
      </w:r>
      <w:r w:rsidR="00E23391" w:rsidRPr="00E23391">
        <w:rPr>
          <w:rFonts w:ascii="Segoe UI" w:hAnsi="Segoe UI" w:cs="Segoe UI"/>
          <w:sz w:val="22"/>
          <w:szCs w:val="22"/>
        </w:rPr>
        <w:t>7</w:t>
      </w:r>
      <w:r w:rsidR="00E87D6E" w:rsidRPr="00E23391">
        <w:rPr>
          <w:rFonts w:ascii="Segoe UI" w:hAnsi="Segoe UI" w:cs="Segoe UI"/>
          <w:sz w:val="22"/>
          <w:szCs w:val="22"/>
        </w:rPr>
        <w:t>5</w:t>
      </w:r>
      <w:r w:rsidR="00731303" w:rsidRPr="00E23391">
        <w:rPr>
          <w:rFonts w:ascii="Segoe UI" w:hAnsi="Segoe UI" w:cs="Segoe UI"/>
          <w:sz w:val="22"/>
          <w:szCs w:val="22"/>
        </w:rPr>
        <w:t xml:space="preserve"> indicators not met</w:t>
      </w:r>
      <w:r w:rsidR="00F266F2" w:rsidRPr="00E23391">
        <w:rPr>
          <w:rFonts w:ascii="Segoe UI" w:hAnsi="Segoe UI" w:cs="Segoe UI"/>
          <w:sz w:val="22"/>
          <w:szCs w:val="22"/>
        </w:rPr>
        <w:t xml:space="preserve"> in </w:t>
      </w:r>
      <w:proofErr w:type="gramStart"/>
      <w:r w:rsidR="00E23391" w:rsidRPr="00E23391">
        <w:rPr>
          <w:rFonts w:ascii="Segoe UI" w:hAnsi="Segoe UI" w:cs="Segoe UI"/>
          <w:sz w:val="22"/>
          <w:szCs w:val="22"/>
        </w:rPr>
        <w:t>April</w:t>
      </w:r>
      <w:r w:rsidR="00731303" w:rsidRPr="00E23391">
        <w:rPr>
          <w:rFonts w:ascii="Segoe UI" w:hAnsi="Segoe UI" w:cs="Segoe UI"/>
          <w:sz w:val="22"/>
          <w:szCs w:val="22"/>
        </w:rPr>
        <w:t>,</w:t>
      </w:r>
      <w:proofErr w:type="gramEnd"/>
      <w:r w:rsidR="00771A63" w:rsidRPr="00E23391">
        <w:rPr>
          <w:rFonts w:ascii="Segoe UI" w:hAnsi="Segoe UI" w:cs="Segoe UI"/>
          <w:sz w:val="22"/>
          <w:szCs w:val="22"/>
        </w:rPr>
        <w:t xml:space="preserve"> </w:t>
      </w:r>
      <w:r w:rsidR="00E87D6E" w:rsidRPr="00E23391">
        <w:rPr>
          <w:rFonts w:ascii="Segoe UI" w:hAnsi="Segoe UI" w:cs="Segoe UI"/>
          <w:sz w:val="22"/>
          <w:szCs w:val="22"/>
        </w:rPr>
        <w:t>4</w:t>
      </w:r>
      <w:r w:rsidR="00E23391" w:rsidRPr="00E23391">
        <w:rPr>
          <w:rFonts w:ascii="Segoe UI" w:hAnsi="Segoe UI" w:cs="Segoe UI"/>
          <w:sz w:val="22"/>
          <w:szCs w:val="22"/>
        </w:rPr>
        <w:t>7</w:t>
      </w:r>
      <w:r w:rsidR="00731303" w:rsidRPr="00E23391">
        <w:rPr>
          <w:rFonts w:ascii="Segoe UI" w:hAnsi="Segoe UI" w:cs="Segoe UI"/>
          <w:sz w:val="22"/>
          <w:szCs w:val="22"/>
        </w:rPr>
        <w:t xml:space="preserve"> were more than 10% away from the commissioner defined target</w:t>
      </w:r>
      <w:r w:rsidR="003C136E" w:rsidRPr="00E23391">
        <w:rPr>
          <w:rFonts w:ascii="Segoe UI" w:hAnsi="Segoe UI" w:cs="Segoe UI"/>
          <w:sz w:val="22"/>
          <w:szCs w:val="22"/>
        </w:rPr>
        <w:t>s</w:t>
      </w:r>
      <w:r w:rsidR="00731303" w:rsidRPr="00E23391">
        <w:rPr>
          <w:rFonts w:ascii="Segoe UI" w:hAnsi="Segoe UI" w:cs="Segoe UI"/>
          <w:sz w:val="22"/>
          <w:szCs w:val="22"/>
        </w:rPr>
        <w:t xml:space="preserve"> and </w:t>
      </w:r>
      <w:r w:rsidR="00E87D6E" w:rsidRPr="00E23391">
        <w:rPr>
          <w:rFonts w:ascii="Segoe UI" w:hAnsi="Segoe UI" w:cs="Segoe UI"/>
          <w:sz w:val="22"/>
          <w:szCs w:val="22"/>
        </w:rPr>
        <w:t>workforce shortages</w:t>
      </w:r>
      <w:r w:rsidR="003C136E" w:rsidRPr="00E23391">
        <w:rPr>
          <w:rFonts w:ascii="Segoe UI" w:hAnsi="Segoe UI" w:cs="Segoe UI"/>
          <w:sz w:val="22"/>
          <w:szCs w:val="22"/>
        </w:rPr>
        <w:t xml:space="preserve"> continue to have a major impact on service delivery</w:t>
      </w:r>
      <w:r w:rsidR="00731303" w:rsidRPr="00E23391">
        <w:rPr>
          <w:rFonts w:ascii="Segoe UI" w:hAnsi="Segoe UI" w:cs="Segoe UI"/>
          <w:sz w:val="22"/>
          <w:szCs w:val="22"/>
        </w:rPr>
        <w:t>.</w:t>
      </w:r>
    </w:p>
    <w:p w:rsidR="003C19D3" w:rsidRPr="00A80A17" w:rsidRDefault="003C19D3">
      <w:pPr>
        <w:rPr>
          <w:rFonts w:ascii="Segoe UI" w:hAnsi="Segoe UI" w:cs="Segoe UI"/>
          <w:sz w:val="22"/>
          <w:szCs w:val="22"/>
        </w:rPr>
      </w:pPr>
    </w:p>
    <w:p w:rsidR="003C19D3" w:rsidRPr="00E23391" w:rsidRDefault="003C19D3">
      <w:pPr>
        <w:rPr>
          <w:rFonts w:ascii="Segoe UI" w:hAnsi="Segoe UI" w:cs="Segoe UI"/>
          <w:sz w:val="22"/>
          <w:szCs w:val="22"/>
        </w:rPr>
      </w:pPr>
      <w:r w:rsidRPr="00E23391">
        <w:rPr>
          <w:rFonts w:ascii="Segoe UI" w:hAnsi="Segoe UI" w:cs="Segoe UI"/>
          <w:b/>
        </w:rPr>
        <w:t>Areas to highlight to the Board from an overall Trust perspective</w:t>
      </w:r>
      <w:r w:rsidRPr="00E23391">
        <w:rPr>
          <w:rFonts w:ascii="Segoe UI" w:hAnsi="Segoe UI" w:cs="Segoe UI"/>
          <w:sz w:val="22"/>
          <w:szCs w:val="22"/>
        </w:rPr>
        <w:t>:</w:t>
      </w:r>
    </w:p>
    <w:p w:rsidR="003C19D3" w:rsidRPr="00E23391" w:rsidRDefault="003C19D3">
      <w:pPr>
        <w:rPr>
          <w:rFonts w:ascii="Segoe UI" w:hAnsi="Segoe UI" w:cs="Segoe UI"/>
          <w:sz w:val="22"/>
          <w:szCs w:val="22"/>
        </w:rPr>
      </w:pPr>
    </w:p>
    <w:p w:rsidR="00036D9C" w:rsidRPr="00E23391" w:rsidRDefault="0037138A" w:rsidP="00C57113">
      <w:pPr>
        <w:ind w:left="-993" w:firstLine="993"/>
        <w:jc w:val="both"/>
        <w:rPr>
          <w:rFonts w:ascii="Segoe UI" w:hAnsi="Segoe UI" w:cs="Segoe UI"/>
          <w:b/>
          <w:sz w:val="22"/>
          <w:szCs w:val="22"/>
        </w:rPr>
      </w:pPr>
      <w:r w:rsidRPr="00E23391">
        <w:rPr>
          <w:rFonts w:ascii="Segoe UI" w:hAnsi="Segoe UI" w:cs="Segoe UI"/>
          <w:b/>
          <w:sz w:val="22"/>
          <w:szCs w:val="22"/>
          <w:u w:val="single"/>
        </w:rPr>
        <w:t>National Position</w:t>
      </w:r>
      <w:r w:rsidRPr="00E23391">
        <w:rPr>
          <w:rFonts w:ascii="Segoe UI" w:hAnsi="Segoe UI" w:cs="Segoe UI"/>
          <w:b/>
          <w:sz w:val="22"/>
          <w:szCs w:val="22"/>
        </w:rPr>
        <w:t>:</w:t>
      </w:r>
    </w:p>
    <w:p w:rsidR="00C24BAC" w:rsidRPr="00E23391" w:rsidRDefault="00C24BAC" w:rsidP="007A2CF0">
      <w:pPr>
        <w:jc w:val="both"/>
        <w:rPr>
          <w:rFonts w:ascii="Segoe UI" w:hAnsi="Segoe UI" w:cs="Segoe UI"/>
          <w:b/>
          <w:sz w:val="22"/>
          <w:szCs w:val="22"/>
        </w:rPr>
      </w:pPr>
    </w:p>
    <w:p w:rsidR="00AF75DA" w:rsidRPr="00E23391" w:rsidRDefault="009804CA" w:rsidP="009804CA">
      <w:pPr>
        <w:jc w:val="both"/>
        <w:rPr>
          <w:rFonts w:ascii="Segoe UI" w:hAnsi="Segoe UI" w:cs="Segoe UI"/>
          <w:sz w:val="22"/>
          <w:szCs w:val="22"/>
        </w:rPr>
      </w:pPr>
      <w:r w:rsidRPr="00E23391">
        <w:rPr>
          <w:rFonts w:ascii="Segoe UI" w:hAnsi="Segoe UI" w:cs="Segoe UI"/>
          <w:sz w:val="22"/>
          <w:szCs w:val="22"/>
        </w:rPr>
        <w:t xml:space="preserve">The table </w:t>
      </w:r>
      <w:r w:rsidR="00AF75DA" w:rsidRPr="00E23391">
        <w:rPr>
          <w:rFonts w:ascii="Segoe UI" w:hAnsi="Segoe UI" w:cs="Segoe UI"/>
          <w:sz w:val="22"/>
          <w:szCs w:val="22"/>
        </w:rPr>
        <w:t>overleaf</w:t>
      </w:r>
      <w:r w:rsidRPr="00E23391">
        <w:rPr>
          <w:rFonts w:ascii="Segoe UI" w:hAnsi="Segoe UI" w:cs="Segoe UI"/>
          <w:sz w:val="22"/>
          <w:szCs w:val="22"/>
        </w:rPr>
        <w:t xml:space="preserve"> shows how the Trust </w:t>
      </w:r>
      <w:r w:rsidR="00F266F2" w:rsidRPr="00E23391">
        <w:rPr>
          <w:rFonts w:ascii="Segoe UI" w:hAnsi="Segoe UI" w:cs="Segoe UI"/>
          <w:sz w:val="22"/>
          <w:szCs w:val="22"/>
        </w:rPr>
        <w:t>is performing</w:t>
      </w:r>
      <w:r w:rsidRPr="00E23391">
        <w:rPr>
          <w:rFonts w:ascii="Segoe UI" w:hAnsi="Segoe UI" w:cs="Segoe UI"/>
          <w:sz w:val="22"/>
          <w:szCs w:val="22"/>
        </w:rPr>
        <w:t xml:space="preserve"> against the </w:t>
      </w:r>
      <w:r w:rsidRPr="00E23391">
        <w:rPr>
          <w:rFonts w:ascii="Segoe UI" w:hAnsi="Segoe UI" w:cs="Segoe UI"/>
          <w:b/>
          <w:sz w:val="22"/>
          <w:szCs w:val="22"/>
        </w:rPr>
        <w:t>operational performance</w:t>
      </w:r>
      <w:r w:rsidRPr="00E23391">
        <w:rPr>
          <w:rFonts w:ascii="Segoe UI" w:hAnsi="Segoe UI" w:cs="Segoe UI"/>
          <w:sz w:val="22"/>
          <w:szCs w:val="22"/>
        </w:rPr>
        <w:t xml:space="preserve"> indicators within the NHSI Single Oversight Framework (as at the latest available position) and how performance also compares to the national average.  </w:t>
      </w:r>
    </w:p>
    <w:p w:rsidR="00105532" w:rsidRPr="00E23391" w:rsidRDefault="00105532" w:rsidP="00105532">
      <w:pPr>
        <w:jc w:val="both"/>
        <w:rPr>
          <w:rFonts w:ascii="Segoe UI" w:hAnsi="Segoe UI" w:cs="Segoe UI"/>
          <w:sz w:val="22"/>
          <w:szCs w:val="22"/>
        </w:rPr>
      </w:pPr>
    </w:p>
    <w:p w:rsidR="00CA68FE" w:rsidRPr="00E23391" w:rsidRDefault="00105532" w:rsidP="009804CA">
      <w:pPr>
        <w:jc w:val="both"/>
        <w:rPr>
          <w:rFonts w:ascii="Segoe UI" w:hAnsi="Segoe UI" w:cs="Segoe UI"/>
          <w:sz w:val="22"/>
          <w:szCs w:val="22"/>
        </w:rPr>
      </w:pPr>
      <w:r w:rsidRPr="00E23391">
        <w:rPr>
          <w:rFonts w:ascii="Segoe UI" w:hAnsi="Segoe UI" w:cs="Segoe UI"/>
          <w:sz w:val="22"/>
          <w:szCs w:val="22"/>
        </w:rPr>
        <w:t>The Trust is achieving all indicators with the exception of Out of Area Placements (OAPs) and MIU (</w:t>
      </w:r>
      <w:proofErr w:type="gramStart"/>
      <w:r w:rsidRPr="00E23391">
        <w:rPr>
          <w:rFonts w:ascii="Segoe UI" w:hAnsi="Segoe UI" w:cs="Segoe UI"/>
          <w:sz w:val="22"/>
          <w:szCs w:val="22"/>
        </w:rPr>
        <w:t>4 hour</w:t>
      </w:r>
      <w:proofErr w:type="gramEnd"/>
      <w:r w:rsidRPr="00E23391">
        <w:rPr>
          <w:rFonts w:ascii="Segoe UI" w:hAnsi="Segoe UI" w:cs="Segoe UI"/>
          <w:sz w:val="22"/>
          <w:szCs w:val="22"/>
        </w:rPr>
        <w:t xml:space="preserve"> performance).  MIU performance was 92.8% for April, a small decrease on the previous months figure. The rolling 12 month’s performance, however, is above the 95% target at 96.3%.  OAPs continue to present a challenge to the Trust across both Oxfordshire and Buckinghamshire, however, bed days lost have continued to reduce to their lowest levels of 163 lost bed days in April compared to 398 in October 2018.</w:t>
      </w:r>
      <w:r w:rsidR="00B63BFE" w:rsidRPr="00E23391">
        <w:rPr>
          <w:rFonts w:ascii="Segoe UI" w:hAnsi="Segoe UI" w:cs="Segoe UI"/>
          <w:sz w:val="22"/>
          <w:szCs w:val="22"/>
        </w:rPr>
        <w:t xml:space="preserve"> </w:t>
      </w:r>
    </w:p>
    <w:p w:rsidR="00092197" w:rsidRPr="00E23391" w:rsidRDefault="00092197" w:rsidP="009804CA">
      <w:pPr>
        <w:jc w:val="both"/>
        <w:rPr>
          <w:rFonts w:ascii="Segoe UI" w:hAnsi="Segoe UI" w:cs="Segoe UI"/>
          <w:sz w:val="22"/>
          <w:szCs w:val="22"/>
        </w:rPr>
      </w:pPr>
    </w:p>
    <w:p w:rsidR="00274738" w:rsidRPr="00E23391" w:rsidRDefault="00C97745" w:rsidP="00C97745">
      <w:pPr>
        <w:ind w:left="-993"/>
        <w:rPr>
          <w:rFonts w:ascii="Segoe UI" w:hAnsi="Segoe UI" w:cs="Segoe UI"/>
        </w:rPr>
      </w:pPr>
      <w:r w:rsidRPr="00E23391">
        <w:rPr>
          <w:rFonts w:ascii="Segoe UI" w:hAnsi="Segoe UI" w:cs="Segoe UI"/>
          <w:noProof/>
        </w:rPr>
        <w:lastRenderedPageBreak/>
        <w:drawing>
          <wp:inline distT="0" distB="0" distL="0" distR="0">
            <wp:extent cx="6891010" cy="35528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6197" cy="3560655"/>
                    </a:xfrm>
                    <a:prstGeom prst="rect">
                      <a:avLst/>
                    </a:prstGeom>
                    <a:noFill/>
                    <a:ln>
                      <a:noFill/>
                    </a:ln>
                  </pic:spPr>
                </pic:pic>
              </a:graphicData>
            </a:graphic>
          </wp:inline>
        </w:drawing>
      </w:r>
    </w:p>
    <w:p w:rsidR="00274738" w:rsidRPr="00E23391" w:rsidRDefault="00274738" w:rsidP="009804CA">
      <w:pPr>
        <w:jc w:val="both"/>
        <w:rPr>
          <w:rFonts w:ascii="Segoe UI" w:hAnsi="Segoe UI" w:cs="Segoe UI"/>
        </w:rPr>
      </w:pPr>
    </w:p>
    <w:p w:rsidR="002D4CCA" w:rsidRPr="00E23391" w:rsidRDefault="002D4CCA" w:rsidP="009804CA">
      <w:pPr>
        <w:jc w:val="both"/>
        <w:rPr>
          <w:rFonts w:ascii="Segoe UI" w:hAnsi="Segoe UI" w:cs="Segoe UI"/>
        </w:rPr>
      </w:pPr>
    </w:p>
    <w:p w:rsidR="009804CA" w:rsidRPr="00E23391" w:rsidRDefault="009804CA" w:rsidP="006662C3">
      <w:pPr>
        <w:jc w:val="both"/>
        <w:rPr>
          <w:rFonts w:ascii="Segoe UI" w:hAnsi="Segoe UI" w:cs="Segoe UI"/>
          <w:b/>
        </w:rPr>
      </w:pPr>
      <w:r w:rsidRPr="00E23391">
        <w:rPr>
          <w:rFonts w:ascii="Segoe UI" w:hAnsi="Segoe UI" w:cs="Segoe UI"/>
          <w:b/>
          <w:u w:val="single"/>
        </w:rPr>
        <w:t>Local Position</w:t>
      </w:r>
      <w:r w:rsidRPr="00E23391">
        <w:rPr>
          <w:rFonts w:ascii="Segoe UI" w:hAnsi="Segoe UI" w:cs="Segoe UI"/>
          <w:b/>
        </w:rPr>
        <w:t xml:space="preserve">: </w:t>
      </w:r>
    </w:p>
    <w:p w:rsidR="009804CA" w:rsidRPr="00E23391" w:rsidRDefault="009804CA" w:rsidP="009804CA">
      <w:pPr>
        <w:ind w:left="-993" w:firstLine="993"/>
        <w:jc w:val="both"/>
        <w:rPr>
          <w:rFonts w:ascii="Segoe UI" w:hAnsi="Segoe UI" w:cs="Segoe UI"/>
          <w:b/>
          <w:sz w:val="22"/>
          <w:szCs w:val="22"/>
        </w:rPr>
      </w:pPr>
    </w:p>
    <w:p w:rsidR="009804CA" w:rsidRPr="00E23391" w:rsidRDefault="009804CA" w:rsidP="009804CA">
      <w:pPr>
        <w:ind w:left="-993" w:firstLine="993"/>
        <w:jc w:val="both"/>
        <w:rPr>
          <w:rFonts w:ascii="Segoe UI" w:hAnsi="Segoe UI" w:cs="Segoe UI"/>
          <w:b/>
          <w:sz w:val="22"/>
          <w:szCs w:val="22"/>
        </w:rPr>
      </w:pPr>
      <w:r w:rsidRPr="00E23391">
        <w:rPr>
          <w:rFonts w:ascii="Segoe UI" w:hAnsi="Segoe UI" w:cs="Segoe UI"/>
          <w:b/>
          <w:sz w:val="22"/>
          <w:szCs w:val="22"/>
        </w:rPr>
        <w:t>Patient Access and Patient Flow</w:t>
      </w:r>
    </w:p>
    <w:p w:rsidR="009804CA" w:rsidRPr="00E23391" w:rsidRDefault="009804CA" w:rsidP="009804CA">
      <w:pPr>
        <w:ind w:left="-993"/>
        <w:jc w:val="both"/>
        <w:rPr>
          <w:rFonts w:ascii="Segoe UI" w:hAnsi="Segoe UI" w:cs="Segoe UI"/>
          <w:b/>
          <w:sz w:val="22"/>
          <w:szCs w:val="22"/>
        </w:rPr>
      </w:pPr>
    </w:p>
    <w:p w:rsidR="009804CA" w:rsidRPr="00E23391" w:rsidRDefault="009804CA" w:rsidP="009804CA">
      <w:pPr>
        <w:jc w:val="both"/>
        <w:rPr>
          <w:rFonts w:ascii="Segoe UI" w:hAnsi="Segoe UI" w:cs="Segoe UI"/>
          <w:sz w:val="22"/>
          <w:szCs w:val="22"/>
        </w:rPr>
      </w:pPr>
      <w:r w:rsidRPr="00E23391">
        <w:rPr>
          <w:rFonts w:ascii="Segoe UI" w:hAnsi="Segoe UI" w:cs="Segoe UI"/>
          <w:sz w:val="22"/>
          <w:szCs w:val="22"/>
        </w:rPr>
        <w:t>The table below</w:t>
      </w:r>
      <w:r w:rsidR="00897AC8" w:rsidRPr="00E23391">
        <w:rPr>
          <w:rFonts w:ascii="Segoe UI" w:hAnsi="Segoe UI" w:cs="Segoe UI"/>
          <w:sz w:val="22"/>
          <w:szCs w:val="22"/>
        </w:rPr>
        <w:t xml:space="preserve"> </w:t>
      </w:r>
      <w:r w:rsidRPr="00E23391">
        <w:rPr>
          <w:rFonts w:ascii="Segoe UI" w:hAnsi="Segoe UI" w:cs="Segoe UI"/>
          <w:sz w:val="22"/>
          <w:szCs w:val="22"/>
        </w:rPr>
        <w:t>shows performance in relation to the Trust’s core mental health community services concerning demand, patient access and patient flow.  Key headlines;</w:t>
      </w:r>
    </w:p>
    <w:p w:rsidR="009804CA" w:rsidRPr="00E23391" w:rsidRDefault="009804CA" w:rsidP="009804CA">
      <w:pPr>
        <w:jc w:val="both"/>
        <w:rPr>
          <w:rFonts w:ascii="Segoe UI" w:hAnsi="Segoe UI" w:cs="Segoe UI"/>
          <w:sz w:val="22"/>
          <w:szCs w:val="22"/>
        </w:rPr>
      </w:pPr>
    </w:p>
    <w:p w:rsidR="009804CA" w:rsidRPr="00E23391" w:rsidRDefault="009804CA" w:rsidP="009804CA">
      <w:pPr>
        <w:pStyle w:val="ListParagraph"/>
        <w:numPr>
          <w:ilvl w:val="0"/>
          <w:numId w:val="23"/>
        </w:numPr>
        <w:ind w:left="426"/>
        <w:jc w:val="both"/>
        <w:rPr>
          <w:rFonts w:ascii="Segoe UI" w:hAnsi="Segoe UI" w:cs="Segoe UI"/>
          <w:b/>
        </w:rPr>
      </w:pPr>
      <w:r w:rsidRPr="00E23391">
        <w:rPr>
          <w:rFonts w:ascii="Segoe UI" w:hAnsi="Segoe UI" w:cs="Segoe UI"/>
          <w:b/>
        </w:rPr>
        <w:t>Demand</w:t>
      </w:r>
    </w:p>
    <w:p w:rsidR="009804CA" w:rsidRPr="00E23391" w:rsidRDefault="00B63BFE" w:rsidP="009804CA">
      <w:pPr>
        <w:pStyle w:val="ListParagraph"/>
        <w:ind w:left="426"/>
        <w:jc w:val="both"/>
        <w:rPr>
          <w:rFonts w:ascii="Segoe UI" w:hAnsi="Segoe UI" w:cs="Segoe UI"/>
          <w:sz w:val="22"/>
          <w:szCs w:val="22"/>
        </w:rPr>
      </w:pPr>
      <w:r w:rsidRPr="00E23391">
        <w:rPr>
          <w:rFonts w:ascii="Segoe UI" w:hAnsi="Segoe UI" w:cs="Segoe UI"/>
          <w:sz w:val="22"/>
          <w:szCs w:val="22"/>
        </w:rPr>
        <w:t>Despite comparable population sizes, t</w:t>
      </w:r>
      <w:r w:rsidR="009804CA" w:rsidRPr="00E23391">
        <w:rPr>
          <w:rFonts w:ascii="Segoe UI" w:hAnsi="Segoe UI" w:cs="Segoe UI"/>
          <w:sz w:val="22"/>
          <w:szCs w:val="22"/>
        </w:rPr>
        <w:t xml:space="preserve">he number of Adult Mental Health referrals received in Oxfordshire </w:t>
      </w:r>
      <w:r w:rsidR="00092197" w:rsidRPr="00E23391">
        <w:rPr>
          <w:rFonts w:ascii="Segoe UI" w:hAnsi="Segoe UI" w:cs="Segoe UI"/>
          <w:sz w:val="22"/>
          <w:szCs w:val="22"/>
        </w:rPr>
        <w:t>continues to be</w:t>
      </w:r>
      <w:r w:rsidR="009804CA" w:rsidRPr="00E23391">
        <w:rPr>
          <w:rFonts w:ascii="Segoe UI" w:hAnsi="Segoe UI" w:cs="Segoe UI"/>
          <w:sz w:val="22"/>
          <w:szCs w:val="22"/>
        </w:rPr>
        <w:t xml:space="preserve"> higher than</w:t>
      </w:r>
      <w:r w:rsidRPr="00E23391">
        <w:rPr>
          <w:rFonts w:ascii="Segoe UI" w:hAnsi="Segoe UI" w:cs="Segoe UI"/>
          <w:sz w:val="22"/>
          <w:szCs w:val="22"/>
        </w:rPr>
        <w:t xml:space="preserve"> in</w:t>
      </w:r>
      <w:r w:rsidR="009804CA" w:rsidRPr="00E23391">
        <w:rPr>
          <w:rFonts w:ascii="Segoe UI" w:hAnsi="Segoe UI" w:cs="Segoe UI"/>
          <w:sz w:val="22"/>
          <w:szCs w:val="22"/>
        </w:rPr>
        <w:t xml:space="preserve"> Buckinghamshire (</w:t>
      </w:r>
      <w:r w:rsidR="00666816" w:rsidRPr="00E23391">
        <w:rPr>
          <w:rFonts w:ascii="Segoe UI" w:hAnsi="Segoe UI" w:cs="Segoe UI"/>
          <w:sz w:val="22"/>
          <w:szCs w:val="22"/>
        </w:rPr>
        <w:t>21</w:t>
      </w:r>
      <w:r w:rsidR="009804CA" w:rsidRPr="00E23391">
        <w:rPr>
          <w:rFonts w:ascii="Segoe UI" w:hAnsi="Segoe UI" w:cs="Segoe UI"/>
          <w:sz w:val="22"/>
          <w:szCs w:val="22"/>
        </w:rPr>
        <w:t xml:space="preserve">% </w:t>
      </w:r>
      <w:r w:rsidR="00105532" w:rsidRPr="00E23391">
        <w:rPr>
          <w:rFonts w:ascii="Segoe UI" w:hAnsi="Segoe UI" w:cs="Segoe UI"/>
          <w:sz w:val="22"/>
          <w:szCs w:val="22"/>
        </w:rPr>
        <w:t>higher in</w:t>
      </w:r>
      <w:r w:rsidR="009804CA" w:rsidRPr="00E23391">
        <w:rPr>
          <w:rFonts w:ascii="Segoe UI" w:hAnsi="Segoe UI" w:cs="Segoe UI"/>
          <w:sz w:val="22"/>
          <w:szCs w:val="22"/>
        </w:rPr>
        <w:t xml:space="preserve"> </w:t>
      </w:r>
      <w:r w:rsidR="00666816" w:rsidRPr="00E23391">
        <w:rPr>
          <w:rFonts w:ascii="Segoe UI" w:hAnsi="Segoe UI" w:cs="Segoe UI"/>
          <w:sz w:val="22"/>
          <w:szCs w:val="22"/>
        </w:rPr>
        <w:t>April</w:t>
      </w:r>
      <w:r w:rsidR="009804CA" w:rsidRPr="00E23391">
        <w:rPr>
          <w:rFonts w:ascii="Segoe UI" w:hAnsi="Segoe UI" w:cs="Segoe UI"/>
          <w:sz w:val="22"/>
          <w:szCs w:val="22"/>
        </w:rPr>
        <w:t>)</w:t>
      </w:r>
      <w:r w:rsidRPr="00E23391">
        <w:rPr>
          <w:rFonts w:ascii="Segoe UI" w:hAnsi="Segoe UI" w:cs="Segoe UI"/>
          <w:sz w:val="22"/>
          <w:szCs w:val="22"/>
        </w:rPr>
        <w:t>.</w:t>
      </w:r>
      <w:r w:rsidR="009804CA" w:rsidRPr="00E23391">
        <w:rPr>
          <w:rFonts w:ascii="Segoe UI" w:hAnsi="Segoe UI" w:cs="Segoe UI"/>
          <w:sz w:val="22"/>
          <w:szCs w:val="22"/>
        </w:rPr>
        <w:t xml:space="preserve"> </w:t>
      </w:r>
    </w:p>
    <w:p w:rsidR="009804CA" w:rsidRPr="00E23391" w:rsidRDefault="009804CA" w:rsidP="009804CA">
      <w:pPr>
        <w:pStyle w:val="ListParagraph"/>
        <w:ind w:left="426"/>
        <w:jc w:val="both"/>
        <w:rPr>
          <w:rFonts w:ascii="Segoe UI" w:hAnsi="Segoe UI" w:cs="Segoe UI"/>
          <w:sz w:val="22"/>
          <w:szCs w:val="22"/>
        </w:rPr>
      </w:pPr>
    </w:p>
    <w:p w:rsidR="009804CA" w:rsidRPr="00E23391" w:rsidRDefault="009804CA" w:rsidP="009804CA">
      <w:pPr>
        <w:pStyle w:val="ListParagraph"/>
        <w:ind w:left="426"/>
        <w:jc w:val="both"/>
        <w:rPr>
          <w:rFonts w:ascii="Segoe UI" w:hAnsi="Segoe UI" w:cs="Segoe UI"/>
          <w:sz w:val="22"/>
          <w:szCs w:val="22"/>
        </w:rPr>
      </w:pPr>
      <w:r w:rsidRPr="00E23391">
        <w:rPr>
          <w:rFonts w:ascii="Segoe UI" w:hAnsi="Segoe UI" w:cs="Segoe UI"/>
          <w:sz w:val="22"/>
          <w:szCs w:val="22"/>
        </w:rPr>
        <w:t xml:space="preserve">The number of referrals received </w:t>
      </w:r>
      <w:r w:rsidR="00092197" w:rsidRPr="00E23391">
        <w:rPr>
          <w:rFonts w:ascii="Segoe UI" w:hAnsi="Segoe UI" w:cs="Segoe UI"/>
          <w:sz w:val="22"/>
          <w:szCs w:val="22"/>
        </w:rPr>
        <w:t xml:space="preserve">by CAMH services </w:t>
      </w:r>
      <w:r w:rsidR="00DB683F" w:rsidRPr="00E23391">
        <w:rPr>
          <w:rFonts w:ascii="Segoe UI" w:hAnsi="Segoe UI" w:cs="Segoe UI"/>
          <w:sz w:val="22"/>
          <w:szCs w:val="22"/>
        </w:rPr>
        <w:t>reduced</w:t>
      </w:r>
      <w:r w:rsidR="00092197" w:rsidRPr="00E23391">
        <w:rPr>
          <w:rFonts w:ascii="Segoe UI" w:hAnsi="Segoe UI" w:cs="Segoe UI"/>
          <w:sz w:val="22"/>
          <w:szCs w:val="22"/>
        </w:rPr>
        <w:t xml:space="preserve"> significantly in </w:t>
      </w:r>
      <w:r w:rsidR="00DB683F" w:rsidRPr="00E23391">
        <w:rPr>
          <w:rFonts w:ascii="Segoe UI" w:hAnsi="Segoe UI" w:cs="Segoe UI"/>
          <w:sz w:val="22"/>
          <w:szCs w:val="22"/>
        </w:rPr>
        <w:t>April</w:t>
      </w:r>
      <w:r w:rsidR="00092197" w:rsidRPr="00E23391">
        <w:rPr>
          <w:rFonts w:ascii="Segoe UI" w:hAnsi="Segoe UI" w:cs="Segoe UI"/>
          <w:sz w:val="22"/>
          <w:szCs w:val="22"/>
        </w:rPr>
        <w:t xml:space="preserve"> </w:t>
      </w:r>
      <w:r w:rsidR="00105532" w:rsidRPr="00E23391">
        <w:rPr>
          <w:rFonts w:ascii="Segoe UI" w:hAnsi="Segoe UI" w:cs="Segoe UI"/>
          <w:sz w:val="22"/>
          <w:szCs w:val="22"/>
        </w:rPr>
        <w:t xml:space="preserve">to one of the </w:t>
      </w:r>
      <w:r w:rsidR="00DB683F" w:rsidRPr="00E23391">
        <w:rPr>
          <w:rFonts w:ascii="Segoe UI" w:hAnsi="Segoe UI" w:cs="Segoe UI"/>
          <w:sz w:val="22"/>
          <w:szCs w:val="22"/>
        </w:rPr>
        <w:t>lowest</w:t>
      </w:r>
      <w:r w:rsidR="00092197" w:rsidRPr="00E23391">
        <w:rPr>
          <w:rFonts w:ascii="Segoe UI" w:hAnsi="Segoe UI" w:cs="Segoe UI"/>
          <w:sz w:val="22"/>
          <w:szCs w:val="22"/>
        </w:rPr>
        <w:t xml:space="preserve"> level</w:t>
      </w:r>
      <w:r w:rsidR="00105532" w:rsidRPr="00E23391">
        <w:rPr>
          <w:rFonts w:ascii="Segoe UI" w:hAnsi="Segoe UI" w:cs="Segoe UI"/>
          <w:sz w:val="22"/>
          <w:szCs w:val="22"/>
        </w:rPr>
        <w:t>s of the year, however, this trend is consistent with the number of referrals received this time last year</w:t>
      </w:r>
      <w:r w:rsidR="00092197" w:rsidRPr="00E23391">
        <w:rPr>
          <w:rFonts w:ascii="Segoe UI" w:hAnsi="Segoe UI" w:cs="Segoe UI"/>
          <w:sz w:val="22"/>
          <w:szCs w:val="22"/>
        </w:rPr>
        <w:t xml:space="preserve">. </w:t>
      </w:r>
      <w:r w:rsidRPr="00E23391">
        <w:rPr>
          <w:rFonts w:ascii="Segoe UI" w:hAnsi="Segoe UI" w:cs="Segoe UI"/>
          <w:sz w:val="22"/>
          <w:szCs w:val="22"/>
        </w:rPr>
        <w:t>Overall referrals to the Trust’s CAMH services across Oxon, Bucks</w:t>
      </w:r>
      <w:r w:rsidR="00B63BFE" w:rsidRPr="00E23391">
        <w:rPr>
          <w:rFonts w:ascii="Segoe UI" w:hAnsi="Segoe UI" w:cs="Segoe UI"/>
          <w:sz w:val="22"/>
          <w:szCs w:val="22"/>
        </w:rPr>
        <w:t>,</w:t>
      </w:r>
      <w:r w:rsidRPr="00E23391">
        <w:rPr>
          <w:rFonts w:ascii="Segoe UI" w:hAnsi="Segoe UI" w:cs="Segoe UI"/>
          <w:sz w:val="22"/>
          <w:szCs w:val="22"/>
        </w:rPr>
        <w:t xml:space="preserve"> and BSW were </w:t>
      </w:r>
      <w:r w:rsidR="00666816" w:rsidRPr="00E23391">
        <w:rPr>
          <w:rFonts w:ascii="Segoe UI" w:hAnsi="Segoe UI" w:cs="Segoe UI"/>
          <w:sz w:val="22"/>
          <w:szCs w:val="22"/>
        </w:rPr>
        <w:t>1888</w:t>
      </w:r>
      <w:r w:rsidRPr="00E23391">
        <w:rPr>
          <w:rFonts w:ascii="Segoe UI" w:hAnsi="Segoe UI" w:cs="Segoe UI"/>
          <w:sz w:val="22"/>
          <w:szCs w:val="22"/>
        </w:rPr>
        <w:t xml:space="preserve"> in </w:t>
      </w:r>
      <w:r w:rsidR="00666816" w:rsidRPr="00E23391">
        <w:rPr>
          <w:rFonts w:ascii="Segoe UI" w:hAnsi="Segoe UI" w:cs="Segoe UI"/>
          <w:sz w:val="22"/>
          <w:szCs w:val="22"/>
        </w:rPr>
        <w:t>April</w:t>
      </w:r>
      <w:r w:rsidR="00105532" w:rsidRPr="00E23391">
        <w:rPr>
          <w:rFonts w:ascii="Segoe UI" w:hAnsi="Segoe UI" w:cs="Segoe UI"/>
          <w:sz w:val="22"/>
          <w:szCs w:val="22"/>
        </w:rPr>
        <w:t xml:space="preserve"> which is still 13% higher than this time last year. </w:t>
      </w:r>
      <w:r w:rsidR="00092197" w:rsidRPr="00E23391">
        <w:rPr>
          <w:rFonts w:ascii="Segoe UI" w:hAnsi="Segoe UI" w:cs="Segoe UI"/>
          <w:sz w:val="22"/>
          <w:szCs w:val="22"/>
        </w:rPr>
        <w:t xml:space="preserve"> The average number of</w:t>
      </w:r>
      <w:r w:rsidR="00120A2A">
        <w:rPr>
          <w:rFonts w:ascii="Segoe UI" w:hAnsi="Segoe UI" w:cs="Segoe UI"/>
          <w:sz w:val="22"/>
          <w:szCs w:val="22"/>
        </w:rPr>
        <w:t xml:space="preserve"> </w:t>
      </w:r>
      <w:r w:rsidR="00092197" w:rsidRPr="00E23391">
        <w:rPr>
          <w:rFonts w:ascii="Segoe UI" w:hAnsi="Segoe UI" w:cs="Segoe UI"/>
          <w:sz w:val="22"/>
          <w:szCs w:val="22"/>
        </w:rPr>
        <w:t xml:space="preserve">referrals </w:t>
      </w:r>
      <w:r w:rsidR="00A3092D">
        <w:rPr>
          <w:rFonts w:ascii="Segoe UI" w:hAnsi="Segoe UI" w:cs="Segoe UI"/>
          <w:sz w:val="22"/>
          <w:szCs w:val="22"/>
        </w:rPr>
        <w:t xml:space="preserve">per month </w:t>
      </w:r>
      <w:r w:rsidR="00092197" w:rsidRPr="00E23391">
        <w:rPr>
          <w:rFonts w:ascii="Segoe UI" w:hAnsi="Segoe UI" w:cs="Segoe UI"/>
          <w:sz w:val="22"/>
          <w:szCs w:val="22"/>
        </w:rPr>
        <w:t xml:space="preserve">between </w:t>
      </w:r>
      <w:r w:rsidR="0064347E" w:rsidRPr="00E23391">
        <w:rPr>
          <w:rFonts w:ascii="Segoe UI" w:hAnsi="Segoe UI" w:cs="Segoe UI"/>
          <w:sz w:val="22"/>
          <w:szCs w:val="22"/>
        </w:rPr>
        <w:t>May</w:t>
      </w:r>
      <w:r w:rsidR="00092197" w:rsidRPr="00E23391">
        <w:rPr>
          <w:rFonts w:ascii="Segoe UI" w:hAnsi="Segoe UI" w:cs="Segoe UI"/>
          <w:sz w:val="22"/>
          <w:szCs w:val="22"/>
        </w:rPr>
        <w:t xml:space="preserve"> 2018 and </w:t>
      </w:r>
      <w:r w:rsidR="0064347E" w:rsidRPr="00E23391">
        <w:rPr>
          <w:rFonts w:ascii="Segoe UI" w:hAnsi="Segoe UI" w:cs="Segoe UI"/>
          <w:sz w:val="22"/>
          <w:szCs w:val="22"/>
        </w:rPr>
        <w:t>April</w:t>
      </w:r>
      <w:r w:rsidR="00092197" w:rsidRPr="00E23391">
        <w:rPr>
          <w:rFonts w:ascii="Segoe UI" w:hAnsi="Segoe UI" w:cs="Segoe UI"/>
          <w:sz w:val="22"/>
          <w:szCs w:val="22"/>
        </w:rPr>
        <w:t xml:space="preserve"> 2019 was</w:t>
      </w:r>
      <w:r w:rsidR="001F32AC" w:rsidRPr="00E23391">
        <w:rPr>
          <w:rFonts w:ascii="Segoe UI" w:hAnsi="Segoe UI" w:cs="Segoe UI"/>
          <w:sz w:val="22"/>
          <w:szCs w:val="22"/>
        </w:rPr>
        <w:t xml:space="preserve"> 2095</w:t>
      </w:r>
      <w:r w:rsidR="00092197" w:rsidRPr="00E23391">
        <w:rPr>
          <w:rFonts w:ascii="Segoe UI" w:hAnsi="Segoe UI" w:cs="Segoe UI"/>
          <w:sz w:val="22"/>
          <w:szCs w:val="22"/>
        </w:rPr>
        <w:t>.</w:t>
      </w:r>
      <w:r w:rsidR="00120A2A">
        <w:rPr>
          <w:rFonts w:ascii="Segoe UI" w:hAnsi="Segoe UI" w:cs="Segoe UI"/>
          <w:sz w:val="22"/>
          <w:szCs w:val="22"/>
        </w:rPr>
        <w:t xml:space="preserve">  </w:t>
      </w:r>
    </w:p>
    <w:p w:rsidR="009804CA" w:rsidRPr="00E23391" w:rsidRDefault="009804CA" w:rsidP="009804CA">
      <w:pPr>
        <w:pStyle w:val="ListParagraph"/>
        <w:ind w:left="426"/>
        <w:jc w:val="both"/>
        <w:rPr>
          <w:rFonts w:ascii="Segoe UI" w:hAnsi="Segoe UI" w:cs="Segoe UI"/>
          <w:sz w:val="22"/>
          <w:szCs w:val="22"/>
        </w:rPr>
      </w:pPr>
    </w:p>
    <w:p w:rsidR="009804CA" w:rsidRPr="00E23391" w:rsidRDefault="009804CA" w:rsidP="009804CA">
      <w:pPr>
        <w:pStyle w:val="ListParagraph"/>
        <w:numPr>
          <w:ilvl w:val="0"/>
          <w:numId w:val="23"/>
        </w:numPr>
        <w:ind w:left="426"/>
        <w:jc w:val="both"/>
        <w:rPr>
          <w:rFonts w:ascii="Segoe UI" w:hAnsi="Segoe UI" w:cs="Segoe UI"/>
          <w:b/>
        </w:rPr>
      </w:pPr>
      <w:r w:rsidRPr="00E23391">
        <w:rPr>
          <w:rFonts w:ascii="Segoe UI" w:hAnsi="Segoe UI" w:cs="Segoe UI"/>
          <w:b/>
        </w:rPr>
        <w:t>Access/Waits</w:t>
      </w:r>
    </w:p>
    <w:p w:rsidR="00446638" w:rsidRPr="00E23391" w:rsidRDefault="00120A2A" w:rsidP="009804CA">
      <w:pPr>
        <w:pStyle w:val="ListParagraph"/>
        <w:ind w:left="426"/>
        <w:jc w:val="both"/>
        <w:rPr>
          <w:rFonts w:ascii="Segoe UI" w:hAnsi="Segoe UI" w:cs="Segoe UI"/>
          <w:sz w:val="22"/>
          <w:szCs w:val="22"/>
        </w:rPr>
      </w:pPr>
      <w:r w:rsidRPr="006114C2">
        <w:rPr>
          <w:rFonts w:ascii="Segoe UI" w:hAnsi="Segoe UI" w:cs="Segoe UI"/>
          <w:sz w:val="22"/>
          <w:szCs w:val="22"/>
        </w:rPr>
        <w:t xml:space="preserve">During </w:t>
      </w:r>
      <w:r w:rsidR="00B63BFE" w:rsidRPr="006114C2">
        <w:rPr>
          <w:rFonts w:ascii="Segoe UI" w:hAnsi="Segoe UI" w:cs="Segoe UI"/>
          <w:sz w:val="22"/>
          <w:szCs w:val="22"/>
        </w:rPr>
        <w:t>April a</w:t>
      </w:r>
      <w:r w:rsidR="009804CA" w:rsidRPr="006114C2">
        <w:rPr>
          <w:rFonts w:ascii="Segoe UI" w:hAnsi="Segoe UI" w:cs="Segoe UI"/>
          <w:sz w:val="22"/>
          <w:szCs w:val="22"/>
        </w:rPr>
        <w:t xml:space="preserve">ccess to the Oxfordshire </w:t>
      </w:r>
      <w:r w:rsidR="00092197" w:rsidRPr="006114C2">
        <w:rPr>
          <w:rFonts w:ascii="Segoe UI" w:hAnsi="Segoe UI" w:cs="Segoe UI"/>
          <w:sz w:val="22"/>
          <w:szCs w:val="22"/>
        </w:rPr>
        <w:t xml:space="preserve">and Buckinghamshire </w:t>
      </w:r>
      <w:r w:rsidR="009804CA" w:rsidRPr="006114C2">
        <w:rPr>
          <w:rFonts w:ascii="Segoe UI" w:hAnsi="Segoe UI" w:cs="Segoe UI"/>
          <w:sz w:val="22"/>
          <w:szCs w:val="22"/>
        </w:rPr>
        <w:t>CAMH service</w:t>
      </w:r>
      <w:r w:rsidR="00092197" w:rsidRPr="006114C2">
        <w:rPr>
          <w:rFonts w:ascii="Segoe UI" w:hAnsi="Segoe UI" w:cs="Segoe UI"/>
          <w:sz w:val="22"/>
          <w:szCs w:val="22"/>
        </w:rPr>
        <w:t>s</w:t>
      </w:r>
      <w:r w:rsidR="009804CA" w:rsidRPr="006114C2">
        <w:rPr>
          <w:rFonts w:ascii="Segoe UI" w:hAnsi="Segoe UI" w:cs="Segoe UI"/>
          <w:sz w:val="22"/>
          <w:szCs w:val="22"/>
        </w:rPr>
        <w:t xml:space="preserve"> continue</w:t>
      </w:r>
      <w:r w:rsidRPr="006114C2">
        <w:rPr>
          <w:rFonts w:ascii="Segoe UI" w:hAnsi="Segoe UI" w:cs="Segoe UI"/>
          <w:sz w:val="22"/>
          <w:szCs w:val="22"/>
        </w:rPr>
        <w:t>d</w:t>
      </w:r>
      <w:r w:rsidR="009804CA" w:rsidRPr="00E23391">
        <w:rPr>
          <w:rFonts w:ascii="Segoe UI" w:hAnsi="Segoe UI" w:cs="Segoe UI"/>
          <w:sz w:val="22"/>
          <w:szCs w:val="22"/>
        </w:rPr>
        <w:t xml:space="preserve"> to be challenging, with only </w:t>
      </w:r>
      <w:r w:rsidR="00092197" w:rsidRPr="00E23391">
        <w:rPr>
          <w:rFonts w:ascii="Segoe UI" w:hAnsi="Segoe UI" w:cs="Segoe UI"/>
          <w:sz w:val="22"/>
          <w:szCs w:val="22"/>
        </w:rPr>
        <w:t>4</w:t>
      </w:r>
      <w:r w:rsidR="007D68C6" w:rsidRPr="00E23391">
        <w:rPr>
          <w:rFonts w:ascii="Segoe UI" w:hAnsi="Segoe UI" w:cs="Segoe UI"/>
          <w:sz w:val="22"/>
          <w:szCs w:val="22"/>
        </w:rPr>
        <w:t>8</w:t>
      </w:r>
      <w:r w:rsidR="009804CA" w:rsidRPr="00E23391">
        <w:rPr>
          <w:rFonts w:ascii="Segoe UI" w:hAnsi="Segoe UI" w:cs="Segoe UI"/>
          <w:sz w:val="22"/>
          <w:szCs w:val="22"/>
        </w:rPr>
        <w:t>%</w:t>
      </w:r>
      <w:r w:rsidR="00105532" w:rsidRPr="00E23391">
        <w:rPr>
          <w:rFonts w:ascii="Segoe UI" w:hAnsi="Segoe UI" w:cs="Segoe UI"/>
          <w:sz w:val="22"/>
          <w:szCs w:val="22"/>
        </w:rPr>
        <w:t xml:space="preserve"> of patients seen</w:t>
      </w:r>
      <w:r w:rsidR="009804CA" w:rsidRPr="00E23391">
        <w:rPr>
          <w:rFonts w:ascii="Segoe UI" w:hAnsi="Segoe UI" w:cs="Segoe UI"/>
          <w:sz w:val="22"/>
          <w:szCs w:val="22"/>
        </w:rPr>
        <w:t xml:space="preserve"> </w:t>
      </w:r>
      <w:r w:rsidR="00446638" w:rsidRPr="00E23391">
        <w:rPr>
          <w:rFonts w:ascii="Segoe UI" w:hAnsi="Segoe UI" w:cs="Segoe UI"/>
          <w:sz w:val="22"/>
          <w:szCs w:val="22"/>
        </w:rPr>
        <w:t>within 12 weeks</w:t>
      </w:r>
      <w:r w:rsidR="000459D5" w:rsidRPr="00E23391">
        <w:rPr>
          <w:rFonts w:ascii="Segoe UI" w:hAnsi="Segoe UI" w:cs="Segoe UI"/>
          <w:sz w:val="22"/>
          <w:szCs w:val="22"/>
        </w:rPr>
        <w:t xml:space="preserve"> in Oxon</w:t>
      </w:r>
      <w:r w:rsidR="00446638" w:rsidRPr="00E23391">
        <w:rPr>
          <w:rFonts w:ascii="Segoe UI" w:hAnsi="Segoe UI" w:cs="Segoe UI"/>
          <w:sz w:val="22"/>
          <w:szCs w:val="22"/>
        </w:rPr>
        <w:t xml:space="preserve"> </w:t>
      </w:r>
      <w:r w:rsidR="00092197" w:rsidRPr="00E23391">
        <w:rPr>
          <w:rFonts w:ascii="Segoe UI" w:hAnsi="Segoe UI" w:cs="Segoe UI"/>
          <w:sz w:val="22"/>
          <w:szCs w:val="22"/>
        </w:rPr>
        <w:t xml:space="preserve">and </w:t>
      </w:r>
      <w:r w:rsidR="00666816" w:rsidRPr="00E23391">
        <w:rPr>
          <w:rFonts w:ascii="Segoe UI" w:hAnsi="Segoe UI" w:cs="Segoe UI"/>
          <w:sz w:val="22"/>
          <w:szCs w:val="22"/>
        </w:rPr>
        <w:t>48.9</w:t>
      </w:r>
      <w:r w:rsidR="00092197" w:rsidRPr="00E23391">
        <w:rPr>
          <w:rFonts w:ascii="Segoe UI" w:hAnsi="Segoe UI" w:cs="Segoe UI"/>
          <w:sz w:val="22"/>
          <w:szCs w:val="22"/>
        </w:rPr>
        <w:t xml:space="preserve">% </w:t>
      </w:r>
      <w:r w:rsidR="000459D5" w:rsidRPr="00E23391">
        <w:rPr>
          <w:rFonts w:ascii="Segoe UI" w:hAnsi="Segoe UI" w:cs="Segoe UI"/>
          <w:sz w:val="22"/>
          <w:szCs w:val="22"/>
        </w:rPr>
        <w:t xml:space="preserve">of patients seen </w:t>
      </w:r>
      <w:r w:rsidR="00446638" w:rsidRPr="00E23391">
        <w:rPr>
          <w:rFonts w:ascii="Segoe UI" w:hAnsi="Segoe UI" w:cs="Segoe UI"/>
          <w:sz w:val="22"/>
          <w:szCs w:val="22"/>
        </w:rPr>
        <w:t xml:space="preserve">within 4 weeks </w:t>
      </w:r>
      <w:r w:rsidR="000459D5" w:rsidRPr="00E23391">
        <w:rPr>
          <w:rFonts w:ascii="Segoe UI" w:hAnsi="Segoe UI" w:cs="Segoe UI"/>
          <w:sz w:val="22"/>
          <w:szCs w:val="22"/>
        </w:rPr>
        <w:t>in Bucks</w:t>
      </w:r>
      <w:r w:rsidR="00B63BFE" w:rsidRPr="00E23391">
        <w:rPr>
          <w:rFonts w:ascii="Segoe UI" w:hAnsi="Segoe UI" w:cs="Segoe UI"/>
          <w:sz w:val="22"/>
          <w:szCs w:val="22"/>
        </w:rPr>
        <w:t xml:space="preserve"> </w:t>
      </w:r>
      <w:r w:rsidR="009804CA" w:rsidRPr="00E23391">
        <w:rPr>
          <w:rFonts w:ascii="Segoe UI" w:hAnsi="Segoe UI" w:cs="Segoe UI"/>
          <w:sz w:val="22"/>
          <w:szCs w:val="22"/>
        </w:rPr>
        <w:t xml:space="preserve">who were referred </w:t>
      </w:r>
      <w:r w:rsidR="00092197" w:rsidRPr="00E23391">
        <w:rPr>
          <w:rFonts w:ascii="Segoe UI" w:hAnsi="Segoe UI" w:cs="Segoe UI"/>
          <w:sz w:val="22"/>
          <w:szCs w:val="22"/>
        </w:rPr>
        <w:t>to the</w:t>
      </w:r>
      <w:r w:rsidR="009804CA" w:rsidRPr="00E23391">
        <w:rPr>
          <w:rFonts w:ascii="Segoe UI" w:hAnsi="Segoe UI" w:cs="Segoe UI"/>
          <w:sz w:val="22"/>
          <w:szCs w:val="22"/>
        </w:rPr>
        <w:t xml:space="preserve"> routine pathway</w:t>
      </w:r>
      <w:r w:rsidR="00092197" w:rsidRPr="00E23391">
        <w:rPr>
          <w:rFonts w:ascii="Segoe UI" w:hAnsi="Segoe UI" w:cs="Segoe UI"/>
          <w:sz w:val="22"/>
          <w:szCs w:val="22"/>
        </w:rPr>
        <w:t>s</w:t>
      </w:r>
      <w:r w:rsidR="000459D5" w:rsidRPr="00E23391">
        <w:rPr>
          <w:rFonts w:ascii="Segoe UI" w:hAnsi="Segoe UI" w:cs="Segoe UI"/>
          <w:sz w:val="22"/>
          <w:szCs w:val="22"/>
        </w:rPr>
        <w:t xml:space="preserve">, </w:t>
      </w:r>
      <w:r w:rsidR="00446638" w:rsidRPr="00E23391">
        <w:rPr>
          <w:rFonts w:ascii="Segoe UI" w:hAnsi="Segoe UI" w:cs="Segoe UI"/>
          <w:sz w:val="22"/>
          <w:szCs w:val="22"/>
        </w:rPr>
        <w:t>which are the commissioned targets.</w:t>
      </w:r>
      <w:r w:rsidR="009804CA" w:rsidRPr="00E23391">
        <w:rPr>
          <w:rFonts w:ascii="Segoe UI" w:hAnsi="Segoe UI" w:cs="Segoe UI"/>
          <w:sz w:val="22"/>
          <w:szCs w:val="22"/>
        </w:rPr>
        <w:t xml:space="preserve"> </w:t>
      </w:r>
      <w:r w:rsidR="000726FF" w:rsidRPr="00E23391">
        <w:rPr>
          <w:rFonts w:ascii="Segoe UI" w:hAnsi="Segoe UI" w:cs="Segoe UI"/>
          <w:sz w:val="22"/>
          <w:szCs w:val="22"/>
        </w:rPr>
        <w:t>Buckinghamshire p</w:t>
      </w:r>
      <w:r w:rsidR="00F266F2" w:rsidRPr="00E23391">
        <w:rPr>
          <w:rFonts w:ascii="Segoe UI" w:hAnsi="Segoe UI" w:cs="Segoe UI"/>
          <w:sz w:val="22"/>
          <w:szCs w:val="22"/>
        </w:rPr>
        <w:t>erformance</w:t>
      </w:r>
      <w:r w:rsidR="000726FF" w:rsidRPr="00E23391">
        <w:rPr>
          <w:rFonts w:ascii="Segoe UI" w:hAnsi="Segoe UI" w:cs="Segoe UI"/>
          <w:sz w:val="22"/>
          <w:szCs w:val="22"/>
        </w:rPr>
        <w:t xml:space="preserve"> </w:t>
      </w:r>
      <w:r w:rsidR="000726FF" w:rsidRPr="00E23391">
        <w:rPr>
          <w:rFonts w:ascii="Segoe UI" w:hAnsi="Segoe UI" w:cs="Segoe UI"/>
          <w:sz w:val="22"/>
          <w:szCs w:val="22"/>
        </w:rPr>
        <w:lastRenderedPageBreak/>
        <w:t xml:space="preserve">reduced significantly </w:t>
      </w:r>
      <w:r w:rsidR="000459D5" w:rsidRPr="00E23391">
        <w:rPr>
          <w:rFonts w:ascii="Segoe UI" w:hAnsi="Segoe UI" w:cs="Segoe UI"/>
          <w:sz w:val="22"/>
          <w:szCs w:val="22"/>
        </w:rPr>
        <w:t>this</w:t>
      </w:r>
      <w:r w:rsidR="000726FF" w:rsidRPr="00E23391">
        <w:rPr>
          <w:rFonts w:ascii="Segoe UI" w:hAnsi="Segoe UI" w:cs="Segoe UI"/>
          <w:sz w:val="22"/>
          <w:szCs w:val="22"/>
        </w:rPr>
        <w:t xml:space="preserve"> month where demand was high</w:t>
      </w:r>
      <w:r w:rsidR="000459D5" w:rsidRPr="00E23391">
        <w:rPr>
          <w:rFonts w:ascii="Segoe UI" w:hAnsi="Segoe UI" w:cs="Segoe UI"/>
          <w:sz w:val="22"/>
          <w:szCs w:val="22"/>
        </w:rPr>
        <w:t xml:space="preserve"> </w:t>
      </w:r>
      <w:r w:rsidR="000459D5" w:rsidRPr="00E23391">
        <w:rPr>
          <w:rFonts w:ascii="Segoe UI" w:hAnsi="Segoe UI" w:cs="Segoe UI"/>
          <w:b/>
          <w:sz w:val="22"/>
          <w:szCs w:val="22"/>
        </w:rPr>
        <w:t>last</w:t>
      </w:r>
      <w:r w:rsidR="000459D5" w:rsidRPr="00E23391">
        <w:rPr>
          <w:rFonts w:ascii="Segoe UI" w:hAnsi="Segoe UI" w:cs="Segoe UI"/>
          <w:sz w:val="22"/>
          <w:szCs w:val="22"/>
        </w:rPr>
        <w:t xml:space="preserve"> month</w:t>
      </w:r>
      <w:r w:rsidR="000726FF" w:rsidRPr="00E23391">
        <w:rPr>
          <w:rFonts w:ascii="Segoe UI" w:hAnsi="Segoe UI" w:cs="Segoe UI"/>
          <w:sz w:val="22"/>
          <w:szCs w:val="22"/>
        </w:rPr>
        <w:t xml:space="preserve"> which illustrates the direct correlation between access performance and increased demand on services</w:t>
      </w:r>
      <w:r w:rsidR="00446638" w:rsidRPr="00E23391">
        <w:rPr>
          <w:rFonts w:ascii="Segoe UI" w:hAnsi="Segoe UI" w:cs="Segoe UI"/>
          <w:sz w:val="22"/>
          <w:szCs w:val="22"/>
        </w:rPr>
        <w:t>.</w:t>
      </w:r>
    </w:p>
    <w:p w:rsidR="009804CA" w:rsidRPr="00E23391" w:rsidRDefault="009804CA" w:rsidP="009804CA">
      <w:pPr>
        <w:pStyle w:val="ListParagraph"/>
        <w:ind w:left="426"/>
        <w:jc w:val="both"/>
        <w:rPr>
          <w:rFonts w:ascii="Segoe UI" w:hAnsi="Segoe UI" w:cs="Segoe UI"/>
          <w:sz w:val="22"/>
          <w:szCs w:val="22"/>
        </w:rPr>
      </w:pPr>
      <w:r w:rsidRPr="00E23391">
        <w:rPr>
          <w:rFonts w:ascii="Segoe UI" w:hAnsi="Segoe UI" w:cs="Segoe UI"/>
          <w:sz w:val="22"/>
          <w:szCs w:val="22"/>
        </w:rPr>
        <w:t xml:space="preserve">Emergency referrals are being </w:t>
      </w:r>
      <w:proofErr w:type="spellStart"/>
      <w:r w:rsidRPr="00E23391">
        <w:rPr>
          <w:rFonts w:ascii="Segoe UI" w:hAnsi="Segoe UI" w:cs="Segoe UI"/>
          <w:sz w:val="22"/>
          <w:szCs w:val="22"/>
        </w:rPr>
        <w:t>prioritised</w:t>
      </w:r>
      <w:proofErr w:type="spellEnd"/>
      <w:r w:rsidRPr="00E23391">
        <w:rPr>
          <w:rFonts w:ascii="Segoe UI" w:hAnsi="Segoe UI" w:cs="Segoe UI"/>
          <w:sz w:val="22"/>
          <w:szCs w:val="22"/>
        </w:rPr>
        <w:t xml:space="preserve"> within available resources and </w:t>
      </w:r>
      <w:r w:rsidR="008D2EA8" w:rsidRPr="00E23391">
        <w:rPr>
          <w:rFonts w:ascii="Segoe UI" w:hAnsi="Segoe UI" w:cs="Segoe UI"/>
          <w:sz w:val="22"/>
          <w:szCs w:val="22"/>
        </w:rPr>
        <w:t xml:space="preserve">all patients </w:t>
      </w:r>
      <w:r w:rsidR="006662C3" w:rsidRPr="00E23391">
        <w:rPr>
          <w:rFonts w:ascii="Segoe UI" w:hAnsi="Segoe UI" w:cs="Segoe UI"/>
          <w:sz w:val="22"/>
          <w:szCs w:val="22"/>
        </w:rPr>
        <w:t xml:space="preserve">since October have been </w:t>
      </w:r>
      <w:r w:rsidR="008D2EA8" w:rsidRPr="00E23391">
        <w:rPr>
          <w:rFonts w:ascii="Segoe UI" w:hAnsi="Segoe UI" w:cs="Segoe UI"/>
          <w:sz w:val="22"/>
          <w:szCs w:val="22"/>
        </w:rPr>
        <w:t xml:space="preserve">seen within the </w:t>
      </w:r>
      <w:r w:rsidR="00706A13" w:rsidRPr="00E23391">
        <w:rPr>
          <w:rFonts w:ascii="Segoe UI" w:hAnsi="Segoe UI" w:cs="Segoe UI"/>
          <w:sz w:val="22"/>
          <w:szCs w:val="22"/>
        </w:rPr>
        <w:t>4-hour</w:t>
      </w:r>
      <w:r w:rsidR="008D2EA8" w:rsidRPr="00E23391">
        <w:rPr>
          <w:rFonts w:ascii="Segoe UI" w:hAnsi="Segoe UI" w:cs="Segoe UI"/>
          <w:sz w:val="22"/>
          <w:szCs w:val="22"/>
        </w:rPr>
        <w:t xml:space="preserve"> target.</w:t>
      </w:r>
    </w:p>
    <w:p w:rsidR="00EC74BA" w:rsidRPr="00E23391" w:rsidRDefault="00EC74BA" w:rsidP="009804CA">
      <w:pPr>
        <w:pStyle w:val="ListParagraph"/>
        <w:ind w:left="426"/>
        <w:jc w:val="both"/>
        <w:rPr>
          <w:rFonts w:ascii="Segoe UI" w:hAnsi="Segoe UI" w:cs="Segoe UI"/>
          <w:sz w:val="22"/>
          <w:szCs w:val="22"/>
        </w:rPr>
      </w:pPr>
    </w:p>
    <w:p w:rsidR="00EC74BA" w:rsidRPr="00E23391" w:rsidRDefault="00771B7F" w:rsidP="009804CA">
      <w:pPr>
        <w:pStyle w:val="ListParagraph"/>
        <w:ind w:left="426"/>
        <w:jc w:val="both"/>
        <w:rPr>
          <w:rFonts w:ascii="Segoe UI" w:hAnsi="Segoe UI" w:cs="Segoe UI"/>
          <w:sz w:val="22"/>
          <w:szCs w:val="22"/>
        </w:rPr>
      </w:pPr>
      <w:r w:rsidRPr="00E23391">
        <w:rPr>
          <w:rFonts w:ascii="Segoe UI" w:hAnsi="Segoe UI" w:cs="Segoe UI"/>
          <w:sz w:val="22"/>
          <w:szCs w:val="22"/>
        </w:rPr>
        <w:t>An action plan is in place with Buckinghamshire CCG in relation to Bucks CAMHS waits.  A review of the waiting times report rules is in progress as part of this plan.</w:t>
      </w:r>
    </w:p>
    <w:p w:rsidR="009804CA" w:rsidRPr="00E23391" w:rsidRDefault="009804CA" w:rsidP="009804CA">
      <w:pPr>
        <w:pStyle w:val="ListParagraph"/>
        <w:ind w:left="426"/>
        <w:jc w:val="both"/>
        <w:rPr>
          <w:rFonts w:ascii="Segoe UI" w:hAnsi="Segoe UI" w:cs="Segoe UI"/>
        </w:rPr>
      </w:pPr>
    </w:p>
    <w:p w:rsidR="009804CA" w:rsidRPr="00E23391" w:rsidRDefault="009804CA" w:rsidP="009804CA">
      <w:pPr>
        <w:pStyle w:val="ListParagraph"/>
        <w:numPr>
          <w:ilvl w:val="0"/>
          <w:numId w:val="23"/>
        </w:numPr>
        <w:ind w:left="426"/>
        <w:jc w:val="both"/>
        <w:rPr>
          <w:rFonts w:ascii="Segoe UI" w:hAnsi="Segoe UI" w:cs="Segoe UI"/>
          <w:b/>
        </w:rPr>
      </w:pPr>
      <w:r w:rsidRPr="00E23391">
        <w:rPr>
          <w:rFonts w:ascii="Segoe UI" w:hAnsi="Segoe UI" w:cs="Segoe UI"/>
          <w:b/>
        </w:rPr>
        <w:t>Delayed Transfers of Care (DTOC)</w:t>
      </w:r>
    </w:p>
    <w:p w:rsidR="00761A13" w:rsidRPr="00E23391" w:rsidRDefault="000459D5" w:rsidP="00761A13">
      <w:pPr>
        <w:pStyle w:val="ListParagraph"/>
        <w:ind w:left="426"/>
        <w:jc w:val="both"/>
        <w:rPr>
          <w:rFonts w:ascii="Segoe UI" w:hAnsi="Segoe UI" w:cs="Segoe UI"/>
          <w:sz w:val="22"/>
          <w:szCs w:val="22"/>
        </w:rPr>
      </w:pPr>
      <w:r w:rsidRPr="00E23391">
        <w:rPr>
          <w:rFonts w:ascii="Segoe UI" w:hAnsi="Segoe UI" w:cs="Segoe UI"/>
          <w:sz w:val="22"/>
          <w:szCs w:val="22"/>
        </w:rPr>
        <w:t xml:space="preserve">In April, bed days lost to DTOC in mental health were at their lowest level for the past 12 months at 145 (equivalent to </w:t>
      </w:r>
      <w:r w:rsidR="00761A13" w:rsidRPr="00E23391">
        <w:rPr>
          <w:rFonts w:ascii="Segoe UI" w:hAnsi="Segoe UI" w:cs="Segoe UI"/>
          <w:sz w:val="22"/>
          <w:szCs w:val="22"/>
        </w:rPr>
        <w:t>5 beds)</w:t>
      </w:r>
      <w:r w:rsidRPr="00E23391">
        <w:rPr>
          <w:rFonts w:ascii="Segoe UI" w:hAnsi="Segoe UI" w:cs="Segoe UI"/>
          <w:sz w:val="22"/>
          <w:szCs w:val="22"/>
        </w:rPr>
        <w:t xml:space="preserve">, compared with a rolling </w:t>
      </w:r>
      <w:proofErr w:type="gramStart"/>
      <w:r w:rsidRPr="00E23391">
        <w:rPr>
          <w:rFonts w:ascii="Segoe UI" w:hAnsi="Segoe UI" w:cs="Segoe UI"/>
          <w:sz w:val="22"/>
          <w:szCs w:val="22"/>
        </w:rPr>
        <w:t>12 month</w:t>
      </w:r>
      <w:proofErr w:type="gramEnd"/>
      <w:r w:rsidRPr="00E23391">
        <w:rPr>
          <w:rFonts w:ascii="Segoe UI" w:hAnsi="Segoe UI" w:cs="Segoe UI"/>
          <w:sz w:val="22"/>
          <w:szCs w:val="22"/>
        </w:rPr>
        <w:t xml:space="preserve"> average of 206</w:t>
      </w:r>
      <w:r w:rsidR="00761A13" w:rsidRPr="00E23391">
        <w:rPr>
          <w:rFonts w:ascii="Segoe UI" w:hAnsi="Segoe UI" w:cs="Segoe UI"/>
          <w:sz w:val="22"/>
          <w:szCs w:val="22"/>
        </w:rPr>
        <w:t xml:space="preserve"> / 7 beds.    Community DTOC decreased by 286 days in April to 1138 bed days lost (equivalent to 38 beds), with a rolling </w:t>
      </w:r>
      <w:proofErr w:type="gramStart"/>
      <w:r w:rsidR="00761A13" w:rsidRPr="00E23391">
        <w:rPr>
          <w:rFonts w:ascii="Segoe UI" w:hAnsi="Segoe UI" w:cs="Segoe UI"/>
          <w:sz w:val="22"/>
          <w:szCs w:val="22"/>
        </w:rPr>
        <w:t>12 month</w:t>
      </w:r>
      <w:proofErr w:type="gramEnd"/>
      <w:r w:rsidR="00761A13" w:rsidRPr="00E23391">
        <w:rPr>
          <w:rFonts w:ascii="Segoe UI" w:hAnsi="Segoe UI" w:cs="Segoe UI"/>
          <w:sz w:val="22"/>
          <w:szCs w:val="22"/>
        </w:rPr>
        <w:t xml:space="preserve"> average of 1279 days per month / 42 beds.</w:t>
      </w:r>
    </w:p>
    <w:p w:rsidR="006662C3" w:rsidRPr="00E23391" w:rsidRDefault="00761A13" w:rsidP="009804CA">
      <w:pPr>
        <w:pStyle w:val="ListParagraph"/>
        <w:ind w:left="426"/>
        <w:jc w:val="both"/>
        <w:rPr>
          <w:rFonts w:ascii="Segoe UI" w:hAnsi="Segoe UI" w:cs="Segoe UI"/>
          <w:sz w:val="22"/>
          <w:szCs w:val="22"/>
        </w:rPr>
      </w:pPr>
      <w:r w:rsidRPr="00E23391">
        <w:rPr>
          <w:rFonts w:ascii="Segoe UI" w:hAnsi="Segoe UI" w:cs="Segoe UI"/>
          <w:sz w:val="22"/>
          <w:szCs w:val="22"/>
        </w:rPr>
        <w:t xml:space="preserve"> </w:t>
      </w:r>
    </w:p>
    <w:p w:rsidR="00D17EDF" w:rsidRPr="00E23391" w:rsidRDefault="006662C3" w:rsidP="008D7FFE">
      <w:pPr>
        <w:pStyle w:val="ListParagraph"/>
        <w:numPr>
          <w:ilvl w:val="0"/>
          <w:numId w:val="23"/>
        </w:numPr>
        <w:ind w:left="494"/>
        <w:jc w:val="both"/>
        <w:rPr>
          <w:rFonts w:ascii="Segoe UI" w:hAnsi="Segoe UI" w:cs="Segoe UI"/>
          <w:b/>
        </w:rPr>
      </w:pPr>
      <w:r w:rsidRPr="00E23391">
        <w:rPr>
          <w:rFonts w:ascii="Segoe UI" w:hAnsi="Segoe UI" w:cs="Segoe UI"/>
          <w:b/>
        </w:rPr>
        <w:t>Out of Area Placements (OAPs)</w:t>
      </w:r>
      <w:r w:rsidR="00D17EDF" w:rsidRPr="00E23391">
        <w:rPr>
          <w:rFonts w:ascii="Segoe UI" w:hAnsi="Segoe UI" w:cs="Segoe UI"/>
        </w:rPr>
        <w:t xml:space="preserve"> </w:t>
      </w:r>
    </w:p>
    <w:p w:rsidR="00761A13" w:rsidRPr="00E23391" w:rsidRDefault="00761A13" w:rsidP="00761A13">
      <w:pPr>
        <w:ind w:left="426"/>
        <w:jc w:val="both"/>
        <w:rPr>
          <w:rFonts w:ascii="Segoe UI" w:hAnsi="Segoe UI" w:cs="Segoe UI"/>
          <w:sz w:val="22"/>
          <w:szCs w:val="22"/>
        </w:rPr>
      </w:pPr>
      <w:r w:rsidRPr="00E23391">
        <w:rPr>
          <w:rFonts w:ascii="Segoe UI" w:hAnsi="Segoe UI" w:cs="Segoe UI"/>
          <w:sz w:val="22"/>
          <w:szCs w:val="22"/>
        </w:rPr>
        <w:t xml:space="preserve">5 patients were placed out of area in April which is the lowest level reported over the past 12 months.  11 patients in total remained in out of area placements this month </w:t>
      </w:r>
      <w:proofErr w:type="spellStart"/>
      <w:r w:rsidRPr="00E23391">
        <w:rPr>
          <w:rFonts w:ascii="Segoe UI" w:hAnsi="Segoe UI" w:cs="Segoe UI"/>
          <w:sz w:val="22"/>
          <w:szCs w:val="22"/>
        </w:rPr>
        <w:t>utilising</w:t>
      </w:r>
      <w:proofErr w:type="spellEnd"/>
      <w:r w:rsidRPr="00E23391">
        <w:rPr>
          <w:rFonts w:ascii="Segoe UI" w:hAnsi="Segoe UI" w:cs="Segoe UI"/>
          <w:sz w:val="22"/>
          <w:szCs w:val="22"/>
        </w:rPr>
        <w:t xml:space="preserve"> a total of 163 bed days in the month.  The distance from patients’ home to placements ranged from 34.4 to 129 miles, with the average distance being 69.4 miles.</w:t>
      </w:r>
    </w:p>
    <w:p w:rsidR="00761A13" w:rsidRPr="00E23391" w:rsidRDefault="00761A13" w:rsidP="00761A13">
      <w:pPr>
        <w:ind w:left="426"/>
        <w:jc w:val="both"/>
        <w:rPr>
          <w:rFonts w:ascii="Segoe UI" w:hAnsi="Segoe UI" w:cs="Segoe UI"/>
          <w:sz w:val="22"/>
          <w:szCs w:val="22"/>
        </w:rPr>
      </w:pPr>
    </w:p>
    <w:p w:rsidR="00092197" w:rsidRPr="00E23391" w:rsidRDefault="00386090" w:rsidP="00092197">
      <w:pPr>
        <w:pStyle w:val="ListParagraph"/>
        <w:ind w:left="-1134"/>
        <w:jc w:val="both"/>
        <w:rPr>
          <w:rFonts w:ascii="Segoe UI" w:hAnsi="Segoe UI" w:cs="Segoe UI"/>
        </w:rPr>
      </w:pPr>
      <w:r w:rsidRPr="00E23391">
        <w:rPr>
          <w:rFonts w:ascii="Segoe UI" w:hAnsi="Segoe UI" w:cs="Segoe UI"/>
          <w:noProof/>
        </w:rPr>
        <w:drawing>
          <wp:inline distT="0" distB="0" distL="0" distR="0">
            <wp:extent cx="6934200" cy="378813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0262" cy="3813297"/>
                    </a:xfrm>
                    <a:prstGeom prst="rect">
                      <a:avLst/>
                    </a:prstGeom>
                    <a:noFill/>
                    <a:ln>
                      <a:noFill/>
                    </a:ln>
                  </pic:spPr>
                </pic:pic>
              </a:graphicData>
            </a:graphic>
          </wp:inline>
        </w:drawing>
      </w:r>
    </w:p>
    <w:p w:rsidR="00554AF4" w:rsidRPr="00E23391" w:rsidRDefault="00554AF4" w:rsidP="00554AF4">
      <w:pPr>
        <w:ind w:left="142"/>
        <w:jc w:val="both"/>
        <w:rPr>
          <w:rFonts w:ascii="Segoe UI" w:hAnsi="Segoe UI" w:cs="Segoe UI"/>
          <w:b/>
        </w:rPr>
      </w:pPr>
    </w:p>
    <w:p w:rsidR="00554AF4" w:rsidRPr="00E23391" w:rsidRDefault="00554AF4" w:rsidP="00554AF4">
      <w:pPr>
        <w:ind w:left="142"/>
        <w:jc w:val="both"/>
        <w:rPr>
          <w:rFonts w:ascii="Segoe UI" w:hAnsi="Segoe UI" w:cs="Segoe UI"/>
          <w:b/>
        </w:rPr>
      </w:pPr>
    </w:p>
    <w:p w:rsidR="0001134C" w:rsidRPr="007C729A" w:rsidRDefault="0001134C" w:rsidP="00706A13">
      <w:pPr>
        <w:pStyle w:val="ListParagraph"/>
        <w:numPr>
          <w:ilvl w:val="0"/>
          <w:numId w:val="23"/>
        </w:numPr>
        <w:jc w:val="both"/>
        <w:rPr>
          <w:rFonts w:ascii="Segoe UI" w:hAnsi="Segoe UI" w:cs="Segoe UI"/>
          <w:b/>
        </w:rPr>
      </w:pPr>
      <w:r w:rsidRPr="007C729A">
        <w:rPr>
          <w:rFonts w:ascii="Segoe UI" w:hAnsi="Segoe UI" w:cs="Segoe UI"/>
          <w:b/>
        </w:rPr>
        <w:lastRenderedPageBreak/>
        <w:t>S75 Agreements with Oxfordshire County Council and Buckinghamshire County Councils</w:t>
      </w:r>
    </w:p>
    <w:p w:rsidR="0001134C" w:rsidRPr="007C729A" w:rsidRDefault="0001134C" w:rsidP="00E515DE">
      <w:pPr>
        <w:jc w:val="both"/>
        <w:rPr>
          <w:rFonts w:ascii="Segoe UI" w:hAnsi="Segoe UI" w:cs="Segoe UI"/>
          <w:b/>
        </w:rPr>
      </w:pPr>
    </w:p>
    <w:p w:rsidR="00110E24" w:rsidRPr="007C729A" w:rsidRDefault="00841EB0" w:rsidP="00E515DE">
      <w:pPr>
        <w:jc w:val="both"/>
        <w:rPr>
          <w:rFonts w:ascii="Segoe UI" w:hAnsi="Segoe UI" w:cs="Segoe UI"/>
          <w:sz w:val="22"/>
          <w:szCs w:val="22"/>
        </w:rPr>
      </w:pPr>
      <w:r w:rsidRPr="007C729A">
        <w:rPr>
          <w:rFonts w:ascii="Segoe UI" w:hAnsi="Segoe UI" w:cs="Segoe UI"/>
          <w:sz w:val="22"/>
          <w:szCs w:val="22"/>
        </w:rPr>
        <w:t xml:space="preserve">The Trust achieved </w:t>
      </w:r>
      <w:r w:rsidR="00722108" w:rsidRPr="007C729A">
        <w:rPr>
          <w:rFonts w:ascii="Segoe UI" w:hAnsi="Segoe UI" w:cs="Segoe UI"/>
          <w:b/>
          <w:sz w:val="22"/>
          <w:szCs w:val="22"/>
        </w:rPr>
        <w:t>100</w:t>
      </w:r>
      <w:r w:rsidR="00146C68" w:rsidRPr="007C729A">
        <w:rPr>
          <w:rFonts w:ascii="Segoe UI" w:hAnsi="Segoe UI" w:cs="Segoe UI"/>
          <w:b/>
          <w:sz w:val="22"/>
          <w:szCs w:val="22"/>
        </w:rPr>
        <w:t xml:space="preserve">% </w:t>
      </w:r>
      <w:r w:rsidR="00146C68" w:rsidRPr="007C729A">
        <w:rPr>
          <w:rFonts w:ascii="Segoe UI" w:hAnsi="Segoe UI" w:cs="Segoe UI"/>
          <w:sz w:val="22"/>
          <w:szCs w:val="22"/>
        </w:rPr>
        <w:t xml:space="preserve">compliance against the indicators </w:t>
      </w:r>
      <w:r w:rsidRPr="007C729A">
        <w:rPr>
          <w:rFonts w:ascii="Segoe UI" w:hAnsi="Segoe UI" w:cs="Segoe UI"/>
          <w:sz w:val="22"/>
          <w:szCs w:val="22"/>
        </w:rPr>
        <w:t>for Oxfordshire</w:t>
      </w:r>
      <w:r w:rsidR="0095226A" w:rsidRPr="007C729A">
        <w:rPr>
          <w:rFonts w:ascii="Segoe UI" w:hAnsi="Segoe UI" w:cs="Segoe UI"/>
          <w:sz w:val="22"/>
          <w:szCs w:val="22"/>
        </w:rPr>
        <w:t>.</w:t>
      </w:r>
      <w:r w:rsidR="007C729A">
        <w:rPr>
          <w:rFonts w:ascii="Segoe UI" w:hAnsi="Segoe UI" w:cs="Segoe UI"/>
          <w:sz w:val="22"/>
          <w:szCs w:val="22"/>
        </w:rPr>
        <w:t xml:space="preserve">  Buckinghamshire reporting in quarterly.</w:t>
      </w:r>
      <w:r w:rsidR="0095226A" w:rsidRPr="007C729A">
        <w:rPr>
          <w:rFonts w:ascii="Segoe UI" w:hAnsi="Segoe UI" w:cs="Segoe UI"/>
          <w:sz w:val="22"/>
          <w:szCs w:val="22"/>
        </w:rPr>
        <w:t xml:space="preserve">  </w:t>
      </w:r>
    </w:p>
    <w:p w:rsidR="007C729A" w:rsidRPr="00A80A17" w:rsidRDefault="007C729A" w:rsidP="00E515DE">
      <w:pPr>
        <w:jc w:val="both"/>
        <w:rPr>
          <w:rFonts w:ascii="Segoe UI" w:hAnsi="Segoe UI" w:cs="Segoe UI"/>
          <w:sz w:val="22"/>
          <w:szCs w:val="22"/>
          <w:highlight w:val="yellow"/>
        </w:rPr>
      </w:pPr>
    </w:p>
    <w:p w:rsidR="00EA34EB" w:rsidRPr="00E23391" w:rsidRDefault="00EA34EB" w:rsidP="00E515DE">
      <w:pPr>
        <w:jc w:val="both"/>
        <w:rPr>
          <w:rFonts w:ascii="Segoe UI" w:hAnsi="Segoe UI" w:cs="Segoe UI"/>
          <w:b/>
        </w:rPr>
      </w:pPr>
      <w:r w:rsidRPr="00E23391">
        <w:rPr>
          <w:rFonts w:ascii="Segoe UI" w:hAnsi="Segoe UI" w:cs="Segoe UI"/>
          <w:b/>
        </w:rPr>
        <w:t xml:space="preserve">Performance by Directorate in </w:t>
      </w:r>
      <w:r w:rsidR="00C27287" w:rsidRPr="00E23391">
        <w:rPr>
          <w:rFonts w:ascii="Segoe UI" w:hAnsi="Segoe UI" w:cs="Segoe UI"/>
          <w:b/>
        </w:rPr>
        <w:t>April</w:t>
      </w:r>
      <w:r w:rsidR="008D36D2" w:rsidRPr="00E23391">
        <w:rPr>
          <w:rFonts w:ascii="Segoe UI" w:hAnsi="Segoe UI" w:cs="Segoe UI"/>
          <w:b/>
        </w:rPr>
        <w:t xml:space="preserve"> 2019</w:t>
      </w:r>
      <w:r w:rsidRPr="00E23391">
        <w:rPr>
          <w:rFonts w:ascii="Segoe UI" w:hAnsi="Segoe UI" w:cs="Segoe UI"/>
          <w:b/>
        </w:rPr>
        <w:t>:</w:t>
      </w:r>
    </w:p>
    <w:p w:rsidR="00EA34EB" w:rsidRPr="00E23391" w:rsidRDefault="00EA34EB" w:rsidP="00E515DE">
      <w:pPr>
        <w:jc w:val="both"/>
        <w:rPr>
          <w:rFonts w:ascii="Segoe UI" w:hAnsi="Segoe UI" w:cs="Segoe UI"/>
          <w:b/>
        </w:rPr>
      </w:pPr>
    </w:p>
    <w:p w:rsidR="00761A13" w:rsidRPr="00E23391" w:rsidRDefault="00761A13" w:rsidP="00A80A17">
      <w:pPr>
        <w:jc w:val="both"/>
        <w:rPr>
          <w:rFonts w:ascii="Segoe UI" w:eastAsia="Calibri" w:hAnsi="Segoe UI" w:cs="Segoe UI"/>
        </w:rPr>
      </w:pPr>
      <w:r w:rsidRPr="00E23391">
        <w:rPr>
          <w:rFonts w:ascii="Segoe UI" w:eastAsia="Calibri" w:hAnsi="Segoe UI" w:cs="Segoe UI"/>
          <w:b/>
          <w:bCs/>
        </w:rPr>
        <w:t xml:space="preserve">Oxfordshire, Swindon, Wiltshire &amp; </w:t>
      </w:r>
      <w:proofErr w:type="spellStart"/>
      <w:r w:rsidRPr="00E23391">
        <w:rPr>
          <w:rFonts w:ascii="Segoe UI" w:eastAsia="Calibri" w:hAnsi="Segoe UI" w:cs="Segoe UI"/>
          <w:b/>
          <w:bCs/>
        </w:rPr>
        <w:t>BaNES</w:t>
      </w:r>
      <w:proofErr w:type="spellEnd"/>
      <w:r w:rsidRPr="00E23391">
        <w:rPr>
          <w:rFonts w:ascii="Segoe UI" w:eastAsia="Calibri" w:hAnsi="Segoe UI" w:cs="Segoe UI"/>
          <w:b/>
          <w:bCs/>
        </w:rPr>
        <w:t xml:space="preserve"> – All Ages Mental Health </w:t>
      </w:r>
      <w:r w:rsidRPr="00E23391">
        <w:rPr>
          <w:rFonts w:ascii="Segoe UI" w:eastAsia="Calibri" w:hAnsi="Segoe UI" w:cs="Segoe UI"/>
        </w:rPr>
        <w:t>achieved 96 of the 122 targeted indicators (79%</w:t>
      </w:r>
      <w:r w:rsidR="00361816" w:rsidRPr="00E23391">
        <w:rPr>
          <w:rFonts w:ascii="Segoe UI" w:eastAsia="Calibri" w:hAnsi="Segoe UI" w:cs="Segoe UI"/>
        </w:rPr>
        <w:t xml:space="preserve">) </w:t>
      </w:r>
      <w:r w:rsidRPr="00E23391">
        <w:rPr>
          <w:rFonts w:ascii="Segoe UI" w:eastAsia="Calibri" w:hAnsi="Segoe UI" w:cs="Segoe UI"/>
        </w:rPr>
        <w:t>which is an increase in performance from M12 (69%).</w:t>
      </w:r>
      <w:r w:rsidR="00361816" w:rsidRPr="00E23391">
        <w:rPr>
          <w:rFonts w:ascii="Segoe UI" w:eastAsia="Calibri" w:hAnsi="Segoe UI" w:cs="Segoe UI"/>
        </w:rPr>
        <w:t xml:space="preserve">  Including JMG indicators, the directorate achieved 104 out of 130 targeted indicators (80%).</w:t>
      </w:r>
    </w:p>
    <w:p w:rsidR="00761A13" w:rsidRPr="00761A13" w:rsidRDefault="00761A13" w:rsidP="00761A13">
      <w:pPr>
        <w:jc w:val="both"/>
        <w:rPr>
          <w:rFonts w:ascii="Segoe UI" w:eastAsia="Calibri" w:hAnsi="Segoe UI" w:cs="Segoe UI"/>
        </w:rPr>
      </w:pPr>
    </w:p>
    <w:p w:rsidR="00761A13" w:rsidRPr="00761A13" w:rsidRDefault="00761A13" w:rsidP="00761A13">
      <w:pPr>
        <w:jc w:val="both"/>
        <w:rPr>
          <w:rFonts w:ascii="Segoe UI" w:eastAsia="Calibri" w:hAnsi="Segoe UI" w:cs="Segoe UI"/>
          <w:b/>
          <w:bCs/>
        </w:rPr>
      </w:pPr>
      <w:r w:rsidRPr="00761A13">
        <w:rPr>
          <w:rFonts w:ascii="Segoe UI" w:eastAsia="Calibri" w:hAnsi="Segoe UI" w:cs="Segoe UI"/>
          <w:b/>
          <w:bCs/>
        </w:rPr>
        <w:t>Highlights for the Board:</w:t>
      </w:r>
    </w:p>
    <w:p w:rsidR="00761A13" w:rsidRPr="00761A13" w:rsidRDefault="00761A13" w:rsidP="00761A13">
      <w:pPr>
        <w:jc w:val="both"/>
        <w:rPr>
          <w:rFonts w:ascii="Segoe UI" w:eastAsia="Calibri" w:hAnsi="Segoe UI" w:cs="Segoe UI"/>
        </w:rPr>
      </w:pPr>
    </w:p>
    <w:p w:rsidR="00761A13" w:rsidRPr="00E23391" w:rsidRDefault="00761A13" w:rsidP="00761A13">
      <w:pPr>
        <w:numPr>
          <w:ilvl w:val="0"/>
          <w:numId w:val="24"/>
        </w:numPr>
        <w:jc w:val="both"/>
        <w:rPr>
          <w:rFonts w:ascii="Segoe UI" w:hAnsi="Segoe UI" w:cs="Segoe UI"/>
          <w:b/>
          <w:bCs/>
        </w:rPr>
      </w:pPr>
      <w:r w:rsidRPr="00761A13">
        <w:rPr>
          <w:rFonts w:ascii="Segoe UI" w:hAnsi="Segoe UI" w:cs="Segoe UI"/>
          <w:b/>
          <w:bCs/>
        </w:rPr>
        <w:t>Emergency Department Psychiatric Service (EDPS)</w:t>
      </w:r>
      <w:r w:rsidR="00361816" w:rsidRPr="00E23391">
        <w:rPr>
          <w:rFonts w:ascii="Segoe UI" w:hAnsi="Segoe UI" w:cs="Segoe UI"/>
          <w:b/>
          <w:bCs/>
        </w:rPr>
        <w:t xml:space="preserve">. </w:t>
      </w:r>
      <w:r w:rsidRPr="00761A13">
        <w:rPr>
          <w:rFonts w:ascii="Segoe UI" w:hAnsi="Segoe UI" w:cs="Segoe UI"/>
        </w:rPr>
        <w:t>Staffing pressures continue to affect performance against the 90 min waiting time targets at the H</w:t>
      </w:r>
      <w:r w:rsidR="00361816" w:rsidRPr="00E23391">
        <w:rPr>
          <w:rFonts w:ascii="Segoe UI" w:hAnsi="Segoe UI" w:cs="Segoe UI"/>
        </w:rPr>
        <w:t>orton General Hospital.</w:t>
      </w:r>
      <w:r w:rsidRPr="00761A13">
        <w:rPr>
          <w:rFonts w:ascii="Segoe UI" w:hAnsi="Segoe UI" w:cs="Segoe UI"/>
        </w:rPr>
        <w:t xml:space="preserve">  The pressures have been reported to the Quality Review Meeting (Oxfordshire CCG) so that any identified risks to patients can be understood and mitigated. </w:t>
      </w:r>
      <w:proofErr w:type="gramStart"/>
      <w:r w:rsidRPr="00761A13">
        <w:rPr>
          <w:rFonts w:ascii="Segoe UI" w:hAnsi="Segoe UI" w:cs="Segoe UI"/>
        </w:rPr>
        <w:t>OH</w:t>
      </w:r>
      <w:proofErr w:type="gramEnd"/>
      <w:r w:rsidRPr="00761A13">
        <w:rPr>
          <w:rFonts w:ascii="Segoe UI" w:hAnsi="Segoe UI" w:cs="Segoe UI"/>
        </w:rPr>
        <w:t xml:space="preserve"> have informed Oxfordshire CCG that extra funding will be required to improve performance and capacity in EDPS</w:t>
      </w:r>
    </w:p>
    <w:p w:rsidR="00761A13" w:rsidRPr="00761A13" w:rsidRDefault="00761A13" w:rsidP="00761A13">
      <w:pPr>
        <w:ind w:left="720"/>
        <w:jc w:val="both"/>
        <w:rPr>
          <w:rFonts w:ascii="Segoe UI" w:hAnsi="Segoe UI" w:cs="Segoe UI"/>
          <w:b/>
          <w:bCs/>
        </w:rPr>
      </w:pPr>
    </w:p>
    <w:p w:rsidR="00761A13" w:rsidRPr="006114C2" w:rsidRDefault="00761A13" w:rsidP="00761A13">
      <w:pPr>
        <w:numPr>
          <w:ilvl w:val="0"/>
          <w:numId w:val="24"/>
        </w:numPr>
        <w:jc w:val="both"/>
        <w:rPr>
          <w:rFonts w:ascii="Segoe UI" w:hAnsi="Segoe UI" w:cs="Segoe UI"/>
        </w:rPr>
      </w:pPr>
      <w:r w:rsidRPr="006114C2">
        <w:rPr>
          <w:rFonts w:ascii="Segoe UI" w:hAnsi="Segoe UI" w:cs="Segoe UI"/>
          <w:b/>
          <w:bCs/>
        </w:rPr>
        <w:t>Children &amp; Young People Mental Health (OXON)</w:t>
      </w:r>
      <w:r w:rsidRPr="006114C2">
        <w:rPr>
          <w:rFonts w:ascii="Segoe UI" w:hAnsi="Segoe UI" w:cs="Segoe UI"/>
        </w:rPr>
        <w:t xml:space="preserve"> – Due to the </w:t>
      </w:r>
      <w:proofErr w:type="gramStart"/>
      <w:r w:rsidRPr="006114C2">
        <w:rPr>
          <w:rFonts w:ascii="Segoe UI" w:hAnsi="Segoe UI" w:cs="Segoe UI"/>
        </w:rPr>
        <w:t>long term</w:t>
      </w:r>
      <w:proofErr w:type="gramEnd"/>
      <w:r w:rsidRPr="006114C2">
        <w:rPr>
          <w:rFonts w:ascii="Segoe UI" w:hAnsi="Segoe UI" w:cs="Segoe UI"/>
        </w:rPr>
        <w:t xml:space="preserve"> under-investment in mental health in Oxfordshire, the Trust </w:t>
      </w:r>
      <w:r w:rsidR="00361816" w:rsidRPr="006114C2">
        <w:rPr>
          <w:rFonts w:ascii="Segoe UI" w:hAnsi="Segoe UI" w:cs="Segoe UI"/>
        </w:rPr>
        <w:t>continues not to be</w:t>
      </w:r>
      <w:r w:rsidRPr="006114C2">
        <w:rPr>
          <w:rFonts w:ascii="Segoe UI" w:hAnsi="Segoe UI" w:cs="Segoe UI"/>
        </w:rPr>
        <w:t xml:space="preserve"> able to achieve the 12 week routine waiting time target.  </w:t>
      </w:r>
      <w:proofErr w:type="gramStart"/>
      <w:r w:rsidRPr="006114C2">
        <w:rPr>
          <w:rFonts w:ascii="Segoe UI" w:hAnsi="Segoe UI" w:cs="Segoe UI"/>
        </w:rPr>
        <w:t>At the present time</w:t>
      </w:r>
      <w:proofErr w:type="gramEnd"/>
      <w:r w:rsidRPr="006114C2">
        <w:rPr>
          <w:rFonts w:ascii="Segoe UI" w:hAnsi="Segoe UI" w:cs="Segoe UI"/>
        </w:rPr>
        <w:t xml:space="preserve">, the waiting time for a routine referral </w:t>
      </w:r>
      <w:r w:rsidR="00361816" w:rsidRPr="006114C2">
        <w:rPr>
          <w:rFonts w:ascii="Segoe UI" w:hAnsi="Segoe UI" w:cs="Segoe UI"/>
        </w:rPr>
        <w:t>remains around 16</w:t>
      </w:r>
      <w:r w:rsidRPr="006114C2">
        <w:rPr>
          <w:rFonts w:ascii="Segoe UI" w:hAnsi="Segoe UI" w:cs="Segoe UI"/>
        </w:rPr>
        <w:t>+</w:t>
      </w:r>
      <w:r w:rsidR="00361816" w:rsidRPr="006114C2">
        <w:rPr>
          <w:rFonts w:ascii="Segoe UI" w:hAnsi="Segoe UI" w:cs="Segoe UI"/>
        </w:rPr>
        <w:t xml:space="preserve"> weeks</w:t>
      </w:r>
      <w:r w:rsidRPr="006114C2">
        <w:rPr>
          <w:rFonts w:ascii="Segoe UI" w:hAnsi="Segoe UI" w:cs="Segoe UI"/>
        </w:rPr>
        <w:t xml:space="preserve">.  As reported </w:t>
      </w:r>
      <w:r w:rsidR="00120A2A" w:rsidRPr="006114C2">
        <w:rPr>
          <w:rFonts w:ascii="Segoe UI" w:hAnsi="Segoe UI" w:cs="Segoe UI"/>
        </w:rPr>
        <w:t>in previous</w:t>
      </w:r>
      <w:r w:rsidRPr="006114C2">
        <w:rPr>
          <w:rFonts w:ascii="Segoe UI" w:hAnsi="Segoe UI" w:cs="Segoe UI"/>
        </w:rPr>
        <w:t xml:space="preserve"> month</w:t>
      </w:r>
      <w:r w:rsidR="00120A2A" w:rsidRPr="006114C2">
        <w:rPr>
          <w:rFonts w:ascii="Segoe UI" w:hAnsi="Segoe UI" w:cs="Segoe UI"/>
        </w:rPr>
        <w:t>s</w:t>
      </w:r>
      <w:r w:rsidRPr="006114C2">
        <w:rPr>
          <w:rFonts w:ascii="Segoe UI" w:hAnsi="Segoe UI" w:cs="Segoe UI"/>
        </w:rPr>
        <w:t>, even with Trailblazer funding at a national level, i</w:t>
      </w:r>
      <w:r w:rsidR="00120A2A" w:rsidRPr="006114C2">
        <w:rPr>
          <w:rFonts w:ascii="Segoe UI" w:hAnsi="Segoe UI" w:cs="Segoe UI"/>
        </w:rPr>
        <w:t xml:space="preserve">mprovements to routine </w:t>
      </w:r>
      <w:r w:rsidRPr="006114C2">
        <w:rPr>
          <w:rFonts w:ascii="Segoe UI" w:hAnsi="Segoe UI" w:cs="Segoe UI"/>
        </w:rPr>
        <w:t>waiting times ar</w:t>
      </w:r>
      <w:r w:rsidR="00120A2A" w:rsidRPr="006114C2">
        <w:rPr>
          <w:rFonts w:ascii="Segoe UI" w:hAnsi="Segoe UI" w:cs="Segoe UI"/>
        </w:rPr>
        <w:t>e unlikely to be seen until later in the year</w:t>
      </w:r>
      <w:r w:rsidRPr="006114C2">
        <w:rPr>
          <w:rFonts w:ascii="Segoe UI" w:hAnsi="Segoe UI" w:cs="Segoe UI"/>
        </w:rPr>
        <w:t>.</w:t>
      </w:r>
    </w:p>
    <w:p w:rsidR="00761A13" w:rsidRPr="00761A13" w:rsidRDefault="00761A13" w:rsidP="00761A13">
      <w:pPr>
        <w:jc w:val="both"/>
        <w:rPr>
          <w:rFonts w:ascii="Segoe UI" w:eastAsia="Calibri" w:hAnsi="Segoe UI" w:cs="Segoe UI"/>
        </w:rPr>
      </w:pPr>
    </w:p>
    <w:p w:rsidR="00761A13" w:rsidRPr="006114C2" w:rsidRDefault="00761A13" w:rsidP="00E3308A">
      <w:pPr>
        <w:numPr>
          <w:ilvl w:val="0"/>
          <w:numId w:val="24"/>
        </w:numPr>
        <w:rPr>
          <w:rFonts w:ascii="Segoe UI" w:hAnsi="Segoe UI" w:cs="Segoe UI"/>
        </w:rPr>
      </w:pPr>
      <w:r w:rsidRPr="006114C2">
        <w:rPr>
          <w:rFonts w:ascii="Segoe UI" w:hAnsi="Segoe UI" w:cs="Segoe UI"/>
          <w:b/>
          <w:bCs/>
        </w:rPr>
        <w:t>Adult Mental Health (OXON)</w:t>
      </w:r>
      <w:r w:rsidRPr="006114C2">
        <w:rPr>
          <w:rFonts w:ascii="Segoe UI" w:hAnsi="Segoe UI" w:cs="Segoe UI"/>
        </w:rPr>
        <w:t xml:space="preserve"> – A significant underfunding of mental health in Oxfordshire has resulted in considerable pressure building up for mental health services.  </w:t>
      </w:r>
      <w:r w:rsidRPr="006114C2">
        <w:rPr>
          <w:rFonts w:ascii="Segoe UI" w:hAnsi="Segoe UI" w:cs="Segoe UI"/>
          <w:b/>
          <w:bCs/>
        </w:rPr>
        <w:t xml:space="preserve">The Trust is not able to achieve the </w:t>
      </w:r>
      <w:proofErr w:type="gramStart"/>
      <w:r w:rsidRPr="006114C2">
        <w:rPr>
          <w:rFonts w:ascii="Segoe UI" w:hAnsi="Segoe UI" w:cs="Segoe UI"/>
          <w:b/>
          <w:bCs/>
        </w:rPr>
        <w:t>4 week</w:t>
      </w:r>
      <w:proofErr w:type="gramEnd"/>
      <w:r w:rsidRPr="006114C2">
        <w:rPr>
          <w:rFonts w:ascii="Segoe UI" w:hAnsi="Segoe UI" w:cs="Segoe UI"/>
          <w:b/>
          <w:bCs/>
        </w:rPr>
        <w:t xml:space="preserve"> waiting time target with the levels of investment available.</w:t>
      </w:r>
      <w:r w:rsidRPr="006114C2">
        <w:rPr>
          <w:rFonts w:ascii="Segoe UI" w:hAnsi="Segoe UI" w:cs="Segoe UI"/>
        </w:rPr>
        <w:t xml:space="preserve"> This position and potential resolutions </w:t>
      </w:r>
      <w:r w:rsidR="0081430F" w:rsidRPr="006114C2">
        <w:rPr>
          <w:rFonts w:ascii="Segoe UI" w:hAnsi="Segoe UI" w:cs="Segoe UI"/>
        </w:rPr>
        <w:t>have been discussed extensively</w:t>
      </w:r>
      <w:r w:rsidRPr="006114C2">
        <w:rPr>
          <w:rFonts w:ascii="Segoe UI" w:hAnsi="Segoe UI" w:cs="Segoe UI"/>
        </w:rPr>
        <w:t xml:space="preserve"> with Commissioners.</w:t>
      </w:r>
    </w:p>
    <w:p w:rsidR="00761A13" w:rsidRPr="00761A13" w:rsidRDefault="00761A13" w:rsidP="00761A13">
      <w:pPr>
        <w:ind w:left="720"/>
        <w:rPr>
          <w:rFonts w:ascii="Segoe UI" w:eastAsia="Calibri" w:hAnsi="Segoe UI" w:cs="Segoe UI"/>
        </w:rPr>
      </w:pPr>
    </w:p>
    <w:p w:rsidR="00761A13" w:rsidRPr="00761A13" w:rsidRDefault="00761A13" w:rsidP="00761A13">
      <w:pPr>
        <w:numPr>
          <w:ilvl w:val="0"/>
          <w:numId w:val="24"/>
        </w:numPr>
        <w:jc w:val="both"/>
        <w:rPr>
          <w:rFonts w:ascii="Segoe UI" w:hAnsi="Segoe UI" w:cs="Segoe UI"/>
        </w:rPr>
      </w:pPr>
      <w:r w:rsidRPr="00761A13">
        <w:rPr>
          <w:rFonts w:ascii="Segoe UI" w:hAnsi="Segoe UI" w:cs="Segoe UI"/>
          <w:b/>
          <w:bCs/>
        </w:rPr>
        <w:t>GP Outpatient Letters sent within 7 days</w:t>
      </w:r>
      <w:r w:rsidRPr="00761A13">
        <w:rPr>
          <w:rFonts w:ascii="Segoe UI" w:hAnsi="Segoe UI" w:cs="Segoe UI"/>
        </w:rPr>
        <w:t xml:space="preserve"> – Performance against this target continues to be challenging due to a lack of workforce.  This issue has been compounded by the change in target (from 10 days to 7 days) at a national level.  The service is actively recruiting additional staff.     </w:t>
      </w:r>
    </w:p>
    <w:p w:rsidR="00761A13" w:rsidRPr="00761A13" w:rsidRDefault="00761A13" w:rsidP="00761A13">
      <w:pPr>
        <w:ind w:left="720"/>
        <w:jc w:val="both"/>
        <w:rPr>
          <w:rFonts w:ascii="Segoe UI" w:eastAsia="Calibri" w:hAnsi="Segoe UI" w:cs="Segoe UI"/>
        </w:rPr>
      </w:pPr>
    </w:p>
    <w:p w:rsidR="00EA34EB" w:rsidRPr="00E23391" w:rsidRDefault="00EA34EB" w:rsidP="00A80A17">
      <w:pPr>
        <w:jc w:val="both"/>
        <w:rPr>
          <w:rFonts w:ascii="Segoe UI" w:hAnsi="Segoe UI" w:cs="Segoe UI"/>
        </w:rPr>
      </w:pPr>
      <w:r w:rsidRPr="00E23391">
        <w:rPr>
          <w:rFonts w:ascii="Segoe UI" w:hAnsi="Segoe UI" w:cs="Segoe UI"/>
          <w:b/>
        </w:rPr>
        <w:t xml:space="preserve">Buckinghamshire – All Ages Mental Health </w:t>
      </w:r>
      <w:r w:rsidRPr="00E23391">
        <w:rPr>
          <w:rFonts w:ascii="Segoe UI" w:hAnsi="Segoe UI" w:cs="Segoe UI"/>
        </w:rPr>
        <w:t xml:space="preserve">achieved </w:t>
      </w:r>
      <w:r w:rsidR="00475D23" w:rsidRPr="00E23391">
        <w:rPr>
          <w:rFonts w:ascii="Segoe UI" w:hAnsi="Segoe UI" w:cs="Segoe UI"/>
        </w:rPr>
        <w:t>29</w:t>
      </w:r>
      <w:r w:rsidR="00DB3604" w:rsidRPr="00E23391">
        <w:rPr>
          <w:rFonts w:ascii="Segoe UI" w:hAnsi="Segoe UI" w:cs="Segoe UI"/>
        </w:rPr>
        <w:t xml:space="preserve"> of the </w:t>
      </w:r>
      <w:r w:rsidR="00475D23" w:rsidRPr="00E23391">
        <w:rPr>
          <w:rFonts w:ascii="Segoe UI" w:hAnsi="Segoe UI" w:cs="Segoe UI"/>
        </w:rPr>
        <w:t>47</w:t>
      </w:r>
      <w:r w:rsidR="0037248C" w:rsidRPr="00E23391">
        <w:rPr>
          <w:rFonts w:ascii="Segoe UI" w:hAnsi="Segoe UI" w:cs="Segoe UI"/>
        </w:rPr>
        <w:t xml:space="preserve"> </w:t>
      </w:r>
      <w:r w:rsidRPr="00E23391">
        <w:rPr>
          <w:rFonts w:ascii="Segoe UI" w:hAnsi="Segoe UI" w:cs="Segoe UI"/>
        </w:rPr>
        <w:t>targeted indicators</w:t>
      </w:r>
      <w:r w:rsidR="00DB3604" w:rsidRPr="00E23391">
        <w:rPr>
          <w:rFonts w:ascii="Segoe UI" w:hAnsi="Segoe UI" w:cs="Segoe UI"/>
        </w:rPr>
        <w:t xml:space="preserve"> (</w:t>
      </w:r>
      <w:r w:rsidR="00475D23" w:rsidRPr="00E23391">
        <w:rPr>
          <w:rFonts w:ascii="Segoe UI" w:hAnsi="Segoe UI" w:cs="Segoe UI"/>
        </w:rPr>
        <w:t>62</w:t>
      </w:r>
      <w:r w:rsidR="00DB3604" w:rsidRPr="00E23391">
        <w:rPr>
          <w:rFonts w:ascii="Segoe UI" w:hAnsi="Segoe UI" w:cs="Segoe UI"/>
        </w:rPr>
        <w:t>%)</w:t>
      </w:r>
      <w:r w:rsidRPr="00E23391">
        <w:rPr>
          <w:rFonts w:ascii="Segoe UI" w:hAnsi="Segoe UI" w:cs="Segoe UI"/>
        </w:rPr>
        <w:t xml:space="preserve">.  </w:t>
      </w:r>
      <w:r w:rsidR="00927A12" w:rsidRPr="00E23391">
        <w:rPr>
          <w:rFonts w:ascii="Segoe UI" w:hAnsi="Segoe UI" w:cs="Segoe UI"/>
        </w:rPr>
        <w:t xml:space="preserve">This is a </w:t>
      </w:r>
      <w:r w:rsidR="00475D23" w:rsidRPr="00E23391">
        <w:rPr>
          <w:rFonts w:ascii="Segoe UI" w:hAnsi="Segoe UI" w:cs="Segoe UI"/>
        </w:rPr>
        <w:t>decrease</w:t>
      </w:r>
      <w:r w:rsidR="0037248C" w:rsidRPr="00E23391">
        <w:rPr>
          <w:rFonts w:ascii="Segoe UI" w:hAnsi="Segoe UI" w:cs="Segoe UI"/>
        </w:rPr>
        <w:t xml:space="preserve"> against</w:t>
      </w:r>
      <w:r w:rsidR="009922C2" w:rsidRPr="00E23391">
        <w:rPr>
          <w:rFonts w:ascii="Segoe UI" w:hAnsi="Segoe UI" w:cs="Segoe UI"/>
        </w:rPr>
        <w:t xml:space="preserve"> the performance </w:t>
      </w:r>
      <w:r w:rsidR="00927A12" w:rsidRPr="00E23391">
        <w:rPr>
          <w:rFonts w:ascii="Segoe UI" w:hAnsi="Segoe UI" w:cs="Segoe UI"/>
        </w:rPr>
        <w:t>reported in M1</w:t>
      </w:r>
      <w:r w:rsidR="0037248C" w:rsidRPr="00E23391">
        <w:rPr>
          <w:rFonts w:ascii="Segoe UI" w:hAnsi="Segoe UI" w:cs="Segoe UI"/>
        </w:rPr>
        <w:t>2</w:t>
      </w:r>
      <w:r w:rsidR="00927A12" w:rsidRPr="00E23391">
        <w:rPr>
          <w:rFonts w:ascii="Segoe UI" w:hAnsi="Segoe UI" w:cs="Segoe UI"/>
        </w:rPr>
        <w:t xml:space="preserve"> (</w:t>
      </w:r>
      <w:r w:rsidR="0037248C" w:rsidRPr="00E23391">
        <w:rPr>
          <w:rFonts w:ascii="Segoe UI" w:hAnsi="Segoe UI" w:cs="Segoe UI"/>
        </w:rPr>
        <w:t>70</w:t>
      </w:r>
      <w:r w:rsidR="00927A12" w:rsidRPr="00E23391">
        <w:rPr>
          <w:rFonts w:ascii="Segoe UI" w:hAnsi="Segoe UI" w:cs="Segoe UI"/>
        </w:rPr>
        <w:t>%).</w:t>
      </w:r>
    </w:p>
    <w:p w:rsidR="00132863" w:rsidRPr="00E23391" w:rsidRDefault="00132863" w:rsidP="00E515DE">
      <w:pPr>
        <w:jc w:val="both"/>
        <w:rPr>
          <w:rFonts w:ascii="Segoe UI" w:hAnsi="Segoe UI" w:cs="Segoe UI"/>
          <w:b/>
        </w:rPr>
      </w:pPr>
    </w:p>
    <w:p w:rsidR="00132863" w:rsidRPr="00E23391" w:rsidRDefault="00132863" w:rsidP="00B83953">
      <w:pPr>
        <w:jc w:val="both"/>
        <w:rPr>
          <w:rFonts w:ascii="Segoe UI" w:hAnsi="Segoe UI" w:cs="Segoe UI"/>
          <w:b/>
          <w:sz w:val="22"/>
          <w:szCs w:val="22"/>
        </w:rPr>
      </w:pPr>
      <w:r w:rsidRPr="00E23391">
        <w:rPr>
          <w:rFonts w:ascii="Segoe UI" w:hAnsi="Segoe UI" w:cs="Segoe UI"/>
          <w:b/>
          <w:sz w:val="22"/>
          <w:szCs w:val="22"/>
        </w:rPr>
        <w:t>Highlights for the Board:</w:t>
      </w:r>
    </w:p>
    <w:p w:rsidR="00132863" w:rsidRPr="00E23391" w:rsidRDefault="00132863" w:rsidP="00E515DE">
      <w:pPr>
        <w:jc w:val="both"/>
        <w:rPr>
          <w:rFonts w:ascii="Segoe UI" w:hAnsi="Segoe UI" w:cs="Segoe UI"/>
          <w:b/>
          <w:sz w:val="22"/>
          <w:szCs w:val="22"/>
        </w:rPr>
      </w:pPr>
    </w:p>
    <w:p w:rsidR="00B83953" w:rsidRPr="00E23391" w:rsidRDefault="00B83953" w:rsidP="00C145D1">
      <w:pPr>
        <w:pStyle w:val="ListParagraph"/>
        <w:numPr>
          <w:ilvl w:val="0"/>
          <w:numId w:val="19"/>
        </w:numPr>
        <w:jc w:val="both"/>
        <w:rPr>
          <w:rFonts w:ascii="Segoe UI" w:hAnsi="Segoe UI" w:cs="Segoe UI"/>
          <w:sz w:val="22"/>
          <w:szCs w:val="22"/>
        </w:rPr>
      </w:pPr>
      <w:r w:rsidRPr="00E23391">
        <w:rPr>
          <w:rFonts w:ascii="Segoe UI" w:hAnsi="Segoe UI" w:cs="Segoe UI"/>
          <w:b/>
          <w:sz w:val="22"/>
          <w:szCs w:val="22"/>
        </w:rPr>
        <w:t>Bucks CAMHS</w:t>
      </w:r>
      <w:r w:rsidRPr="00E23391">
        <w:rPr>
          <w:rFonts w:ascii="Segoe UI" w:hAnsi="Segoe UI" w:cs="Segoe UI"/>
          <w:sz w:val="22"/>
          <w:szCs w:val="22"/>
        </w:rPr>
        <w:t xml:space="preserve"> – The service has made a change to the reporting rules for the Bucks CAMHS indicators to align reporting with the operational service model that was changed last year.  A meeting has been arranged for </w:t>
      </w:r>
      <w:r w:rsidR="0081430F">
        <w:rPr>
          <w:rFonts w:ascii="Segoe UI" w:hAnsi="Segoe UI" w:cs="Segoe UI"/>
          <w:sz w:val="22"/>
          <w:szCs w:val="22"/>
        </w:rPr>
        <w:t xml:space="preserve">the </w:t>
      </w:r>
      <w:r w:rsidRPr="00E23391">
        <w:rPr>
          <w:rFonts w:ascii="Segoe UI" w:hAnsi="Segoe UI" w:cs="Segoe UI"/>
          <w:sz w:val="22"/>
          <w:szCs w:val="22"/>
        </w:rPr>
        <w:t xml:space="preserve">Performance &amp; Information Team to meet the service to do a detailed review of their processes. This is ongoing work with an action plan in place which has been reported to commissioners. </w:t>
      </w:r>
    </w:p>
    <w:p w:rsidR="00C2270E" w:rsidRPr="00E23391" w:rsidRDefault="00C2270E" w:rsidP="00B83953">
      <w:pPr>
        <w:rPr>
          <w:rFonts w:ascii="Segoe UI" w:hAnsi="Segoe UI" w:cs="Segoe UI"/>
        </w:rPr>
      </w:pPr>
    </w:p>
    <w:p w:rsidR="00361816" w:rsidRPr="00E23391" w:rsidRDefault="00361816" w:rsidP="00A80A17">
      <w:pPr>
        <w:jc w:val="both"/>
        <w:rPr>
          <w:rFonts w:ascii="Segoe UI" w:eastAsia="Calibri" w:hAnsi="Segoe UI" w:cs="Segoe UI"/>
        </w:rPr>
      </w:pPr>
      <w:r w:rsidRPr="00E23391">
        <w:rPr>
          <w:rFonts w:ascii="Segoe UI" w:eastAsia="Calibri" w:hAnsi="Segoe UI" w:cs="Segoe UI"/>
          <w:b/>
          <w:bCs/>
        </w:rPr>
        <w:t xml:space="preserve">Oxfordshire Community Services Directorate </w:t>
      </w:r>
      <w:r w:rsidRPr="00E23391">
        <w:rPr>
          <w:rFonts w:ascii="Segoe UI" w:eastAsia="Calibri" w:hAnsi="Segoe UI" w:cs="Segoe UI"/>
        </w:rPr>
        <w:t>achieved 38 of the 58 targeted indicators (66%</w:t>
      </w:r>
      <w:r w:rsidR="00A80A17" w:rsidRPr="00E23391">
        <w:rPr>
          <w:rFonts w:ascii="Segoe UI" w:eastAsia="Calibri" w:hAnsi="Segoe UI" w:cs="Segoe UI"/>
        </w:rPr>
        <w:t>)</w:t>
      </w:r>
      <w:r w:rsidRPr="00E23391">
        <w:rPr>
          <w:rFonts w:ascii="Segoe UI" w:eastAsia="Calibri" w:hAnsi="Segoe UI" w:cs="Segoe UI"/>
        </w:rPr>
        <w:t xml:space="preserve"> which was a significant decrease in performance from the 79% reported in </w:t>
      </w:r>
      <w:r w:rsidRPr="006114C2">
        <w:rPr>
          <w:rFonts w:ascii="Segoe UI" w:eastAsia="Calibri" w:hAnsi="Segoe UI" w:cs="Segoe UI"/>
        </w:rPr>
        <w:t xml:space="preserve">April. </w:t>
      </w:r>
      <w:r w:rsidR="00A80A17" w:rsidRPr="006114C2">
        <w:rPr>
          <w:rFonts w:ascii="Segoe UI" w:eastAsia="Calibri" w:hAnsi="Segoe UI" w:cs="Segoe UI"/>
        </w:rPr>
        <w:t xml:space="preserve"> </w:t>
      </w:r>
      <w:bookmarkStart w:id="1" w:name="_Hlk8968290"/>
      <w:r w:rsidR="00A80A17" w:rsidRPr="006114C2">
        <w:rPr>
          <w:rFonts w:ascii="Segoe UI" w:eastAsia="Calibri" w:hAnsi="Segoe UI" w:cs="Segoe UI"/>
        </w:rPr>
        <w:t>A h</w:t>
      </w:r>
      <w:r w:rsidRPr="006114C2">
        <w:rPr>
          <w:rFonts w:ascii="Segoe UI" w:eastAsia="Calibri" w:hAnsi="Segoe UI" w:cs="Segoe UI"/>
        </w:rPr>
        <w:t xml:space="preserve">igh proportion of indicators that </w:t>
      </w:r>
      <w:r w:rsidR="0081430F" w:rsidRPr="006114C2">
        <w:rPr>
          <w:rFonts w:ascii="Segoe UI" w:eastAsia="Calibri" w:hAnsi="Segoe UI" w:cs="Segoe UI"/>
        </w:rPr>
        <w:t>were</w:t>
      </w:r>
      <w:r w:rsidRPr="006114C2">
        <w:rPr>
          <w:rFonts w:ascii="Segoe UI" w:eastAsia="Calibri" w:hAnsi="Segoe UI" w:cs="Segoe UI"/>
        </w:rPr>
        <w:t xml:space="preserve"> suspended over the Winter period (1</w:t>
      </w:r>
      <w:r w:rsidRPr="006114C2">
        <w:rPr>
          <w:rFonts w:ascii="Segoe UI" w:eastAsia="Calibri" w:hAnsi="Segoe UI" w:cs="Segoe UI"/>
          <w:vertAlign w:val="superscript"/>
        </w:rPr>
        <w:t>st</w:t>
      </w:r>
      <w:r w:rsidRPr="006114C2">
        <w:rPr>
          <w:rFonts w:ascii="Segoe UI" w:eastAsia="Calibri" w:hAnsi="Segoe UI" w:cs="Segoe UI"/>
        </w:rPr>
        <w:t xml:space="preserve"> November 2018 – 31</w:t>
      </w:r>
      <w:r w:rsidRPr="006114C2">
        <w:rPr>
          <w:rFonts w:ascii="Segoe UI" w:eastAsia="Calibri" w:hAnsi="Segoe UI" w:cs="Segoe UI"/>
          <w:vertAlign w:val="superscript"/>
        </w:rPr>
        <w:t>st</w:t>
      </w:r>
      <w:r w:rsidRPr="006114C2">
        <w:rPr>
          <w:rFonts w:ascii="Segoe UI" w:eastAsia="Calibri" w:hAnsi="Segoe UI" w:cs="Segoe UI"/>
        </w:rPr>
        <w:t xml:space="preserve"> March 2019) have been re-instated</w:t>
      </w:r>
      <w:r w:rsidR="0081430F" w:rsidRPr="006114C2">
        <w:rPr>
          <w:rFonts w:ascii="Segoe UI" w:eastAsia="Calibri" w:hAnsi="Segoe UI" w:cs="Segoe UI"/>
        </w:rPr>
        <w:t xml:space="preserve"> by commissioners.  An urgent review will be carried out to understand the </w:t>
      </w:r>
      <w:proofErr w:type="gramStart"/>
      <w:r w:rsidR="0081430F" w:rsidRPr="006114C2">
        <w:rPr>
          <w:rFonts w:ascii="Segoe UI" w:eastAsia="Calibri" w:hAnsi="Segoe UI" w:cs="Segoe UI"/>
        </w:rPr>
        <w:t>long term</w:t>
      </w:r>
      <w:proofErr w:type="gramEnd"/>
      <w:r w:rsidR="0081430F" w:rsidRPr="006114C2">
        <w:rPr>
          <w:rFonts w:ascii="Segoe UI" w:eastAsia="Calibri" w:hAnsi="Segoe UI" w:cs="Segoe UI"/>
        </w:rPr>
        <w:t xml:space="preserve"> value of these indicators and their future.</w:t>
      </w:r>
      <w:bookmarkEnd w:id="1"/>
    </w:p>
    <w:p w:rsidR="00361816" w:rsidRPr="00361816" w:rsidRDefault="00361816" w:rsidP="00361816">
      <w:pPr>
        <w:jc w:val="both"/>
        <w:rPr>
          <w:rFonts w:ascii="Segoe UI" w:eastAsia="Calibri" w:hAnsi="Segoe UI" w:cs="Segoe UI"/>
        </w:rPr>
      </w:pPr>
    </w:p>
    <w:p w:rsidR="00361816" w:rsidRPr="00361816" w:rsidRDefault="00361816" w:rsidP="00361816">
      <w:pPr>
        <w:jc w:val="both"/>
        <w:rPr>
          <w:rFonts w:ascii="Segoe UI" w:eastAsia="Calibri" w:hAnsi="Segoe UI" w:cs="Segoe UI"/>
          <w:b/>
          <w:bCs/>
        </w:rPr>
      </w:pPr>
      <w:r w:rsidRPr="00361816">
        <w:rPr>
          <w:rFonts w:ascii="Segoe UI" w:eastAsia="Calibri" w:hAnsi="Segoe UI" w:cs="Segoe UI"/>
          <w:b/>
          <w:bCs/>
        </w:rPr>
        <w:t>Highlights for the Board:</w:t>
      </w:r>
    </w:p>
    <w:p w:rsidR="00361816" w:rsidRPr="00361816" w:rsidRDefault="00361816" w:rsidP="00361816">
      <w:pPr>
        <w:jc w:val="both"/>
        <w:rPr>
          <w:rFonts w:ascii="Segoe UI" w:eastAsia="Calibri" w:hAnsi="Segoe UI" w:cs="Segoe UI"/>
        </w:rPr>
      </w:pPr>
    </w:p>
    <w:p w:rsidR="00361816" w:rsidRPr="00361816" w:rsidRDefault="00361816" w:rsidP="00361816">
      <w:pPr>
        <w:numPr>
          <w:ilvl w:val="0"/>
          <w:numId w:val="25"/>
        </w:numPr>
        <w:jc w:val="both"/>
        <w:rPr>
          <w:rFonts w:ascii="Segoe UI" w:hAnsi="Segoe UI" w:cs="Segoe UI"/>
        </w:rPr>
      </w:pPr>
      <w:r w:rsidRPr="00361816">
        <w:rPr>
          <w:rFonts w:ascii="Segoe UI" w:hAnsi="Segoe UI" w:cs="Segoe UI"/>
          <w:b/>
          <w:bCs/>
        </w:rPr>
        <w:t>Oxfordshire and Buckinghamshire Continuing Health Care (CHC</w:t>
      </w:r>
      <w:r w:rsidRPr="00361816">
        <w:rPr>
          <w:rFonts w:ascii="Segoe UI" w:hAnsi="Segoe UI" w:cs="Segoe UI"/>
        </w:rPr>
        <w:t xml:space="preserve">) – Detailed discussions continue with commissioners in Oxfordshire and Buckinghamshire to resolve </w:t>
      </w:r>
      <w:proofErr w:type="gramStart"/>
      <w:r w:rsidRPr="00361816">
        <w:rPr>
          <w:rFonts w:ascii="Segoe UI" w:hAnsi="Segoe UI" w:cs="Segoe UI"/>
        </w:rPr>
        <w:t>a number of</w:t>
      </w:r>
      <w:proofErr w:type="gramEnd"/>
      <w:r w:rsidRPr="00361816">
        <w:rPr>
          <w:rFonts w:ascii="Segoe UI" w:hAnsi="Segoe UI" w:cs="Segoe UI"/>
        </w:rPr>
        <w:t xml:space="preserve"> long-standing issues in both counties.  Significant improvements have been made in Buckinghamshire, however, achieving the 28-day target for assessing referrals remains a challenge. Performance in Oxfordshire has slightly decreased due to </w:t>
      </w:r>
      <w:r w:rsidR="00B129F4">
        <w:rPr>
          <w:rFonts w:ascii="Segoe UI" w:hAnsi="Segoe UI" w:cs="Segoe UI"/>
        </w:rPr>
        <w:t>the continuing pressure</w:t>
      </w:r>
      <w:r w:rsidRPr="00361816">
        <w:rPr>
          <w:rFonts w:ascii="Segoe UI" w:hAnsi="Segoe UI" w:cs="Segoe UI"/>
        </w:rPr>
        <w:t xml:space="preserve"> of referrals and workforce issues</w:t>
      </w:r>
      <w:r w:rsidR="00B129F4">
        <w:rPr>
          <w:rFonts w:ascii="Segoe UI" w:hAnsi="Segoe UI" w:cs="Segoe UI"/>
        </w:rPr>
        <w:t>.</w:t>
      </w:r>
    </w:p>
    <w:p w:rsidR="00361816" w:rsidRPr="00361816" w:rsidRDefault="00361816" w:rsidP="00361816">
      <w:pPr>
        <w:ind w:left="720"/>
        <w:jc w:val="both"/>
        <w:rPr>
          <w:rFonts w:ascii="Segoe UI" w:eastAsia="Calibri" w:hAnsi="Segoe UI" w:cs="Segoe UI"/>
        </w:rPr>
      </w:pPr>
    </w:p>
    <w:p w:rsidR="00361816" w:rsidRPr="00361816" w:rsidRDefault="00361816" w:rsidP="00361816">
      <w:pPr>
        <w:numPr>
          <w:ilvl w:val="0"/>
          <w:numId w:val="25"/>
        </w:numPr>
        <w:jc w:val="both"/>
        <w:rPr>
          <w:rFonts w:ascii="Segoe UI" w:hAnsi="Segoe UI" w:cs="Segoe UI"/>
          <w:sz w:val="22"/>
          <w:szCs w:val="22"/>
          <w:lang w:val="en-GB"/>
        </w:rPr>
      </w:pPr>
      <w:r w:rsidRPr="00361816">
        <w:rPr>
          <w:rFonts w:ascii="Segoe UI" w:hAnsi="Segoe UI" w:cs="Segoe UI"/>
          <w:b/>
          <w:bCs/>
        </w:rPr>
        <w:t xml:space="preserve">Falls Service – </w:t>
      </w:r>
      <w:r w:rsidRPr="00361816">
        <w:rPr>
          <w:rFonts w:ascii="Segoe UI" w:hAnsi="Segoe UI" w:cs="Segoe UI"/>
        </w:rPr>
        <w:t>Performance has improved significantly since the service has been fully staffed.   The Service has achieved 74% against their target of 90%. The Service is working closely with commissioners to recover and sustain performance by the end of Quarter 1.</w:t>
      </w:r>
    </w:p>
    <w:p w:rsidR="00361816" w:rsidRPr="00361816" w:rsidRDefault="00361816" w:rsidP="00361816">
      <w:pPr>
        <w:rPr>
          <w:rFonts w:ascii="Segoe UI" w:eastAsia="Calibri" w:hAnsi="Segoe UI" w:cs="Segoe UI"/>
          <w:sz w:val="22"/>
          <w:szCs w:val="22"/>
          <w:lang w:val="en-GB"/>
        </w:rPr>
      </w:pPr>
    </w:p>
    <w:p w:rsidR="00E23391" w:rsidRPr="00E23391" w:rsidRDefault="00EA34EB" w:rsidP="00E23391">
      <w:pPr>
        <w:pStyle w:val="ListParagraph"/>
        <w:numPr>
          <w:ilvl w:val="0"/>
          <w:numId w:val="23"/>
        </w:numPr>
        <w:jc w:val="both"/>
        <w:rPr>
          <w:rFonts w:ascii="Segoe UI" w:hAnsi="Segoe UI" w:cs="Segoe UI"/>
          <w:b/>
        </w:rPr>
      </w:pPr>
      <w:proofErr w:type="spellStart"/>
      <w:r w:rsidRPr="00E23391">
        <w:rPr>
          <w:rFonts w:ascii="Segoe UI" w:hAnsi="Segoe UI" w:cs="Segoe UI"/>
          <w:b/>
        </w:rPr>
        <w:t>Speciali</w:t>
      </w:r>
      <w:r w:rsidR="000974F2" w:rsidRPr="00E23391">
        <w:rPr>
          <w:rFonts w:ascii="Segoe UI" w:hAnsi="Segoe UI" w:cs="Segoe UI"/>
          <w:b/>
        </w:rPr>
        <w:t>sed</w:t>
      </w:r>
      <w:proofErr w:type="spellEnd"/>
      <w:r w:rsidR="00C37643" w:rsidRPr="00E23391">
        <w:rPr>
          <w:rFonts w:ascii="Segoe UI" w:hAnsi="Segoe UI" w:cs="Segoe UI"/>
          <w:b/>
        </w:rPr>
        <w:t xml:space="preserve"> Services</w:t>
      </w:r>
      <w:r w:rsidRPr="00E23391">
        <w:rPr>
          <w:rFonts w:ascii="Segoe UI" w:hAnsi="Segoe UI" w:cs="Segoe UI"/>
          <w:b/>
        </w:rPr>
        <w:t xml:space="preserve"> </w:t>
      </w:r>
      <w:r w:rsidRPr="00E23391">
        <w:rPr>
          <w:rFonts w:ascii="Segoe UI" w:hAnsi="Segoe UI" w:cs="Segoe UI"/>
        </w:rPr>
        <w:t xml:space="preserve">achieved </w:t>
      </w:r>
      <w:r w:rsidR="00E23391" w:rsidRPr="00E23391">
        <w:rPr>
          <w:rFonts w:ascii="Segoe UI" w:hAnsi="Segoe UI" w:cs="Segoe UI"/>
        </w:rPr>
        <w:t>101 out of 112</w:t>
      </w:r>
      <w:r w:rsidR="009750DE" w:rsidRPr="00E23391">
        <w:rPr>
          <w:rFonts w:ascii="Segoe UI" w:hAnsi="Segoe UI" w:cs="Segoe UI"/>
        </w:rPr>
        <w:t xml:space="preserve"> </w:t>
      </w:r>
      <w:r w:rsidRPr="00E23391">
        <w:rPr>
          <w:rFonts w:ascii="Segoe UI" w:hAnsi="Segoe UI" w:cs="Segoe UI"/>
        </w:rPr>
        <w:t>targeted indicators</w:t>
      </w:r>
      <w:r w:rsidR="00DB3604" w:rsidRPr="00E23391">
        <w:rPr>
          <w:rFonts w:ascii="Segoe UI" w:hAnsi="Segoe UI" w:cs="Segoe UI"/>
        </w:rPr>
        <w:t xml:space="preserve"> (</w:t>
      </w:r>
      <w:r w:rsidR="00C91637" w:rsidRPr="00E23391">
        <w:rPr>
          <w:rFonts w:ascii="Segoe UI" w:hAnsi="Segoe UI" w:cs="Segoe UI"/>
        </w:rPr>
        <w:t>9</w:t>
      </w:r>
      <w:r w:rsidR="00E23391" w:rsidRPr="00E23391">
        <w:rPr>
          <w:rFonts w:ascii="Segoe UI" w:hAnsi="Segoe UI" w:cs="Segoe UI"/>
        </w:rPr>
        <w:t>0</w:t>
      </w:r>
      <w:r w:rsidR="00DB3604" w:rsidRPr="00E23391">
        <w:rPr>
          <w:rFonts w:ascii="Segoe UI" w:hAnsi="Segoe UI" w:cs="Segoe UI"/>
        </w:rPr>
        <w:t>%)</w:t>
      </w:r>
      <w:r w:rsidR="00976DE7" w:rsidRPr="00E23391">
        <w:rPr>
          <w:rFonts w:ascii="Segoe UI" w:hAnsi="Segoe UI" w:cs="Segoe UI"/>
        </w:rPr>
        <w:t>, which is an increase in performance against M12 (88%)</w:t>
      </w:r>
      <w:r w:rsidR="00475D23" w:rsidRPr="00E23391">
        <w:rPr>
          <w:rFonts w:ascii="Segoe UI" w:hAnsi="Segoe UI" w:cs="Segoe UI"/>
        </w:rPr>
        <w:t xml:space="preserve"> </w:t>
      </w:r>
    </w:p>
    <w:p w:rsidR="00132863" w:rsidRPr="00E23391" w:rsidRDefault="00E23391" w:rsidP="00E23391">
      <w:pPr>
        <w:pStyle w:val="ListParagraph"/>
        <w:ind w:left="502"/>
        <w:jc w:val="both"/>
        <w:rPr>
          <w:rFonts w:ascii="Segoe UI" w:hAnsi="Segoe UI" w:cs="Segoe UI"/>
          <w:b/>
          <w:highlight w:val="yellow"/>
        </w:rPr>
      </w:pPr>
      <w:r w:rsidRPr="00E23391">
        <w:rPr>
          <w:rFonts w:ascii="Segoe UI" w:hAnsi="Segoe UI" w:cs="Segoe UI"/>
          <w:b/>
          <w:highlight w:val="yellow"/>
        </w:rPr>
        <w:t xml:space="preserve"> </w:t>
      </w:r>
    </w:p>
    <w:p w:rsidR="00132863" w:rsidRPr="00E23391" w:rsidRDefault="00132863" w:rsidP="00101A21">
      <w:pPr>
        <w:ind w:left="502"/>
        <w:rPr>
          <w:rFonts w:ascii="Segoe UI" w:hAnsi="Segoe UI" w:cs="Segoe UI"/>
          <w:b/>
          <w:sz w:val="22"/>
          <w:szCs w:val="22"/>
        </w:rPr>
      </w:pPr>
      <w:r w:rsidRPr="00E23391">
        <w:rPr>
          <w:rFonts w:ascii="Segoe UI" w:hAnsi="Segoe UI" w:cs="Segoe UI"/>
          <w:b/>
          <w:sz w:val="22"/>
          <w:szCs w:val="22"/>
        </w:rPr>
        <w:t>Highlights for the Board:</w:t>
      </w:r>
    </w:p>
    <w:p w:rsidR="00405D2D" w:rsidRPr="00E23391" w:rsidRDefault="00405D2D" w:rsidP="001E3511">
      <w:pPr>
        <w:jc w:val="both"/>
        <w:rPr>
          <w:rFonts w:ascii="Segoe UI" w:hAnsi="Segoe UI" w:cs="Segoe UI"/>
          <w:sz w:val="22"/>
          <w:szCs w:val="22"/>
        </w:rPr>
      </w:pPr>
    </w:p>
    <w:p w:rsidR="00142BB1" w:rsidRPr="00E23391" w:rsidRDefault="00012059" w:rsidP="00142BB1">
      <w:pPr>
        <w:pStyle w:val="ListParagraph"/>
        <w:numPr>
          <w:ilvl w:val="0"/>
          <w:numId w:val="22"/>
        </w:numPr>
        <w:jc w:val="both"/>
        <w:rPr>
          <w:rFonts w:ascii="Segoe UI" w:hAnsi="Segoe UI" w:cs="Segoe UI"/>
          <w:color w:val="244061" w:themeColor="accent1" w:themeShade="80"/>
          <w:sz w:val="22"/>
          <w:szCs w:val="22"/>
        </w:rPr>
      </w:pPr>
      <w:r w:rsidRPr="00E23391">
        <w:rPr>
          <w:rFonts w:ascii="Segoe UI" w:hAnsi="Segoe UI" w:cs="Segoe UI"/>
          <w:b/>
          <w:sz w:val="22"/>
          <w:szCs w:val="22"/>
        </w:rPr>
        <w:t xml:space="preserve">Eating Disorders (Bed Occupancy) </w:t>
      </w:r>
      <w:r w:rsidRPr="00E23391">
        <w:rPr>
          <w:rFonts w:ascii="Segoe UI" w:hAnsi="Segoe UI" w:cs="Segoe UI"/>
          <w:sz w:val="22"/>
          <w:szCs w:val="22"/>
        </w:rPr>
        <w:t xml:space="preserve">– </w:t>
      </w:r>
      <w:r w:rsidR="00961813" w:rsidRPr="00E23391">
        <w:rPr>
          <w:rFonts w:ascii="Segoe UI" w:hAnsi="Segoe UI" w:cs="Segoe UI"/>
          <w:sz w:val="22"/>
          <w:szCs w:val="22"/>
        </w:rPr>
        <w:t xml:space="preserve">As reported in </w:t>
      </w:r>
      <w:r w:rsidR="00C91637" w:rsidRPr="00E23391">
        <w:rPr>
          <w:rFonts w:ascii="Segoe UI" w:hAnsi="Segoe UI" w:cs="Segoe UI"/>
          <w:sz w:val="22"/>
          <w:szCs w:val="22"/>
        </w:rPr>
        <w:t>previous months</w:t>
      </w:r>
      <w:r w:rsidR="00961813" w:rsidRPr="00E23391">
        <w:rPr>
          <w:rFonts w:ascii="Segoe UI" w:hAnsi="Segoe UI" w:cs="Segoe UI"/>
          <w:sz w:val="22"/>
          <w:szCs w:val="22"/>
        </w:rPr>
        <w:t>, t</w:t>
      </w:r>
      <w:r w:rsidRPr="00E23391">
        <w:rPr>
          <w:rFonts w:ascii="Segoe UI" w:hAnsi="Segoe UI" w:cs="Segoe UI"/>
          <w:sz w:val="22"/>
          <w:szCs w:val="22"/>
        </w:rPr>
        <w:t xml:space="preserve">he Trust </w:t>
      </w:r>
      <w:r w:rsidR="00E12FA9" w:rsidRPr="00E23391">
        <w:rPr>
          <w:rFonts w:ascii="Segoe UI" w:hAnsi="Segoe UI" w:cs="Segoe UI"/>
          <w:sz w:val="22"/>
          <w:szCs w:val="22"/>
        </w:rPr>
        <w:t>is</w:t>
      </w:r>
      <w:r w:rsidR="00961813" w:rsidRPr="00E23391">
        <w:rPr>
          <w:rFonts w:ascii="Segoe UI" w:hAnsi="Segoe UI" w:cs="Segoe UI"/>
          <w:sz w:val="22"/>
          <w:szCs w:val="22"/>
        </w:rPr>
        <w:t xml:space="preserve"> still</w:t>
      </w:r>
      <w:r w:rsidR="00E12FA9" w:rsidRPr="00E23391">
        <w:rPr>
          <w:rFonts w:ascii="Segoe UI" w:hAnsi="Segoe UI" w:cs="Segoe UI"/>
          <w:sz w:val="22"/>
          <w:szCs w:val="22"/>
        </w:rPr>
        <w:t xml:space="preserve"> not able to use all its available bed stock </w:t>
      </w:r>
      <w:r w:rsidR="00AD13EF" w:rsidRPr="00E23391">
        <w:rPr>
          <w:rFonts w:ascii="Segoe UI" w:hAnsi="Segoe UI" w:cs="Segoe UI"/>
          <w:sz w:val="22"/>
          <w:szCs w:val="22"/>
        </w:rPr>
        <w:t xml:space="preserve">due to </w:t>
      </w:r>
      <w:r w:rsidR="00C91637" w:rsidRPr="00E23391">
        <w:rPr>
          <w:rFonts w:ascii="Segoe UI" w:hAnsi="Segoe UI" w:cs="Segoe UI"/>
          <w:sz w:val="22"/>
          <w:szCs w:val="22"/>
        </w:rPr>
        <w:t xml:space="preserve">increasingly high </w:t>
      </w:r>
      <w:r w:rsidR="00AD13EF" w:rsidRPr="00E23391">
        <w:rPr>
          <w:rFonts w:ascii="Segoe UI" w:hAnsi="Segoe UI" w:cs="Segoe UI"/>
          <w:sz w:val="22"/>
          <w:szCs w:val="22"/>
        </w:rPr>
        <w:t xml:space="preserve">levels of </w:t>
      </w:r>
      <w:r w:rsidR="00AD13EF" w:rsidRPr="00E23391">
        <w:rPr>
          <w:rFonts w:ascii="Segoe UI" w:hAnsi="Segoe UI" w:cs="Segoe UI"/>
          <w:sz w:val="22"/>
          <w:szCs w:val="22"/>
        </w:rPr>
        <w:lastRenderedPageBreak/>
        <w:t>patient acuity and a lack of workforce</w:t>
      </w:r>
      <w:r w:rsidR="004862BC" w:rsidRPr="00E23391">
        <w:rPr>
          <w:rFonts w:ascii="Segoe UI" w:hAnsi="Segoe UI" w:cs="Segoe UI"/>
          <w:sz w:val="22"/>
          <w:szCs w:val="22"/>
        </w:rPr>
        <w:t xml:space="preserve">.  </w:t>
      </w:r>
      <w:r w:rsidR="00AD13EF" w:rsidRPr="00E23391">
        <w:rPr>
          <w:rFonts w:ascii="Segoe UI" w:hAnsi="Segoe UI" w:cs="Segoe UI"/>
          <w:sz w:val="22"/>
          <w:szCs w:val="22"/>
        </w:rPr>
        <w:t>Commissioners (NHS England) have been notified and</w:t>
      </w:r>
      <w:r w:rsidR="00225CD4" w:rsidRPr="00E23391">
        <w:rPr>
          <w:rFonts w:ascii="Segoe UI" w:hAnsi="Segoe UI" w:cs="Segoe UI"/>
          <w:sz w:val="22"/>
          <w:szCs w:val="22"/>
        </w:rPr>
        <w:t xml:space="preserve"> a decision is now required </w:t>
      </w:r>
      <w:r w:rsidR="00431649" w:rsidRPr="00E23391">
        <w:rPr>
          <w:rFonts w:ascii="Segoe UI" w:hAnsi="Segoe UI" w:cs="Segoe UI"/>
          <w:sz w:val="22"/>
          <w:szCs w:val="22"/>
        </w:rPr>
        <w:t>in relation to</w:t>
      </w:r>
      <w:r w:rsidR="00225CD4" w:rsidRPr="00E23391">
        <w:rPr>
          <w:rFonts w:ascii="Segoe UI" w:hAnsi="Segoe UI" w:cs="Segoe UI"/>
          <w:sz w:val="22"/>
          <w:szCs w:val="22"/>
        </w:rPr>
        <w:t xml:space="preserve"> lowering the target or investing further funding so that additional </w:t>
      </w:r>
      <w:r w:rsidR="00113C22" w:rsidRPr="00E23391">
        <w:rPr>
          <w:rFonts w:ascii="Segoe UI" w:hAnsi="Segoe UI" w:cs="Segoe UI"/>
          <w:sz w:val="22"/>
          <w:szCs w:val="22"/>
        </w:rPr>
        <w:t>workforce can be recruited</w:t>
      </w:r>
      <w:r w:rsidR="00225CD4" w:rsidRPr="00E23391">
        <w:rPr>
          <w:rFonts w:ascii="Segoe UI" w:hAnsi="Segoe UI" w:cs="Segoe UI"/>
          <w:sz w:val="22"/>
          <w:szCs w:val="22"/>
        </w:rPr>
        <w:t>.</w:t>
      </w:r>
    </w:p>
    <w:p w:rsidR="00180EDB" w:rsidRPr="00A80A17" w:rsidRDefault="00180EDB" w:rsidP="0073522A">
      <w:pPr>
        <w:jc w:val="both"/>
        <w:rPr>
          <w:rFonts w:ascii="Segoe UI" w:hAnsi="Segoe UI" w:cs="Segoe UI"/>
          <w:b/>
          <w:sz w:val="22"/>
          <w:szCs w:val="22"/>
          <w:highlight w:val="yellow"/>
        </w:rPr>
      </w:pPr>
    </w:p>
    <w:p w:rsidR="0073522A" w:rsidRPr="00A80A17" w:rsidRDefault="0073522A" w:rsidP="0073522A">
      <w:pPr>
        <w:jc w:val="both"/>
        <w:rPr>
          <w:rFonts w:ascii="Segoe UI" w:hAnsi="Segoe UI" w:cs="Segoe UI"/>
        </w:rPr>
      </w:pPr>
      <w:r w:rsidRPr="00A80A17">
        <w:rPr>
          <w:rFonts w:ascii="Segoe UI" w:hAnsi="Segoe UI" w:cs="Segoe UI"/>
          <w:b/>
        </w:rPr>
        <w:t>Recommendation</w:t>
      </w:r>
    </w:p>
    <w:p w:rsidR="005D3499" w:rsidRPr="00A80A17" w:rsidRDefault="00F95454">
      <w:pPr>
        <w:jc w:val="both"/>
        <w:rPr>
          <w:rFonts w:ascii="Segoe UI" w:hAnsi="Segoe UI" w:cs="Segoe UI"/>
        </w:rPr>
      </w:pPr>
      <w:r w:rsidRPr="00A80A17">
        <w:rPr>
          <w:rFonts w:ascii="Segoe UI" w:hAnsi="Segoe UI" w:cs="Segoe UI"/>
        </w:rPr>
        <w:t>The Board of Directors is</w:t>
      </w:r>
      <w:r w:rsidR="00C62464" w:rsidRPr="00A80A17">
        <w:rPr>
          <w:rFonts w:ascii="Segoe UI" w:hAnsi="Segoe UI" w:cs="Segoe UI"/>
        </w:rPr>
        <w:t xml:space="preserve"> asked to review </w:t>
      </w:r>
      <w:r w:rsidR="00982842" w:rsidRPr="00A80A17">
        <w:rPr>
          <w:rFonts w:ascii="Segoe UI" w:hAnsi="Segoe UI" w:cs="Segoe UI"/>
        </w:rPr>
        <w:t xml:space="preserve">and note </w:t>
      </w:r>
      <w:r w:rsidR="00C62464" w:rsidRPr="00A80A17">
        <w:rPr>
          <w:rFonts w:ascii="Segoe UI" w:hAnsi="Segoe UI" w:cs="Segoe UI"/>
        </w:rPr>
        <w:t xml:space="preserve">the </w:t>
      </w:r>
      <w:r w:rsidR="00982842" w:rsidRPr="00A80A17">
        <w:rPr>
          <w:rFonts w:ascii="Segoe UI" w:hAnsi="Segoe UI" w:cs="Segoe UI"/>
        </w:rPr>
        <w:t>monthly Board performance report.</w:t>
      </w:r>
    </w:p>
    <w:p w:rsidR="00982842" w:rsidRPr="00A80A17" w:rsidRDefault="00982842">
      <w:pPr>
        <w:jc w:val="both"/>
        <w:rPr>
          <w:rFonts w:ascii="Segoe UI" w:hAnsi="Segoe UI" w:cs="Segoe UI"/>
          <w:b/>
        </w:rPr>
      </w:pPr>
    </w:p>
    <w:p w:rsidR="003F7366" w:rsidRPr="00A80A17" w:rsidRDefault="002619EF" w:rsidP="00B129F4">
      <w:pPr>
        <w:ind w:left="1440" w:hanging="1440"/>
        <w:jc w:val="both"/>
        <w:rPr>
          <w:rFonts w:ascii="Segoe UI" w:hAnsi="Segoe UI" w:cs="Segoe UI"/>
        </w:rPr>
      </w:pPr>
      <w:r w:rsidRPr="00A80A17">
        <w:rPr>
          <w:rFonts w:ascii="Segoe UI" w:hAnsi="Segoe UI" w:cs="Segoe UI"/>
          <w:b/>
        </w:rPr>
        <w:t>Author and T</w:t>
      </w:r>
      <w:r w:rsidR="0073522A" w:rsidRPr="00A80A17">
        <w:rPr>
          <w:rFonts w:ascii="Segoe UI" w:hAnsi="Segoe UI" w:cs="Segoe UI"/>
          <w:b/>
        </w:rPr>
        <w:t>itle:</w:t>
      </w:r>
      <w:r w:rsidR="0073522A" w:rsidRPr="00A80A17">
        <w:rPr>
          <w:rFonts w:ascii="Segoe UI" w:hAnsi="Segoe UI" w:cs="Segoe UI"/>
        </w:rPr>
        <w:t xml:space="preserve"> </w:t>
      </w:r>
      <w:r w:rsidR="00B129F4">
        <w:rPr>
          <w:rFonts w:ascii="Segoe UI" w:hAnsi="Segoe UI" w:cs="Segoe UI"/>
        </w:rPr>
        <w:t xml:space="preserve"> </w:t>
      </w:r>
      <w:r w:rsidR="00C36082" w:rsidRPr="00A80A17">
        <w:rPr>
          <w:rFonts w:ascii="Segoe UI" w:hAnsi="Segoe UI" w:cs="Segoe UI"/>
        </w:rPr>
        <w:t xml:space="preserve">Martyn Ward – </w:t>
      </w:r>
      <w:r w:rsidR="00BF72AE" w:rsidRPr="00A80A17">
        <w:rPr>
          <w:rFonts w:ascii="Segoe UI" w:hAnsi="Segoe UI" w:cs="Segoe UI"/>
        </w:rPr>
        <w:t xml:space="preserve">Director of </w:t>
      </w:r>
      <w:r w:rsidR="00C77CF2" w:rsidRPr="00A80A17">
        <w:rPr>
          <w:rFonts w:ascii="Segoe UI" w:hAnsi="Segoe UI" w:cs="Segoe UI"/>
        </w:rPr>
        <w:t xml:space="preserve">Strategy &amp; </w:t>
      </w:r>
      <w:r w:rsidR="00C24259" w:rsidRPr="00A80A17">
        <w:rPr>
          <w:rFonts w:ascii="Segoe UI" w:hAnsi="Segoe UI" w:cs="Segoe UI"/>
        </w:rPr>
        <w:t xml:space="preserve">Chief Information </w:t>
      </w:r>
      <w:r w:rsidR="00B129F4">
        <w:rPr>
          <w:rFonts w:ascii="Segoe UI" w:hAnsi="Segoe UI" w:cs="Segoe UI"/>
        </w:rPr>
        <w:t>O</w:t>
      </w:r>
      <w:r w:rsidR="00C24259" w:rsidRPr="00A80A17">
        <w:rPr>
          <w:rFonts w:ascii="Segoe UI" w:hAnsi="Segoe UI" w:cs="Segoe UI"/>
        </w:rPr>
        <w:t>fficer</w:t>
      </w:r>
    </w:p>
    <w:p w:rsidR="000E317C" w:rsidRPr="00A80A17" w:rsidRDefault="000E317C" w:rsidP="0073522A">
      <w:pPr>
        <w:ind w:left="1440" w:hanging="1440"/>
        <w:jc w:val="both"/>
        <w:rPr>
          <w:rFonts w:ascii="Segoe UI" w:hAnsi="Segoe UI" w:cs="Segoe UI"/>
        </w:rPr>
      </w:pPr>
    </w:p>
    <w:p w:rsidR="00AF0562" w:rsidRPr="00706A13" w:rsidRDefault="00AF0562" w:rsidP="00BE48C0">
      <w:pPr>
        <w:jc w:val="both"/>
        <w:rPr>
          <w:rFonts w:ascii="Segoe UI" w:hAnsi="Segoe UI" w:cs="Segoe UI"/>
          <w:sz w:val="20"/>
          <w:szCs w:val="20"/>
        </w:rPr>
      </w:pPr>
    </w:p>
    <w:sectPr w:rsidR="00AF0562" w:rsidRPr="00706A13" w:rsidSect="009227B8">
      <w:headerReference w:type="default" r:id="rId13"/>
      <w:pgSz w:w="12240" w:h="15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4A6" w:rsidRDefault="005B64A6" w:rsidP="005B3E3C">
      <w:r>
        <w:separator/>
      </w:r>
    </w:p>
  </w:endnote>
  <w:endnote w:type="continuationSeparator" w:id="0">
    <w:p w:rsidR="005B64A6" w:rsidRDefault="005B64A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4A6" w:rsidRDefault="005B64A6" w:rsidP="005B3E3C">
      <w:r>
        <w:separator/>
      </w:r>
    </w:p>
  </w:footnote>
  <w:footnote w:type="continuationSeparator" w:id="0">
    <w:p w:rsidR="005B64A6" w:rsidRDefault="005B64A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B68"/>
    <w:multiLevelType w:val="hybridMultilevel"/>
    <w:tmpl w:val="CBF2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839"/>
    <w:multiLevelType w:val="hybridMultilevel"/>
    <w:tmpl w:val="73365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C32DF"/>
    <w:multiLevelType w:val="hybridMultilevel"/>
    <w:tmpl w:val="50C6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6678F"/>
    <w:multiLevelType w:val="hybridMultilevel"/>
    <w:tmpl w:val="6CE0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C6656"/>
    <w:multiLevelType w:val="hybridMultilevel"/>
    <w:tmpl w:val="155A5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01369"/>
    <w:multiLevelType w:val="hybridMultilevel"/>
    <w:tmpl w:val="8946AF4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2" w15:restartNumberingAfterBreak="0">
    <w:nsid w:val="44081F66"/>
    <w:multiLevelType w:val="hybridMultilevel"/>
    <w:tmpl w:val="FCF4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1F25AD"/>
    <w:multiLevelType w:val="hybridMultilevel"/>
    <w:tmpl w:val="22E2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D20DC"/>
    <w:multiLevelType w:val="hybridMultilevel"/>
    <w:tmpl w:val="F450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1E7606"/>
    <w:multiLevelType w:val="hybridMultilevel"/>
    <w:tmpl w:val="8B4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54DD5"/>
    <w:multiLevelType w:val="hybridMultilevel"/>
    <w:tmpl w:val="3160A908"/>
    <w:lvl w:ilvl="0" w:tplc="48CC0D9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16"/>
  </w:num>
  <w:num w:numId="4">
    <w:abstractNumId w:val="8"/>
  </w:num>
  <w:num w:numId="5">
    <w:abstractNumId w:val="15"/>
  </w:num>
  <w:num w:numId="6">
    <w:abstractNumId w:val="1"/>
  </w:num>
  <w:num w:numId="7">
    <w:abstractNumId w:val="10"/>
  </w:num>
  <w:num w:numId="8">
    <w:abstractNumId w:val="7"/>
  </w:num>
  <w:num w:numId="9">
    <w:abstractNumId w:val="2"/>
  </w:num>
  <w:num w:numId="10">
    <w:abstractNumId w:val="9"/>
  </w:num>
  <w:num w:numId="11">
    <w:abstractNumId w:val="18"/>
  </w:num>
  <w:num w:numId="12">
    <w:abstractNumId w:val="4"/>
  </w:num>
  <w:num w:numId="13">
    <w:abstractNumId w:val="5"/>
  </w:num>
  <w:num w:numId="14">
    <w:abstractNumId w:val="20"/>
  </w:num>
  <w:num w:numId="15">
    <w:abstractNumId w:val="0"/>
  </w:num>
  <w:num w:numId="16">
    <w:abstractNumId w:val="14"/>
  </w:num>
  <w:num w:numId="17">
    <w:abstractNumId w:val="21"/>
  </w:num>
  <w:num w:numId="18">
    <w:abstractNumId w:val="22"/>
  </w:num>
  <w:num w:numId="19">
    <w:abstractNumId w:val="17"/>
  </w:num>
  <w:num w:numId="20">
    <w:abstractNumId w:val="12"/>
  </w:num>
  <w:num w:numId="21">
    <w:abstractNumId w:val="6"/>
  </w:num>
  <w:num w:numId="22">
    <w:abstractNumId w:val="3"/>
  </w:num>
  <w:num w:numId="23">
    <w:abstractNumId w:val="1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7830"/>
    <w:rsid w:val="000104E4"/>
    <w:rsid w:val="0001134C"/>
    <w:rsid w:val="00012059"/>
    <w:rsid w:val="00013A7D"/>
    <w:rsid w:val="00014845"/>
    <w:rsid w:val="000161D5"/>
    <w:rsid w:val="00016B35"/>
    <w:rsid w:val="00023074"/>
    <w:rsid w:val="00024D76"/>
    <w:rsid w:val="00026260"/>
    <w:rsid w:val="000302E0"/>
    <w:rsid w:val="00031871"/>
    <w:rsid w:val="0003209B"/>
    <w:rsid w:val="000344E6"/>
    <w:rsid w:val="00036D9C"/>
    <w:rsid w:val="00041960"/>
    <w:rsid w:val="00045966"/>
    <w:rsid w:val="000459D5"/>
    <w:rsid w:val="00047911"/>
    <w:rsid w:val="00050037"/>
    <w:rsid w:val="0005194A"/>
    <w:rsid w:val="00053FB7"/>
    <w:rsid w:val="00057F0B"/>
    <w:rsid w:val="0006115B"/>
    <w:rsid w:val="00063499"/>
    <w:rsid w:val="00071531"/>
    <w:rsid w:val="000726FF"/>
    <w:rsid w:val="0007305A"/>
    <w:rsid w:val="00080E72"/>
    <w:rsid w:val="00092197"/>
    <w:rsid w:val="00095F98"/>
    <w:rsid w:val="000974F2"/>
    <w:rsid w:val="000A0020"/>
    <w:rsid w:val="000A3319"/>
    <w:rsid w:val="000A3DB3"/>
    <w:rsid w:val="000A47D9"/>
    <w:rsid w:val="000B77F9"/>
    <w:rsid w:val="000C0988"/>
    <w:rsid w:val="000D14B7"/>
    <w:rsid w:val="000D24FB"/>
    <w:rsid w:val="000E317C"/>
    <w:rsid w:val="000E49A0"/>
    <w:rsid w:val="000E5986"/>
    <w:rsid w:val="000E7059"/>
    <w:rsid w:val="000F2610"/>
    <w:rsid w:val="000F47AD"/>
    <w:rsid w:val="000F4C46"/>
    <w:rsid w:val="000F77BF"/>
    <w:rsid w:val="00101A21"/>
    <w:rsid w:val="00102E4F"/>
    <w:rsid w:val="00103519"/>
    <w:rsid w:val="00105532"/>
    <w:rsid w:val="0010685F"/>
    <w:rsid w:val="00107AAC"/>
    <w:rsid w:val="00110E24"/>
    <w:rsid w:val="001123A3"/>
    <w:rsid w:val="00113C22"/>
    <w:rsid w:val="001141A1"/>
    <w:rsid w:val="00120A2A"/>
    <w:rsid w:val="00130D9D"/>
    <w:rsid w:val="00130E60"/>
    <w:rsid w:val="00132863"/>
    <w:rsid w:val="00132BED"/>
    <w:rsid w:val="00136461"/>
    <w:rsid w:val="00142BB1"/>
    <w:rsid w:val="0014509D"/>
    <w:rsid w:val="0014622C"/>
    <w:rsid w:val="00146C68"/>
    <w:rsid w:val="001513D5"/>
    <w:rsid w:val="00152B4C"/>
    <w:rsid w:val="0015532C"/>
    <w:rsid w:val="001604E3"/>
    <w:rsid w:val="00165EEF"/>
    <w:rsid w:val="00172D01"/>
    <w:rsid w:val="00180EDB"/>
    <w:rsid w:val="001944AC"/>
    <w:rsid w:val="001963F3"/>
    <w:rsid w:val="0019785F"/>
    <w:rsid w:val="001A00AA"/>
    <w:rsid w:val="001A2F3F"/>
    <w:rsid w:val="001A7443"/>
    <w:rsid w:val="001B3AEB"/>
    <w:rsid w:val="001B4833"/>
    <w:rsid w:val="001B4B9D"/>
    <w:rsid w:val="001B6EEE"/>
    <w:rsid w:val="001C295C"/>
    <w:rsid w:val="001D03E1"/>
    <w:rsid w:val="001D3728"/>
    <w:rsid w:val="001D48E6"/>
    <w:rsid w:val="001D65AB"/>
    <w:rsid w:val="001E12EB"/>
    <w:rsid w:val="001E1C83"/>
    <w:rsid w:val="001E1E6B"/>
    <w:rsid w:val="001E3511"/>
    <w:rsid w:val="001E48F5"/>
    <w:rsid w:val="001E6DBC"/>
    <w:rsid w:val="001E7831"/>
    <w:rsid w:val="001F23B3"/>
    <w:rsid w:val="001F2541"/>
    <w:rsid w:val="001F32AC"/>
    <w:rsid w:val="001F76ED"/>
    <w:rsid w:val="00200556"/>
    <w:rsid w:val="00206AAF"/>
    <w:rsid w:val="00213006"/>
    <w:rsid w:val="0021416A"/>
    <w:rsid w:val="0022050F"/>
    <w:rsid w:val="0022314F"/>
    <w:rsid w:val="00225CD4"/>
    <w:rsid w:val="00227BA7"/>
    <w:rsid w:val="00227FCE"/>
    <w:rsid w:val="002306E2"/>
    <w:rsid w:val="00232D98"/>
    <w:rsid w:val="00233516"/>
    <w:rsid w:val="00252E51"/>
    <w:rsid w:val="0025508D"/>
    <w:rsid w:val="00256F43"/>
    <w:rsid w:val="00260A9C"/>
    <w:rsid w:val="002619EF"/>
    <w:rsid w:val="002710D7"/>
    <w:rsid w:val="00274738"/>
    <w:rsid w:val="00280D19"/>
    <w:rsid w:val="002821F8"/>
    <w:rsid w:val="002875D9"/>
    <w:rsid w:val="00290581"/>
    <w:rsid w:val="00291E9E"/>
    <w:rsid w:val="00292613"/>
    <w:rsid w:val="00294343"/>
    <w:rsid w:val="002A0F36"/>
    <w:rsid w:val="002A73E8"/>
    <w:rsid w:val="002B1020"/>
    <w:rsid w:val="002B55A4"/>
    <w:rsid w:val="002B6E44"/>
    <w:rsid w:val="002C2F97"/>
    <w:rsid w:val="002C3D1A"/>
    <w:rsid w:val="002C5F95"/>
    <w:rsid w:val="002C7C79"/>
    <w:rsid w:val="002D3AAD"/>
    <w:rsid w:val="002D4CCA"/>
    <w:rsid w:val="002D575D"/>
    <w:rsid w:val="002E3C80"/>
    <w:rsid w:val="002E4CF9"/>
    <w:rsid w:val="002E6FC6"/>
    <w:rsid w:val="002F0C3A"/>
    <w:rsid w:val="002F1E5B"/>
    <w:rsid w:val="002F3C92"/>
    <w:rsid w:val="002F73C3"/>
    <w:rsid w:val="0030031A"/>
    <w:rsid w:val="00302535"/>
    <w:rsid w:val="003066A9"/>
    <w:rsid w:val="003208EA"/>
    <w:rsid w:val="00323FC2"/>
    <w:rsid w:val="00325CB3"/>
    <w:rsid w:val="00330275"/>
    <w:rsid w:val="00330845"/>
    <w:rsid w:val="00330886"/>
    <w:rsid w:val="003518BC"/>
    <w:rsid w:val="00352ACA"/>
    <w:rsid w:val="00353DB4"/>
    <w:rsid w:val="00361816"/>
    <w:rsid w:val="003623C4"/>
    <w:rsid w:val="003633C8"/>
    <w:rsid w:val="003640F0"/>
    <w:rsid w:val="0037124A"/>
    <w:rsid w:val="0037138A"/>
    <w:rsid w:val="0037248C"/>
    <w:rsid w:val="00375478"/>
    <w:rsid w:val="0037692B"/>
    <w:rsid w:val="00381949"/>
    <w:rsid w:val="00382967"/>
    <w:rsid w:val="00384B87"/>
    <w:rsid w:val="00384BF2"/>
    <w:rsid w:val="00384DB2"/>
    <w:rsid w:val="00385BF1"/>
    <w:rsid w:val="00386090"/>
    <w:rsid w:val="00386B91"/>
    <w:rsid w:val="00391668"/>
    <w:rsid w:val="00396317"/>
    <w:rsid w:val="003965D7"/>
    <w:rsid w:val="003971F6"/>
    <w:rsid w:val="003A1BA3"/>
    <w:rsid w:val="003A413B"/>
    <w:rsid w:val="003C136E"/>
    <w:rsid w:val="003C19D3"/>
    <w:rsid w:val="003C2222"/>
    <w:rsid w:val="003D0B91"/>
    <w:rsid w:val="003D7F7F"/>
    <w:rsid w:val="003E47E9"/>
    <w:rsid w:val="003E4910"/>
    <w:rsid w:val="003F226B"/>
    <w:rsid w:val="003F3BD5"/>
    <w:rsid w:val="003F7366"/>
    <w:rsid w:val="004015FF"/>
    <w:rsid w:val="0040186B"/>
    <w:rsid w:val="00401AC7"/>
    <w:rsid w:val="004021C5"/>
    <w:rsid w:val="00405D2D"/>
    <w:rsid w:val="00410244"/>
    <w:rsid w:val="004104C7"/>
    <w:rsid w:val="00413D9F"/>
    <w:rsid w:val="00414A70"/>
    <w:rsid w:val="00415ACB"/>
    <w:rsid w:val="00421734"/>
    <w:rsid w:val="00423058"/>
    <w:rsid w:val="00431649"/>
    <w:rsid w:val="004326BB"/>
    <w:rsid w:val="00436775"/>
    <w:rsid w:val="0043718B"/>
    <w:rsid w:val="00437FB4"/>
    <w:rsid w:val="00445343"/>
    <w:rsid w:val="00446638"/>
    <w:rsid w:val="00447BE4"/>
    <w:rsid w:val="0045048F"/>
    <w:rsid w:val="00450C3F"/>
    <w:rsid w:val="00451DB0"/>
    <w:rsid w:val="00465CF0"/>
    <w:rsid w:val="00472286"/>
    <w:rsid w:val="00475D23"/>
    <w:rsid w:val="004829AE"/>
    <w:rsid w:val="0048584C"/>
    <w:rsid w:val="004862BC"/>
    <w:rsid w:val="00492483"/>
    <w:rsid w:val="004A1287"/>
    <w:rsid w:val="004A4DFB"/>
    <w:rsid w:val="004A7F6B"/>
    <w:rsid w:val="004B1544"/>
    <w:rsid w:val="004B6756"/>
    <w:rsid w:val="004C5125"/>
    <w:rsid w:val="004C5897"/>
    <w:rsid w:val="004D0BB5"/>
    <w:rsid w:val="004D1192"/>
    <w:rsid w:val="004D3C66"/>
    <w:rsid w:val="004D3F55"/>
    <w:rsid w:val="004E1C4A"/>
    <w:rsid w:val="004E2219"/>
    <w:rsid w:val="004E4D94"/>
    <w:rsid w:val="004E740C"/>
    <w:rsid w:val="004F4BBA"/>
    <w:rsid w:val="004F5DE5"/>
    <w:rsid w:val="004F61D8"/>
    <w:rsid w:val="004F67F0"/>
    <w:rsid w:val="005027DB"/>
    <w:rsid w:val="005051F3"/>
    <w:rsid w:val="00513994"/>
    <w:rsid w:val="00520D02"/>
    <w:rsid w:val="005233AA"/>
    <w:rsid w:val="00527C15"/>
    <w:rsid w:val="00530D1F"/>
    <w:rsid w:val="00531625"/>
    <w:rsid w:val="0054040B"/>
    <w:rsid w:val="0054546A"/>
    <w:rsid w:val="00551B0F"/>
    <w:rsid w:val="00554AF4"/>
    <w:rsid w:val="00557CC7"/>
    <w:rsid w:val="00563E0F"/>
    <w:rsid w:val="005659FB"/>
    <w:rsid w:val="00574A97"/>
    <w:rsid w:val="0057512E"/>
    <w:rsid w:val="00584D27"/>
    <w:rsid w:val="005902B5"/>
    <w:rsid w:val="005A4A64"/>
    <w:rsid w:val="005A5ADF"/>
    <w:rsid w:val="005B01FE"/>
    <w:rsid w:val="005B3E3C"/>
    <w:rsid w:val="005B64A6"/>
    <w:rsid w:val="005B7F81"/>
    <w:rsid w:val="005C1B25"/>
    <w:rsid w:val="005C1D1C"/>
    <w:rsid w:val="005C3FC1"/>
    <w:rsid w:val="005D3499"/>
    <w:rsid w:val="005D5813"/>
    <w:rsid w:val="005E09C4"/>
    <w:rsid w:val="005E2583"/>
    <w:rsid w:val="005E2EF4"/>
    <w:rsid w:val="005E617C"/>
    <w:rsid w:val="005F270E"/>
    <w:rsid w:val="005F36B6"/>
    <w:rsid w:val="005F4BA9"/>
    <w:rsid w:val="005F6A8B"/>
    <w:rsid w:val="00606B48"/>
    <w:rsid w:val="006114C2"/>
    <w:rsid w:val="006114E4"/>
    <w:rsid w:val="00612AF0"/>
    <w:rsid w:val="006160CC"/>
    <w:rsid w:val="0061684E"/>
    <w:rsid w:val="0062376E"/>
    <w:rsid w:val="00624CC9"/>
    <w:rsid w:val="00626EFA"/>
    <w:rsid w:val="006403C3"/>
    <w:rsid w:val="0064084D"/>
    <w:rsid w:val="0064347E"/>
    <w:rsid w:val="006472D3"/>
    <w:rsid w:val="00650771"/>
    <w:rsid w:val="00654880"/>
    <w:rsid w:val="00657D10"/>
    <w:rsid w:val="00662DC5"/>
    <w:rsid w:val="00665F45"/>
    <w:rsid w:val="006662C3"/>
    <w:rsid w:val="00666651"/>
    <w:rsid w:val="00666816"/>
    <w:rsid w:val="00666E6B"/>
    <w:rsid w:val="0067461E"/>
    <w:rsid w:val="00693F68"/>
    <w:rsid w:val="00697940"/>
    <w:rsid w:val="00697AA7"/>
    <w:rsid w:val="006B33BC"/>
    <w:rsid w:val="006B6FE8"/>
    <w:rsid w:val="006C1F9B"/>
    <w:rsid w:val="006C22C2"/>
    <w:rsid w:val="006C2A9A"/>
    <w:rsid w:val="006C62F1"/>
    <w:rsid w:val="006D09AA"/>
    <w:rsid w:val="006D0B6C"/>
    <w:rsid w:val="006D2AA4"/>
    <w:rsid w:val="006E1D15"/>
    <w:rsid w:val="006E3C3E"/>
    <w:rsid w:val="006F0D59"/>
    <w:rsid w:val="006F5021"/>
    <w:rsid w:val="00700391"/>
    <w:rsid w:val="007003DD"/>
    <w:rsid w:val="00702383"/>
    <w:rsid w:val="00706A13"/>
    <w:rsid w:val="0072165B"/>
    <w:rsid w:val="00722032"/>
    <w:rsid w:val="00722108"/>
    <w:rsid w:val="00724AD0"/>
    <w:rsid w:val="00725AD2"/>
    <w:rsid w:val="007273B3"/>
    <w:rsid w:val="00731303"/>
    <w:rsid w:val="007319DB"/>
    <w:rsid w:val="00732301"/>
    <w:rsid w:val="00733C5D"/>
    <w:rsid w:val="0073522A"/>
    <w:rsid w:val="007359C0"/>
    <w:rsid w:val="007364D9"/>
    <w:rsid w:val="00742E7D"/>
    <w:rsid w:val="007439EC"/>
    <w:rsid w:val="0074404D"/>
    <w:rsid w:val="007441B8"/>
    <w:rsid w:val="00744D05"/>
    <w:rsid w:val="007600CA"/>
    <w:rsid w:val="007601EB"/>
    <w:rsid w:val="00761A13"/>
    <w:rsid w:val="00764D01"/>
    <w:rsid w:val="00771A63"/>
    <w:rsid w:val="00771B7F"/>
    <w:rsid w:val="0077522B"/>
    <w:rsid w:val="007769CD"/>
    <w:rsid w:val="0078032B"/>
    <w:rsid w:val="007813A6"/>
    <w:rsid w:val="00781566"/>
    <w:rsid w:val="007847D9"/>
    <w:rsid w:val="0078491E"/>
    <w:rsid w:val="00792BB1"/>
    <w:rsid w:val="007960BE"/>
    <w:rsid w:val="007972A2"/>
    <w:rsid w:val="007976E7"/>
    <w:rsid w:val="007A1640"/>
    <w:rsid w:val="007A2CF0"/>
    <w:rsid w:val="007A48D4"/>
    <w:rsid w:val="007A515B"/>
    <w:rsid w:val="007B1760"/>
    <w:rsid w:val="007B4C1E"/>
    <w:rsid w:val="007B4CA2"/>
    <w:rsid w:val="007B5005"/>
    <w:rsid w:val="007B6D77"/>
    <w:rsid w:val="007C3339"/>
    <w:rsid w:val="007C3C27"/>
    <w:rsid w:val="007C5E02"/>
    <w:rsid w:val="007C6925"/>
    <w:rsid w:val="007C729A"/>
    <w:rsid w:val="007C7AA9"/>
    <w:rsid w:val="007D68C6"/>
    <w:rsid w:val="007D7901"/>
    <w:rsid w:val="007F19A4"/>
    <w:rsid w:val="00801A75"/>
    <w:rsid w:val="00802701"/>
    <w:rsid w:val="008038A2"/>
    <w:rsid w:val="00810306"/>
    <w:rsid w:val="00811148"/>
    <w:rsid w:val="00811FE8"/>
    <w:rsid w:val="0081430F"/>
    <w:rsid w:val="00817DF5"/>
    <w:rsid w:val="00821F0D"/>
    <w:rsid w:val="008275B5"/>
    <w:rsid w:val="00830125"/>
    <w:rsid w:val="00830CA6"/>
    <w:rsid w:val="00837EBA"/>
    <w:rsid w:val="00841715"/>
    <w:rsid w:val="00841EB0"/>
    <w:rsid w:val="00845979"/>
    <w:rsid w:val="008477E1"/>
    <w:rsid w:val="00847BC4"/>
    <w:rsid w:val="0085366E"/>
    <w:rsid w:val="0085688C"/>
    <w:rsid w:val="008635F0"/>
    <w:rsid w:val="0086436B"/>
    <w:rsid w:val="00864ED6"/>
    <w:rsid w:val="0087047B"/>
    <w:rsid w:val="0087190C"/>
    <w:rsid w:val="00872ACD"/>
    <w:rsid w:val="0088128C"/>
    <w:rsid w:val="00887841"/>
    <w:rsid w:val="0089208D"/>
    <w:rsid w:val="00893C1C"/>
    <w:rsid w:val="00894B97"/>
    <w:rsid w:val="00895A62"/>
    <w:rsid w:val="008967B9"/>
    <w:rsid w:val="00897AC8"/>
    <w:rsid w:val="008A6A48"/>
    <w:rsid w:val="008B72D9"/>
    <w:rsid w:val="008C1666"/>
    <w:rsid w:val="008C512E"/>
    <w:rsid w:val="008C780D"/>
    <w:rsid w:val="008D2EA8"/>
    <w:rsid w:val="008D32C4"/>
    <w:rsid w:val="008D36D2"/>
    <w:rsid w:val="008D5C80"/>
    <w:rsid w:val="008E0BA4"/>
    <w:rsid w:val="008E1F96"/>
    <w:rsid w:val="008F77AE"/>
    <w:rsid w:val="009035FA"/>
    <w:rsid w:val="00913610"/>
    <w:rsid w:val="009142DE"/>
    <w:rsid w:val="009227B8"/>
    <w:rsid w:val="00922966"/>
    <w:rsid w:val="00927A12"/>
    <w:rsid w:val="009305CD"/>
    <w:rsid w:val="009320C6"/>
    <w:rsid w:val="00945D93"/>
    <w:rsid w:val="00945E1F"/>
    <w:rsid w:val="0094603B"/>
    <w:rsid w:val="00946E6E"/>
    <w:rsid w:val="009478B1"/>
    <w:rsid w:val="0095226A"/>
    <w:rsid w:val="00954068"/>
    <w:rsid w:val="00954B73"/>
    <w:rsid w:val="009551BC"/>
    <w:rsid w:val="00956A0A"/>
    <w:rsid w:val="00961343"/>
    <w:rsid w:val="00961813"/>
    <w:rsid w:val="0096293E"/>
    <w:rsid w:val="00963FBC"/>
    <w:rsid w:val="00966D7B"/>
    <w:rsid w:val="009750DE"/>
    <w:rsid w:val="00975819"/>
    <w:rsid w:val="00976DE7"/>
    <w:rsid w:val="009804CA"/>
    <w:rsid w:val="0098250E"/>
    <w:rsid w:val="00982842"/>
    <w:rsid w:val="0098298E"/>
    <w:rsid w:val="00983EAF"/>
    <w:rsid w:val="00983ECE"/>
    <w:rsid w:val="009857D9"/>
    <w:rsid w:val="009869DE"/>
    <w:rsid w:val="009922C2"/>
    <w:rsid w:val="00994695"/>
    <w:rsid w:val="009A0683"/>
    <w:rsid w:val="009A2D0F"/>
    <w:rsid w:val="009A4401"/>
    <w:rsid w:val="009A5D55"/>
    <w:rsid w:val="009B143F"/>
    <w:rsid w:val="009C1F52"/>
    <w:rsid w:val="009C223E"/>
    <w:rsid w:val="009C484B"/>
    <w:rsid w:val="009C7179"/>
    <w:rsid w:val="009C7F8D"/>
    <w:rsid w:val="009D1058"/>
    <w:rsid w:val="009D265C"/>
    <w:rsid w:val="009D5FD0"/>
    <w:rsid w:val="009D6F76"/>
    <w:rsid w:val="009E31B0"/>
    <w:rsid w:val="009F50E5"/>
    <w:rsid w:val="00A00EDD"/>
    <w:rsid w:val="00A0211A"/>
    <w:rsid w:val="00A0284F"/>
    <w:rsid w:val="00A1521F"/>
    <w:rsid w:val="00A241A3"/>
    <w:rsid w:val="00A27187"/>
    <w:rsid w:val="00A3092D"/>
    <w:rsid w:val="00A3401E"/>
    <w:rsid w:val="00A51265"/>
    <w:rsid w:val="00A674FB"/>
    <w:rsid w:val="00A72A72"/>
    <w:rsid w:val="00A752CB"/>
    <w:rsid w:val="00A766A0"/>
    <w:rsid w:val="00A80A17"/>
    <w:rsid w:val="00A81851"/>
    <w:rsid w:val="00A82952"/>
    <w:rsid w:val="00A85311"/>
    <w:rsid w:val="00A92981"/>
    <w:rsid w:val="00A940CF"/>
    <w:rsid w:val="00A97A92"/>
    <w:rsid w:val="00AA0C3F"/>
    <w:rsid w:val="00AA306E"/>
    <w:rsid w:val="00AA59FC"/>
    <w:rsid w:val="00AA61FB"/>
    <w:rsid w:val="00AA759A"/>
    <w:rsid w:val="00AC07C2"/>
    <w:rsid w:val="00AC3814"/>
    <w:rsid w:val="00AC640D"/>
    <w:rsid w:val="00AD04D3"/>
    <w:rsid w:val="00AD0CF6"/>
    <w:rsid w:val="00AD13EF"/>
    <w:rsid w:val="00AD169B"/>
    <w:rsid w:val="00AD6DB3"/>
    <w:rsid w:val="00AD7098"/>
    <w:rsid w:val="00AF0562"/>
    <w:rsid w:val="00AF345D"/>
    <w:rsid w:val="00AF75DA"/>
    <w:rsid w:val="00B04788"/>
    <w:rsid w:val="00B06C21"/>
    <w:rsid w:val="00B07778"/>
    <w:rsid w:val="00B10453"/>
    <w:rsid w:val="00B10E37"/>
    <w:rsid w:val="00B129F4"/>
    <w:rsid w:val="00B165F0"/>
    <w:rsid w:val="00B20CD2"/>
    <w:rsid w:val="00B21287"/>
    <w:rsid w:val="00B2259F"/>
    <w:rsid w:val="00B26E1A"/>
    <w:rsid w:val="00B26F2C"/>
    <w:rsid w:val="00B27AE5"/>
    <w:rsid w:val="00B32D55"/>
    <w:rsid w:val="00B407B7"/>
    <w:rsid w:val="00B40C2D"/>
    <w:rsid w:val="00B50D5E"/>
    <w:rsid w:val="00B57EC7"/>
    <w:rsid w:val="00B606FB"/>
    <w:rsid w:val="00B607AE"/>
    <w:rsid w:val="00B612E7"/>
    <w:rsid w:val="00B63BFE"/>
    <w:rsid w:val="00B72B51"/>
    <w:rsid w:val="00B83953"/>
    <w:rsid w:val="00B85BEF"/>
    <w:rsid w:val="00B92B14"/>
    <w:rsid w:val="00B93287"/>
    <w:rsid w:val="00BA2E08"/>
    <w:rsid w:val="00BA3B3E"/>
    <w:rsid w:val="00BA761E"/>
    <w:rsid w:val="00BB3BD5"/>
    <w:rsid w:val="00BB7D95"/>
    <w:rsid w:val="00BD05BC"/>
    <w:rsid w:val="00BD4559"/>
    <w:rsid w:val="00BD4B96"/>
    <w:rsid w:val="00BD5C2B"/>
    <w:rsid w:val="00BD6B8C"/>
    <w:rsid w:val="00BE280A"/>
    <w:rsid w:val="00BE48C0"/>
    <w:rsid w:val="00BF482A"/>
    <w:rsid w:val="00BF5367"/>
    <w:rsid w:val="00BF6D0E"/>
    <w:rsid w:val="00BF72AE"/>
    <w:rsid w:val="00C053BB"/>
    <w:rsid w:val="00C07817"/>
    <w:rsid w:val="00C11726"/>
    <w:rsid w:val="00C11AA2"/>
    <w:rsid w:val="00C205E5"/>
    <w:rsid w:val="00C2270E"/>
    <w:rsid w:val="00C24259"/>
    <w:rsid w:val="00C24BAC"/>
    <w:rsid w:val="00C26D06"/>
    <w:rsid w:val="00C27287"/>
    <w:rsid w:val="00C27C64"/>
    <w:rsid w:val="00C36082"/>
    <w:rsid w:val="00C37643"/>
    <w:rsid w:val="00C41F8A"/>
    <w:rsid w:val="00C42F0B"/>
    <w:rsid w:val="00C56B87"/>
    <w:rsid w:val="00C57113"/>
    <w:rsid w:val="00C60F3E"/>
    <w:rsid w:val="00C6166D"/>
    <w:rsid w:val="00C61CC5"/>
    <w:rsid w:val="00C62464"/>
    <w:rsid w:val="00C65D84"/>
    <w:rsid w:val="00C72519"/>
    <w:rsid w:val="00C75116"/>
    <w:rsid w:val="00C76E03"/>
    <w:rsid w:val="00C77CF2"/>
    <w:rsid w:val="00C83803"/>
    <w:rsid w:val="00C907A3"/>
    <w:rsid w:val="00C91637"/>
    <w:rsid w:val="00C92A42"/>
    <w:rsid w:val="00C94AE5"/>
    <w:rsid w:val="00C97745"/>
    <w:rsid w:val="00CA0798"/>
    <w:rsid w:val="00CA150A"/>
    <w:rsid w:val="00CA68FE"/>
    <w:rsid w:val="00CA6F2A"/>
    <w:rsid w:val="00CB4E16"/>
    <w:rsid w:val="00CB6FA1"/>
    <w:rsid w:val="00CC62C4"/>
    <w:rsid w:val="00CC7855"/>
    <w:rsid w:val="00CD72A7"/>
    <w:rsid w:val="00CE0678"/>
    <w:rsid w:val="00CE10CD"/>
    <w:rsid w:val="00CE39F8"/>
    <w:rsid w:val="00CE6E6A"/>
    <w:rsid w:val="00CF2916"/>
    <w:rsid w:val="00CF3AC2"/>
    <w:rsid w:val="00CF5DCD"/>
    <w:rsid w:val="00D07064"/>
    <w:rsid w:val="00D17123"/>
    <w:rsid w:val="00D179A0"/>
    <w:rsid w:val="00D17EDF"/>
    <w:rsid w:val="00D250C8"/>
    <w:rsid w:val="00D279FC"/>
    <w:rsid w:val="00D309F6"/>
    <w:rsid w:val="00D34F5E"/>
    <w:rsid w:val="00D35A98"/>
    <w:rsid w:val="00D43903"/>
    <w:rsid w:val="00D457A2"/>
    <w:rsid w:val="00D45AD7"/>
    <w:rsid w:val="00D55ADD"/>
    <w:rsid w:val="00D64FF5"/>
    <w:rsid w:val="00D651A1"/>
    <w:rsid w:val="00D65795"/>
    <w:rsid w:val="00D67B4A"/>
    <w:rsid w:val="00D737A3"/>
    <w:rsid w:val="00D765AE"/>
    <w:rsid w:val="00D805E8"/>
    <w:rsid w:val="00D8544F"/>
    <w:rsid w:val="00D9527D"/>
    <w:rsid w:val="00D95F7A"/>
    <w:rsid w:val="00D97428"/>
    <w:rsid w:val="00DA0FA6"/>
    <w:rsid w:val="00DB3604"/>
    <w:rsid w:val="00DB4DC4"/>
    <w:rsid w:val="00DB683F"/>
    <w:rsid w:val="00DC111B"/>
    <w:rsid w:val="00DC29F5"/>
    <w:rsid w:val="00DC5669"/>
    <w:rsid w:val="00DD04A9"/>
    <w:rsid w:val="00DD33DF"/>
    <w:rsid w:val="00DD4A27"/>
    <w:rsid w:val="00DD6C74"/>
    <w:rsid w:val="00DE0FC5"/>
    <w:rsid w:val="00DE1293"/>
    <w:rsid w:val="00DE47FA"/>
    <w:rsid w:val="00DE67A8"/>
    <w:rsid w:val="00DF4A53"/>
    <w:rsid w:val="00DF6116"/>
    <w:rsid w:val="00DF6E0E"/>
    <w:rsid w:val="00E01587"/>
    <w:rsid w:val="00E0208E"/>
    <w:rsid w:val="00E12DF5"/>
    <w:rsid w:val="00E12FA9"/>
    <w:rsid w:val="00E23391"/>
    <w:rsid w:val="00E2349F"/>
    <w:rsid w:val="00E2445F"/>
    <w:rsid w:val="00E2778C"/>
    <w:rsid w:val="00E27A6E"/>
    <w:rsid w:val="00E33061"/>
    <w:rsid w:val="00E3308A"/>
    <w:rsid w:val="00E334B0"/>
    <w:rsid w:val="00E41E87"/>
    <w:rsid w:val="00E42165"/>
    <w:rsid w:val="00E45B62"/>
    <w:rsid w:val="00E515DE"/>
    <w:rsid w:val="00E51AB8"/>
    <w:rsid w:val="00E54343"/>
    <w:rsid w:val="00E6088B"/>
    <w:rsid w:val="00E64282"/>
    <w:rsid w:val="00E64C48"/>
    <w:rsid w:val="00E71F1F"/>
    <w:rsid w:val="00E722CA"/>
    <w:rsid w:val="00E73227"/>
    <w:rsid w:val="00E827C5"/>
    <w:rsid w:val="00E82DFF"/>
    <w:rsid w:val="00E83000"/>
    <w:rsid w:val="00E841B0"/>
    <w:rsid w:val="00E87D6E"/>
    <w:rsid w:val="00E93F2C"/>
    <w:rsid w:val="00E977C4"/>
    <w:rsid w:val="00E97CCE"/>
    <w:rsid w:val="00EA34EB"/>
    <w:rsid w:val="00EC09B2"/>
    <w:rsid w:val="00EC74BA"/>
    <w:rsid w:val="00ED3BCF"/>
    <w:rsid w:val="00ED4ABC"/>
    <w:rsid w:val="00ED6B7C"/>
    <w:rsid w:val="00EE1C5E"/>
    <w:rsid w:val="00EE6F42"/>
    <w:rsid w:val="00EF1D72"/>
    <w:rsid w:val="00EF4243"/>
    <w:rsid w:val="00EF4E03"/>
    <w:rsid w:val="00EF6A4B"/>
    <w:rsid w:val="00F05DD1"/>
    <w:rsid w:val="00F14F75"/>
    <w:rsid w:val="00F150BB"/>
    <w:rsid w:val="00F22BCA"/>
    <w:rsid w:val="00F24980"/>
    <w:rsid w:val="00F24EB2"/>
    <w:rsid w:val="00F266F2"/>
    <w:rsid w:val="00F33065"/>
    <w:rsid w:val="00F3433E"/>
    <w:rsid w:val="00F36757"/>
    <w:rsid w:val="00F37E0C"/>
    <w:rsid w:val="00F41A59"/>
    <w:rsid w:val="00F46AA5"/>
    <w:rsid w:val="00F50A07"/>
    <w:rsid w:val="00F57119"/>
    <w:rsid w:val="00F6367D"/>
    <w:rsid w:val="00F65ABF"/>
    <w:rsid w:val="00F65DCD"/>
    <w:rsid w:val="00F678C9"/>
    <w:rsid w:val="00F77C13"/>
    <w:rsid w:val="00F81748"/>
    <w:rsid w:val="00F8330B"/>
    <w:rsid w:val="00F83DC2"/>
    <w:rsid w:val="00F86FA3"/>
    <w:rsid w:val="00F913ED"/>
    <w:rsid w:val="00F94979"/>
    <w:rsid w:val="00F95454"/>
    <w:rsid w:val="00F95C29"/>
    <w:rsid w:val="00F95C54"/>
    <w:rsid w:val="00F979A7"/>
    <w:rsid w:val="00FA3668"/>
    <w:rsid w:val="00FA5118"/>
    <w:rsid w:val="00FA5818"/>
    <w:rsid w:val="00FA7F00"/>
    <w:rsid w:val="00FB07D8"/>
    <w:rsid w:val="00FB2022"/>
    <w:rsid w:val="00FB3980"/>
    <w:rsid w:val="00FB7008"/>
    <w:rsid w:val="00FC1FA6"/>
    <w:rsid w:val="00FC43CD"/>
    <w:rsid w:val="00FC4EF6"/>
    <w:rsid w:val="00FC6DA7"/>
    <w:rsid w:val="00FC75D3"/>
    <w:rsid w:val="00FC76CF"/>
    <w:rsid w:val="00FD2279"/>
    <w:rsid w:val="00FD6142"/>
    <w:rsid w:val="00FD74D2"/>
    <w:rsid w:val="00FE0C76"/>
    <w:rsid w:val="00FE113A"/>
    <w:rsid w:val="00FE2385"/>
    <w:rsid w:val="00FF028F"/>
    <w:rsid w:val="00F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3F50E"/>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 w:type="paragraph" w:styleId="PlainText">
    <w:name w:val="Plain Text"/>
    <w:basedOn w:val="Normal"/>
    <w:link w:val="PlainTextChar"/>
    <w:uiPriority w:val="99"/>
    <w:unhideWhenUsed/>
    <w:rsid w:val="00B607AE"/>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B607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7261">
      <w:bodyDiv w:val="1"/>
      <w:marLeft w:val="0"/>
      <w:marRight w:val="0"/>
      <w:marTop w:val="0"/>
      <w:marBottom w:val="0"/>
      <w:divBdr>
        <w:top w:val="none" w:sz="0" w:space="0" w:color="auto"/>
        <w:left w:val="none" w:sz="0" w:space="0" w:color="auto"/>
        <w:bottom w:val="none" w:sz="0" w:space="0" w:color="auto"/>
        <w:right w:val="none" w:sz="0" w:space="0" w:color="auto"/>
      </w:divBdr>
    </w:div>
    <w:div w:id="452674249">
      <w:bodyDiv w:val="1"/>
      <w:marLeft w:val="0"/>
      <w:marRight w:val="0"/>
      <w:marTop w:val="0"/>
      <w:marBottom w:val="0"/>
      <w:divBdr>
        <w:top w:val="none" w:sz="0" w:space="0" w:color="auto"/>
        <w:left w:val="none" w:sz="0" w:space="0" w:color="auto"/>
        <w:bottom w:val="none" w:sz="0" w:space="0" w:color="auto"/>
        <w:right w:val="none" w:sz="0" w:space="0" w:color="auto"/>
      </w:divBdr>
    </w:div>
    <w:div w:id="640304687">
      <w:bodyDiv w:val="1"/>
      <w:marLeft w:val="0"/>
      <w:marRight w:val="0"/>
      <w:marTop w:val="0"/>
      <w:marBottom w:val="0"/>
      <w:divBdr>
        <w:top w:val="none" w:sz="0" w:space="0" w:color="auto"/>
        <w:left w:val="none" w:sz="0" w:space="0" w:color="auto"/>
        <w:bottom w:val="none" w:sz="0" w:space="0" w:color="auto"/>
        <w:right w:val="none" w:sz="0" w:space="0" w:color="auto"/>
      </w:divBdr>
    </w:div>
    <w:div w:id="729885066">
      <w:bodyDiv w:val="1"/>
      <w:marLeft w:val="0"/>
      <w:marRight w:val="0"/>
      <w:marTop w:val="0"/>
      <w:marBottom w:val="0"/>
      <w:divBdr>
        <w:top w:val="none" w:sz="0" w:space="0" w:color="auto"/>
        <w:left w:val="none" w:sz="0" w:space="0" w:color="auto"/>
        <w:bottom w:val="none" w:sz="0" w:space="0" w:color="auto"/>
        <w:right w:val="none" w:sz="0" w:space="0" w:color="auto"/>
      </w:divBdr>
    </w:div>
    <w:div w:id="771173293">
      <w:bodyDiv w:val="1"/>
      <w:marLeft w:val="0"/>
      <w:marRight w:val="0"/>
      <w:marTop w:val="0"/>
      <w:marBottom w:val="0"/>
      <w:divBdr>
        <w:top w:val="none" w:sz="0" w:space="0" w:color="auto"/>
        <w:left w:val="none" w:sz="0" w:space="0" w:color="auto"/>
        <w:bottom w:val="none" w:sz="0" w:space="0" w:color="auto"/>
        <w:right w:val="none" w:sz="0" w:space="0" w:color="auto"/>
      </w:divBdr>
    </w:div>
    <w:div w:id="1260026666">
      <w:bodyDiv w:val="1"/>
      <w:marLeft w:val="0"/>
      <w:marRight w:val="0"/>
      <w:marTop w:val="0"/>
      <w:marBottom w:val="0"/>
      <w:divBdr>
        <w:top w:val="none" w:sz="0" w:space="0" w:color="auto"/>
        <w:left w:val="none" w:sz="0" w:space="0" w:color="auto"/>
        <w:bottom w:val="none" w:sz="0" w:space="0" w:color="auto"/>
        <w:right w:val="none" w:sz="0" w:space="0" w:color="auto"/>
      </w:divBdr>
    </w:div>
    <w:div w:id="15502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OBMH\G_Data\Oxfordshire\Oxon%20and%20Bucks%20CRM\Board%20Report\2019-20\Month%201%20report\2a.%20Board%20Report_%20M1%20Draf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2319578473742"/>
          <c:y val="6.381434365554324E-2"/>
          <c:w val="0.78764146586939787"/>
          <c:h val="0.63563383316601707"/>
        </c:manualLayout>
      </c:layout>
      <c:lineChart>
        <c:grouping val="standard"/>
        <c:varyColors val="0"/>
        <c:ser>
          <c:idx val="0"/>
          <c:order val="0"/>
          <c:tx>
            <c:strRef>
              <c:f>'Data tables for graphs'!$B$11</c:f>
              <c:strCache>
                <c:ptCount val="1"/>
                <c:pt idx="0">
                  <c:v>% achieved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'Data tables for graphs'!$C$10:$N$10</c:f>
              <c:strCache>
                <c:ptCount val="12"/>
                <c:pt idx="0">
                  <c:v>M2/18</c:v>
                </c:pt>
                <c:pt idx="1">
                  <c:v>M3/18</c:v>
                </c:pt>
                <c:pt idx="2">
                  <c:v>M4/18</c:v>
                </c:pt>
                <c:pt idx="3">
                  <c:v>M5/18</c:v>
                </c:pt>
                <c:pt idx="4">
                  <c:v>M6/18</c:v>
                </c:pt>
                <c:pt idx="5">
                  <c:v>M7/18</c:v>
                </c:pt>
                <c:pt idx="6">
                  <c:v>M8/18</c:v>
                </c:pt>
                <c:pt idx="7">
                  <c:v>M9/18</c:v>
                </c:pt>
                <c:pt idx="8">
                  <c:v>M10/18</c:v>
                </c:pt>
                <c:pt idx="9">
                  <c:v>M11/18</c:v>
                </c:pt>
                <c:pt idx="10">
                  <c:v>M12/18</c:v>
                </c:pt>
                <c:pt idx="11">
                  <c:v>M1/19</c:v>
                </c:pt>
              </c:strCache>
            </c:strRef>
          </c:cat>
          <c:val>
            <c:numRef>
              <c:f>'Data tables for graphs'!$C$11:$N$11</c:f>
              <c:numCache>
                <c:formatCode>0%</c:formatCode>
                <c:ptCount val="12"/>
                <c:pt idx="0">
                  <c:v>0.74564459930313587</c:v>
                </c:pt>
                <c:pt idx="1">
                  <c:v>0.76765375854214124</c:v>
                </c:pt>
                <c:pt idx="2">
                  <c:v>0.75</c:v>
                </c:pt>
                <c:pt idx="3">
                  <c:v>0.74257425742574257</c:v>
                </c:pt>
                <c:pt idx="4">
                  <c:v>0.74468085106382975</c:v>
                </c:pt>
                <c:pt idx="5">
                  <c:v>0.72786885245901645</c:v>
                </c:pt>
                <c:pt idx="6">
                  <c:v>0.74181818181818182</c:v>
                </c:pt>
                <c:pt idx="7">
                  <c:v>0.74063400576368876</c:v>
                </c:pt>
                <c:pt idx="8">
                  <c:v>0.71376811594202894</c:v>
                </c:pt>
                <c:pt idx="9">
                  <c:v>0.71875</c:v>
                </c:pt>
                <c:pt idx="10">
                  <c:v>0.77906976744186052</c:v>
                </c:pt>
                <c:pt idx="11">
                  <c:v>0.78386167146974062</c:v>
                </c:pt>
              </c:numCache>
            </c:numRef>
          </c:val>
          <c:smooth val="0"/>
          <c:extLst>
            <c:ext xmlns:c16="http://schemas.microsoft.com/office/drawing/2014/chart" uri="{C3380CC4-5D6E-409C-BE32-E72D297353CC}">
              <c16:uniqueId val="{00000000-420D-4CA4-AD47-D6ED7D1D0FCB}"/>
            </c:ext>
          </c:extLst>
        </c:ser>
        <c:dLbls>
          <c:showLegendKey val="0"/>
          <c:showVal val="0"/>
          <c:showCatName val="0"/>
          <c:showSerName val="0"/>
          <c:showPercent val="0"/>
          <c:showBubbleSize val="0"/>
        </c:dLbls>
        <c:marker val="1"/>
        <c:smooth val="0"/>
        <c:axId val="766126400"/>
        <c:axId val="766129352"/>
      </c:lineChart>
      <c:catAx>
        <c:axId val="7661264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Month/Year</a:t>
                </a:r>
              </a:p>
            </c:rich>
          </c:tx>
          <c:layout>
            <c:manualLayout>
              <c:xMode val="edge"/>
              <c:yMode val="edge"/>
              <c:x val="0.23808838171704966"/>
              <c:y val="0.897495602730733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6129352"/>
        <c:crosses val="autoZero"/>
        <c:auto val="1"/>
        <c:lblAlgn val="ctr"/>
        <c:lblOffset val="100"/>
        <c:noMultiLvlLbl val="0"/>
      </c:catAx>
      <c:valAx>
        <c:axId val="766129352"/>
        <c:scaling>
          <c:orientation val="minMax"/>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 compliance</a:t>
                </a:r>
              </a:p>
            </c:rich>
          </c:tx>
          <c:layout>
            <c:manualLayout>
              <c:xMode val="edge"/>
              <c:yMode val="edge"/>
              <c:x val="7.2341632971554245E-3"/>
              <c:y val="0.2952640296365601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6126400"/>
        <c:crosses val="autoZero"/>
        <c:crossBetween val="between"/>
      </c:valAx>
      <c:spPr>
        <a:noFill/>
        <a:ln>
          <a:noFill/>
        </a:ln>
        <a:effectLst/>
      </c:spPr>
    </c:plotArea>
    <c:legend>
      <c:legendPos val="b"/>
      <c:layout>
        <c:manualLayout>
          <c:xMode val="edge"/>
          <c:yMode val="edge"/>
          <c:x val="0.4782504729886693"/>
          <c:y val="0.90351188557244677"/>
          <c:w val="0.27013974604525781"/>
          <c:h val="8.2117230534838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99767986609286"/>
          <c:y val="5.0925925925925923E-2"/>
          <c:w val="0.80055789337678052"/>
          <c:h val="0.653219821072069"/>
        </c:manualLayout>
      </c:layout>
      <c:barChart>
        <c:barDir val="col"/>
        <c:grouping val="stacked"/>
        <c:varyColors val="0"/>
        <c:ser>
          <c:idx val="0"/>
          <c:order val="0"/>
          <c:tx>
            <c:strRef>
              <c:f>'Data tables for graphs'!$B$6</c:f>
              <c:strCache>
                <c:ptCount val="1"/>
                <c:pt idx="0">
                  <c:v>Met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for graphs'!$C$4:$N$4</c:f>
              <c:strCache>
                <c:ptCount val="12"/>
                <c:pt idx="0">
                  <c:v>M2/18</c:v>
                </c:pt>
                <c:pt idx="1">
                  <c:v>M3/18</c:v>
                </c:pt>
                <c:pt idx="2">
                  <c:v>M4/18</c:v>
                </c:pt>
                <c:pt idx="3">
                  <c:v>M5/18</c:v>
                </c:pt>
                <c:pt idx="4">
                  <c:v>M6/18</c:v>
                </c:pt>
                <c:pt idx="5">
                  <c:v>M7/18</c:v>
                </c:pt>
                <c:pt idx="6">
                  <c:v>M8/18</c:v>
                </c:pt>
                <c:pt idx="7">
                  <c:v>M9/18</c:v>
                </c:pt>
                <c:pt idx="8">
                  <c:v>M10/18</c:v>
                </c:pt>
                <c:pt idx="9">
                  <c:v>M11/18</c:v>
                </c:pt>
                <c:pt idx="10">
                  <c:v>M12/18</c:v>
                </c:pt>
                <c:pt idx="11">
                  <c:v>M1/19</c:v>
                </c:pt>
              </c:strCache>
            </c:strRef>
          </c:cat>
          <c:val>
            <c:numRef>
              <c:f>'Data tables for graphs'!$C$6:$N$6</c:f>
              <c:numCache>
                <c:formatCode>0</c:formatCode>
                <c:ptCount val="12"/>
                <c:pt idx="0">
                  <c:v>214</c:v>
                </c:pt>
                <c:pt idx="1">
                  <c:v>337</c:v>
                </c:pt>
                <c:pt idx="2">
                  <c:v>303</c:v>
                </c:pt>
                <c:pt idx="3">
                  <c:v>225</c:v>
                </c:pt>
                <c:pt idx="4">
                  <c:v>315</c:v>
                </c:pt>
                <c:pt idx="5">
                  <c:v>222</c:v>
                </c:pt>
                <c:pt idx="6">
                  <c:v>204</c:v>
                </c:pt>
                <c:pt idx="7">
                  <c:v>257</c:v>
                </c:pt>
                <c:pt idx="8">
                  <c:v>197</c:v>
                </c:pt>
                <c:pt idx="9">
                  <c:v>207</c:v>
                </c:pt>
                <c:pt idx="10">
                  <c:v>335</c:v>
                </c:pt>
                <c:pt idx="11">
                  <c:v>272</c:v>
                </c:pt>
              </c:numCache>
            </c:numRef>
          </c:val>
          <c:extLst>
            <c:ext xmlns:c16="http://schemas.microsoft.com/office/drawing/2014/chart" uri="{C3380CC4-5D6E-409C-BE32-E72D297353CC}">
              <c16:uniqueId val="{00000000-1FED-4E93-B0D1-FAAE13D42B02}"/>
            </c:ext>
          </c:extLst>
        </c:ser>
        <c:ser>
          <c:idx val="1"/>
          <c:order val="1"/>
          <c:tx>
            <c:strRef>
              <c:f>'Data tables for graphs'!$B$7</c:f>
              <c:strCache>
                <c:ptCount val="1"/>
                <c:pt idx="0">
                  <c:v>Not met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for graphs'!$C$4:$N$4</c:f>
              <c:strCache>
                <c:ptCount val="12"/>
                <c:pt idx="0">
                  <c:v>M2/18</c:v>
                </c:pt>
                <c:pt idx="1">
                  <c:v>M3/18</c:v>
                </c:pt>
                <c:pt idx="2">
                  <c:v>M4/18</c:v>
                </c:pt>
                <c:pt idx="3">
                  <c:v>M5/18</c:v>
                </c:pt>
                <c:pt idx="4">
                  <c:v>M6/18</c:v>
                </c:pt>
                <c:pt idx="5">
                  <c:v>M7/18</c:v>
                </c:pt>
                <c:pt idx="6">
                  <c:v>M8/18</c:v>
                </c:pt>
                <c:pt idx="7">
                  <c:v>M9/18</c:v>
                </c:pt>
                <c:pt idx="8">
                  <c:v>M10/18</c:v>
                </c:pt>
                <c:pt idx="9">
                  <c:v>M11/18</c:v>
                </c:pt>
                <c:pt idx="10">
                  <c:v>M12/18</c:v>
                </c:pt>
                <c:pt idx="11">
                  <c:v>M1/19</c:v>
                </c:pt>
              </c:strCache>
            </c:strRef>
          </c:cat>
          <c:val>
            <c:numRef>
              <c:f>'Data tables for graphs'!$C$7:$N$7</c:f>
              <c:numCache>
                <c:formatCode>0</c:formatCode>
                <c:ptCount val="12"/>
                <c:pt idx="0">
                  <c:v>73</c:v>
                </c:pt>
                <c:pt idx="1">
                  <c:v>102</c:v>
                </c:pt>
                <c:pt idx="2">
                  <c:v>101</c:v>
                </c:pt>
                <c:pt idx="3">
                  <c:v>78</c:v>
                </c:pt>
                <c:pt idx="4">
                  <c:v>108</c:v>
                </c:pt>
                <c:pt idx="5">
                  <c:v>83</c:v>
                </c:pt>
                <c:pt idx="6">
                  <c:v>71</c:v>
                </c:pt>
                <c:pt idx="7">
                  <c:v>90</c:v>
                </c:pt>
                <c:pt idx="8">
                  <c:v>79</c:v>
                </c:pt>
                <c:pt idx="9">
                  <c:v>81</c:v>
                </c:pt>
                <c:pt idx="10">
                  <c:v>95</c:v>
                </c:pt>
                <c:pt idx="11">
                  <c:v>75</c:v>
                </c:pt>
              </c:numCache>
            </c:numRef>
          </c:val>
          <c:extLst>
            <c:ext xmlns:c16="http://schemas.microsoft.com/office/drawing/2014/chart" uri="{C3380CC4-5D6E-409C-BE32-E72D297353CC}">
              <c16:uniqueId val="{00000001-1FED-4E93-B0D1-FAAE13D42B02}"/>
            </c:ext>
          </c:extLst>
        </c:ser>
        <c:dLbls>
          <c:showLegendKey val="0"/>
          <c:showVal val="0"/>
          <c:showCatName val="0"/>
          <c:showSerName val="0"/>
          <c:showPercent val="0"/>
          <c:showBubbleSize val="0"/>
        </c:dLbls>
        <c:gapWidth val="150"/>
        <c:overlap val="100"/>
        <c:axId val="769910936"/>
        <c:axId val="769911920"/>
      </c:barChart>
      <c:catAx>
        <c:axId val="76991093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Month/Year</a:t>
                </a:r>
              </a:p>
            </c:rich>
          </c:tx>
          <c:layout>
            <c:manualLayout>
              <c:xMode val="edge"/>
              <c:yMode val="edge"/>
              <c:x val="0.28549041798943486"/>
              <c:y val="0.886397776667509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9911920"/>
        <c:crosses val="autoZero"/>
        <c:auto val="1"/>
        <c:lblAlgn val="ctr"/>
        <c:lblOffset val="100"/>
        <c:noMultiLvlLbl val="0"/>
      </c:catAx>
      <c:valAx>
        <c:axId val="769911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No. of indicators</a:t>
                </a:r>
              </a:p>
            </c:rich>
          </c:tx>
          <c:layout>
            <c:manualLayout>
              <c:xMode val="edge"/>
              <c:yMode val="edge"/>
              <c:x val="2.2222222222222223E-2"/>
              <c:y val="0.2418554972295129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9910936"/>
        <c:crosses val="autoZero"/>
        <c:crossBetween val="between"/>
      </c:valAx>
      <c:spPr>
        <a:noFill/>
        <a:ln>
          <a:noFill/>
        </a:ln>
        <a:effectLst/>
      </c:spPr>
    </c:plotArea>
    <c:legend>
      <c:legendPos val="b"/>
      <c:layout>
        <c:manualLayout>
          <c:xMode val="edge"/>
          <c:yMode val="edge"/>
          <c:x val="0.50457627190893184"/>
          <c:y val="0.89260391757211699"/>
          <c:w val="0.30289328259549358"/>
          <c:h val="8.26399825021872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1287-D7B2-47A0-B25F-6BED9D0B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1368</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Weerawarnakula Surangi (RNU) Oxford Health</cp:lastModifiedBy>
  <cp:revision>3</cp:revision>
  <cp:lastPrinted>2019-05-17T09:12:00Z</cp:lastPrinted>
  <dcterms:created xsi:type="dcterms:W3CDTF">2019-05-17T07:53:00Z</dcterms:created>
  <dcterms:modified xsi:type="dcterms:W3CDTF">2019-05-17T09:23:00Z</dcterms:modified>
</cp:coreProperties>
</file>