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F2" w:rsidRDefault="00F028AD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3700732</wp:posOffset>
                </wp:positionH>
                <wp:positionV relativeFrom="paragraph">
                  <wp:posOffset>12293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4C5199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66</w:t>
                            </w: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574F9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</w:t>
                            </w:r>
                            <w:r w:rsidR="004C5199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9</w:t>
                            </w:r>
                          </w:p>
                          <w:p w:rsidR="00F028AD" w:rsidRPr="00F028AD" w:rsidRDefault="00F028AD" w:rsidP="00F816F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item:1</w:t>
                            </w:r>
                            <w:r w:rsidR="004C5199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pt;margin-top:.95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">
                <v:textbox>
                  <w:txbxContent>
                    <w:p w:rsidR="0015230A" w:rsidRPr="00F028AD" w:rsidRDefault="00F028AD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4C5199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66</w:t>
                      </w: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574F9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</w:t>
                      </w:r>
                      <w:r w:rsidR="004C5199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9</w:t>
                      </w:r>
                    </w:p>
                    <w:p w:rsidR="00F028AD" w:rsidRPr="00F028AD" w:rsidRDefault="00F028AD" w:rsidP="00F816F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item:1</w:t>
                      </w:r>
                      <w:r w:rsidR="004C5199">
                        <w:rPr>
                          <w:rFonts w:ascii="Arial" w:hAnsi="Arial" w:cs="Arial"/>
                        </w:rPr>
                        <w:t>7</w:t>
                      </w:r>
                      <w:r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E26D07">
        <w:rPr>
          <w:sz w:val="28"/>
          <w:u w:val="none"/>
        </w:rPr>
        <w:t xml:space="preserve">           </w:t>
      </w:r>
    </w:p>
    <w:p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</w:t>
      </w:r>
    </w:p>
    <w:p w:rsidR="00436CDB" w:rsidRDefault="00F816F2" w:rsidP="00F816F2">
      <w:pPr>
        <w:pStyle w:val="Heading1"/>
        <w:jc w:val="righ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 xml:space="preserve">        </w:t>
      </w:r>
      <w:r>
        <w:rPr>
          <w:sz w:val="28"/>
          <w:u w:val="none"/>
        </w:rPr>
        <w:tab/>
        <w:t xml:space="preserve">  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</w:p>
    <w:p w:rsidR="00F028AD" w:rsidRPr="00F028AD" w:rsidRDefault="00F028AD" w:rsidP="00F028AD"/>
    <w:p w:rsidR="005531CE" w:rsidRPr="004E698B" w:rsidRDefault="00DC43FD" w:rsidP="000D5C69">
      <w:pPr>
        <w:pStyle w:val="Heading1"/>
        <w:jc w:val="center"/>
        <w:rPr>
          <w:sz w:val="28"/>
          <w:u w:val="none"/>
        </w:rPr>
      </w:pPr>
      <w:r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r w:rsidR="00BF10D1" w:rsidRPr="004E698B">
        <w:rPr>
          <w:color w:val="FF0000"/>
          <w:sz w:val="28"/>
          <w:u w:val="none"/>
        </w:rPr>
        <w:br/>
      </w:r>
      <w:bookmarkStart w:id="0" w:name="_GoBack"/>
      <w:bookmarkEnd w:id="0"/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</w:t>
      </w:r>
      <w:r w:rsidR="003113A2">
        <w:rPr>
          <w:rFonts w:ascii="Arial" w:hAnsi="Arial" w:cs="Arial"/>
          <w:b/>
          <w:bCs/>
          <w:sz w:val="24"/>
          <w:szCs w:val="24"/>
        </w:rPr>
        <w:t>9</w:t>
      </w:r>
      <w:r w:rsidR="002666AC">
        <w:rPr>
          <w:rFonts w:ascii="Arial" w:hAnsi="Arial" w:cs="Arial"/>
          <w:b/>
          <w:bCs/>
          <w:sz w:val="24"/>
          <w:szCs w:val="24"/>
        </w:rPr>
        <w:t>-</w:t>
      </w:r>
      <w:r w:rsidR="003113A2">
        <w:rPr>
          <w:rFonts w:ascii="Arial" w:hAnsi="Arial" w:cs="Arial"/>
          <w:b/>
          <w:bCs/>
          <w:sz w:val="24"/>
          <w:szCs w:val="24"/>
        </w:rPr>
        <w:t>20</w:t>
      </w:r>
    </w:p>
    <w:p w:rsidR="00672EF2" w:rsidRPr="004E698B" w:rsidRDefault="003113A2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 w:rsidR="00A43DAE">
        <w:rPr>
          <w:rFonts w:ascii="Arial" w:hAnsi="Arial" w:cs="Arial"/>
          <w:b/>
          <w:bCs/>
          <w:sz w:val="24"/>
          <w:szCs w:val="24"/>
        </w:rPr>
        <w:t>1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5E67CA" w:rsidRPr="00A67968" w:rsidRDefault="005E67CA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Introduction</w:t>
      </w:r>
    </w:p>
    <w:p w:rsidR="004E698B" w:rsidRPr="00A67968" w:rsidRDefault="005E67CA" w:rsidP="00C83A83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A67968">
        <w:rPr>
          <w:rFonts w:ascii="Arial" w:hAnsi="Arial" w:cs="Arial"/>
          <w:sz w:val="24"/>
          <w:szCs w:val="24"/>
        </w:rPr>
        <w:t xml:space="preserve">mance of the Trust for </w:t>
      </w:r>
      <w:r w:rsidR="003113A2" w:rsidRPr="00A67968">
        <w:rPr>
          <w:rFonts w:ascii="Arial" w:hAnsi="Arial" w:cs="Arial"/>
          <w:sz w:val="24"/>
          <w:szCs w:val="24"/>
        </w:rPr>
        <w:t>April</w:t>
      </w:r>
      <w:r w:rsidR="004E698B" w:rsidRPr="00A67968">
        <w:rPr>
          <w:rFonts w:ascii="Arial" w:hAnsi="Arial" w:cs="Arial"/>
          <w:sz w:val="24"/>
          <w:szCs w:val="24"/>
        </w:rPr>
        <w:t xml:space="preserve"> 201</w:t>
      </w:r>
      <w:r w:rsidR="00F848F0" w:rsidRPr="00A67968">
        <w:rPr>
          <w:rFonts w:ascii="Arial" w:hAnsi="Arial" w:cs="Arial"/>
          <w:sz w:val="24"/>
          <w:szCs w:val="24"/>
        </w:rPr>
        <w:t>9</w:t>
      </w:r>
      <w:r w:rsidR="004E698B" w:rsidRPr="00A67968">
        <w:rPr>
          <w:rFonts w:ascii="Arial" w:hAnsi="Arial" w:cs="Arial"/>
          <w:sz w:val="24"/>
          <w:szCs w:val="24"/>
        </w:rPr>
        <w:t>.</w:t>
      </w:r>
    </w:p>
    <w:p w:rsidR="00754F44" w:rsidRPr="00A67968" w:rsidRDefault="00100C1B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Performance to D</w:t>
      </w:r>
      <w:r w:rsidR="00754F44" w:rsidRPr="00A67968">
        <w:rPr>
          <w:rFonts w:ascii="Arial" w:hAnsi="Arial" w:cs="Arial"/>
          <w:b/>
          <w:sz w:val="24"/>
          <w:szCs w:val="24"/>
        </w:rPr>
        <w:t>ate</w:t>
      </w:r>
    </w:p>
    <w:p w:rsidR="00E41757" w:rsidRPr="00A67968" w:rsidRDefault="0063561D" w:rsidP="00E41757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 xml:space="preserve">The Income Statement at month </w:t>
      </w:r>
      <w:r w:rsidR="00A43DAE" w:rsidRPr="00A67968">
        <w:rPr>
          <w:rFonts w:ascii="Arial" w:hAnsi="Arial" w:cs="Arial"/>
          <w:sz w:val="24"/>
          <w:szCs w:val="24"/>
        </w:rPr>
        <w:t>1</w:t>
      </w:r>
      <w:r w:rsidR="00E41757" w:rsidRPr="00A67968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A67968" w:rsidRDefault="00FB644D" w:rsidP="008955DE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The key financial results f</w:t>
      </w:r>
      <w:r w:rsidR="00312ACF" w:rsidRPr="00A67968">
        <w:rPr>
          <w:rFonts w:ascii="Arial" w:hAnsi="Arial" w:cs="Arial"/>
          <w:sz w:val="24"/>
          <w:szCs w:val="24"/>
        </w:rPr>
        <w:t xml:space="preserve">or </w:t>
      </w:r>
      <w:r w:rsidR="00A67968" w:rsidRPr="00A67968">
        <w:rPr>
          <w:rFonts w:ascii="Arial" w:hAnsi="Arial" w:cs="Arial"/>
          <w:sz w:val="24"/>
          <w:szCs w:val="24"/>
        </w:rPr>
        <w:t>April</w:t>
      </w:r>
      <w:r w:rsidR="00A84EC0" w:rsidRPr="00A67968">
        <w:rPr>
          <w:rFonts w:ascii="Arial" w:hAnsi="Arial" w:cs="Arial"/>
          <w:sz w:val="24"/>
          <w:szCs w:val="24"/>
        </w:rPr>
        <w:t xml:space="preserve"> </w:t>
      </w:r>
      <w:r w:rsidR="004E698B" w:rsidRPr="00A67968">
        <w:rPr>
          <w:rFonts w:ascii="Arial" w:hAnsi="Arial" w:cs="Arial"/>
          <w:sz w:val="24"/>
          <w:szCs w:val="24"/>
        </w:rPr>
        <w:t>201</w:t>
      </w:r>
      <w:r w:rsidR="00A43DAE" w:rsidRPr="00A67968">
        <w:rPr>
          <w:rFonts w:ascii="Arial" w:hAnsi="Arial" w:cs="Arial"/>
          <w:sz w:val="24"/>
          <w:szCs w:val="24"/>
        </w:rPr>
        <w:t>9</w:t>
      </w:r>
      <w:r w:rsidR="00CC79BA" w:rsidRPr="00A67968">
        <w:rPr>
          <w:rFonts w:ascii="Arial" w:hAnsi="Arial" w:cs="Arial"/>
          <w:sz w:val="24"/>
          <w:szCs w:val="24"/>
        </w:rPr>
        <w:t xml:space="preserve"> </w:t>
      </w:r>
      <w:r w:rsidRPr="00A67968">
        <w:rPr>
          <w:rFonts w:ascii="Arial" w:hAnsi="Arial" w:cs="Arial"/>
          <w:sz w:val="24"/>
          <w:szCs w:val="24"/>
        </w:rPr>
        <w:t>are</w:t>
      </w:r>
      <w:r w:rsidR="00C83A83" w:rsidRPr="00A67968">
        <w:rPr>
          <w:rFonts w:ascii="Arial" w:hAnsi="Arial" w:cs="Arial"/>
          <w:sz w:val="24"/>
          <w:szCs w:val="24"/>
        </w:rPr>
        <w:t>:</w:t>
      </w:r>
    </w:p>
    <w:p w:rsidR="00201B8A" w:rsidRPr="00F65C61" w:rsidRDefault="008C6DC8" w:rsidP="00201B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An Income and Expenditure deficit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A67968" w:rsidRPr="00F65C61">
        <w:rPr>
          <w:rFonts w:ascii="Arial" w:hAnsi="Arial" w:cs="Arial"/>
          <w:b/>
          <w:sz w:val="24"/>
          <w:szCs w:val="24"/>
        </w:rPr>
        <w:t>0.9</w:t>
      </w:r>
      <w:r w:rsidRPr="00F65C61">
        <w:rPr>
          <w:rFonts w:ascii="Arial" w:hAnsi="Arial" w:cs="Arial"/>
          <w:b/>
          <w:sz w:val="24"/>
          <w:szCs w:val="24"/>
        </w:rPr>
        <w:t xml:space="preserve">m </w:t>
      </w:r>
      <w:r w:rsidRPr="00F65C61">
        <w:rPr>
          <w:rFonts w:ascii="Arial" w:hAnsi="Arial" w:cs="Arial"/>
          <w:sz w:val="24"/>
          <w:szCs w:val="24"/>
        </w:rPr>
        <w:t xml:space="preserve">which is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A67968" w:rsidRPr="00F65C61">
        <w:rPr>
          <w:rFonts w:ascii="Arial" w:hAnsi="Arial" w:cs="Arial"/>
          <w:b/>
          <w:sz w:val="24"/>
          <w:szCs w:val="24"/>
        </w:rPr>
        <w:t>0.3</w:t>
      </w:r>
      <w:r w:rsidRPr="00F65C61">
        <w:rPr>
          <w:rFonts w:ascii="Arial" w:hAnsi="Arial" w:cs="Arial"/>
          <w:b/>
          <w:sz w:val="24"/>
          <w:szCs w:val="24"/>
        </w:rPr>
        <w:t>m a</w:t>
      </w:r>
      <w:r w:rsidR="004A2FDD" w:rsidRPr="00F65C61">
        <w:rPr>
          <w:rFonts w:ascii="Arial" w:hAnsi="Arial" w:cs="Arial"/>
          <w:b/>
          <w:sz w:val="24"/>
          <w:szCs w:val="24"/>
        </w:rPr>
        <w:t>dverse</w:t>
      </w:r>
      <w:r w:rsidRPr="00F65C61">
        <w:rPr>
          <w:rFonts w:ascii="Arial" w:hAnsi="Arial" w:cs="Arial"/>
          <w:b/>
          <w:sz w:val="24"/>
          <w:szCs w:val="24"/>
        </w:rPr>
        <w:t xml:space="preserve"> </w:t>
      </w:r>
      <w:r w:rsidRPr="00F65C61">
        <w:rPr>
          <w:rFonts w:ascii="Arial" w:hAnsi="Arial" w:cs="Arial"/>
          <w:sz w:val="24"/>
          <w:szCs w:val="24"/>
        </w:rPr>
        <w:t>to plan.</w:t>
      </w:r>
      <w:r w:rsidR="00F4617C" w:rsidRPr="00F65C61">
        <w:rPr>
          <w:rFonts w:ascii="Arial" w:eastAsiaTheme="majorEastAsia" w:hAnsi="Arial" w:cs="Arial"/>
          <w:kern w:val="24"/>
          <w:sz w:val="18"/>
          <w:szCs w:val="18"/>
        </w:rPr>
        <w:t xml:space="preserve"> </w:t>
      </w:r>
    </w:p>
    <w:p w:rsidR="008955DE" w:rsidRPr="00F65C61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EBITDA (Earnings before interest, taxation, depreciation and amortisation) of </w:t>
      </w:r>
      <w:r w:rsidR="00B25DDF" w:rsidRPr="00F65C61">
        <w:rPr>
          <w:rFonts w:ascii="Arial" w:hAnsi="Arial" w:cs="Arial"/>
          <w:b/>
        </w:rPr>
        <w:t>£</w:t>
      </w:r>
      <w:r w:rsidR="00A67968" w:rsidRPr="00F65C61">
        <w:rPr>
          <w:rFonts w:ascii="Arial" w:hAnsi="Arial" w:cs="Arial"/>
          <w:b/>
        </w:rPr>
        <w:t>0.2m</w:t>
      </w:r>
      <w:r w:rsidR="004A2BE6" w:rsidRPr="00F65C61">
        <w:rPr>
          <w:rFonts w:ascii="Arial" w:hAnsi="Arial" w:cs="Arial"/>
        </w:rPr>
        <w:t xml:space="preserve">, </w:t>
      </w:r>
      <w:r w:rsidR="004A2FDD" w:rsidRPr="00F65C61">
        <w:rPr>
          <w:rFonts w:ascii="Arial" w:hAnsi="Arial" w:cs="Arial"/>
          <w:b/>
        </w:rPr>
        <w:t>£</w:t>
      </w:r>
      <w:r w:rsidR="00A67968" w:rsidRPr="00F65C61">
        <w:rPr>
          <w:rFonts w:ascii="Arial" w:hAnsi="Arial" w:cs="Arial"/>
          <w:b/>
        </w:rPr>
        <w:t>0.3</w:t>
      </w:r>
      <w:r w:rsidR="004A2FDD" w:rsidRPr="00F65C61">
        <w:rPr>
          <w:rFonts w:ascii="Arial" w:hAnsi="Arial" w:cs="Arial"/>
          <w:b/>
        </w:rPr>
        <w:t>m</w:t>
      </w:r>
      <w:r w:rsidR="004A2FDD" w:rsidRPr="00F65C61">
        <w:rPr>
          <w:rFonts w:ascii="Arial" w:hAnsi="Arial" w:cs="Arial"/>
        </w:rPr>
        <w:t xml:space="preserve"> adverse to plan.</w:t>
      </w:r>
      <w:r w:rsidRPr="00F65C61">
        <w:rPr>
          <w:rFonts w:ascii="Arial" w:hAnsi="Arial" w:cs="Arial"/>
        </w:rPr>
        <w:t xml:space="preserve"> </w:t>
      </w:r>
    </w:p>
    <w:p w:rsidR="00B25DDF" w:rsidRPr="00F65C61" w:rsidRDefault="00B25DDF" w:rsidP="00B25DDF">
      <w:pPr>
        <w:pStyle w:val="ListParagraph"/>
        <w:rPr>
          <w:rFonts w:ascii="Arial" w:hAnsi="Arial" w:cs="Arial"/>
        </w:rPr>
      </w:pPr>
    </w:p>
    <w:p w:rsidR="00A67968" w:rsidRPr="00F65C61" w:rsidRDefault="00A67968" w:rsidP="007C391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 and Financial Recovery Funding) the underlying performance is a deficit of </w:t>
      </w:r>
      <w:r w:rsidRPr="00F65C61">
        <w:rPr>
          <w:rFonts w:ascii="Arial" w:hAnsi="Arial" w:cs="Arial"/>
          <w:b/>
          <w:bCs/>
          <w:sz w:val="24"/>
          <w:szCs w:val="24"/>
        </w:rPr>
        <w:t>£1.1m</w:t>
      </w:r>
      <w:r w:rsidRPr="00F65C61">
        <w:rPr>
          <w:rFonts w:ascii="Arial" w:hAnsi="Arial" w:cs="Arial"/>
          <w:sz w:val="24"/>
          <w:szCs w:val="24"/>
        </w:rPr>
        <w:t xml:space="preserve">, which is </w:t>
      </w:r>
      <w:r w:rsidRPr="00F65C61">
        <w:rPr>
          <w:rFonts w:ascii="Arial" w:hAnsi="Arial" w:cs="Arial"/>
          <w:b/>
          <w:bCs/>
          <w:sz w:val="24"/>
          <w:szCs w:val="24"/>
        </w:rPr>
        <w:t xml:space="preserve">£0.3m </w:t>
      </w:r>
      <w:r w:rsidRPr="00F65C61">
        <w:rPr>
          <w:rFonts w:ascii="Arial" w:hAnsi="Arial" w:cs="Arial"/>
          <w:sz w:val="24"/>
          <w:szCs w:val="24"/>
        </w:rPr>
        <w:t>adverse to the Trust’s Control Total.</w:t>
      </w:r>
    </w:p>
    <w:p w:rsidR="006B776F" w:rsidRPr="00F65C61" w:rsidRDefault="007C391B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65C61">
        <w:rPr>
          <w:rFonts w:ascii="Arial" w:eastAsia="Calibri" w:hAnsi="Arial" w:cs="Arial"/>
          <w:lang w:eastAsia="en-US"/>
        </w:rPr>
        <w:t>The operational pressures that the Trust experienced in 2018-19 have continued into the new financial year, particularly around Residential Care and the Oxfordshire CAMHS service.</w:t>
      </w:r>
    </w:p>
    <w:p w:rsidR="00CF270D" w:rsidRPr="00F65C61" w:rsidRDefault="00CF270D" w:rsidP="00CF270D">
      <w:pPr>
        <w:pStyle w:val="ListParagraph"/>
        <w:rPr>
          <w:rFonts w:ascii="Arial" w:hAnsi="Arial" w:cs="Arial"/>
          <w:lang w:val="en-US"/>
        </w:rPr>
      </w:pPr>
    </w:p>
    <w:p w:rsidR="00C01474" w:rsidRPr="00F65C61" w:rsidRDefault="007C6437" w:rsidP="008A22FE">
      <w:pPr>
        <w:pStyle w:val="ListParagraph"/>
        <w:numPr>
          <w:ilvl w:val="0"/>
          <w:numId w:val="30"/>
        </w:numPr>
        <w:jc w:val="both"/>
        <w:textAlignment w:val="baseline"/>
        <w:rPr>
          <w:sz w:val="18"/>
        </w:rPr>
      </w:pPr>
      <w:r w:rsidRPr="00F65C61">
        <w:rPr>
          <w:rFonts w:ascii="Arial" w:hAnsi="Arial" w:cs="Arial"/>
        </w:rPr>
        <w:t xml:space="preserve">A </w:t>
      </w:r>
      <w:r w:rsidR="00B25DDF" w:rsidRPr="00F65C61">
        <w:rPr>
          <w:rFonts w:ascii="Arial" w:hAnsi="Arial" w:cs="Arial"/>
        </w:rPr>
        <w:t xml:space="preserve">period-end </w:t>
      </w:r>
      <w:r w:rsidRPr="00F65C61">
        <w:rPr>
          <w:rFonts w:ascii="Arial" w:hAnsi="Arial" w:cs="Arial"/>
        </w:rPr>
        <w:t>cash balance of</w:t>
      </w:r>
      <w:r w:rsidR="004A58CB" w:rsidRPr="00F65C61">
        <w:rPr>
          <w:rFonts w:ascii="Arial" w:hAnsi="Arial" w:cs="Arial"/>
        </w:rPr>
        <w:t xml:space="preserve"> </w:t>
      </w:r>
      <w:r w:rsidR="00B25DDF" w:rsidRPr="00F65C61">
        <w:rPr>
          <w:rFonts w:ascii="Arial" w:hAnsi="Arial" w:cs="Arial"/>
          <w:b/>
        </w:rPr>
        <w:t>£</w:t>
      </w:r>
      <w:r w:rsidR="007C391B" w:rsidRPr="00F65C61">
        <w:rPr>
          <w:rFonts w:ascii="Arial" w:hAnsi="Arial" w:cs="Arial"/>
          <w:b/>
        </w:rPr>
        <w:t>8.9</w:t>
      </w:r>
      <w:r w:rsidR="004A58CB" w:rsidRPr="00F65C61">
        <w:rPr>
          <w:rFonts w:ascii="Arial" w:hAnsi="Arial" w:cs="Arial"/>
          <w:b/>
        </w:rPr>
        <w:t>m</w:t>
      </w:r>
      <w:r w:rsidR="004A58CB" w:rsidRPr="00F65C61">
        <w:rPr>
          <w:rFonts w:ascii="Arial" w:hAnsi="Arial" w:cs="Arial"/>
        </w:rPr>
        <w:t xml:space="preserve"> which is </w:t>
      </w:r>
      <w:r w:rsidR="00B25DDF" w:rsidRPr="00F65C61">
        <w:rPr>
          <w:rFonts w:ascii="Arial" w:hAnsi="Arial" w:cs="Arial"/>
          <w:b/>
        </w:rPr>
        <w:t>£</w:t>
      </w:r>
      <w:r w:rsidR="007C391B" w:rsidRPr="00F65C61">
        <w:rPr>
          <w:rFonts w:ascii="Arial" w:hAnsi="Arial" w:cs="Arial"/>
          <w:b/>
        </w:rPr>
        <w:t>9.1</w:t>
      </w:r>
      <w:r w:rsidR="00CA4776" w:rsidRPr="00F65C61">
        <w:rPr>
          <w:rFonts w:ascii="Arial" w:hAnsi="Arial" w:cs="Arial"/>
          <w:b/>
        </w:rPr>
        <w:t>m</w:t>
      </w:r>
      <w:r w:rsidR="00DA3D92" w:rsidRPr="00F65C61">
        <w:rPr>
          <w:rFonts w:ascii="Arial" w:hAnsi="Arial" w:cs="Arial"/>
        </w:rPr>
        <w:t xml:space="preserve"> </w:t>
      </w:r>
      <w:r w:rsidR="007C391B" w:rsidRPr="00F65C61">
        <w:rPr>
          <w:rFonts w:ascii="Arial" w:hAnsi="Arial" w:cs="Arial"/>
        </w:rPr>
        <w:t>worse than</w:t>
      </w:r>
      <w:r w:rsidR="0046043F" w:rsidRPr="00F65C61">
        <w:rPr>
          <w:rFonts w:ascii="Arial" w:hAnsi="Arial" w:cs="Arial"/>
        </w:rPr>
        <w:t xml:space="preserve"> </w:t>
      </w:r>
      <w:r w:rsidR="007D2785" w:rsidRPr="00F65C61">
        <w:rPr>
          <w:rFonts w:ascii="Arial" w:hAnsi="Arial" w:cs="Arial"/>
        </w:rPr>
        <w:t>plan.</w:t>
      </w:r>
      <w:r w:rsidR="00C01474" w:rsidRPr="00F65C61">
        <w:rPr>
          <w:rFonts w:ascii="Arial" w:eastAsiaTheme="majorEastAsia" w:hAnsi="Arial" w:cs="Arial"/>
          <w:kern w:val="24"/>
        </w:rPr>
        <w:t xml:space="preserve"> </w:t>
      </w:r>
      <w:r w:rsidR="007C391B" w:rsidRPr="00F65C61">
        <w:rPr>
          <w:rFonts w:ascii="Arial" w:eastAsiaTheme="majorEastAsia" w:hAnsi="Arial" w:cs="Arial"/>
          <w:kern w:val="24"/>
        </w:rPr>
        <w:t xml:space="preserve">This was driven by delays in receiving </w:t>
      </w:r>
      <w:r w:rsidR="00F74FF9">
        <w:rPr>
          <w:rFonts w:ascii="Arial" w:eastAsiaTheme="majorEastAsia" w:hAnsi="Arial" w:cs="Arial"/>
          <w:kern w:val="24"/>
        </w:rPr>
        <w:t>NHS England</w:t>
      </w:r>
      <w:r w:rsidR="007C391B" w:rsidRPr="00F65C61">
        <w:rPr>
          <w:rFonts w:ascii="Arial" w:eastAsiaTheme="majorEastAsia" w:hAnsi="Arial" w:cs="Arial"/>
          <w:kern w:val="24"/>
        </w:rPr>
        <w:t xml:space="preserve"> </w:t>
      </w:r>
      <w:r w:rsidR="00F65C61" w:rsidRPr="00F65C61">
        <w:rPr>
          <w:rFonts w:ascii="Arial" w:eastAsiaTheme="majorEastAsia" w:hAnsi="Arial" w:cs="Arial"/>
          <w:kern w:val="24"/>
        </w:rPr>
        <w:t>income,</w:t>
      </w:r>
      <w:r w:rsidR="000323FF" w:rsidRPr="00F65C61">
        <w:rPr>
          <w:rFonts w:ascii="Arial" w:eastAsiaTheme="majorEastAsia" w:hAnsi="Arial" w:cs="Arial"/>
          <w:kern w:val="24"/>
        </w:rPr>
        <w:t xml:space="preserve"> but these invoices have now been paid.</w:t>
      </w:r>
    </w:p>
    <w:p w:rsidR="005118B1" w:rsidRPr="00F65C61" w:rsidRDefault="005118B1" w:rsidP="005118B1">
      <w:pPr>
        <w:pStyle w:val="ListParagraph"/>
        <w:jc w:val="both"/>
        <w:textAlignment w:val="baseline"/>
        <w:rPr>
          <w:sz w:val="18"/>
        </w:rPr>
      </w:pPr>
    </w:p>
    <w:p w:rsidR="0073651A" w:rsidRPr="00F65C61" w:rsidRDefault="006B776F" w:rsidP="00FF5D73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At </w:t>
      </w:r>
      <w:r w:rsidR="00471434" w:rsidRPr="00F65C61">
        <w:rPr>
          <w:rFonts w:ascii="Arial" w:hAnsi="Arial" w:cs="Arial"/>
        </w:rPr>
        <w:t xml:space="preserve">month </w:t>
      </w:r>
      <w:r w:rsidR="00A43DAE" w:rsidRPr="00F65C61">
        <w:rPr>
          <w:rFonts w:ascii="Arial" w:hAnsi="Arial" w:cs="Arial"/>
        </w:rPr>
        <w:t>1</w:t>
      </w:r>
      <w:r w:rsidR="00206C78" w:rsidRPr="00F65C61">
        <w:rPr>
          <w:rFonts w:ascii="Arial" w:hAnsi="Arial" w:cs="Arial"/>
        </w:rPr>
        <w:t xml:space="preserve"> </w:t>
      </w:r>
      <w:r w:rsidR="00A704CA" w:rsidRPr="00F65C61">
        <w:rPr>
          <w:rFonts w:ascii="Arial" w:hAnsi="Arial" w:cs="Arial"/>
        </w:rPr>
        <w:t>t</w:t>
      </w:r>
      <w:r w:rsidR="00A704CA" w:rsidRPr="00F65C61">
        <w:rPr>
          <w:rFonts w:ascii="Arial" w:eastAsiaTheme="majorEastAsia" w:hAnsi="Arial" w:cs="Arial"/>
          <w:kern w:val="24"/>
        </w:rPr>
        <w:t>he Trust’s overall Use o</w:t>
      </w:r>
      <w:r w:rsidR="00F4617C" w:rsidRPr="00F65C61">
        <w:rPr>
          <w:rFonts w:ascii="Arial" w:eastAsiaTheme="majorEastAsia" w:hAnsi="Arial" w:cs="Arial"/>
          <w:kern w:val="24"/>
        </w:rPr>
        <w:t>f Resources risk rating is</w:t>
      </w:r>
      <w:r w:rsidR="00A704CA" w:rsidRPr="00F65C61">
        <w:rPr>
          <w:rFonts w:ascii="Arial" w:eastAsiaTheme="majorEastAsia" w:hAnsi="Arial" w:cs="Arial"/>
          <w:kern w:val="24"/>
        </w:rPr>
        <w:t xml:space="preserve"> a ‘</w:t>
      </w:r>
      <w:r w:rsidR="00A84EC0" w:rsidRPr="00F65C61">
        <w:rPr>
          <w:rFonts w:ascii="Arial" w:eastAsiaTheme="majorEastAsia" w:hAnsi="Arial" w:cs="Arial"/>
          <w:kern w:val="24"/>
        </w:rPr>
        <w:t>4</w:t>
      </w:r>
      <w:r w:rsidR="00A704CA" w:rsidRPr="00F65C61">
        <w:rPr>
          <w:rFonts w:ascii="Arial" w:eastAsiaTheme="majorEastAsia" w:hAnsi="Arial" w:cs="Arial"/>
          <w:kern w:val="24"/>
        </w:rPr>
        <w:t>’</w:t>
      </w:r>
      <w:r w:rsidR="00F65C61" w:rsidRPr="00F65C61">
        <w:rPr>
          <w:rFonts w:ascii="Arial" w:eastAsiaTheme="majorEastAsia" w:hAnsi="Arial" w:cs="Arial"/>
          <w:kern w:val="24"/>
        </w:rPr>
        <w:t>, compared with a planned rating of ‘3’, due to the adverse variance against the Trust’s control total.</w:t>
      </w:r>
      <w:r w:rsidR="00A704CA" w:rsidRPr="00F65C61">
        <w:rPr>
          <w:rFonts w:ascii="Arial" w:eastAsiaTheme="majorEastAsia" w:hAnsi="Arial" w:cs="Arial"/>
          <w:kern w:val="24"/>
        </w:rPr>
        <w:t xml:space="preserve"> </w:t>
      </w:r>
    </w:p>
    <w:p w:rsidR="00F65C61" w:rsidRPr="00F65C61" w:rsidRDefault="00F65C61" w:rsidP="00F65C61">
      <w:pPr>
        <w:pStyle w:val="ListParagraph"/>
        <w:jc w:val="both"/>
        <w:textAlignment w:val="baseline"/>
        <w:rPr>
          <w:rFonts w:ascii="Arial" w:hAnsi="Arial" w:cs="Arial"/>
          <w:color w:val="FF0000"/>
        </w:rPr>
      </w:pPr>
    </w:p>
    <w:p w:rsidR="00F65C61" w:rsidRDefault="00F65C61" w:rsidP="00E05A27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65C61" w:rsidRDefault="00F65C61" w:rsidP="00E05A27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65C61" w:rsidRDefault="00F65C61" w:rsidP="00E05A27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5A27" w:rsidRPr="00F65C61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t>Cost Improvement P</w:t>
      </w:r>
      <w:r w:rsidR="003C6A03" w:rsidRPr="00F65C61">
        <w:rPr>
          <w:rFonts w:ascii="Arial" w:hAnsi="Arial" w:cs="Arial"/>
          <w:b/>
          <w:sz w:val="24"/>
          <w:szCs w:val="24"/>
        </w:rPr>
        <w:t>rogramme</w:t>
      </w:r>
    </w:p>
    <w:p w:rsidR="0035048B" w:rsidRPr="00F65C61" w:rsidRDefault="005F4076" w:rsidP="00F65C61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>The Trust ha</w:t>
      </w:r>
      <w:r w:rsidR="00F65C61" w:rsidRPr="00F65C61">
        <w:rPr>
          <w:rFonts w:ascii="Arial" w:hAnsi="Arial" w:cs="Arial"/>
          <w:sz w:val="24"/>
          <w:szCs w:val="24"/>
        </w:rPr>
        <w:t>s</w:t>
      </w:r>
      <w:r w:rsidR="00B221FF" w:rsidRPr="00F65C61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65C61">
        <w:rPr>
          <w:rFonts w:ascii="Arial" w:hAnsi="Arial" w:cs="Arial"/>
          <w:sz w:val="24"/>
          <w:szCs w:val="24"/>
        </w:rPr>
        <w:t xml:space="preserve"> target of </w:t>
      </w:r>
      <w:r w:rsidR="00B221FF"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</w:t>
      </w:r>
      <w:r w:rsidR="00D53BED" w:rsidRPr="00F65C61">
        <w:rPr>
          <w:rFonts w:ascii="Arial" w:hAnsi="Arial" w:cs="Arial"/>
          <w:b/>
          <w:sz w:val="24"/>
          <w:szCs w:val="24"/>
        </w:rPr>
        <w:t>m</w:t>
      </w:r>
      <w:r w:rsidR="00B25DDF" w:rsidRPr="00F65C61">
        <w:rPr>
          <w:rFonts w:ascii="Arial" w:hAnsi="Arial" w:cs="Arial"/>
          <w:sz w:val="24"/>
          <w:szCs w:val="24"/>
        </w:rPr>
        <w:t xml:space="preserve"> for 201</w:t>
      </w:r>
      <w:r w:rsidR="00F65C61" w:rsidRPr="00F65C61">
        <w:rPr>
          <w:rFonts w:ascii="Arial" w:hAnsi="Arial" w:cs="Arial"/>
          <w:sz w:val="24"/>
          <w:szCs w:val="24"/>
        </w:rPr>
        <w:t>9-20.</w:t>
      </w:r>
      <w:r w:rsidR="00F65C61">
        <w:rPr>
          <w:rFonts w:ascii="Arial" w:hAnsi="Arial" w:cs="Arial"/>
          <w:sz w:val="24"/>
          <w:szCs w:val="24"/>
        </w:rPr>
        <w:t xml:space="preserve"> CIP themes have been identified and work is underway to </w:t>
      </w:r>
      <w:r w:rsidR="004D13BB">
        <w:rPr>
          <w:rFonts w:ascii="Arial" w:hAnsi="Arial" w:cs="Arial"/>
          <w:sz w:val="24"/>
          <w:szCs w:val="24"/>
        </w:rPr>
        <w:t>deliver</w:t>
      </w:r>
      <w:r w:rsidR="00F65C61">
        <w:rPr>
          <w:rFonts w:ascii="Arial" w:hAnsi="Arial" w:cs="Arial"/>
          <w:sz w:val="24"/>
          <w:szCs w:val="24"/>
        </w:rPr>
        <w:t xml:space="preserve"> savings. These are planned to start from quarter 2 with most savings being delivered in the second half of the year.</w:t>
      </w:r>
      <w:r w:rsidR="00AE5B6E">
        <w:rPr>
          <w:rFonts w:ascii="Arial" w:hAnsi="Arial" w:cs="Arial"/>
          <w:sz w:val="24"/>
          <w:szCs w:val="24"/>
        </w:rPr>
        <w:t xml:space="preserve"> Work continues to accelerate </w:t>
      </w:r>
      <w:r w:rsidR="00912842">
        <w:rPr>
          <w:rFonts w:ascii="Arial" w:hAnsi="Arial" w:cs="Arial"/>
          <w:sz w:val="24"/>
          <w:szCs w:val="24"/>
        </w:rPr>
        <w:t xml:space="preserve">delivery of </w:t>
      </w:r>
      <w:r w:rsidR="00AE5B6E">
        <w:rPr>
          <w:rFonts w:ascii="Arial" w:hAnsi="Arial" w:cs="Arial"/>
          <w:sz w:val="24"/>
          <w:szCs w:val="24"/>
        </w:rPr>
        <w:t>these schemes.</w:t>
      </w:r>
    </w:p>
    <w:p w:rsidR="00B221FF" w:rsidRPr="00F65C61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65C61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65C61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E05A27" w:rsidRPr="00F65C61" w:rsidRDefault="00E41757" w:rsidP="00F65C61">
      <w:pPr>
        <w:spacing w:before="120" w:after="120"/>
        <w:jc w:val="both"/>
        <w:textAlignment w:val="baseline"/>
        <w:rPr>
          <w:rFonts w:ascii="Arial" w:eastAsiaTheme="minorEastAsia" w:hAnsi="Arial" w:cs="Arial"/>
          <w:kern w:val="24"/>
        </w:rPr>
      </w:pPr>
      <w:r w:rsidRPr="00F65C61">
        <w:rPr>
          <w:rFonts w:ascii="Arial" w:hAnsi="Arial" w:cs="Arial"/>
        </w:rPr>
        <w:t xml:space="preserve">Capital expenditure in month </w:t>
      </w:r>
      <w:r w:rsidR="00F65C61" w:rsidRPr="00F65C61">
        <w:rPr>
          <w:rFonts w:ascii="Arial" w:hAnsi="Arial" w:cs="Arial"/>
        </w:rPr>
        <w:t>1</w:t>
      </w:r>
      <w:r w:rsidR="005C0FB0" w:rsidRPr="00F65C61">
        <w:rPr>
          <w:rFonts w:ascii="Arial" w:hAnsi="Arial" w:cs="Arial"/>
        </w:rPr>
        <w:t xml:space="preserve"> </w:t>
      </w:r>
      <w:r w:rsidRPr="00F65C61">
        <w:rPr>
          <w:rFonts w:ascii="Arial" w:hAnsi="Arial" w:cs="Arial"/>
        </w:rPr>
        <w:t xml:space="preserve">was </w:t>
      </w:r>
      <w:r w:rsidR="004A2BE6" w:rsidRPr="00F65C61">
        <w:rPr>
          <w:rFonts w:ascii="Arial" w:hAnsi="Arial" w:cs="Arial"/>
          <w:b/>
          <w:bCs/>
        </w:rPr>
        <w:t>£</w:t>
      </w:r>
      <w:r w:rsidR="00F65C61" w:rsidRPr="00F65C61">
        <w:rPr>
          <w:rFonts w:ascii="Arial" w:hAnsi="Arial" w:cs="Arial"/>
          <w:b/>
          <w:bCs/>
        </w:rPr>
        <w:t>0.3</w:t>
      </w:r>
      <w:r w:rsidRPr="00F65C61">
        <w:rPr>
          <w:rFonts w:ascii="Arial" w:hAnsi="Arial" w:cs="Arial"/>
          <w:b/>
          <w:bCs/>
        </w:rPr>
        <w:t>m, £</w:t>
      </w:r>
      <w:r w:rsidR="00F65C61" w:rsidRPr="00F65C61">
        <w:rPr>
          <w:rFonts w:ascii="Arial" w:hAnsi="Arial" w:cs="Arial"/>
          <w:b/>
          <w:bCs/>
        </w:rPr>
        <w:t>0.2</w:t>
      </w:r>
      <w:r w:rsidR="00D54614" w:rsidRPr="00F65C61">
        <w:rPr>
          <w:rFonts w:ascii="Arial" w:hAnsi="Arial" w:cs="Arial"/>
          <w:b/>
          <w:bCs/>
        </w:rPr>
        <w:t>m</w:t>
      </w:r>
      <w:r w:rsidR="00B91D89" w:rsidRPr="00F65C61">
        <w:rPr>
          <w:rFonts w:ascii="Arial" w:hAnsi="Arial" w:cs="Arial"/>
          <w:b/>
          <w:bCs/>
        </w:rPr>
        <w:t xml:space="preserve"> </w:t>
      </w:r>
      <w:r w:rsidR="007F6670" w:rsidRPr="00F65C61">
        <w:rPr>
          <w:rFonts w:ascii="Arial" w:eastAsiaTheme="majorEastAsia" w:hAnsi="Arial" w:cs="Arial"/>
          <w:kern w:val="24"/>
        </w:rPr>
        <w:t>below plan</w:t>
      </w:r>
      <w:r w:rsidR="00780A7C" w:rsidRPr="00F65C61">
        <w:rPr>
          <w:rFonts w:ascii="Arial" w:eastAsiaTheme="majorEastAsia" w:hAnsi="Arial" w:cs="Arial"/>
          <w:kern w:val="24"/>
        </w:rPr>
        <w:t xml:space="preserve">. </w:t>
      </w:r>
    </w:p>
    <w:p w:rsidR="00F65C61" w:rsidRPr="00F65C61" w:rsidRDefault="00F65C61" w:rsidP="00F65C61">
      <w:pPr>
        <w:spacing w:before="120" w:after="120"/>
        <w:jc w:val="both"/>
        <w:textAlignment w:val="baseline"/>
        <w:rPr>
          <w:rFonts w:ascii="Arial" w:eastAsiaTheme="minorEastAsia" w:hAnsi="Arial" w:cs="Arial"/>
          <w:color w:val="FF0000"/>
          <w:kern w:val="24"/>
        </w:rPr>
      </w:pPr>
    </w:p>
    <w:p w:rsidR="003D1564" w:rsidRPr="00F65C61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t>201</w:t>
      </w:r>
      <w:r w:rsidR="00F65C61" w:rsidRPr="00F65C61">
        <w:rPr>
          <w:rFonts w:ascii="Arial" w:hAnsi="Arial" w:cs="Arial"/>
          <w:b/>
          <w:sz w:val="24"/>
          <w:szCs w:val="24"/>
        </w:rPr>
        <w:t>9</w:t>
      </w:r>
      <w:r w:rsidRPr="00F65C61">
        <w:rPr>
          <w:rFonts w:ascii="Arial" w:hAnsi="Arial" w:cs="Arial"/>
          <w:b/>
          <w:sz w:val="24"/>
          <w:szCs w:val="24"/>
        </w:rPr>
        <w:t>-</w:t>
      </w:r>
      <w:r w:rsidR="00F65C61" w:rsidRPr="00F65C61">
        <w:rPr>
          <w:rFonts w:ascii="Arial" w:hAnsi="Arial" w:cs="Arial"/>
          <w:b/>
          <w:sz w:val="24"/>
          <w:szCs w:val="24"/>
        </w:rPr>
        <w:t>20</w:t>
      </w:r>
      <w:r w:rsidRPr="00F65C61">
        <w:rPr>
          <w:rFonts w:ascii="Arial" w:hAnsi="Arial" w:cs="Arial"/>
          <w:b/>
          <w:sz w:val="24"/>
          <w:szCs w:val="24"/>
        </w:rPr>
        <w:t xml:space="preserve"> Plan</w:t>
      </w:r>
    </w:p>
    <w:p w:rsidR="003D1564" w:rsidRPr="00F65C61" w:rsidRDefault="003D1564" w:rsidP="003D1564">
      <w:p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The full year plan </w:t>
      </w:r>
      <w:r w:rsidR="00F65C61" w:rsidRPr="00F65C61">
        <w:rPr>
          <w:rFonts w:ascii="Arial" w:hAnsi="Arial" w:cs="Arial"/>
          <w:sz w:val="24"/>
          <w:szCs w:val="24"/>
        </w:rPr>
        <w:t>is</w:t>
      </w:r>
      <w:r w:rsidR="005118B1" w:rsidRPr="00F65C61">
        <w:rPr>
          <w:rFonts w:ascii="Arial" w:hAnsi="Arial" w:cs="Arial"/>
          <w:sz w:val="24"/>
          <w:szCs w:val="24"/>
        </w:rPr>
        <w:t xml:space="preserve"> </w:t>
      </w:r>
      <w:r w:rsidR="00AA041D">
        <w:rPr>
          <w:rFonts w:ascii="Arial" w:hAnsi="Arial" w:cs="Arial"/>
          <w:sz w:val="24"/>
          <w:szCs w:val="24"/>
        </w:rPr>
        <w:t xml:space="preserve">as </w:t>
      </w:r>
      <w:r w:rsidR="004740DF" w:rsidRPr="00F65C61">
        <w:rPr>
          <w:rFonts w:ascii="Arial" w:hAnsi="Arial" w:cs="Arial"/>
          <w:sz w:val="24"/>
          <w:szCs w:val="24"/>
        </w:rPr>
        <w:t>follows</w:t>
      </w:r>
      <w:r w:rsidRPr="00F65C61">
        <w:rPr>
          <w:rFonts w:ascii="Arial" w:hAnsi="Arial" w:cs="Arial"/>
          <w:sz w:val="24"/>
          <w:szCs w:val="24"/>
        </w:rPr>
        <w:t>:</w:t>
      </w:r>
    </w:p>
    <w:p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An Income &amp; Expenditure </w:t>
      </w:r>
      <w:r w:rsidR="00F65C61" w:rsidRPr="00AA041D">
        <w:rPr>
          <w:rFonts w:ascii="Arial" w:hAnsi="Arial" w:cs="Arial"/>
          <w:sz w:val="24"/>
          <w:szCs w:val="24"/>
        </w:rPr>
        <w:t>position of breakeven</w:t>
      </w:r>
    </w:p>
    <w:p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EBITDA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AA041D" w:rsidRPr="00AA041D">
        <w:rPr>
          <w:rFonts w:ascii="Arial" w:hAnsi="Arial" w:cs="Arial"/>
          <w:b/>
          <w:sz w:val="24"/>
          <w:szCs w:val="24"/>
        </w:rPr>
        <w:t>13.9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C92595" w:rsidRPr="00AA041D">
        <w:rPr>
          <w:rFonts w:ascii="Arial" w:hAnsi="Arial" w:cs="Arial"/>
          <w:sz w:val="24"/>
          <w:szCs w:val="24"/>
        </w:rPr>
        <w:t xml:space="preserve"> </w:t>
      </w:r>
    </w:p>
    <w:p w:rsidR="003D1564" w:rsidRPr="00F65C61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CIP delivery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7.6m</w:t>
      </w:r>
    </w:p>
    <w:p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>A Use of Resources Rating of ‘</w:t>
      </w:r>
      <w:r w:rsidR="00E41757" w:rsidRPr="00AA041D">
        <w:rPr>
          <w:rFonts w:ascii="Arial" w:hAnsi="Arial" w:cs="Arial"/>
          <w:sz w:val="24"/>
          <w:szCs w:val="24"/>
        </w:rPr>
        <w:t>3</w:t>
      </w:r>
      <w:r w:rsidRPr="00AA041D">
        <w:rPr>
          <w:rFonts w:ascii="Arial" w:hAnsi="Arial" w:cs="Arial"/>
          <w:sz w:val="24"/>
          <w:szCs w:val="24"/>
        </w:rPr>
        <w:t>’</w:t>
      </w:r>
      <w:r w:rsidR="005C0FB0" w:rsidRPr="00AA041D">
        <w:rPr>
          <w:rFonts w:ascii="Arial" w:hAnsi="Arial" w:cs="Arial"/>
          <w:sz w:val="24"/>
          <w:szCs w:val="24"/>
        </w:rPr>
        <w:t xml:space="preserve"> </w:t>
      </w:r>
    </w:p>
    <w:p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 year-end cash balance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E41757" w:rsidRPr="00AA041D">
        <w:rPr>
          <w:rFonts w:ascii="Arial" w:hAnsi="Arial" w:cs="Arial"/>
          <w:b/>
          <w:sz w:val="24"/>
          <w:szCs w:val="24"/>
        </w:rPr>
        <w:t>13.</w:t>
      </w:r>
      <w:r w:rsidR="00AA041D" w:rsidRPr="00AA041D">
        <w:rPr>
          <w:rFonts w:ascii="Arial" w:hAnsi="Arial" w:cs="Arial"/>
          <w:b/>
          <w:sz w:val="24"/>
          <w:szCs w:val="24"/>
        </w:rPr>
        <w:t>1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Capital investment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4A41BF" w:rsidRPr="00AA041D">
        <w:rPr>
          <w:rFonts w:ascii="Arial" w:hAnsi="Arial" w:cs="Arial"/>
          <w:b/>
          <w:sz w:val="24"/>
          <w:szCs w:val="24"/>
        </w:rPr>
        <w:t>1</w:t>
      </w:r>
      <w:r w:rsidR="00AA041D" w:rsidRPr="00AA041D">
        <w:rPr>
          <w:rFonts w:ascii="Arial" w:hAnsi="Arial" w:cs="Arial"/>
          <w:b/>
          <w:sz w:val="24"/>
          <w:szCs w:val="24"/>
        </w:rPr>
        <w:t>7.3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:rsidR="000D5C69" w:rsidRPr="003113A2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3113A2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3113A2" w:rsidRDefault="00094CA9" w:rsidP="0042468A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sz w:val="24"/>
          <w:szCs w:val="24"/>
        </w:rPr>
        <w:t xml:space="preserve">The </w:t>
      </w:r>
      <w:r w:rsidR="00B221FF" w:rsidRPr="003113A2">
        <w:rPr>
          <w:rFonts w:ascii="Arial" w:hAnsi="Arial" w:cs="Arial"/>
          <w:sz w:val="24"/>
          <w:szCs w:val="24"/>
        </w:rPr>
        <w:t>Board</w:t>
      </w:r>
      <w:r w:rsidRPr="003113A2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3113A2">
        <w:rPr>
          <w:rFonts w:ascii="Arial" w:hAnsi="Arial" w:cs="Arial"/>
          <w:sz w:val="24"/>
          <w:szCs w:val="24"/>
        </w:rPr>
        <w:t>financial position of the Trust</w:t>
      </w:r>
      <w:r w:rsidR="007D7D56" w:rsidRPr="003113A2">
        <w:rPr>
          <w:rFonts w:ascii="Arial" w:hAnsi="Arial" w:cs="Arial"/>
          <w:sz w:val="24"/>
          <w:szCs w:val="24"/>
        </w:rPr>
        <w:t>.</w:t>
      </w:r>
    </w:p>
    <w:p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Author and Title:</w:t>
      </w:r>
      <w:r w:rsidRPr="003113A2">
        <w:rPr>
          <w:rFonts w:ascii="Arial" w:hAnsi="Arial" w:cs="Arial"/>
          <w:sz w:val="24"/>
          <w:szCs w:val="24"/>
        </w:rPr>
        <w:t xml:space="preserve"> </w:t>
      </w:r>
      <w:r w:rsidRPr="003113A2">
        <w:rPr>
          <w:rFonts w:ascii="Arial" w:hAnsi="Arial" w:cs="Arial"/>
          <w:sz w:val="24"/>
          <w:szCs w:val="24"/>
        </w:rPr>
        <w:tab/>
      </w:r>
      <w:r w:rsidRPr="003113A2">
        <w:rPr>
          <w:rFonts w:ascii="Arial" w:hAnsi="Arial" w:cs="Arial"/>
          <w:sz w:val="24"/>
          <w:szCs w:val="24"/>
        </w:rPr>
        <w:tab/>
      </w:r>
      <w:r w:rsidR="003113A2" w:rsidRPr="003113A2">
        <w:rPr>
          <w:rFonts w:ascii="Arial" w:hAnsi="Arial" w:cs="Arial"/>
          <w:sz w:val="24"/>
          <w:szCs w:val="24"/>
        </w:rPr>
        <w:t>Alison Gordon,</w:t>
      </w:r>
      <w:r w:rsidRPr="003113A2">
        <w:rPr>
          <w:rFonts w:ascii="Arial" w:hAnsi="Arial" w:cs="Arial"/>
          <w:sz w:val="24"/>
          <w:szCs w:val="24"/>
        </w:rPr>
        <w:t xml:space="preserve"> Head of Financial Management</w:t>
      </w:r>
    </w:p>
    <w:p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Lead Executive Director</w:t>
      </w:r>
      <w:r w:rsidRPr="003113A2">
        <w:rPr>
          <w:rFonts w:ascii="Arial" w:hAnsi="Arial" w:cs="Arial"/>
          <w:sz w:val="24"/>
          <w:szCs w:val="24"/>
        </w:rPr>
        <w:t xml:space="preserve">: </w:t>
      </w:r>
      <w:r w:rsidRPr="003113A2">
        <w:rPr>
          <w:rFonts w:ascii="Arial" w:hAnsi="Arial" w:cs="Arial"/>
          <w:sz w:val="24"/>
          <w:szCs w:val="24"/>
        </w:rPr>
        <w:tab/>
        <w:t>Mike McEnaney, Director of Finance</w:t>
      </w:r>
    </w:p>
    <w:p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:rsidR="00E41757" w:rsidRPr="003113A2" w:rsidRDefault="00E41757" w:rsidP="00E41757">
      <w:pPr>
        <w:ind w:left="7200"/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Appendix A</w:t>
      </w:r>
    </w:p>
    <w:p w:rsidR="00E41757" w:rsidRPr="003113A2" w:rsidRDefault="00E41757" w:rsidP="0042468A">
      <w:pPr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Income Statement 201</w:t>
      </w:r>
      <w:r w:rsidR="003113A2" w:rsidRPr="003113A2">
        <w:rPr>
          <w:rFonts w:ascii="Arial" w:hAnsi="Arial" w:cs="Arial"/>
          <w:b/>
          <w:sz w:val="24"/>
          <w:szCs w:val="24"/>
        </w:rPr>
        <w:t>9</w:t>
      </w:r>
      <w:r w:rsidRPr="003113A2">
        <w:rPr>
          <w:rFonts w:ascii="Arial" w:hAnsi="Arial" w:cs="Arial"/>
          <w:b/>
          <w:sz w:val="24"/>
          <w:szCs w:val="24"/>
        </w:rPr>
        <w:t>-</w:t>
      </w:r>
      <w:r w:rsidR="003113A2" w:rsidRPr="003113A2">
        <w:rPr>
          <w:rFonts w:ascii="Arial" w:hAnsi="Arial" w:cs="Arial"/>
          <w:b/>
          <w:sz w:val="24"/>
          <w:szCs w:val="24"/>
        </w:rPr>
        <w:t>20</w:t>
      </w:r>
      <w:r w:rsidRPr="003113A2">
        <w:rPr>
          <w:rFonts w:ascii="Arial" w:hAnsi="Arial" w:cs="Arial"/>
          <w:b/>
          <w:sz w:val="24"/>
          <w:szCs w:val="24"/>
        </w:rPr>
        <w:t xml:space="preserve"> – </w:t>
      </w:r>
      <w:r w:rsidR="003113A2">
        <w:rPr>
          <w:rFonts w:ascii="Arial" w:hAnsi="Arial" w:cs="Arial"/>
          <w:b/>
          <w:sz w:val="24"/>
          <w:szCs w:val="24"/>
        </w:rPr>
        <w:t>M</w:t>
      </w:r>
      <w:r w:rsidRPr="003113A2">
        <w:rPr>
          <w:rFonts w:ascii="Arial" w:hAnsi="Arial" w:cs="Arial"/>
          <w:b/>
          <w:sz w:val="24"/>
          <w:szCs w:val="24"/>
        </w:rPr>
        <w:t xml:space="preserve">onth </w:t>
      </w:r>
      <w:r w:rsidR="00A43DAE" w:rsidRPr="003113A2">
        <w:rPr>
          <w:rFonts w:ascii="Arial" w:hAnsi="Arial" w:cs="Arial"/>
          <w:b/>
          <w:sz w:val="24"/>
          <w:szCs w:val="24"/>
        </w:rPr>
        <w:t>1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Pr="008B135A" w:rsidRDefault="003113A2" w:rsidP="0042468A">
      <w:pPr>
        <w:rPr>
          <w:rFonts w:ascii="Arial" w:hAnsi="Arial" w:cs="Arial"/>
        </w:rPr>
      </w:pPr>
      <w:r w:rsidRPr="003113A2">
        <w:rPr>
          <w:noProof/>
        </w:rPr>
        <w:drawing>
          <wp:inline distT="0" distB="0" distL="0" distR="0">
            <wp:extent cx="6129727" cy="29921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34" cy="29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47" w:rsidRDefault="006E0F47" w:rsidP="009F70C5">
      <w:pPr>
        <w:spacing w:after="0" w:line="240" w:lineRule="auto"/>
      </w:pPr>
      <w:r>
        <w:separator/>
      </w:r>
    </w:p>
  </w:endnote>
  <w:endnote w:type="continuationSeparator" w:id="0">
    <w:p w:rsidR="006E0F47" w:rsidRDefault="006E0F47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47" w:rsidRDefault="006E0F47" w:rsidP="009F70C5">
      <w:pPr>
        <w:spacing w:after="0" w:line="240" w:lineRule="auto"/>
      </w:pPr>
      <w:r>
        <w:separator/>
      </w:r>
    </w:p>
  </w:footnote>
  <w:footnote w:type="continuationSeparator" w:id="0">
    <w:p w:rsidR="006E0F47" w:rsidRDefault="006E0F47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66EA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1B8A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43F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C5199"/>
    <w:rsid w:val="004D13BB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055BD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3CB6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E0F47"/>
    <w:rsid w:val="006F2428"/>
    <w:rsid w:val="006F3A8E"/>
    <w:rsid w:val="00700CEB"/>
    <w:rsid w:val="00711F9F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1B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39B1"/>
    <w:rsid w:val="008F467F"/>
    <w:rsid w:val="008F48E6"/>
    <w:rsid w:val="00901F23"/>
    <w:rsid w:val="00903FCF"/>
    <w:rsid w:val="009046CE"/>
    <w:rsid w:val="00912842"/>
    <w:rsid w:val="00912DD4"/>
    <w:rsid w:val="0092416A"/>
    <w:rsid w:val="00926477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1F0A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40E9"/>
    <w:rsid w:val="00A84EC0"/>
    <w:rsid w:val="00A94C1D"/>
    <w:rsid w:val="00AA04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E5B6E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52A04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65C61"/>
    <w:rsid w:val="00F71565"/>
    <w:rsid w:val="00F74FF9"/>
    <w:rsid w:val="00F76618"/>
    <w:rsid w:val="00F76A0F"/>
    <w:rsid w:val="00F77B0E"/>
    <w:rsid w:val="00F816F2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9C1BBE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DB27-AD93-415E-9522-45496925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Masih Shelly (RNU) Oxford Health</cp:lastModifiedBy>
  <cp:revision>3</cp:revision>
  <cp:lastPrinted>2017-02-14T15:53:00Z</cp:lastPrinted>
  <dcterms:created xsi:type="dcterms:W3CDTF">2019-05-22T15:15:00Z</dcterms:created>
  <dcterms:modified xsi:type="dcterms:W3CDTF">2019-05-22T15:16:00Z</dcterms:modified>
</cp:coreProperties>
</file>