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99" w:rsidRDefault="001867F2" w:rsidP="0086436B">
      <w:pPr>
        <w:ind w:right="-900"/>
        <w:jc w:val="right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15DEC4D">
            <wp:extent cx="1945005" cy="8172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5D3499" w:rsidP="00475EC3">
      <w:pPr>
        <w:pStyle w:val="Heading1"/>
        <w:rPr>
          <w:sz w:val="28"/>
          <w:u w:val="none"/>
        </w:rPr>
      </w:pPr>
    </w:p>
    <w:p w:rsidR="0020462B" w:rsidRDefault="00475EC3" w:rsidP="0020462B">
      <w:pPr>
        <w:pStyle w:val="Heading1"/>
        <w:jc w:val="center"/>
        <w:rPr>
          <w:sz w:val="28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5020573</wp:posOffset>
                </wp:positionH>
                <wp:positionV relativeFrom="paragraph">
                  <wp:posOffset>40904</wp:posOffset>
                </wp:positionV>
                <wp:extent cx="1371600" cy="571500"/>
                <wp:effectExtent l="9525" t="13335" r="952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787" w:rsidRDefault="000A6787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0A6787" w:rsidRDefault="000A6787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BOD </w:t>
                            </w:r>
                            <w:r w:rsidR="00C84DCE">
                              <w:rPr>
                                <w:sz w:val="22"/>
                              </w:rPr>
                              <w:t>132</w:t>
                            </w:r>
                            <w:r w:rsidR="002C727F">
                              <w:rPr>
                                <w:sz w:val="22"/>
                              </w:rPr>
                              <w:t>/2018</w:t>
                            </w:r>
                          </w:p>
                          <w:p w:rsidR="000A6787" w:rsidRPr="00E71B2D" w:rsidRDefault="000A678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(Agenda Item: </w:t>
                            </w:r>
                            <w:r w:rsidR="00C84D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95.3pt;margin-top:3.2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CZXQiX3wAAAAkBAAAPAAAAAAAAAAAAAAAAAHUEAABkcnMvZG93bnJldi54bWxQ&#10;SwUGAAAAAAQABADzAAAAgQUAAAAA&#10;">
                <v:textbox inset="0,0,0,0">
                  <w:txbxContent>
                    <w:p w:rsidR="000A6787" w:rsidRDefault="000A6787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0A6787" w:rsidRDefault="000A6787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BOD </w:t>
                      </w:r>
                      <w:r w:rsidR="00C84DCE">
                        <w:rPr>
                          <w:sz w:val="22"/>
                        </w:rPr>
                        <w:t>132</w:t>
                      </w:r>
                      <w:r w:rsidR="002C727F">
                        <w:rPr>
                          <w:sz w:val="22"/>
                        </w:rPr>
                        <w:t>/2018</w:t>
                      </w:r>
                    </w:p>
                    <w:p w:rsidR="000A6787" w:rsidRPr="00E71B2D" w:rsidRDefault="000A678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(Agenda Item: </w:t>
                      </w:r>
                      <w:r w:rsidR="00C84DCE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0462B">
        <w:rPr>
          <w:sz w:val="28"/>
          <w:u w:val="none"/>
        </w:rPr>
        <w:t xml:space="preserve">Report to the Meeting of the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Foundation Trust </w:t>
      </w:r>
    </w:p>
    <w:p w:rsidR="0020462B" w:rsidRDefault="0020462B" w:rsidP="0020462B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 of Directors</w:t>
      </w:r>
    </w:p>
    <w:p w:rsidR="0020462B" w:rsidRDefault="0020462B" w:rsidP="0020462B">
      <w:pPr>
        <w:rPr>
          <w:rFonts w:ascii="Arial" w:hAnsi="Arial" w:cs="Arial"/>
          <w:b/>
        </w:rPr>
      </w:pPr>
    </w:p>
    <w:p w:rsidR="0020462B" w:rsidRDefault="00AD7BDC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 October</w:t>
      </w:r>
      <w:r w:rsidR="00181CA3">
        <w:rPr>
          <w:rFonts w:ascii="Arial" w:hAnsi="Arial" w:cs="Arial"/>
          <w:b/>
        </w:rPr>
        <w:t xml:space="preserve"> 2018</w:t>
      </w:r>
    </w:p>
    <w:p w:rsidR="0020462B" w:rsidRDefault="0020462B" w:rsidP="0020462B">
      <w:pPr>
        <w:jc w:val="center"/>
        <w:rPr>
          <w:rFonts w:ascii="Arial" w:hAnsi="Arial" w:cs="Arial"/>
          <w:b/>
        </w:rPr>
      </w:pPr>
    </w:p>
    <w:p w:rsidR="0020462B" w:rsidRPr="005344FB" w:rsidRDefault="0020462B" w:rsidP="002046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Corporate Registers –</w:t>
      </w:r>
      <w:r w:rsidR="00BD2810">
        <w:rPr>
          <w:rFonts w:ascii="Arial" w:hAnsi="Arial" w:cs="Arial"/>
          <w:b/>
        </w:rPr>
        <w:t xml:space="preserve"> </w:t>
      </w:r>
      <w:r w:rsidR="00320138">
        <w:rPr>
          <w:rFonts w:ascii="Arial" w:hAnsi="Arial" w:cs="Arial"/>
          <w:b/>
        </w:rPr>
        <w:t>Gifts,</w:t>
      </w:r>
      <w:r>
        <w:rPr>
          <w:rFonts w:ascii="Arial" w:hAnsi="Arial" w:cs="Arial"/>
          <w:b/>
        </w:rPr>
        <w:t xml:space="preserve"> Hospitality</w:t>
      </w:r>
      <w:r w:rsidR="00320138">
        <w:rPr>
          <w:rFonts w:ascii="Arial" w:hAnsi="Arial" w:cs="Arial"/>
          <w:b/>
        </w:rPr>
        <w:t xml:space="preserve"> &amp; Sponsorship</w:t>
      </w:r>
    </w:p>
    <w:p w:rsidR="00306968" w:rsidRDefault="00306968" w:rsidP="00306968">
      <w:pPr>
        <w:jc w:val="both"/>
        <w:rPr>
          <w:rFonts w:ascii="Arial" w:hAnsi="Arial" w:cs="Arial"/>
          <w:sz w:val="22"/>
          <w:szCs w:val="22"/>
        </w:rPr>
      </w:pPr>
    </w:p>
    <w:p w:rsidR="00306968" w:rsidRPr="00A53BFE" w:rsidRDefault="00306968" w:rsidP="00306968">
      <w:p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 xml:space="preserve">The Board is asked to note the </w:t>
      </w:r>
      <w:r w:rsidR="008B71E2" w:rsidRPr="00A53BFE">
        <w:rPr>
          <w:rFonts w:ascii="Arial" w:hAnsi="Arial" w:cs="Arial"/>
        </w:rPr>
        <w:t xml:space="preserve">following </w:t>
      </w:r>
      <w:r w:rsidR="0020462B">
        <w:rPr>
          <w:rFonts w:ascii="Arial" w:hAnsi="Arial" w:cs="Arial"/>
        </w:rPr>
        <w:t>C</w:t>
      </w:r>
      <w:r w:rsidRPr="00A53BFE">
        <w:rPr>
          <w:rFonts w:ascii="Arial" w:hAnsi="Arial" w:cs="Arial"/>
        </w:rPr>
        <w:t>orporate Register:</w:t>
      </w:r>
    </w:p>
    <w:p w:rsidR="007D7665" w:rsidRPr="00BE7A5F" w:rsidRDefault="00A53BFE" w:rsidP="007D7665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53BFE">
        <w:rPr>
          <w:rFonts w:ascii="Arial" w:hAnsi="Arial" w:cs="Arial"/>
        </w:rPr>
        <w:t>Entries in the Register</w:t>
      </w:r>
      <w:r>
        <w:rPr>
          <w:rFonts w:ascii="Arial" w:hAnsi="Arial" w:cs="Arial"/>
        </w:rPr>
        <w:t xml:space="preserve"> of </w:t>
      </w:r>
      <w:r w:rsidR="00320138">
        <w:rPr>
          <w:rFonts w:ascii="Arial" w:hAnsi="Arial" w:cs="Arial"/>
        </w:rPr>
        <w:t>Gifts,</w:t>
      </w:r>
      <w:r w:rsidR="004D5D06" w:rsidRPr="00320138">
        <w:rPr>
          <w:rFonts w:ascii="Arial" w:hAnsi="Arial" w:cs="Arial"/>
        </w:rPr>
        <w:t xml:space="preserve"> Hospitality</w:t>
      </w:r>
      <w:r w:rsidR="00320138">
        <w:rPr>
          <w:rFonts w:ascii="Arial" w:hAnsi="Arial" w:cs="Arial"/>
        </w:rPr>
        <w:t xml:space="preserve"> &amp; Sponsorship</w:t>
      </w:r>
      <w:r w:rsidRPr="00320138">
        <w:rPr>
          <w:rFonts w:ascii="Arial" w:hAnsi="Arial" w:cs="Arial"/>
        </w:rPr>
        <w:t xml:space="preserve"> since last report – </w:t>
      </w:r>
      <w:r w:rsidR="005B4BBC">
        <w:rPr>
          <w:rFonts w:ascii="Arial" w:hAnsi="Arial" w:cs="Arial"/>
        </w:rPr>
        <w:t xml:space="preserve"> </w:t>
      </w:r>
      <w:r w:rsidR="00F67C81">
        <w:rPr>
          <w:rFonts w:ascii="Arial" w:hAnsi="Arial" w:cs="Arial"/>
        </w:rPr>
        <w:t>June 2018</w:t>
      </w:r>
    </w:p>
    <w:p w:rsidR="007D7665" w:rsidRPr="00597BF8" w:rsidRDefault="007D7665" w:rsidP="007D7665">
      <w:pPr>
        <w:pStyle w:val="Heading3"/>
        <w:rPr>
          <w:rFonts w:ascii="Arial" w:hAnsi="Arial" w:cs="Arial"/>
          <w:sz w:val="24"/>
          <w:szCs w:val="24"/>
          <w:u w:val="single"/>
        </w:rPr>
      </w:pPr>
      <w:r w:rsidRPr="00597BF8">
        <w:rPr>
          <w:rFonts w:ascii="Arial" w:hAnsi="Arial" w:cs="Arial"/>
          <w:sz w:val="24"/>
          <w:szCs w:val="24"/>
          <w:u w:val="single"/>
        </w:rPr>
        <w:t xml:space="preserve">GIFTS AND HOSPITALITY </w:t>
      </w:r>
    </w:p>
    <w:tbl>
      <w:tblPr>
        <w:tblW w:w="56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2"/>
        <w:gridCol w:w="2125"/>
        <w:gridCol w:w="1276"/>
        <w:gridCol w:w="1558"/>
      </w:tblGrid>
      <w:tr w:rsidR="002C45F1" w:rsidRPr="00FF48EF" w:rsidTr="00E90C72">
        <w:tc>
          <w:tcPr>
            <w:tcW w:w="429" w:type="pct"/>
          </w:tcPr>
          <w:p w:rsidR="002C45F1" w:rsidRPr="002F41F7" w:rsidRDefault="002C45F1" w:rsidP="002F41F7">
            <w:pPr>
              <w:pStyle w:val="ListParagraph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2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071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643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785" w:type="pct"/>
          </w:tcPr>
          <w:p w:rsidR="002C45F1" w:rsidRDefault="002C45F1" w:rsidP="000A67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7C07FE" w:rsidRPr="00FF48EF" w:rsidTr="00E90C72">
        <w:tc>
          <w:tcPr>
            <w:tcW w:w="429" w:type="pct"/>
          </w:tcPr>
          <w:p w:rsidR="007C07FE" w:rsidRPr="00181CA3" w:rsidRDefault="007C07FE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3C753E" w:rsidRPr="003C753E" w:rsidRDefault="003C753E" w:rsidP="003C753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3C753E">
              <w:rPr>
                <w:rFonts w:ascii="Arial" w:hAnsi="Arial" w:cs="Arial"/>
                <w:iCs/>
                <w:sz w:val="22"/>
                <w:szCs w:val="22"/>
                <w:lang w:val="en-GB"/>
              </w:rPr>
              <w:t>A patient’s mother, at discharge, included Odeon cinema vouchers in a card for the treating psychiatrist.  The psychiatrist had been unaware that vouchers were included until they later opened the card and had not had the opportunity to suggest that a charitable donation be made instead.  There was a concern that subsequent contact to refuse the gift may offend and be detrimental for the patient.  The Director of Corporate Affairs &amp; Company Secretary confirmed that the guidance clarified that an individual was not able to accept vouchers above a value of £20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</w:t>
            </w:r>
            <w:bookmarkStart w:id="0" w:name="_GoBack"/>
            <w:bookmarkEnd w:id="0"/>
            <w:r w:rsidRPr="003C753E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and that donations should be made to a relevant Trust charitable fund.  For the future, she advised that the psychiatrist should clarify that individuals are unable to accept money </w:t>
            </w:r>
            <w:r>
              <w:rPr>
                <w:rFonts w:ascii="Arial" w:hAnsi="Arial" w:cs="Arial"/>
                <w:iCs/>
                <w:sz w:val="22"/>
                <w:szCs w:val="22"/>
                <w:lang w:val="en-GB"/>
              </w:rPr>
              <w:t>or cash equivalents (vouchers).</w:t>
            </w:r>
            <w:r w:rsidRPr="003C753E">
              <w:rPr>
                <w:rFonts w:ascii="Arial" w:hAnsi="Arial" w:cs="Arial"/>
                <w:iCs/>
                <w:sz w:val="22"/>
                <w:szCs w:val="22"/>
                <w:lang w:val="en-GB"/>
              </w:rPr>
              <w:t xml:space="preserve"> However, in acknowledgement of the concerns as the patient had been discharged she suggested that the vouchers could be: included in a charity raffle through the Trust Charity; or, as an exception given the difficult circumstances, used to take members </w:t>
            </w:r>
            <w:r w:rsidRPr="003C753E">
              <w:rPr>
                <w:rFonts w:ascii="Arial" w:hAnsi="Arial" w:cs="Arial"/>
                <w:iCs/>
                <w:sz w:val="22"/>
                <w:szCs w:val="22"/>
                <w:lang w:val="en-GB"/>
              </w:rPr>
              <w:lastRenderedPageBreak/>
              <w:t xml:space="preserve">of the team to the Odeon such that the psychiatrist personally would not have accepted the vouchers above a £20 limit.  The patient’s mother opted for the gift to be shared out with members of the administrative team.  This was subsequently done and the team </w:t>
            </w:r>
            <w:proofErr w:type="gramStart"/>
            <w:r w:rsidRPr="003C753E">
              <w:rPr>
                <w:rFonts w:ascii="Arial" w:hAnsi="Arial" w:cs="Arial"/>
                <w:iCs/>
                <w:sz w:val="22"/>
                <w:szCs w:val="22"/>
                <w:lang w:val="en-GB"/>
              </w:rPr>
              <w:t>as a whole benefitted</w:t>
            </w:r>
            <w:proofErr w:type="gramEnd"/>
            <w:r w:rsidRPr="003C753E">
              <w:rPr>
                <w:rFonts w:ascii="Arial" w:hAnsi="Arial" w:cs="Arial"/>
                <w:iCs/>
                <w:sz w:val="22"/>
                <w:szCs w:val="22"/>
                <w:lang w:val="en-GB"/>
              </w:rPr>
              <w:t>.    </w:t>
            </w:r>
          </w:p>
          <w:p w:rsidR="00165FEC" w:rsidRPr="003C753E" w:rsidRDefault="00165FEC" w:rsidP="003C75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:rsidR="007C07FE" w:rsidRDefault="007C07FE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Samuel Thompson, Consultant Child and Adolescent Psychiatrist</w:t>
            </w:r>
            <w:r w:rsidR="006A4BD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5EC3">
              <w:rPr>
                <w:rFonts w:ascii="Arial" w:hAnsi="Arial" w:cs="Arial"/>
                <w:sz w:val="22"/>
                <w:szCs w:val="22"/>
              </w:rPr>
              <w:t>and shared with the Melksham CAMHS (Child &amp; Adolescent Mental Health Service) admin team</w:t>
            </w:r>
          </w:p>
        </w:tc>
        <w:tc>
          <w:tcPr>
            <w:tcW w:w="643" w:type="pct"/>
          </w:tcPr>
          <w:p w:rsidR="007C07FE" w:rsidRDefault="007C07FE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£60 </w:t>
            </w:r>
          </w:p>
        </w:tc>
        <w:tc>
          <w:tcPr>
            <w:tcW w:w="785" w:type="pct"/>
          </w:tcPr>
          <w:p w:rsidR="007C07FE" w:rsidRDefault="007C07FE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May 2018</w:t>
            </w:r>
          </w:p>
          <w:p w:rsidR="003C753E" w:rsidRDefault="003C753E" w:rsidP="00FC2480">
            <w:pPr>
              <w:rPr>
                <w:rFonts w:ascii="Arial" w:hAnsi="Arial" w:cs="Arial"/>
                <w:sz w:val="22"/>
                <w:szCs w:val="22"/>
              </w:rPr>
            </w:pPr>
          </w:p>
          <w:p w:rsidR="003C753E" w:rsidRDefault="003C753E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NHSE Guidance effective from 1 June 2017 states:</w:t>
            </w:r>
          </w:p>
          <w:p w:rsidR="003C753E" w:rsidRDefault="003C753E" w:rsidP="00FC2480">
            <w:pPr>
              <w:rPr>
                <w:rFonts w:ascii="Arial" w:hAnsi="Arial" w:cs="Arial"/>
                <w:sz w:val="22"/>
                <w:szCs w:val="22"/>
              </w:rPr>
            </w:pPr>
            <w:r w:rsidRPr="003C753E">
              <w:rPr>
                <w:rFonts w:ascii="Arial" w:hAnsi="Arial" w:cs="Arial"/>
                <w:sz w:val="22"/>
                <w:szCs w:val="22"/>
              </w:rPr>
              <w:t>Gifts of cash and vouchers to individuals should always be declined.</w:t>
            </w:r>
          </w:p>
        </w:tc>
      </w:tr>
      <w:tr w:rsidR="00923A83" w:rsidRPr="00FF48EF" w:rsidTr="00E90C72">
        <w:tc>
          <w:tcPr>
            <w:tcW w:w="429" w:type="pct"/>
          </w:tcPr>
          <w:p w:rsidR="00923A83" w:rsidRPr="00181CA3" w:rsidRDefault="00923A83" w:rsidP="00FC248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pct"/>
          </w:tcPr>
          <w:p w:rsidR="00923A83" w:rsidRDefault="00165FEC" w:rsidP="00796F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patient gifted</w:t>
            </w:r>
            <w:r w:rsidR="00923A83">
              <w:rPr>
                <w:rFonts w:ascii="Arial" w:hAnsi="Arial" w:cs="Arial"/>
                <w:sz w:val="22"/>
                <w:szCs w:val="22"/>
              </w:rPr>
              <w:t xml:space="preserve"> a pair of sterling silver earrings by Contessa </w:t>
            </w:r>
            <w:proofErr w:type="gramStart"/>
            <w:r w:rsidR="00923A83">
              <w:rPr>
                <w:rFonts w:ascii="Arial" w:hAnsi="Arial" w:cs="Arial"/>
                <w:sz w:val="22"/>
                <w:szCs w:val="22"/>
              </w:rPr>
              <w:t>Di</w:t>
            </w:r>
            <w:proofErr w:type="gramEnd"/>
            <w:r w:rsidR="00923A83">
              <w:rPr>
                <w:rFonts w:ascii="Arial" w:hAnsi="Arial" w:cs="Arial"/>
                <w:sz w:val="22"/>
                <w:szCs w:val="22"/>
              </w:rPr>
              <w:t xml:space="preserve"> Capri prior to discharge. </w:t>
            </w:r>
          </w:p>
        </w:tc>
        <w:tc>
          <w:tcPr>
            <w:tcW w:w="1071" w:type="pct"/>
          </w:tcPr>
          <w:p w:rsidR="00923A83" w:rsidRDefault="00923A83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Justyna Fila, Clinical Psychologist</w:t>
            </w:r>
          </w:p>
        </w:tc>
        <w:tc>
          <w:tcPr>
            <w:tcW w:w="643" w:type="pct"/>
          </w:tcPr>
          <w:p w:rsidR="00923A83" w:rsidRDefault="00923A83" w:rsidP="00FC24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</w:t>
            </w:r>
            <w:r w:rsidR="00165FEC">
              <w:rPr>
                <w:rFonts w:ascii="Arial" w:hAnsi="Arial" w:cs="Arial"/>
                <w:sz w:val="22"/>
                <w:szCs w:val="22"/>
              </w:rPr>
              <w:t xml:space="preserve"> (approx.)</w:t>
            </w:r>
          </w:p>
        </w:tc>
        <w:tc>
          <w:tcPr>
            <w:tcW w:w="785" w:type="pct"/>
          </w:tcPr>
          <w:p w:rsidR="00923A83" w:rsidRDefault="00923A83" w:rsidP="00FC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 Sept 2018</w:t>
            </w:r>
          </w:p>
        </w:tc>
      </w:tr>
    </w:tbl>
    <w:p w:rsidR="00597BF8" w:rsidRPr="00597BF8" w:rsidRDefault="00597BF8" w:rsidP="00597BF8">
      <w:pPr>
        <w:keepNext/>
        <w:spacing w:before="240" w:after="60"/>
        <w:outlineLvl w:val="2"/>
        <w:rPr>
          <w:rFonts w:ascii="Arial" w:hAnsi="Arial" w:cs="Arial"/>
          <w:b/>
          <w:bCs/>
        </w:rPr>
      </w:pPr>
      <w:r w:rsidRPr="00597BF8">
        <w:rPr>
          <w:rFonts w:ascii="Arial" w:hAnsi="Arial" w:cs="Arial"/>
          <w:b/>
          <w:bCs/>
          <w:u w:val="single"/>
        </w:rPr>
        <w:t>SPONSORSHIP</w:t>
      </w:r>
    </w:p>
    <w:tbl>
      <w:tblPr>
        <w:tblW w:w="560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4225"/>
        <w:gridCol w:w="2157"/>
        <w:gridCol w:w="1332"/>
        <w:gridCol w:w="1470"/>
      </w:tblGrid>
      <w:tr w:rsidR="00415FD5" w:rsidRPr="00597BF8" w:rsidTr="00E90C72">
        <w:tc>
          <w:tcPr>
            <w:tcW w:w="372" w:type="pct"/>
          </w:tcPr>
          <w:p w:rsidR="00415FD5" w:rsidRPr="00415FD5" w:rsidRDefault="00415FD5" w:rsidP="00597BF8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29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087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Individuals</w:t>
            </w:r>
          </w:p>
        </w:tc>
        <w:tc>
          <w:tcPr>
            <w:tcW w:w="671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Est. Value</w:t>
            </w:r>
          </w:p>
        </w:tc>
        <w:tc>
          <w:tcPr>
            <w:tcW w:w="741" w:type="pct"/>
          </w:tcPr>
          <w:p w:rsidR="00415FD5" w:rsidRPr="00597BF8" w:rsidRDefault="00415FD5" w:rsidP="00597BF8">
            <w:pPr>
              <w:jc w:val="both"/>
              <w:rPr>
                <w:rFonts w:ascii="Arial" w:hAnsi="Arial" w:cs="Arial"/>
                <w:b/>
                <w:bCs/>
              </w:rPr>
            </w:pPr>
            <w:r w:rsidRPr="00597BF8">
              <w:rPr>
                <w:rFonts w:ascii="Arial" w:hAnsi="Arial" w:cs="Arial"/>
                <w:b/>
                <w:bCs/>
              </w:rPr>
              <w:t>Date Reported</w:t>
            </w:r>
          </w:p>
        </w:tc>
      </w:tr>
      <w:tr w:rsidR="00BB256B" w:rsidRPr="00597BF8" w:rsidTr="00E90C72">
        <w:tc>
          <w:tcPr>
            <w:tcW w:w="372" w:type="pct"/>
          </w:tcPr>
          <w:p w:rsidR="00BB256B" w:rsidRPr="00415FD5" w:rsidRDefault="00BB256B" w:rsidP="00415FD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9" w:type="pct"/>
          </w:tcPr>
          <w:p w:rsidR="00BB256B" w:rsidRDefault="00520D29" w:rsidP="00E90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None </w:t>
            </w:r>
          </w:p>
          <w:p w:rsidR="00520D29" w:rsidRPr="00BB256B" w:rsidRDefault="00520D29" w:rsidP="00E90C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7" w:type="pct"/>
          </w:tcPr>
          <w:p w:rsidR="00BB256B" w:rsidRPr="00BB256B" w:rsidRDefault="00BB256B" w:rsidP="00BC64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</w:tcPr>
          <w:p w:rsidR="00BB256B" w:rsidRPr="00BB256B" w:rsidRDefault="00BB256B" w:rsidP="00BC64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BB256B" w:rsidRPr="00BB256B" w:rsidRDefault="00BB256B" w:rsidP="00BC64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7BF8" w:rsidRPr="00306968" w:rsidRDefault="00597BF8" w:rsidP="0073522A">
      <w:pPr>
        <w:jc w:val="both"/>
        <w:rPr>
          <w:rFonts w:ascii="Arial" w:hAnsi="Arial" w:cs="Arial"/>
          <w:b/>
        </w:rPr>
      </w:pPr>
    </w:p>
    <w:p w:rsidR="0073522A" w:rsidRPr="00306968" w:rsidRDefault="0073522A" w:rsidP="0073522A">
      <w:pPr>
        <w:jc w:val="both"/>
        <w:rPr>
          <w:rFonts w:ascii="Arial" w:hAnsi="Arial" w:cs="Arial"/>
          <w:b/>
        </w:rPr>
      </w:pPr>
      <w:r w:rsidRPr="00306968">
        <w:rPr>
          <w:rFonts w:ascii="Arial" w:hAnsi="Arial" w:cs="Arial"/>
          <w:b/>
        </w:rPr>
        <w:t>Recommendation</w:t>
      </w:r>
    </w:p>
    <w:p w:rsidR="0073522A" w:rsidRPr="00306968" w:rsidRDefault="008B71E2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is asked to note this report.</w:t>
      </w:r>
    </w:p>
    <w:p w:rsidR="008B71E2" w:rsidRDefault="008B71E2" w:rsidP="008B71E2">
      <w:pPr>
        <w:rPr>
          <w:rFonts w:ascii="Arial" w:hAnsi="Arial" w:cs="Arial"/>
          <w:b/>
        </w:rPr>
      </w:pPr>
    </w:p>
    <w:p w:rsidR="008B71E2" w:rsidRDefault="007A32BD" w:rsidP="008B71E2">
      <w:pPr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 w:rsidR="008B71E2" w:rsidRPr="00AA0E90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Kerry Rogers, </w:t>
      </w:r>
      <w:r w:rsidR="00C6126D" w:rsidRPr="007A32BD">
        <w:rPr>
          <w:rFonts w:ascii="Arial" w:hAnsi="Arial" w:cs="Arial"/>
        </w:rPr>
        <w:t>Director of Corporate Affairs and Company</w:t>
      </w:r>
      <w:r w:rsidR="008B71E2" w:rsidRPr="007A32BD">
        <w:rPr>
          <w:rFonts w:ascii="Arial" w:hAnsi="Arial" w:cs="Arial"/>
        </w:rPr>
        <w:t xml:space="preserve"> Secretary</w:t>
      </w:r>
    </w:p>
    <w:sectPr w:rsidR="008B71E2" w:rsidSect="00BE7A5F">
      <w:head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87" w:rsidRDefault="000A6787" w:rsidP="005B3E3C">
      <w:r>
        <w:separator/>
      </w:r>
    </w:p>
  </w:endnote>
  <w:endnote w:type="continuationSeparator" w:id="0">
    <w:p w:rsidR="000A6787" w:rsidRDefault="000A6787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87" w:rsidRDefault="000A6787" w:rsidP="005B3E3C">
      <w:r>
        <w:separator/>
      </w:r>
    </w:p>
  </w:footnote>
  <w:footnote w:type="continuationSeparator" w:id="0">
    <w:p w:rsidR="000A6787" w:rsidRDefault="000A6787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787" w:rsidRPr="005B3E3C" w:rsidRDefault="000A6787" w:rsidP="005B3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4866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F6638"/>
    <w:multiLevelType w:val="hybridMultilevel"/>
    <w:tmpl w:val="58CAD31A"/>
    <w:lvl w:ilvl="0" w:tplc="4D4A8B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1DD"/>
    <w:multiLevelType w:val="hybridMultilevel"/>
    <w:tmpl w:val="04D8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C70D6"/>
    <w:multiLevelType w:val="hybridMultilevel"/>
    <w:tmpl w:val="219A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E5FDE"/>
    <w:multiLevelType w:val="hybridMultilevel"/>
    <w:tmpl w:val="1DE2A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8498D"/>
    <w:multiLevelType w:val="hybridMultilevel"/>
    <w:tmpl w:val="9824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8"/>
    <w:rsid w:val="00006392"/>
    <w:rsid w:val="00045496"/>
    <w:rsid w:val="00060BF9"/>
    <w:rsid w:val="00063CA2"/>
    <w:rsid w:val="00071397"/>
    <w:rsid w:val="00074232"/>
    <w:rsid w:val="000759B3"/>
    <w:rsid w:val="000946D1"/>
    <w:rsid w:val="000A6787"/>
    <w:rsid w:val="000B0415"/>
    <w:rsid w:val="000F1DAD"/>
    <w:rsid w:val="0010164E"/>
    <w:rsid w:val="0010631E"/>
    <w:rsid w:val="00107AA9"/>
    <w:rsid w:val="00111720"/>
    <w:rsid w:val="00115ACD"/>
    <w:rsid w:val="001171D5"/>
    <w:rsid w:val="00165FEC"/>
    <w:rsid w:val="001817E4"/>
    <w:rsid w:val="00181CA3"/>
    <w:rsid w:val="001867F2"/>
    <w:rsid w:val="001905F7"/>
    <w:rsid w:val="001B234F"/>
    <w:rsid w:val="001C2E3F"/>
    <w:rsid w:val="001F36AF"/>
    <w:rsid w:val="001F76ED"/>
    <w:rsid w:val="0020462B"/>
    <w:rsid w:val="0021586E"/>
    <w:rsid w:val="00227FCE"/>
    <w:rsid w:val="00233212"/>
    <w:rsid w:val="00242A92"/>
    <w:rsid w:val="002619EF"/>
    <w:rsid w:val="00280792"/>
    <w:rsid w:val="002815A6"/>
    <w:rsid w:val="002821F8"/>
    <w:rsid w:val="00286216"/>
    <w:rsid w:val="00286D45"/>
    <w:rsid w:val="00292613"/>
    <w:rsid w:val="002A0FB7"/>
    <w:rsid w:val="002A423F"/>
    <w:rsid w:val="002A73E8"/>
    <w:rsid w:val="002B2CB2"/>
    <w:rsid w:val="002C2F97"/>
    <w:rsid w:val="002C45F1"/>
    <w:rsid w:val="002C727F"/>
    <w:rsid w:val="002D3599"/>
    <w:rsid w:val="002E6FC6"/>
    <w:rsid w:val="002F3554"/>
    <w:rsid w:val="002F41F7"/>
    <w:rsid w:val="00306968"/>
    <w:rsid w:val="00320138"/>
    <w:rsid w:val="00336327"/>
    <w:rsid w:val="003366FB"/>
    <w:rsid w:val="003419C7"/>
    <w:rsid w:val="0034425A"/>
    <w:rsid w:val="00346046"/>
    <w:rsid w:val="00351BD8"/>
    <w:rsid w:val="003935AE"/>
    <w:rsid w:val="003971F6"/>
    <w:rsid w:val="003C5D8E"/>
    <w:rsid w:val="003C753E"/>
    <w:rsid w:val="00415FD5"/>
    <w:rsid w:val="004326BB"/>
    <w:rsid w:val="00443DA5"/>
    <w:rsid w:val="00444F36"/>
    <w:rsid w:val="00475EC3"/>
    <w:rsid w:val="0047701F"/>
    <w:rsid w:val="004A7C02"/>
    <w:rsid w:val="004B7930"/>
    <w:rsid w:val="004D5D06"/>
    <w:rsid w:val="004F4BBA"/>
    <w:rsid w:val="00520D29"/>
    <w:rsid w:val="005233AA"/>
    <w:rsid w:val="00551B0F"/>
    <w:rsid w:val="0055792E"/>
    <w:rsid w:val="00563FFA"/>
    <w:rsid w:val="005659FB"/>
    <w:rsid w:val="00567C92"/>
    <w:rsid w:val="00573D4F"/>
    <w:rsid w:val="005969F1"/>
    <w:rsid w:val="00597BF8"/>
    <w:rsid w:val="005B1818"/>
    <w:rsid w:val="005B2066"/>
    <w:rsid w:val="005B3E3C"/>
    <w:rsid w:val="005B4BBC"/>
    <w:rsid w:val="005C3FC1"/>
    <w:rsid w:val="005D3499"/>
    <w:rsid w:val="005E35C7"/>
    <w:rsid w:val="00604455"/>
    <w:rsid w:val="00632C7C"/>
    <w:rsid w:val="00644013"/>
    <w:rsid w:val="00664F0E"/>
    <w:rsid w:val="00682B7C"/>
    <w:rsid w:val="00685243"/>
    <w:rsid w:val="006A4BD4"/>
    <w:rsid w:val="006B113C"/>
    <w:rsid w:val="006C0A32"/>
    <w:rsid w:val="006D3BEE"/>
    <w:rsid w:val="006E095F"/>
    <w:rsid w:val="006E1FE6"/>
    <w:rsid w:val="006E4363"/>
    <w:rsid w:val="006F3756"/>
    <w:rsid w:val="006F3E75"/>
    <w:rsid w:val="00716E6D"/>
    <w:rsid w:val="007215CF"/>
    <w:rsid w:val="007334EC"/>
    <w:rsid w:val="0073522A"/>
    <w:rsid w:val="00735E34"/>
    <w:rsid w:val="00736766"/>
    <w:rsid w:val="007511BE"/>
    <w:rsid w:val="00751BCA"/>
    <w:rsid w:val="00765228"/>
    <w:rsid w:val="00770C86"/>
    <w:rsid w:val="00796F50"/>
    <w:rsid w:val="007976E7"/>
    <w:rsid w:val="007A32BD"/>
    <w:rsid w:val="007A6938"/>
    <w:rsid w:val="007C07FE"/>
    <w:rsid w:val="007D7665"/>
    <w:rsid w:val="007F1586"/>
    <w:rsid w:val="008214A1"/>
    <w:rsid w:val="00836110"/>
    <w:rsid w:val="0086436B"/>
    <w:rsid w:val="00894B97"/>
    <w:rsid w:val="008B2207"/>
    <w:rsid w:val="008B71E2"/>
    <w:rsid w:val="008D7B21"/>
    <w:rsid w:val="008E1D32"/>
    <w:rsid w:val="008E6958"/>
    <w:rsid w:val="00922336"/>
    <w:rsid w:val="00923A83"/>
    <w:rsid w:val="0093091E"/>
    <w:rsid w:val="009424BC"/>
    <w:rsid w:val="00944CEB"/>
    <w:rsid w:val="009450E2"/>
    <w:rsid w:val="00946E6E"/>
    <w:rsid w:val="00991549"/>
    <w:rsid w:val="00A20B67"/>
    <w:rsid w:val="00A267C4"/>
    <w:rsid w:val="00A53BFE"/>
    <w:rsid w:val="00A6138D"/>
    <w:rsid w:val="00A700D7"/>
    <w:rsid w:val="00A84955"/>
    <w:rsid w:val="00A85311"/>
    <w:rsid w:val="00A92967"/>
    <w:rsid w:val="00A9735C"/>
    <w:rsid w:val="00AA2639"/>
    <w:rsid w:val="00AA295C"/>
    <w:rsid w:val="00AA70D8"/>
    <w:rsid w:val="00AB5ACE"/>
    <w:rsid w:val="00AC3814"/>
    <w:rsid w:val="00AD7BDC"/>
    <w:rsid w:val="00AF0562"/>
    <w:rsid w:val="00AF3B26"/>
    <w:rsid w:val="00B11725"/>
    <w:rsid w:val="00B26E1A"/>
    <w:rsid w:val="00B30ED8"/>
    <w:rsid w:val="00B50D5E"/>
    <w:rsid w:val="00B53DCE"/>
    <w:rsid w:val="00B82444"/>
    <w:rsid w:val="00B9794A"/>
    <w:rsid w:val="00BA3B3E"/>
    <w:rsid w:val="00BB1EA5"/>
    <w:rsid w:val="00BB256B"/>
    <w:rsid w:val="00BD2810"/>
    <w:rsid w:val="00BE15AF"/>
    <w:rsid w:val="00BE7A5F"/>
    <w:rsid w:val="00BF5367"/>
    <w:rsid w:val="00C038AE"/>
    <w:rsid w:val="00C51020"/>
    <w:rsid w:val="00C6126D"/>
    <w:rsid w:val="00C63C53"/>
    <w:rsid w:val="00C84DCE"/>
    <w:rsid w:val="00CF4320"/>
    <w:rsid w:val="00D04A46"/>
    <w:rsid w:val="00D07064"/>
    <w:rsid w:val="00D254BF"/>
    <w:rsid w:val="00D279FC"/>
    <w:rsid w:val="00D55ADD"/>
    <w:rsid w:val="00D72DBA"/>
    <w:rsid w:val="00D74A29"/>
    <w:rsid w:val="00D811FC"/>
    <w:rsid w:val="00DA0FA6"/>
    <w:rsid w:val="00DA2E46"/>
    <w:rsid w:val="00DB2295"/>
    <w:rsid w:val="00DD33DF"/>
    <w:rsid w:val="00DE1293"/>
    <w:rsid w:val="00DE194E"/>
    <w:rsid w:val="00DF2B20"/>
    <w:rsid w:val="00E16530"/>
    <w:rsid w:val="00E205AD"/>
    <w:rsid w:val="00E20756"/>
    <w:rsid w:val="00E37EE5"/>
    <w:rsid w:val="00E4332B"/>
    <w:rsid w:val="00E45AD7"/>
    <w:rsid w:val="00E71B2D"/>
    <w:rsid w:val="00E90C72"/>
    <w:rsid w:val="00EE62AA"/>
    <w:rsid w:val="00EF69CC"/>
    <w:rsid w:val="00F57119"/>
    <w:rsid w:val="00F615E1"/>
    <w:rsid w:val="00F67C81"/>
    <w:rsid w:val="00F710C4"/>
    <w:rsid w:val="00F72786"/>
    <w:rsid w:val="00F92BFC"/>
    <w:rsid w:val="00F97A2F"/>
    <w:rsid w:val="00FC2480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342EB"/>
  <w15:docId w15:val="{D02F6966-D93E-454D-9082-6E80AEB3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19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19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069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19C7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0696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ListBullet">
    <w:name w:val="List Bullet"/>
    <w:basedOn w:val="Normal"/>
    <w:rsid w:val="004D5D06"/>
    <w:pPr>
      <w:numPr>
        <w:numId w:val="6"/>
      </w:numPr>
    </w:pPr>
    <w:rPr>
      <w:lang w:val="en-GB"/>
    </w:rPr>
  </w:style>
  <w:style w:type="paragraph" w:styleId="BalloonText">
    <w:name w:val="Balloon Text"/>
    <w:basedOn w:val="Normal"/>
    <w:link w:val="BalloonTextChar"/>
    <w:rsid w:val="002B2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2CB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15ACD"/>
    <w:pPr>
      <w:ind w:left="720"/>
      <w:contextualSpacing/>
    </w:pPr>
  </w:style>
  <w:style w:type="character" w:styleId="CommentReference">
    <w:name w:val="annotation reference"/>
    <w:basedOn w:val="DefaultParagraphFont"/>
    <w:rsid w:val="00286D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D4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D45"/>
    <w:rPr>
      <w:b/>
      <w:bCs/>
      <w:lang w:val="en-US" w:eastAsia="en-US"/>
    </w:rPr>
  </w:style>
  <w:style w:type="character" w:styleId="Hyperlink">
    <w:name w:val="Hyperlink"/>
    <w:basedOn w:val="DefaultParagraphFont"/>
    <w:rsid w:val="00765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StackJ</dc:creator>
  <cp:lastModifiedBy>Rogers Kerry (RNU) Oxford Health</cp:lastModifiedBy>
  <cp:revision>2</cp:revision>
  <cp:lastPrinted>2005-05-11T10:48:00Z</cp:lastPrinted>
  <dcterms:created xsi:type="dcterms:W3CDTF">2018-10-26T12:35:00Z</dcterms:created>
  <dcterms:modified xsi:type="dcterms:W3CDTF">2018-10-26T12:35:00Z</dcterms:modified>
</cp:coreProperties>
</file>