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1F132" w14:textId="77777777" w:rsidR="005D3499" w:rsidRDefault="007B6D77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D6C1F9F" wp14:editId="7805D8EC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EEF9FC" w14:textId="4909786D" w:rsidR="005D3499" w:rsidRDefault="005D3499"/>
    <w:p w14:paraId="12F904E7" w14:textId="7EEF2A36" w:rsidR="005D3499" w:rsidRDefault="005D3499">
      <w:pPr>
        <w:jc w:val="center"/>
        <w:rPr>
          <w:rFonts w:ascii="Frutiger" w:hAnsi="Frutiger"/>
        </w:rPr>
      </w:pPr>
    </w:p>
    <w:p w14:paraId="763DC8EA" w14:textId="38335DA4" w:rsidR="005D3499" w:rsidRDefault="00974317">
      <w:pPr>
        <w:pStyle w:val="Heading1"/>
        <w:rPr>
          <w:sz w:val="24"/>
        </w:rPr>
      </w:pPr>
      <w:r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AEDF0" wp14:editId="1EC5FA03">
                <wp:simplePos x="0" y="0"/>
                <wp:positionH relativeFrom="column">
                  <wp:posOffset>4772025</wp:posOffset>
                </wp:positionH>
                <wp:positionV relativeFrom="paragraph">
                  <wp:posOffset>168275</wp:posOffset>
                </wp:positionV>
                <wp:extent cx="1623060" cy="502920"/>
                <wp:effectExtent l="0" t="0" r="15240" b="1143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0383C" w14:textId="7530F4EB" w:rsidR="00974317" w:rsidRPr="009F3009" w:rsidRDefault="00974317" w:rsidP="00974317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BOD 10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6</w:t>
                            </w:r>
                            <w:r w:rsidRPr="009F3009">
                              <w:rPr>
                                <w:rFonts w:ascii="Segoe UI" w:hAnsi="Segoe UI" w:cs="Segoe UI"/>
                                <w:b/>
                              </w:rPr>
                              <w:t>/201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9</w:t>
                            </w:r>
                          </w:p>
                          <w:p w14:paraId="6B5A2824" w14:textId="7512CF4B" w:rsidR="00974317" w:rsidRPr="00FA3993" w:rsidRDefault="00974317" w:rsidP="00974317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9F300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(Agenda item: 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8</w:t>
                            </w:r>
                            <w:r w:rsidRPr="0004788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AEDF0" id="Rectangle 10" o:spid="_x0000_s1026" style="position:absolute;margin-left:375.75pt;margin-top:13.25pt;width:127.8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">
                <v:textbox inset="0,0,0,0">
                  <w:txbxContent>
                    <w:p w14:paraId="2960383C" w14:textId="7530F4EB" w:rsidR="00974317" w:rsidRPr="009F3009" w:rsidRDefault="00974317" w:rsidP="00974317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BOD 10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>6</w:t>
                      </w:r>
                      <w:r w:rsidRPr="009F3009">
                        <w:rPr>
                          <w:rFonts w:ascii="Segoe UI" w:hAnsi="Segoe UI" w:cs="Segoe UI"/>
                          <w:b/>
                        </w:rPr>
                        <w:t>/201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>9</w:t>
                      </w:r>
                    </w:p>
                    <w:p w14:paraId="6B5A2824" w14:textId="7512CF4B" w:rsidR="00974317" w:rsidRPr="00FA3993" w:rsidRDefault="00974317" w:rsidP="00974317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9F300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(Agenda item: 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8</w:t>
                      </w:r>
                      <w:r w:rsidRPr="0004788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B519F49" w14:textId="0ED5A516" w:rsidR="005D3499" w:rsidRDefault="005D3499">
      <w:pPr>
        <w:pStyle w:val="Heading1"/>
        <w:rPr>
          <w:sz w:val="24"/>
        </w:rPr>
      </w:pPr>
    </w:p>
    <w:p w14:paraId="45588B1C" w14:textId="77777777" w:rsidR="005D3499" w:rsidRPr="00A80A17" w:rsidRDefault="005D3499" w:rsidP="00FA5118">
      <w:pPr>
        <w:pStyle w:val="Heading1"/>
        <w:jc w:val="center"/>
        <w:rPr>
          <w:rFonts w:ascii="Segoe UI" w:hAnsi="Segoe UI" w:cs="Segoe UI"/>
          <w:sz w:val="24"/>
        </w:rPr>
      </w:pPr>
    </w:p>
    <w:p w14:paraId="70DD97F9" w14:textId="77777777" w:rsidR="005D3499" w:rsidRPr="00A80A17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14:paraId="001C0D64" w14:textId="77777777" w:rsidR="005E2583" w:rsidRPr="00A80A17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A80A17">
        <w:rPr>
          <w:rFonts w:ascii="Segoe UI" w:hAnsi="Segoe UI" w:cs="Segoe UI"/>
          <w:sz w:val="28"/>
          <w:u w:val="none"/>
        </w:rPr>
        <w:t xml:space="preserve">Report to the Meeting </w:t>
      </w:r>
      <w:r w:rsidR="00B50D5E" w:rsidRPr="00A80A17">
        <w:rPr>
          <w:rFonts w:ascii="Segoe UI" w:hAnsi="Segoe UI" w:cs="Segoe UI"/>
          <w:sz w:val="28"/>
          <w:u w:val="none"/>
        </w:rPr>
        <w:t xml:space="preserve">of the </w:t>
      </w:r>
    </w:p>
    <w:p w14:paraId="4F3A7863" w14:textId="77777777" w:rsidR="002821F8" w:rsidRPr="00A80A17" w:rsidRDefault="00B50D5E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A80A17">
        <w:rPr>
          <w:rFonts w:ascii="Segoe UI" w:hAnsi="Segoe UI" w:cs="Segoe UI"/>
          <w:sz w:val="28"/>
          <w:u w:val="none"/>
        </w:rPr>
        <w:t xml:space="preserve">Oxford Health NHS </w:t>
      </w:r>
      <w:r w:rsidR="002821F8" w:rsidRPr="00A80A17">
        <w:rPr>
          <w:rFonts w:ascii="Segoe UI" w:hAnsi="Segoe UI" w:cs="Segoe UI"/>
          <w:sz w:val="28"/>
          <w:u w:val="none"/>
        </w:rPr>
        <w:t xml:space="preserve">Foundation Trust </w:t>
      </w:r>
      <w:bookmarkStart w:id="0" w:name="_GoBack"/>
      <w:bookmarkEnd w:id="0"/>
    </w:p>
    <w:p w14:paraId="11295D9D" w14:textId="77777777" w:rsidR="005D3499" w:rsidRPr="00A80A17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A80A17">
        <w:rPr>
          <w:rFonts w:ascii="Segoe UI" w:hAnsi="Segoe UI" w:cs="Segoe UI"/>
          <w:sz w:val="28"/>
          <w:u w:val="none"/>
        </w:rPr>
        <w:t>Board</w:t>
      </w:r>
      <w:r w:rsidR="002821F8" w:rsidRPr="00A80A17">
        <w:rPr>
          <w:rFonts w:ascii="Segoe UI" w:hAnsi="Segoe UI" w:cs="Segoe UI"/>
          <w:sz w:val="28"/>
          <w:u w:val="none"/>
        </w:rPr>
        <w:t xml:space="preserve"> of Directors</w:t>
      </w:r>
    </w:p>
    <w:p w14:paraId="7AF90442" w14:textId="77777777" w:rsidR="005D3499" w:rsidRPr="00A80A17" w:rsidRDefault="005D3499" w:rsidP="00A85311">
      <w:pPr>
        <w:rPr>
          <w:rFonts w:ascii="Segoe UI" w:hAnsi="Segoe UI" w:cs="Segoe UI"/>
          <w:b/>
        </w:rPr>
      </w:pPr>
    </w:p>
    <w:p w14:paraId="3E2548F8" w14:textId="77777777" w:rsidR="00BA1FC6" w:rsidRPr="00FA3993" w:rsidRDefault="00482C9D" w:rsidP="00BA1FC6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December 4</w:t>
      </w:r>
      <w:r w:rsidRPr="00482C9D">
        <w:rPr>
          <w:rFonts w:ascii="Segoe UI" w:hAnsi="Segoe UI" w:cs="Segoe UI"/>
          <w:b/>
          <w:vertAlign w:val="superscript"/>
        </w:rPr>
        <w:t>th</w:t>
      </w:r>
      <w:proofErr w:type="gramStart"/>
      <w:r>
        <w:rPr>
          <w:rFonts w:ascii="Segoe UI" w:hAnsi="Segoe UI" w:cs="Segoe UI"/>
          <w:b/>
        </w:rPr>
        <w:t xml:space="preserve"> </w:t>
      </w:r>
      <w:r w:rsidR="00BA1FC6">
        <w:rPr>
          <w:rFonts w:ascii="Segoe UI" w:hAnsi="Segoe UI" w:cs="Segoe UI"/>
          <w:b/>
        </w:rPr>
        <w:t>2019</w:t>
      </w:r>
      <w:proofErr w:type="gramEnd"/>
    </w:p>
    <w:p w14:paraId="376D28A3" w14:textId="77777777" w:rsidR="005D3499" w:rsidRPr="00A80A17" w:rsidRDefault="005D3499">
      <w:pPr>
        <w:jc w:val="center"/>
        <w:rPr>
          <w:rFonts w:ascii="Segoe UI" w:hAnsi="Segoe UI" w:cs="Segoe UI"/>
          <w:b/>
        </w:rPr>
      </w:pPr>
    </w:p>
    <w:p w14:paraId="71BCC72F" w14:textId="77777777" w:rsidR="005D3499" w:rsidRPr="00A80A17" w:rsidRDefault="00922966" w:rsidP="003C136E">
      <w:pPr>
        <w:jc w:val="center"/>
        <w:rPr>
          <w:rFonts w:ascii="Segoe UI" w:hAnsi="Segoe UI" w:cs="Segoe UI"/>
          <w:b/>
        </w:rPr>
      </w:pPr>
      <w:r w:rsidRPr="00A80A17">
        <w:rPr>
          <w:rFonts w:ascii="Segoe UI" w:hAnsi="Segoe UI" w:cs="Segoe UI"/>
          <w:b/>
        </w:rPr>
        <w:t>Monthly Performance Report</w:t>
      </w:r>
      <w:r w:rsidR="000B77F9" w:rsidRPr="00A80A17">
        <w:rPr>
          <w:rFonts w:ascii="Segoe UI" w:hAnsi="Segoe UI" w:cs="Segoe UI"/>
          <w:b/>
        </w:rPr>
        <w:t xml:space="preserve"> – </w:t>
      </w:r>
      <w:r w:rsidR="00BB3840" w:rsidRPr="00BA1FC6">
        <w:rPr>
          <w:rFonts w:ascii="Segoe UI" w:hAnsi="Segoe UI" w:cs="Segoe UI"/>
          <w:b/>
        </w:rPr>
        <w:t>M</w:t>
      </w:r>
      <w:r w:rsidR="00952D02">
        <w:rPr>
          <w:rFonts w:ascii="Segoe UI" w:hAnsi="Segoe UI" w:cs="Segoe UI"/>
          <w:b/>
        </w:rPr>
        <w:t>7 Octo</w:t>
      </w:r>
      <w:r w:rsidR="00BA1FC6" w:rsidRPr="00BA1FC6">
        <w:rPr>
          <w:rFonts w:ascii="Segoe UI" w:hAnsi="Segoe UI" w:cs="Segoe UI"/>
          <w:b/>
        </w:rPr>
        <w:t>ber</w:t>
      </w:r>
      <w:r w:rsidR="00BB3840" w:rsidRPr="00BA1FC6">
        <w:rPr>
          <w:rFonts w:ascii="Segoe UI" w:hAnsi="Segoe UI" w:cs="Segoe UI"/>
          <w:b/>
        </w:rPr>
        <w:t xml:space="preserve"> 2019</w:t>
      </w:r>
    </w:p>
    <w:p w14:paraId="72324B56" w14:textId="77777777" w:rsidR="005D3499" w:rsidRPr="00A80A17" w:rsidRDefault="005D3499">
      <w:pPr>
        <w:rPr>
          <w:rFonts w:ascii="Segoe UI" w:hAnsi="Segoe UI" w:cs="Segoe UI"/>
          <w:b/>
        </w:rPr>
      </w:pPr>
    </w:p>
    <w:p w14:paraId="0E81066D" w14:textId="77777777" w:rsidR="00292613" w:rsidRPr="00DD5159" w:rsidRDefault="00292613" w:rsidP="00292613">
      <w:pPr>
        <w:rPr>
          <w:rFonts w:ascii="Segoe UI" w:hAnsi="Segoe UI" w:cs="Segoe UI"/>
          <w:b/>
          <w:u w:val="single"/>
        </w:rPr>
      </w:pPr>
      <w:r w:rsidRPr="00DD5159">
        <w:rPr>
          <w:rFonts w:ascii="Segoe UI" w:hAnsi="Segoe UI" w:cs="Segoe UI"/>
          <w:b/>
          <w:u w:val="single"/>
        </w:rPr>
        <w:t xml:space="preserve">For: </w:t>
      </w:r>
      <w:r w:rsidR="00C36082" w:rsidRPr="00DD5159">
        <w:rPr>
          <w:rFonts w:ascii="Segoe UI" w:hAnsi="Segoe UI" w:cs="Segoe UI"/>
          <w:b/>
          <w:u w:val="single"/>
        </w:rPr>
        <w:t xml:space="preserve">Information </w:t>
      </w:r>
    </w:p>
    <w:p w14:paraId="06E03188" w14:textId="77777777" w:rsidR="00292613" w:rsidRPr="00DD5159" w:rsidRDefault="00292613">
      <w:pPr>
        <w:rPr>
          <w:rFonts w:ascii="Segoe UI" w:hAnsi="Segoe UI" w:cs="Segoe UI"/>
          <w:b/>
        </w:rPr>
      </w:pPr>
    </w:p>
    <w:p w14:paraId="61D8EF24" w14:textId="77777777" w:rsidR="007A2CF0" w:rsidRPr="00DD5159" w:rsidRDefault="007A2CF0" w:rsidP="007A2CF0">
      <w:pPr>
        <w:jc w:val="both"/>
        <w:rPr>
          <w:rFonts w:ascii="Segoe UI" w:hAnsi="Segoe UI" w:cs="Segoe UI"/>
          <w:b/>
        </w:rPr>
      </w:pPr>
      <w:r w:rsidRPr="00DD5159">
        <w:rPr>
          <w:rFonts w:ascii="Segoe UI" w:hAnsi="Segoe UI" w:cs="Segoe UI"/>
          <w:b/>
        </w:rPr>
        <w:t>Executive Summary</w:t>
      </w:r>
    </w:p>
    <w:p w14:paraId="5A5B35E2" w14:textId="77777777" w:rsidR="007A2CF0" w:rsidRPr="00DD5159" w:rsidRDefault="007A2CF0" w:rsidP="007A2CF0">
      <w:pPr>
        <w:jc w:val="both"/>
        <w:rPr>
          <w:rFonts w:ascii="Segoe UI" w:hAnsi="Segoe UI" w:cs="Segoe UI"/>
          <w:b/>
          <w:sz w:val="22"/>
          <w:szCs w:val="22"/>
        </w:rPr>
      </w:pPr>
    </w:p>
    <w:p w14:paraId="782EF7F7" w14:textId="77777777" w:rsidR="00C83803" w:rsidRPr="00DD5159" w:rsidRDefault="00E6088B" w:rsidP="006B6FE8">
      <w:pPr>
        <w:jc w:val="both"/>
        <w:rPr>
          <w:rFonts w:ascii="Segoe UI" w:hAnsi="Segoe UI" w:cs="Segoe UI"/>
          <w:sz w:val="22"/>
          <w:szCs w:val="22"/>
        </w:rPr>
      </w:pPr>
      <w:r w:rsidRPr="00DD5159">
        <w:rPr>
          <w:rFonts w:ascii="Segoe UI" w:hAnsi="Segoe UI" w:cs="Segoe UI"/>
          <w:sz w:val="22"/>
          <w:szCs w:val="22"/>
        </w:rPr>
        <w:t xml:space="preserve">This report </w:t>
      </w:r>
      <w:proofErr w:type="spellStart"/>
      <w:r w:rsidRPr="00DD5159">
        <w:rPr>
          <w:rFonts w:ascii="Segoe UI" w:hAnsi="Segoe UI" w:cs="Segoe UI"/>
          <w:sz w:val="22"/>
          <w:szCs w:val="22"/>
        </w:rPr>
        <w:t>summarises</w:t>
      </w:r>
      <w:proofErr w:type="spellEnd"/>
      <w:r w:rsidRPr="00DD5159">
        <w:rPr>
          <w:rFonts w:ascii="Segoe UI" w:hAnsi="Segoe UI" w:cs="Segoe UI"/>
          <w:sz w:val="22"/>
          <w:szCs w:val="22"/>
        </w:rPr>
        <w:t xml:space="preserve"> the Trust’s national and locally contracted </w:t>
      </w:r>
      <w:r w:rsidR="00C57113" w:rsidRPr="00DD5159">
        <w:rPr>
          <w:rFonts w:ascii="Segoe UI" w:hAnsi="Segoe UI" w:cs="Segoe UI"/>
          <w:sz w:val="22"/>
          <w:szCs w:val="22"/>
        </w:rPr>
        <w:t>key performance indicators (KPI</w:t>
      </w:r>
      <w:r w:rsidRPr="00DD5159">
        <w:rPr>
          <w:rFonts w:ascii="Segoe UI" w:hAnsi="Segoe UI" w:cs="Segoe UI"/>
          <w:sz w:val="22"/>
          <w:szCs w:val="22"/>
        </w:rPr>
        <w:t xml:space="preserve">s) for Month </w:t>
      </w:r>
      <w:r w:rsidR="00490282" w:rsidRPr="00DD5159">
        <w:rPr>
          <w:rFonts w:ascii="Segoe UI" w:hAnsi="Segoe UI" w:cs="Segoe UI"/>
          <w:sz w:val="22"/>
          <w:szCs w:val="22"/>
        </w:rPr>
        <w:t>7</w:t>
      </w:r>
      <w:r w:rsidRPr="00DD5159">
        <w:rPr>
          <w:rFonts w:ascii="Segoe UI" w:hAnsi="Segoe UI" w:cs="Segoe UI"/>
          <w:sz w:val="22"/>
          <w:szCs w:val="22"/>
        </w:rPr>
        <w:t xml:space="preserve"> (</w:t>
      </w:r>
      <w:r w:rsidR="00490282" w:rsidRPr="00DD5159">
        <w:rPr>
          <w:rFonts w:ascii="Segoe UI" w:hAnsi="Segoe UI" w:cs="Segoe UI"/>
          <w:sz w:val="22"/>
          <w:szCs w:val="22"/>
        </w:rPr>
        <w:t>October</w:t>
      </w:r>
      <w:r w:rsidR="00AF75DA" w:rsidRPr="00DD5159">
        <w:rPr>
          <w:rFonts w:ascii="Segoe UI" w:hAnsi="Segoe UI" w:cs="Segoe UI"/>
          <w:sz w:val="22"/>
          <w:szCs w:val="22"/>
        </w:rPr>
        <w:t>)</w:t>
      </w:r>
      <w:r w:rsidR="00731303" w:rsidRPr="00DD5159">
        <w:rPr>
          <w:rFonts w:ascii="Segoe UI" w:hAnsi="Segoe UI" w:cs="Segoe UI"/>
          <w:sz w:val="22"/>
          <w:szCs w:val="22"/>
        </w:rPr>
        <w:t xml:space="preserve"> 2019</w:t>
      </w:r>
      <w:r w:rsidRPr="00DD5159">
        <w:rPr>
          <w:rFonts w:ascii="Segoe UI" w:hAnsi="Segoe UI" w:cs="Segoe UI"/>
          <w:sz w:val="22"/>
          <w:szCs w:val="22"/>
        </w:rPr>
        <w:t xml:space="preserve">.  Overall, the Trust achieved </w:t>
      </w:r>
      <w:r w:rsidR="00490282" w:rsidRPr="00DD5159">
        <w:rPr>
          <w:rFonts w:ascii="Segoe UI" w:hAnsi="Segoe UI" w:cs="Segoe UI"/>
          <w:sz w:val="22"/>
          <w:szCs w:val="22"/>
        </w:rPr>
        <w:t>248</w:t>
      </w:r>
      <w:r w:rsidR="00E23391" w:rsidRPr="00DD5159">
        <w:rPr>
          <w:rFonts w:ascii="Segoe UI" w:hAnsi="Segoe UI" w:cs="Segoe UI"/>
          <w:sz w:val="22"/>
          <w:szCs w:val="22"/>
        </w:rPr>
        <w:t xml:space="preserve"> out of </w:t>
      </w:r>
      <w:r w:rsidR="00490282" w:rsidRPr="00DD5159">
        <w:rPr>
          <w:rFonts w:ascii="Segoe UI" w:hAnsi="Segoe UI" w:cs="Segoe UI"/>
          <w:sz w:val="22"/>
          <w:szCs w:val="22"/>
        </w:rPr>
        <w:t>333</w:t>
      </w:r>
      <w:r w:rsidR="00E23391" w:rsidRPr="00DD5159">
        <w:rPr>
          <w:rFonts w:ascii="Segoe UI" w:hAnsi="Segoe UI" w:cs="Segoe UI"/>
          <w:sz w:val="22"/>
          <w:szCs w:val="22"/>
        </w:rPr>
        <w:t xml:space="preserve"> targeted indicators </w:t>
      </w:r>
      <w:r w:rsidR="00BB3840" w:rsidRPr="00DD5159">
        <w:rPr>
          <w:rFonts w:ascii="Segoe UI" w:hAnsi="Segoe UI" w:cs="Segoe UI"/>
          <w:sz w:val="22"/>
          <w:szCs w:val="22"/>
        </w:rPr>
        <w:t>(</w:t>
      </w:r>
      <w:r w:rsidR="00490282" w:rsidRPr="00DD5159">
        <w:rPr>
          <w:rFonts w:ascii="Segoe UI" w:hAnsi="Segoe UI" w:cs="Segoe UI"/>
          <w:sz w:val="22"/>
          <w:szCs w:val="22"/>
        </w:rPr>
        <w:t>74</w:t>
      </w:r>
      <w:r w:rsidR="00BA1FC6" w:rsidRPr="00DD5159">
        <w:rPr>
          <w:rFonts w:ascii="Segoe UI" w:hAnsi="Segoe UI" w:cs="Segoe UI"/>
          <w:sz w:val="22"/>
          <w:szCs w:val="22"/>
        </w:rPr>
        <w:t>%).</w:t>
      </w:r>
    </w:p>
    <w:p w14:paraId="3CEBA8E8" w14:textId="77777777" w:rsidR="00AF75DA" w:rsidRPr="00DD5159" w:rsidRDefault="00AF75DA" w:rsidP="006B6FE8">
      <w:pPr>
        <w:jc w:val="both"/>
        <w:rPr>
          <w:rFonts w:ascii="Segoe UI" w:hAnsi="Segoe UI" w:cs="Segoe UI"/>
          <w:sz w:val="22"/>
          <w:szCs w:val="22"/>
        </w:rPr>
      </w:pPr>
    </w:p>
    <w:p w14:paraId="37BB8E98" w14:textId="77777777" w:rsidR="00274738" w:rsidRPr="00DD5159" w:rsidRDefault="00C57113" w:rsidP="00C83803">
      <w:pPr>
        <w:jc w:val="both"/>
        <w:rPr>
          <w:rFonts w:ascii="Segoe UI" w:hAnsi="Segoe UI" w:cs="Segoe UI"/>
          <w:b/>
          <w:sz w:val="22"/>
          <w:szCs w:val="22"/>
        </w:rPr>
      </w:pPr>
      <w:r w:rsidRPr="00DD5159">
        <w:rPr>
          <w:rFonts w:ascii="Segoe UI" w:hAnsi="Segoe UI" w:cs="Segoe UI"/>
          <w:b/>
        </w:rPr>
        <w:t>Performance Trend</w:t>
      </w:r>
      <w:r w:rsidR="00C83803" w:rsidRPr="00DD5159">
        <w:rPr>
          <w:rFonts w:ascii="Segoe UI" w:hAnsi="Segoe UI" w:cs="Segoe UI"/>
          <w:b/>
          <w:sz w:val="22"/>
          <w:szCs w:val="22"/>
        </w:rPr>
        <w:t>:</w:t>
      </w:r>
    </w:p>
    <w:p w14:paraId="315A2D8B" w14:textId="77777777" w:rsidR="00AF75DA" w:rsidRPr="00DD5159" w:rsidRDefault="00AF75DA" w:rsidP="00C83803">
      <w:pPr>
        <w:jc w:val="both"/>
        <w:rPr>
          <w:rFonts w:ascii="Segoe UI" w:hAnsi="Segoe UI" w:cs="Segoe UI"/>
          <w:b/>
          <w:sz w:val="22"/>
          <w:szCs w:val="22"/>
        </w:rPr>
      </w:pPr>
    </w:p>
    <w:p w14:paraId="6B91FC8B" w14:textId="77777777" w:rsidR="00490282" w:rsidRPr="00DD5159" w:rsidRDefault="00490282" w:rsidP="00490282">
      <w:pPr>
        <w:jc w:val="center"/>
        <w:rPr>
          <w:rFonts w:ascii="Segoe UI" w:hAnsi="Segoe UI" w:cs="Segoe UI"/>
          <w:b/>
          <w:sz w:val="22"/>
          <w:szCs w:val="22"/>
        </w:rPr>
      </w:pPr>
      <w:r w:rsidRPr="00DD5159">
        <w:rPr>
          <w:rFonts w:ascii="Segoe UI" w:hAnsi="Segoe UI" w:cs="Segoe UI"/>
          <w:b/>
          <w:noProof/>
          <w:sz w:val="22"/>
          <w:szCs w:val="22"/>
        </w:rPr>
        <w:drawing>
          <wp:inline distT="0" distB="0" distL="0" distR="0" wp14:anchorId="4703FE46" wp14:editId="7F3EAD99">
            <wp:extent cx="3535680" cy="24079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925289" w14:textId="77777777" w:rsidR="00490282" w:rsidRPr="00DD5159" w:rsidRDefault="00490282" w:rsidP="00C83803">
      <w:pPr>
        <w:jc w:val="both"/>
        <w:rPr>
          <w:rFonts w:ascii="Segoe UI" w:hAnsi="Segoe UI" w:cs="Segoe UI"/>
          <w:b/>
          <w:sz w:val="22"/>
          <w:szCs w:val="22"/>
        </w:rPr>
      </w:pPr>
    </w:p>
    <w:p w14:paraId="3A753D4B" w14:textId="77777777" w:rsidR="00C83803" w:rsidRPr="00DD5159" w:rsidRDefault="00C83803" w:rsidP="006B6FE8">
      <w:pPr>
        <w:jc w:val="both"/>
        <w:rPr>
          <w:rFonts w:ascii="Segoe UI" w:hAnsi="Segoe UI" w:cs="Segoe UI"/>
        </w:rPr>
      </w:pPr>
    </w:p>
    <w:p w14:paraId="3EBD32D3" w14:textId="77777777" w:rsidR="00FD74D2" w:rsidRPr="00DD5159" w:rsidRDefault="00FD74D2" w:rsidP="00294343">
      <w:pPr>
        <w:jc w:val="center"/>
        <w:rPr>
          <w:rFonts w:ascii="Segoe UI" w:hAnsi="Segoe UI" w:cs="Segoe UI"/>
          <w:noProof/>
          <w:lang w:val="en-GB" w:eastAsia="en-GB"/>
        </w:rPr>
      </w:pPr>
    </w:p>
    <w:p w14:paraId="7B53948D" w14:textId="77777777" w:rsidR="00490282" w:rsidRPr="00DD5159" w:rsidRDefault="00490282" w:rsidP="00490282">
      <w:pPr>
        <w:jc w:val="center"/>
        <w:rPr>
          <w:rFonts w:ascii="Segoe UI" w:hAnsi="Segoe UI" w:cs="Segoe UI"/>
          <w:noProof/>
          <w:lang w:val="en-GB" w:eastAsia="en-GB"/>
        </w:rPr>
      </w:pPr>
      <w:r w:rsidRPr="00DD5159">
        <w:rPr>
          <w:rFonts w:ascii="Segoe UI" w:hAnsi="Segoe UI" w:cs="Segoe UI"/>
          <w:noProof/>
          <w:lang w:val="en-GB" w:eastAsia="en-GB"/>
        </w:rPr>
        <w:lastRenderedPageBreak/>
        <w:drawing>
          <wp:inline distT="0" distB="0" distL="0" distR="0" wp14:anchorId="2296D58C" wp14:editId="0F8B2538">
            <wp:extent cx="3767455" cy="242633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76E580" w14:textId="77777777" w:rsidR="00490282" w:rsidRPr="00DD5159" w:rsidRDefault="00490282" w:rsidP="00294343">
      <w:pPr>
        <w:jc w:val="center"/>
        <w:rPr>
          <w:rFonts w:ascii="Segoe UI" w:hAnsi="Segoe UI" w:cs="Segoe UI"/>
          <w:noProof/>
          <w:lang w:val="en-GB" w:eastAsia="en-GB"/>
        </w:rPr>
      </w:pPr>
    </w:p>
    <w:p w14:paraId="7C4F3823" w14:textId="77777777" w:rsidR="00FD74D2" w:rsidRPr="00DD5159" w:rsidRDefault="00FD74D2" w:rsidP="00294343">
      <w:pPr>
        <w:jc w:val="center"/>
        <w:rPr>
          <w:rFonts w:ascii="Segoe UI" w:hAnsi="Segoe UI" w:cs="Segoe UI"/>
          <w:noProof/>
          <w:lang w:val="en-GB" w:eastAsia="en-GB"/>
        </w:rPr>
      </w:pPr>
    </w:p>
    <w:p w14:paraId="0629925A" w14:textId="77777777" w:rsidR="003C19D3" w:rsidRPr="00DD5159" w:rsidRDefault="00C57113" w:rsidP="006B6FE8">
      <w:pPr>
        <w:jc w:val="both"/>
        <w:rPr>
          <w:rFonts w:ascii="Segoe UI" w:hAnsi="Segoe UI" w:cs="Segoe UI"/>
          <w:sz w:val="22"/>
          <w:szCs w:val="22"/>
        </w:rPr>
      </w:pPr>
      <w:r w:rsidRPr="00DD5159">
        <w:rPr>
          <w:rFonts w:ascii="Segoe UI" w:hAnsi="Segoe UI" w:cs="Segoe UI"/>
          <w:sz w:val="22"/>
          <w:szCs w:val="22"/>
        </w:rPr>
        <w:t xml:space="preserve">The number of </w:t>
      </w:r>
      <w:r w:rsidR="00731303" w:rsidRPr="00DD5159">
        <w:rPr>
          <w:rFonts w:ascii="Segoe UI" w:hAnsi="Segoe UI" w:cs="Segoe UI"/>
          <w:sz w:val="22"/>
          <w:szCs w:val="22"/>
        </w:rPr>
        <w:t xml:space="preserve">locally </w:t>
      </w:r>
      <w:r w:rsidR="00731303" w:rsidRPr="00DD5159">
        <w:rPr>
          <w:rFonts w:ascii="Segoe UI" w:hAnsi="Segoe UI" w:cs="Segoe UI"/>
          <w:b/>
          <w:sz w:val="22"/>
          <w:szCs w:val="22"/>
        </w:rPr>
        <w:t>contracted</w:t>
      </w:r>
      <w:r w:rsidR="00731303" w:rsidRPr="00DD5159">
        <w:rPr>
          <w:rFonts w:ascii="Segoe UI" w:hAnsi="Segoe UI" w:cs="Segoe UI"/>
          <w:sz w:val="22"/>
          <w:szCs w:val="22"/>
        </w:rPr>
        <w:t xml:space="preserve"> </w:t>
      </w:r>
      <w:r w:rsidRPr="00DD5159">
        <w:rPr>
          <w:rFonts w:ascii="Segoe UI" w:hAnsi="Segoe UI" w:cs="Segoe UI"/>
          <w:sz w:val="22"/>
          <w:szCs w:val="22"/>
        </w:rPr>
        <w:t xml:space="preserve">indicators </w:t>
      </w:r>
      <w:r w:rsidR="00E23391" w:rsidRPr="00DD5159">
        <w:rPr>
          <w:rFonts w:ascii="Segoe UI" w:hAnsi="Segoe UI" w:cs="Segoe UI"/>
          <w:sz w:val="22"/>
          <w:szCs w:val="22"/>
        </w:rPr>
        <w:t>(excluding J</w:t>
      </w:r>
      <w:r w:rsidR="00482C9D">
        <w:rPr>
          <w:rFonts w:ascii="Segoe UI" w:hAnsi="Segoe UI" w:cs="Segoe UI"/>
          <w:sz w:val="22"/>
          <w:szCs w:val="22"/>
        </w:rPr>
        <w:t xml:space="preserve">oint </w:t>
      </w:r>
      <w:r w:rsidR="00E23391" w:rsidRPr="00DD5159">
        <w:rPr>
          <w:rFonts w:ascii="Segoe UI" w:hAnsi="Segoe UI" w:cs="Segoe UI"/>
          <w:sz w:val="22"/>
          <w:szCs w:val="22"/>
        </w:rPr>
        <w:t>M</w:t>
      </w:r>
      <w:r w:rsidR="00482C9D">
        <w:rPr>
          <w:rFonts w:ascii="Segoe UI" w:hAnsi="Segoe UI" w:cs="Segoe UI"/>
          <w:sz w:val="22"/>
          <w:szCs w:val="22"/>
        </w:rPr>
        <w:t xml:space="preserve">anagement </w:t>
      </w:r>
      <w:r w:rsidR="00E23391" w:rsidRPr="00DD5159">
        <w:rPr>
          <w:rFonts w:ascii="Segoe UI" w:hAnsi="Segoe UI" w:cs="Segoe UI"/>
          <w:sz w:val="22"/>
          <w:szCs w:val="22"/>
        </w:rPr>
        <w:t>G</w:t>
      </w:r>
      <w:r w:rsidR="00482C9D">
        <w:rPr>
          <w:rFonts w:ascii="Segoe UI" w:hAnsi="Segoe UI" w:cs="Segoe UI"/>
          <w:sz w:val="22"/>
          <w:szCs w:val="22"/>
        </w:rPr>
        <w:t>roup (JMG)</w:t>
      </w:r>
      <w:r w:rsidR="00E23391" w:rsidRPr="00DD5159">
        <w:rPr>
          <w:rFonts w:ascii="Segoe UI" w:hAnsi="Segoe UI" w:cs="Segoe UI"/>
          <w:sz w:val="22"/>
          <w:szCs w:val="22"/>
        </w:rPr>
        <w:t xml:space="preserve">) </w:t>
      </w:r>
      <w:r w:rsidRPr="00DD5159">
        <w:rPr>
          <w:rFonts w:ascii="Segoe UI" w:hAnsi="Segoe UI" w:cs="Segoe UI"/>
          <w:sz w:val="22"/>
          <w:szCs w:val="22"/>
        </w:rPr>
        <w:t>varie</w:t>
      </w:r>
      <w:r w:rsidR="00BB3840" w:rsidRPr="00DD5159">
        <w:rPr>
          <w:rFonts w:ascii="Segoe UI" w:hAnsi="Segoe UI" w:cs="Segoe UI"/>
          <w:sz w:val="22"/>
          <w:szCs w:val="22"/>
        </w:rPr>
        <w:t>s</w:t>
      </w:r>
      <w:r w:rsidRPr="00DD5159">
        <w:rPr>
          <w:rFonts w:ascii="Segoe UI" w:hAnsi="Segoe UI" w:cs="Segoe UI"/>
          <w:sz w:val="22"/>
          <w:szCs w:val="22"/>
        </w:rPr>
        <w:t xml:space="preserve"> throughout the year as is illustrated in the graph above</w:t>
      </w:r>
      <w:r w:rsidR="000104E4" w:rsidRPr="00DD5159">
        <w:rPr>
          <w:rFonts w:ascii="Segoe UI" w:hAnsi="Segoe UI" w:cs="Segoe UI"/>
          <w:sz w:val="22"/>
          <w:szCs w:val="22"/>
        </w:rPr>
        <w:t xml:space="preserve">.  </w:t>
      </w:r>
      <w:r w:rsidRPr="00DD5159">
        <w:rPr>
          <w:rFonts w:ascii="Segoe UI" w:hAnsi="Segoe UI" w:cs="Segoe UI"/>
          <w:sz w:val="22"/>
          <w:szCs w:val="22"/>
        </w:rPr>
        <w:t>This is due to some indicators only being reportable on a quarterly basis.</w:t>
      </w:r>
      <w:r w:rsidR="00731303" w:rsidRPr="00DD5159">
        <w:rPr>
          <w:rFonts w:ascii="Segoe UI" w:hAnsi="Segoe UI" w:cs="Segoe UI"/>
          <w:sz w:val="22"/>
          <w:szCs w:val="22"/>
        </w:rPr>
        <w:t xml:space="preserve">  Of the </w:t>
      </w:r>
      <w:r w:rsidR="00490282" w:rsidRPr="00DD5159">
        <w:rPr>
          <w:rFonts w:ascii="Segoe UI" w:hAnsi="Segoe UI" w:cs="Segoe UI"/>
          <w:sz w:val="22"/>
          <w:szCs w:val="22"/>
        </w:rPr>
        <w:t>85</w:t>
      </w:r>
      <w:r w:rsidR="00BB3840" w:rsidRPr="00DD5159">
        <w:rPr>
          <w:rFonts w:ascii="Segoe UI" w:hAnsi="Segoe UI" w:cs="Segoe UI"/>
          <w:sz w:val="22"/>
          <w:szCs w:val="22"/>
        </w:rPr>
        <w:t xml:space="preserve"> </w:t>
      </w:r>
      <w:r w:rsidR="00731303" w:rsidRPr="00DD5159">
        <w:rPr>
          <w:rFonts w:ascii="Segoe UI" w:hAnsi="Segoe UI" w:cs="Segoe UI"/>
          <w:sz w:val="22"/>
          <w:szCs w:val="22"/>
        </w:rPr>
        <w:t>indicators not met</w:t>
      </w:r>
      <w:r w:rsidR="00F266F2" w:rsidRPr="00DD5159">
        <w:rPr>
          <w:rFonts w:ascii="Segoe UI" w:hAnsi="Segoe UI" w:cs="Segoe UI"/>
          <w:sz w:val="22"/>
          <w:szCs w:val="22"/>
        </w:rPr>
        <w:t xml:space="preserve"> in </w:t>
      </w:r>
      <w:proofErr w:type="gramStart"/>
      <w:r w:rsidR="00490282" w:rsidRPr="00DD5159">
        <w:rPr>
          <w:rFonts w:ascii="Segoe UI" w:hAnsi="Segoe UI" w:cs="Segoe UI"/>
          <w:sz w:val="22"/>
          <w:szCs w:val="22"/>
        </w:rPr>
        <w:t>Octob</w:t>
      </w:r>
      <w:r w:rsidR="009C47E9" w:rsidRPr="00DD5159">
        <w:rPr>
          <w:rFonts w:ascii="Segoe UI" w:hAnsi="Segoe UI" w:cs="Segoe UI"/>
          <w:sz w:val="22"/>
          <w:szCs w:val="22"/>
        </w:rPr>
        <w:t>er</w:t>
      </w:r>
      <w:r w:rsidR="00731303" w:rsidRPr="00DD5159">
        <w:rPr>
          <w:rFonts w:ascii="Segoe UI" w:hAnsi="Segoe UI" w:cs="Segoe UI"/>
          <w:sz w:val="22"/>
          <w:szCs w:val="22"/>
        </w:rPr>
        <w:t>,</w:t>
      </w:r>
      <w:proofErr w:type="gramEnd"/>
      <w:r w:rsidR="00771A63" w:rsidRPr="00DD5159">
        <w:rPr>
          <w:rFonts w:ascii="Segoe UI" w:hAnsi="Segoe UI" w:cs="Segoe UI"/>
          <w:sz w:val="22"/>
          <w:szCs w:val="22"/>
        </w:rPr>
        <w:t xml:space="preserve"> </w:t>
      </w:r>
      <w:r w:rsidR="009C47E9" w:rsidRPr="00DD5159">
        <w:rPr>
          <w:rFonts w:ascii="Segoe UI" w:hAnsi="Segoe UI" w:cs="Segoe UI"/>
          <w:sz w:val="22"/>
          <w:szCs w:val="22"/>
        </w:rPr>
        <w:t>3</w:t>
      </w:r>
      <w:r w:rsidR="00490282" w:rsidRPr="00DD5159">
        <w:rPr>
          <w:rFonts w:ascii="Segoe UI" w:hAnsi="Segoe UI" w:cs="Segoe UI"/>
          <w:sz w:val="22"/>
          <w:szCs w:val="22"/>
        </w:rPr>
        <w:t>5</w:t>
      </w:r>
      <w:r w:rsidR="00731303" w:rsidRPr="00DD5159">
        <w:rPr>
          <w:rFonts w:ascii="Segoe UI" w:hAnsi="Segoe UI" w:cs="Segoe UI"/>
          <w:sz w:val="22"/>
          <w:szCs w:val="22"/>
        </w:rPr>
        <w:t xml:space="preserve"> were more than 10% away from the commissioner defined target</w:t>
      </w:r>
      <w:r w:rsidR="003C136E" w:rsidRPr="00DD5159">
        <w:rPr>
          <w:rFonts w:ascii="Segoe UI" w:hAnsi="Segoe UI" w:cs="Segoe UI"/>
          <w:sz w:val="22"/>
          <w:szCs w:val="22"/>
        </w:rPr>
        <w:t>s</w:t>
      </w:r>
      <w:r w:rsidR="00BB3840" w:rsidRPr="00DD5159">
        <w:rPr>
          <w:rFonts w:ascii="Segoe UI" w:hAnsi="Segoe UI" w:cs="Segoe UI"/>
          <w:sz w:val="22"/>
          <w:szCs w:val="22"/>
        </w:rPr>
        <w:t xml:space="preserve"> (red category)</w:t>
      </w:r>
      <w:r w:rsidR="00731303" w:rsidRPr="00DD5159">
        <w:rPr>
          <w:rFonts w:ascii="Segoe UI" w:hAnsi="Segoe UI" w:cs="Segoe UI"/>
          <w:sz w:val="22"/>
          <w:szCs w:val="22"/>
        </w:rPr>
        <w:t xml:space="preserve"> and </w:t>
      </w:r>
      <w:r w:rsidR="00D26C34" w:rsidRPr="00DD5159">
        <w:rPr>
          <w:rFonts w:ascii="Segoe UI" w:hAnsi="Segoe UI" w:cs="Segoe UI"/>
          <w:b/>
          <w:sz w:val="22"/>
          <w:szCs w:val="22"/>
        </w:rPr>
        <w:t>demand exceeding workforce capacity</w:t>
      </w:r>
      <w:r w:rsidR="003C136E" w:rsidRPr="00DD5159">
        <w:rPr>
          <w:rFonts w:ascii="Segoe UI" w:hAnsi="Segoe UI" w:cs="Segoe UI"/>
          <w:sz w:val="22"/>
          <w:szCs w:val="22"/>
        </w:rPr>
        <w:t xml:space="preserve"> continue</w:t>
      </w:r>
      <w:r w:rsidR="00D26C34" w:rsidRPr="00DD5159">
        <w:rPr>
          <w:rFonts w:ascii="Segoe UI" w:hAnsi="Segoe UI" w:cs="Segoe UI"/>
          <w:sz w:val="22"/>
          <w:szCs w:val="22"/>
        </w:rPr>
        <w:t>s</w:t>
      </w:r>
      <w:r w:rsidR="003C136E" w:rsidRPr="00DD5159">
        <w:rPr>
          <w:rFonts w:ascii="Segoe UI" w:hAnsi="Segoe UI" w:cs="Segoe UI"/>
          <w:sz w:val="22"/>
          <w:szCs w:val="22"/>
        </w:rPr>
        <w:t xml:space="preserve"> to have a major impact on service delivery</w:t>
      </w:r>
      <w:r w:rsidR="00731303" w:rsidRPr="00DD5159">
        <w:rPr>
          <w:rFonts w:ascii="Segoe UI" w:hAnsi="Segoe UI" w:cs="Segoe UI"/>
          <w:sz w:val="22"/>
          <w:szCs w:val="22"/>
        </w:rPr>
        <w:t>.</w:t>
      </w:r>
    </w:p>
    <w:p w14:paraId="03E02F16" w14:textId="77777777" w:rsidR="003C19D3" w:rsidRPr="00DD5159" w:rsidRDefault="003C19D3">
      <w:pPr>
        <w:rPr>
          <w:rFonts w:ascii="Segoe UI" w:hAnsi="Segoe UI" w:cs="Segoe UI"/>
          <w:sz w:val="22"/>
          <w:szCs w:val="22"/>
        </w:rPr>
      </w:pPr>
    </w:p>
    <w:p w14:paraId="4A7B0ECC" w14:textId="77777777" w:rsidR="003C19D3" w:rsidRPr="00DD5159" w:rsidRDefault="003C19D3">
      <w:pPr>
        <w:rPr>
          <w:rFonts w:ascii="Segoe UI" w:hAnsi="Segoe UI" w:cs="Segoe UI"/>
          <w:sz w:val="22"/>
          <w:szCs w:val="22"/>
        </w:rPr>
      </w:pPr>
      <w:r w:rsidRPr="00DD5159">
        <w:rPr>
          <w:rFonts w:ascii="Segoe UI" w:hAnsi="Segoe UI" w:cs="Segoe UI"/>
          <w:b/>
        </w:rPr>
        <w:t>Areas to highlight to the Board from an overall Trust perspective</w:t>
      </w:r>
      <w:r w:rsidRPr="00DD5159">
        <w:rPr>
          <w:rFonts w:ascii="Segoe UI" w:hAnsi="Segoe UI" w:cs="Segoe UI"/>
          <w:sz w:val="22"/>
          <w:szCs w:val="22"/>
        </w:rPr>
        <w:t>:</w:t>
      </w:r>
    </w:p>
    <w:p w14:paraId="6DF37D9A" w14:textId="77777777" w:rsidR="003C19D3" w:rsidRPr="00DD5159" w:rsidRDefault="003C19D3">
      <w:pPr>
        <w:rPr>
          <w:rFonts w:ascii="Segoe UI" w:hAnsi="Segoe UI" w:cs="Segoe UI"/>
          <w:sz w:val="22"/>
          <w:szCs w:val="22"/>
        </w:rPr>
      </w:pPr>
    </w:p>
    <w:p w14:paraId="31266074" w14:textId="77777777" w:rsidR="00036D9C" w:rsidRPr="00DD5159" w:rsidRDefault="0037138A" w:rsidP="00C57113">
      <w:pPr>
        <w:ind w:left="-993" w:firstLine="993"/>
        <w:jc w:val="both"/>
        <w:rPr>
          <w:rFonts w:ascii="Segoe UI" w:hAnsi="Segoe UI" w:cs="Segoe UI"/>
          <w:b/>
          <w:sz w:val="22"/>
          <w:szCs w:val="22"/>
        </w:rPr>
      </w:pPr>
      <w:r w:rsidRPr="00DD5159">
        <w:rPr>
          <w:rFonts w:ascii="Segoe UI" w:hAnsi="Segoe UI" w:cs="Segoe UI"/>
          <w:b/>
          <w:sz w:val="22"/>
          <w:szCs w:val="22"/>
          <w:u w:val="single"/>
        </w:rPr>
        <w:t>National Position</w:t>
      </w:r>
      <w:r w:rsidRPr="00DD5159">
        <w:rPr>
          <w:rFonts w:ascii="Segoe UI" w:hAnsi="Segoe UI" w:cs="Segoe UI"/>
          <w:b/>
          <w:sz w:val="22"/>
          <w:szCs w:val="22"/>
        </w:rPr>
        <w:t>:</w:t>
      </w:r>
    </w:p>
    <w:p w14:paraId="284EFE03" w14:textId="77777777" w:rsidR="00C24BAC" w:rsidRPr="00DD5159" w:rsidRDefault="00C24BAC" w:rsidP="007A2CF0">
      <w:pPr>
        <w:jc w:val="both"/>
        <w:rPr>
          <w:rFonts w:ascii="Segoe UI" w:hAnsi="Segoe UI" w:cs="Segoe UI"/>
          <w:b/>
          <w:sz w:val="22"/>
          <w:szCs w:val="22"/>
        </w:rPr>
      </w:pPr>
    </w:p>
    <w:p w14:paraId="79737195" w14:textId="2D3B543E" w:rsidR="00AF75DA" w:rsidRDefault="009804CA" w:rsidP="009804CA">
      <w:pPr>
        <w:jc w:val="both"/>
        <w:rPr>
          <w:rFonts w:ascii="Segoe UI" w:hAnsi="Segoe UI" w:cs="Segoe UI"/>
          <w:sz w:val="22"/>
          <w:szCs w:val="22"/>
        </w:rPr>
      </w:pPr>
      <w:r w:rsidRPr="00DD5159">
        <w:rPr>
          <w:rFonts w:ascii="Segoe UI" w:hAnsi="Segoe UI" w:cs="Segoe UI"/>
          <w:sz w:val="22"/>
          <w:szCs w:val="22"/>
        </w:rPr>
        <w:t xml:space="preserve">The table </w:t>
      </w:r>
      <w:r w:rsidR="003B66F1">
        <w:rPr>
          <w:rFonts w:ascii="Segoe UI" w:hAnsi="Segoe UI" w:cs="Segoe UI"/>
          <w:sz w:val="22"/>
          <w:szCs w:val="22"/>
        </w:rPr>
        <w:t>below</w:t>
      </w:r>
      <w:r w:rsidRPr="00DD5159">
        <w:rPr>
          <w:rFonts w:ascii="Segoe UI" w:hAnsi="Segoe UI" w:cs="Segoe UI"/>
          <w:sz w:val="22"/>
          <w:szCs w:val="22"/>
        </w:rPr>
        <w:t xml:space="preserve"> shows how the Trust </w:t>
      </w:r>
      <w:r w:rsidR="00F266F2" w:rsidRPr="00DD5159">
        <w:rPr>
          <w:rFonts w:ascii="Segoe UI" w:hAnsi="Segoe UI" w:cs="Segoe UI"/>
          <w:sz w:val="22"/>
          <w:szCs w:val="22"/>
        </w:rPr>
        <w:t>is performing</w:t>
      </w:r>
      <w:r w:rsidRPr="00DD5159">
        <w:rPr>
          <w:rFonts w:ascii="Segoe UI" w:hAnsi="Segoe UI" w:cs="Segoe UI"/>
          <w:sz w:val="22"/>
          <w:szCs w:val="22"/>
        </w:rPr>
        <w:t xml:space="preserve"> against the </w:t>
      </w:r>
      <w:r w:rsidRPr="00DD5159">
        <w:rPr>
          <w:rFonts w:ascii="Segoe UI" w:hAnsi="Segoe UI" w:cs="Segoe UI"/>
          <w:b/>
          <w:sz w:val="22"/>
          <w:szCs w:val="22"/>
        </w:rPr>
        <w:t>operational performance</w:t>
      </w:r>
      <w:r w:rsidRPr="00DD5159">
        <w:rPr>
          <w:rFonts w:ascii="Segoe UI" w:hAnsi="Segoe UI" w:cs="Segoe UI"/>
          <w:sz w:val="22"/>
          <w:szCs w:val="22"/>
        </w:rPr>
        <w:t xml:space="preserve"> indicators within the NHSI Single Oversight Framework</w:t>
      </w:r>
      <w:r w:rsidR="000A1AF7" w:rsidRPr="00DD5159">
        <w:rPr>
          <w:rFonts w:ascii="Segoe UI" w:hAnsi="Segoe UI" w:cs="Segoe UI"/>
          <w:sz w:val="22"/>
          <w:szCs w:val="22"/>
        </w:rPr>
        <w:t xml:space="preserve"> (SOF)</w:t>
      </w:r>
      <w:r w:rsidRPr="00DD5159">
        <w:rPr>
          <w:rFonts w:ascii="Segoe UI" w:hAnsi="Segoe UI" w:cs="Segoe UI"/>
          <w:sz w:val="22"/>
          <w:szCs w:val="22"/>
        </w:rPr>
        <w:t xml:space="preserve"> (as at the latest available position)</w:t>
      </w:r>
      <w:r w:rsidR="003B66F1">
        <w:rPr>
          <w:rFonts w:ascii="Segoe UI" w:hAnsi="Segoe UI" w:cs="Segoe UI"/>
          <w:sz w:val="22"/>
          <w:szCs w:val="22"/>
        </w:rPr>
        <w:t>.</w:t>
      </w:r>
    </w:p>
    <w:p w14:paraId="446B3DD2" w14:textId="6B972011" w:rsidR="003B66F1" w:rsidRDefault="003B66F1" w:rsidP="009804CA">
      <w:pPr>
        <w:jc w:val="both"/>
        <w:rPr>
          <w:rFonts w:ascii="Segoe UI" w:hAnsi="Segoe UI" w:cs="Segoe UI"/>
          <w:sz w:val="22"/>
          <w:szCs w:val="22"/>
        </w:rPr>
      </w:pPr>
    </w:p>
    <w:p w14:paraId="1FB61F31" w14:textId="0F770B58" w:rsidR="003B66F1" w:rsidRPr="00DD5159" w:rsidRDefault="003B66F1" w:rsidP="003B66F1">
      <w:pPr>
        <w:ind w:left="-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6B9A1525" wp14:editId="694ECF63">
            <wp:extent cx="6462395" cy="27559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D95FAE" w14:textId="77777777" w:rsidR="00105532" w:rsidRPr="00DD5159" w:rsidRDefault="00105532" w:rsidP="00105532">
      <w:pPr>
        <w:jc w:val="both"/>
        <w:rPr>
          <w:rFonts w:ascii="Segoe UI" w:hAnsi="Segoe UI" w:cs="Segoe UI"/>
          <w:sz w:val="22"/>
          <w:szCs w:val="22"/>
        </w:rPr>
      </w:pPr>
    </w:p>
    <w:p w14:paraId="1A388E79" w14:textId="77777777" w:rsidR="000A1AF7" w:rsidRPr="00DD5159" w:rsidRDefault="006F03C1" w:rsidP="009804CA">
      <w:pPr>
        <w:jc w:val="both"/>
        <w:rPr>
          <w:rFonts w:ascii="Segoe UI" w:hAnsi="Segoe UI" w:cs="Segoe UI"/>
          <w:sz w:val="22"/>
          <w:szCs w:val="22"/>
        </w:rPr>
      </w:pPr>
      <w:r w:rsidRPr="00DD5159">
        <w:rPr>
          <w:rFonts w:ascii="Segoe UI" w:hAnsi="Segoe UI" w:cs="Segoe UI"/>
          <w:sz w:val="22"/>
          <w:szCs w:val="22"/>
        </w:rPr>
        <w:t>Highlights include;</w:t>
      </w:r>
    </w:p>
    <w:p w14:paraId="06BE7FE4" w14:textId="77777777" w:rsidR="000A1AF7" w:rsidRPr="00DD5159" w:rsidRDefault="000A1AF7" w:rsidP="009804CA">
      <w:pPr>
        <w:jc w:val="both"/>
        <w:rPr>
          <w:rFonts w:ascii="Segoe UI" w:hAnsi="Segoe UI" w:cs="Segoe UI"/>
          <w:sz w:val="22"/>
          <w:szCs w:val="22"/>
        </w:rPr>
      </w:pPr>
    </w:p>
    <w:p w14:paraId="553D0FB0" w14:textId="77777777" w:rsidR="006F03C1" w:rsidRPr="00DD5159" w:rsidRDefault="00D26C34" w:rsidP="000A1AF7">
      <w:pPr>
        <w:pStyle w:val="ListParagraph"/>
        <w:numPr>
          <w:ilvl w:val="0"/>
          <w:numId w:val="26"/>
        </w:numPr>
        <w:jc w:val="both"/>
        <w:rPr>
          <w:rFonts w:ascii="Segoe UI" w:hAnsi="Segoe UI" w:cs="Segoe UI"/>
          <w:sz w:val="22"/>
          <w:szCs w:val="22"/>
        </w:rPr>
      </w:pPr>
      <w:r w:rsidRPr="00DD5159">
        <w:rPr>
          <w:rFonts w:ascii="Segoe UI" w:hAnsi="Segoe UI" w:cs="Segoe UI"/>
          <w:sz w:val="22"/>
          <w:szCs w:val="22"/>
        </w:rPr>
        <w:t xml:space="preserve">The </w:t>
      </w:r>
      <w:r w:rsidR="00105532" w:rsidRPr="00DD5159">
        <w:rPr>
          <w:rFonts w:ascii="Segoe UI" w:hAnsi="Segoe UI" w:cs="Segoe UI"/>
          <w:sz w:val="22"/>
          <w:szCs w:val="22"/>
        </w:rPr>
        <w:t>M</w:t>
      </w:r>
      <w:r w:rsidRPr="00DD5159">
        <w:rPr>
          <w:rFonts w:ascii="Segoe UI" w:hAnsi="Segoe UI" w:cs="Segoe UI"/>
          <w:sz w:val="22"/>
          <w:szCs w:val="22"/>
        </w:rPr>
        <w:t>inor Injuries Unit p</w:t>
      </w:r>
      <w:r w:rsidR="00105532" w:rsidRPr="00DD5159">
        <w:rPr>
          <w:rFonts w:ascii="Segoe UI" w:hAnsi="Segoe UI" w:cs="Segoe UI"/>
          <w:sz w:val="22"/>
          <w:szCs w:val="22"/>
        </w:rPr>
        <w:t xml:space="preserve">erformance </w:t>
      </w:r>
      <w:r w:rsidR="00B00F1F">
        <w:rPr>
          <w:rFonts w:ascii="Segoe UI" w:hAnsi="Segoe UI" w:cs="Segoe UI"/>
          <w:sz w:val="22"/>
          <w:szCs w:val="22"/>
        </w:rPr>
        <w:t>was</w:t>
      </w:r>
      <w:r w:rsidR="00105532" w:rsidRPr="00DD5159">
        <w:rPr>
          <w:rFonts w:ascii="Segoe UI" w:hAnsi="Segoe UI" w:cs="Segoe UI"/>
          <w:sz w:val="22"/>
          <w:szCs w:val="22"/>
        </w:rPr>
        <w:t xml:space="preserve"> </w:t>
      </w:r>
      <w:r w:rsidR="006044DE" w:rsidRPr="00DD5159">
        <w:rPr>
          <w:rFonts w:ascii="Segoe UI" w:hAnsi="Segoe UI" w:cs="Segoe UI"/>
          <w:sz w:val="22"/>
          <w:szCs w:val="22"/>
        </w:rPr>
        <w:t>9</w:t>
      </w:r>
      <w:r w:rsidR="00DC39C2" w:rsidRPr="00DD5159">
        <w:rPr>
          <w:rFonts w:ascii="Segoe UI" w:hAnsi="Segoe UI" w:cs="Segoe UI"/>
          <w:sz w:val="22"/>
          <w:szCs w:val="22"/>
        </w:rPr>
        <w:t>9</w:t>
      </w:r>
      <w:r w:rsidR="00105532" w:rsidRPr="00DD5159">
        <w:rPr>
          <w:rFonts w:ascii="Segoe UI" w:hAnsi="Segoe UI" w:cs="Segoe UI"/>
          <w:sz w:val="22"/>
          <w:szCs w:val="22"/>
        </w:rPr>
        <w:t xml:space="preserve">% </w:t>
      </w:r>
      <w:r w:rsidRPr="00DD5159">
        <w:rPr>
          <w:rFonts w:ascii="Segoe UI" w:hAnsi="Segoe UI" w:cs="Segoe UI"/>
          <w:sz w:val="22"/>
          <w:szCs w:val="22"/>
        </w:rPr>
        <w:t>in</w:t>
      </w:r>
      <w:r w:rsidR="00105532" w:rsidRPr="00DD5159">
        <w:rPr>
          <w:rFonts w:ascii="Segoe UI" w:hAnsi="Segoe UI" w:cs="Segoe UI"/>
          <w:sz w:val="22"/>
          <w:szCs w:val="22"/>
        </w:rPr>
        <w:t xml:space="preserve"> </w:t>
      </w:r>
      <w:r w:rsidR="00DC39C2" w:rsidRPr="00DD5159">
        <w:rPr>
          <w:rFonts w:ascii="Segoe UI" w:hAnsi="Segoe UI" w:cs="Segoe UI"/>
          <w:sz w:val="22"/>
          <w:szCs w:val="22"/>
        </w:rPr>
        <w:t>Octo</w:t>
      </w:r>
      <w:r w:rsidR="00651C0D" w:rsidRPr="00DD5159">
        <w:rPr>
          <w:rFonts w:ascii="Segoe UI" w:hAnsi="Segoe UI" w:cs="Segoe UI"/>
          <w:sz w:val="22"/>
          <w:szCs w:val="22"/>
        </w:rPr>
        <w:t>ber</w:t>
      </w:r>
      <w:r w:rsidR="006F03C1" w:rsidRPr="00DD5159">
        <w:rPr>
          <w:rFonts w:ascii="Segoe UI" w:hAnsi="Segoe UI" w:cs="Segoe UI"/>
          <w:sz w:val="22"/>
          <w:szCs w:val="22"/>
        </w:rPr>
        <w:t>.</w:t>
      </w:r>
      <w:r w:rsidRPr="00DD5159">
        <w:rPr>
          <w:rFonts w:ascii="Segoe UI" w:hAnsi="Segoe UI" w:cs="Segoe UI"/>
          <w:sz w:val="22"/>
          <w:szCs w:val="22"/>
        </w:rPr>
        <w:t xml:space="preserve">  This is above the 95% national target</w:t>
      </w:r>
      <w:r w:rsidR="00D42A42" w:rsidRPr="00DD5159">
        <w:rPr>
          <w:rFonts w:ascii="Segoe UI" w:hAnsi="Segoe UI" w:cs="Segoe UI"/>
          <w:sz w:val="22"/>
          <w:szCs w:val="22"/>
        </w:rPr>
        <w:t>.</w:t>
      </w:r>
    </w:p>
    <w:p w14:paraId="228FC62E" w14:textId="77777777" w:rsidR="000A1AF7" w:rsidRPr="00DD5159" w:rsidRDefault="000A1AF7" w:rsidP="000A1AF7">
      <w:pPr>
        <w:pStyle w:val="ListParagraph"/>
        <w:jc w:val="both"/>
        <w:rPr>
          <w:rFonts w:ascii="Segoe UI" w:hAnsi="Segoe UI" w:cs="Segoe UI"/>
          <w:sz w:val="22"/>
          <w:szCs w:val="22"/>
        </w:rPr>
      </w:pPr>
    </w:p>
    <w:p w14:paraId="00B29421" w14:textId="5C634604" w:rsidR="000A1AF7" w:rsidRDefault="00105532" w:rsidP="0056611F">
      <w:pPr>
        <w:pStyle w:val="ListParagraph"/>
        <w:numPr>
          <w:ilvl w:val="0"/>
          <w:numId w:val="26"/>
        </w:numPr>
        <w:jc w:val="both"/>
        <w:rPr>
          <w:rFonts w:ascii="Segoe UI" w:hAnsi="Segoe UI" w:cs="Segoe UI"/>
          <w:sz w:val="22"/>
          <w:szCs w:val="22"/>
        </w:rPr>
      </w:pPr>
      <w:r w:rsidRPr="00DD5159">
        <w:rPr>
          <w:rFonts w:ascii="Segoe UI" w:hAnsi="Segoe UI" w:cs="Segoe UI"/>
          <w:sz w:val="22"/>
          <w:szCs w:val="22"/>
        </w:rPr>
        <w:t>O</w:t>
      </w:r>
      <w:r w:rsidR="000A1AF7" w:rsidRPr="00DD5159">
        <w:rPr>
          <w:rFonts w:ascii="Segoe UI" w:hAnsi="Segoe UI" w:cs="Segoe UI"/>
          <w:sz w:val="22"/>
          <w:szCs w:val="22"/>
        </w:rPr>
        <w:t>ut of Area Placements (O</w:t>
      </w:r>
      <w:r w:rsidRPr="00DD5159">
        <w:rPr>
          <w:rFonts w:ascii="Segoe UI" w:hAnsi="Segoe UI" w:cs="Segoe UI"/>
          <w:sz w:val="22"/>
          <w:szCs w:val="22"/>
        </w:rPr>
        <w:t>APs</w:t>
      </w:r>
      <w:r w:rsidR="000A1AF7" w:rsidRPr="00DD5159">
        <w:rPr>
          <w:rFonts w:ascii="Segoe UI" w:hAnsi="Segoe UI" w:cs="Segoe UI"/>
          <w:sz w:val="22"/>
          <w:szCs w:val="22"/>
        </w:rPr>
        <w:t>)</w:t>
      </w:r>
      <w:r w:rsidRPr="00DD5159">
        <w:rPr>
          <w:rFonts w:ascii="Segoe UI" w:hAnsi="Segoe UI" w:cs="Segoe UI"/>
          <w:sz w:val="22"/>
          <w:szCs w:val="22"/>
        </w:rPr>
        <w:t xml:space="preserve"> </w:t>
      </w:r>
      <w:r w:rsidR="00482C9D">
        <w:rPr>
          <w:rFonts w:ascii="Segoe UI" w:hAnsi="Segoe UI" w:cs="Segoe UI"/>
          <w:sz w:val="22"/>
          <w:szCs w:val="22"/>
        </w:rPr>
        <w:t>are</w:t>
      </w:r>
      <w:r w:rsidR="004214F7" w:rsidRPr="00DD5159">
        <w:rPr>
          <w:rFonts w:ascii="Segoe UI" w:hAnsi="Segoe UI" w:cs="Segoe UI"/>
          <w:sz w:val="22"/>
          <w:szCs w:val="22"/>
        </w:rPr>
        <w:t xml:space="preserve"> monitored </w:t>
      </w:r>
      <w:r w:rsidR="000A1AF7" w:rsidRPr="00DD5159">
        <w:rPr>
          <w:rFonts w:ascii="Segoe UI" w:hAnsi="Segoe UI" w:cs="Segoe UI"/>
          <w:sz w:val="22"/>
          <w:szCs w:val="22"/>
        </w:rPr>
        <w:t>on a quarterly basis within the SOF</w:t>
      </w:r>
      <w:r w:rsidR="004214F7" w:rsidRPr="00DD5159">
        <w:rPr>
          <w:rFonts w:ascii="Segoe UI" w:hAnsi="Segoe UI" w:cs="Segoe UI"/>
          <w:sz w:val="22"/>
          <w:szCs w:val="22"/>
        </w:rPr>
        <w:t xml:space="preserve"> and</w:t>
      </w:r>
      <w:r w:rsidR="000A1AF7" w:rsidRPr="00DD5159">
        <w:rPr>
          <w:rFonts w:ascii="Segoe UI" w:hAnsi="Segoe UI" w:cs="Segoe UI"/>
          <w:sz w:val="22"/>
          <w:szCs w:val="22"/>
        </w:rPr>
        <w:t xml:space="preserve"> the Trust has substantially improved its performance over the past 6 months.  There has been a significant reduction in the number of patients sent out of area due to a shortage of available beds.  The Trust is on track to achieve the planned improvement and progress against plan is shown in the table below.</w:t>
      </w:r>
    </w:p>
    <w:p w14:paraId="5DE9590E" w14:textId="77777777" w:rsidR="00B00F1F" w:rsidRPr="00B00F1F" w:rsidRDefault="00B00F1F" w:rsidP="00B00F1F">
      <w:pPr>
        <w:pStyle w:val="ListParagraph"/>
        <w:rPr>
          <w:rFonts w:ascii="Segoe UI" w:hAnsi="Segoe UI" w:cs="Segoe UI"/>
          <w:sz w:val="22"/>
          <w:szCs w:val="22"/>
        </w:rPr>
      </w:pPr>
    </w:p>
    <w:p w14:paraId="47825A7F" w14:textId="77777777" w:rsidR="00B00F1F" w:rsidRPr="00B00F1F" w:rsidRDefault="00B00F1F" w:rsidP="00B00F1F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681F8226" wp14:editId="4A4A6590">
            <wp:extent cx="5961697" cy="2967990"/>
            <wp:effectExtent l="0" t="0" r="127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697" cy="296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D69BB1" w14:textId="77777777" w:rsidR="00274738" w:rsidRDefault="00274738" w:rsidP="000A1AF7">
      <w:pPr>
        <w:pStyle w:val="ListParagraph"/>
        <w:jc w:val="both"/>
        <w:rPr>
          <w:rFonts w:ascii="Segoe UI" w:hAnsi="Segoe UI" w:cs="Segoe UI"/>
          <w:sz w:val="22"/>
          <w:szCs w:val="22"/>
        </w:rPr>
      </w:pPr>
    </w:p>
    <w:p w14:paraId="7849C4B2" w14:textId="77777777" w:rsidR="000B133B" w:rsidRPr="00DD5159" w:rsidRDefault="000B133B" w:rsidP="009804CA">
      <w:pPr>
        <w:jc w:val="both"/>
        <w:rPr>
          <w:rFonts w:ascii="Segoe UI" w:hAnsi="Segoe UI" w:cs="Segoe UI"/>
        </w:rPr>
      </w:pPr>
    </w:p>
    <w:p w14:paraId="410BC704" w14:textId="77777777" w:rsidR="009804CA" w:rsidRPr="00DD5159" w:rsidRDefault="009804CA" w:rsidP="006662C3">
      <w:pPr>
        <w:jc w:val="both"/>
        <w:rPr>
          <w:rFonts w:ascii="Segoe UI" w:hAnsi="Segoe UI" w:cs="Segoe UI"/>
          <w:b/>
        </w:rPr>
      </w:pPr>
      <w:r w:rsidRPr="00DD5159">
        <w:rPr>
          <w:rFonts w:ascii="Segoe UI" w:hAnsi="Segoe UI" w:cs="Segoe UI"/>
          <w:b/>
          <w:u w:val="single"/>
        </w:rPr>
        <w:t>Local Position</w:t>
      </w:r>
      <w:r w:rsidRPr="00DD5159">
        <w:rPr>
          <w:rFonts w:ascii="Segoe UI" w:hAnsi="Segoe UI" w:cs="Segoe UI"/>
          <w:b/>
        </w:rPr>
        <w:t xml:space="preserve">: </w:t>
      </w:r>
    </w:p>
    <w:p w14:paraId="7BDEC316" w14:textId="77777777" w:rsidR="009804CA" w:rsidRPr="00DD5159" w:rsidRDefault="009804CA" w:rsidP="009804CA">
      <w:pPr>
        <w:ind w:left="-993" w:firstLine="993"/>
        <w:jc w:val="both"/>
        <w:rPr>
          <w:rFonts w:ascii="Segoe UI" w:hAnsi="Segoe UI" w:cs="Segoe UI"/>
          <w:b/>
          <w:sz w:val="22"/>
          <w:szCs w:val="22"/>
        </w:rPr>
      </w:pPr>
    </w:p>
    <w:p w14:paraId="2BEF0CA5" w14:textId="77777777" w:rsidR="009804CA" w:rsidRPr="00DD5159" w:rsidRDefault="009804CA" w:rsidP="009804CA">
      <w:pPr>
        <w:ind w:left="-993" w:firstLine="993"/>
        <w:jc w:val="both"/>
        <w:rPr>
          <w:rFonts w:ascii="Segoe UI" w:hAnsi="Segoe UI" w:cs="Segoe UI"/>
          <w:b/>
          <w:sz w:val="22"/>
          <w:szCs w:val="22"/>
        </w:rPr>
      </w:pPr>
      <w:r w:rsidRPr="00DD5159">
        <w:rPr>
          <w:rFonts w:ascii="Segoe UI" w:hAnsi="Segoe UI" w:cs="Segoe UI"/>
          <w:b/>
          <w:sz w:val="22"/>
          <w:szCs w:val="22"/>
        </w:rPr>
        <w:t>Patient Access and Patient Flow</w:t>
      </w:r>
    </w:p>
    <w:p w14:paraId="0CC4CDEB" w14:textId="77777777" w:rsidR="009804CA" w:rsidRPr="00DD5159" w:rsidRDefault="009804CA" w:rsidP="009804CA">
      <w:pPr>
        <w:ind w:left="-993"/>
        <w:jc w:val="both"/>
        <w:rPr>
          <w:rFonts w:ascii="Segoe UI" w:hAnsi="Segoe UI" w:cs="Segoe UI"/>
          <w:b/>
          <w:sz w:val="22"/>
          <w:szCs w:val="22"/>
        </w:rPr>
      </w:pPr>
    </w:p>
    <w:p w14:paraId="751C57C8" w14:textId="77777777" w:rsidR="009804CA" w:rsidRPr="00DD5159" w:rsidRDefault="009804CA" w:rsidP="009804CA">
      <w:pPr>
        <w:jc w:val="both"/>
        <w:rPr>
          <w:rFonts w:ascii="Segoe UI" w:hAnsi="Segoe UI" w:cs="Segoe UI"/>
          <w:sz w:val="22"/>
          <w:szCs w:val="22"/>
        </w:rPr>
      </w:pPr>
      <w:r w:rsidRPr="00DD5159">
        <w:rPr>
          <w:rFonts w:ascii="Segoe UI" w:hAnsi="Segoe UI" w:cs="Segoe UI"/>
          <w:sz w:val="22"/>
          <w:szCs w:val="22"/>
        </w:rPr>
        <w:t xml:space="preserve">The table </w:t>
      </w:r>
      <w:r w:rsidR="00DC14C4" w:rsidRPr="00DD5159">
        <w:rPr>
          <w:rFonts w:ascii="Segoe UI" w:hAnsi="Segoe UI" w:cs="Segoe UI"/>
          <w:sz w:val="22"/>
          <w:szCs w:val="22"/>
        </w:rPr>
        <w:t xml:space="preserve">in </w:t>
      </w:r>
      <w:r w:rsidR="00DC14C4" w:rsidRPr="009E7248">
        <w:rPr>
          <w:rFonts w:ascii="Segoe UI" w:hAnsi="Segoe UI" w:cs="Segoe UI"/>
          <w:b/>
          <w:sz w:val="22"/>
          <w:szCs w:val="22"/>
        </w:rPr>
        <w:t>Appendix 1</w:t>
      </w:r>
      <w:r w:rsidR="00897AC8" w:rsidRPr="00DD5159">
        <w:rPr>
          <w:rFonts w:ascii="Segoe UI" w:hAnsi="Segoe UI" w:cs="Segoe UI"/>
          <w:sz w:val="22"/>
          <w:szCs w:val="22"/>
        </w:rPr>
        <w:t xml:space="preserve"> </w:t>
      </w:r>
      <w:r w:rsidRPr="00DD5159">
        <w:rPr>
          <w:rFonts w:ascii="Segoe UI" w:hAnsi="Segoe UI" w:cs="Segoe UI"/>
          <w:sz w:val="22"/>
          <w:szCs w:val="22"/>
        </w:rPr>
        <w:t>shows performance in relation to the Trust’s core mental health community services concerning demand, patient access and patient flow.  Key headlines;</w:t>
      </w:r>
    </w:p>
    <w:p w14:paraId="5B608253" w14:textId="77777777" w:rsidR="009804CA" w:rsidRDefault="009804CA" w:rsidP="009804CA">
      <w:pPr>
        <w:jc w:val="both"/>
        <w:rPr>
          <w:rFonts w:ascii="Segoe UI" w:hAnsi="Segoe UI" w:cs="Segoe UI"/>
          <w:sz w:val="22"/>
          <w:szCs w:val="22"/>
        </w:rPr>
      </w:pPr>
    </w:p>
    <w:p w14:paraId="20748EEF" w14:textId="77777777" w:rsidR="00B00F1F" w:rsidRPr="00DD5159" w:rsidRDefault="00B00F1F" w:rsidP="009804CA">
      <w:pPr>
        <w:jc w:val="both"/>
        <w:rPr>
          <w:rFonts w:ascii="Segoe UI" w:hAnsi="Segoe UI" w:cs="Segoe UI"/>
          <w:sz w:val="22"/>
          <w:szCs w:val="22"/>
        </w:rPr>
      </w:pPr>
    </w:p>
    <w:p w14:paraId="329C2611" w14:textId="77777777" w:rsidR="009804CA" w:rsidRPr="00DD5159" w:rsidRDefault="009804CA" w:rsidP="009804CA">
      <w:pPr>
        <w:pStyle w:val="ListParagraph"/>
        <w:numPr>
          <w:ilvl w:val="0"/>
          <w:numId w:val="23"/>
        </w:numPr>
        <w:ind w:left="426"/>
        <w:jc w:val="both"/>
        <w:rPr>
          <w:rFonts w:ascii="Segoe UI" w:hAnsi="Segoe UI" w:cs="Segoe UI"/>
          <w:b/>
        </w:rPr>
      </w:pPr>
      <w:r w:rsidRPr="00DD5159">
        <w:rPr>
          <w:rFonts w:ascii="Segoe UI" w:hAnsi="Segoe UI" w:cs="Segoe UI"/>
          <w:b/>
        </w:rPr>
        <w:t>Demand</w:t>
      </w:r>
    </w:p>
    <w:p w14:paraId="2B6D1958" w14:textId="77777777" w:rsidR="009804CA" w:rsidRPr="00DD5159" w:rsidRDefault="00B63BFE" w:rsidP="009804CA">
      <w:pPr>
        <w:pStyle w:val="ListParagraph"/>
        <w:ind w:left="426"/>
        <w:jc w:val="both"/>
        <w:rPr>
          <w:rFonts w:ascii="Segoe UI" w:hAnsi="Segoe UI" w:cs="Segoe UI"/>
          <w:sz w:val="22"/>
          <w:szCs w:val="22"/>
        </w:rPr>
      </w:pPr>
      <w:r w:rsidRPr="00DD5159">
        <w:rPr>
          <w:rFonts w:ascii="Segoe UI" w:hAnsi="Segoe UI" w:cs="Segoe UI"/>
          <w:sz w:val="22"/>
          <w:szCs w:val="22"/>
        </w:rPr>
        <w:t>Despite comparable population sizes, t</w:t>
      </w:r>
      <w:r w:rsidR="009804CA" w:rsidRPr="00DD5159">
        <w:rPr>
          <w:rFonts w:ascii="Segoe UI" w:hAnsi="Segoe UI" w:cs="Segoe UI"/>
          <w:sz w:val="22"/>
          <w:szCs w:val="22"/>
        </w:rPr>
        <w:t xml:space="preserve">he number of Adult Mental Health referrals received in </w:t>
      </w:r>
      <w:proofErr w:type="spellStart"/>
      <w:r w:rsidR="009804CA" w:rsidRPr="00DD5159">
        <w:rPr>
          <w:rFonts w:ascii="Segoe UI" w:hAnsi="Segoe UI" w:cs="Segoe UI"/>
          <w:sz w:val="22"/>
          <w:szCs w:val="22"/>
        </w:rPr>
        <w:t>Oxfordshire</w:t>
      </w:r>
      <w:proofErr w:type="spellEnd"/>
      <w:r w:rsidR="009804CA" w:rsidRPr="00DD5159">
        <w:rPr>
          <w:rFonts w:ascii="Segoe UI" w:hAnsi="Segoe UI" w:cs="Segoe UI"/>
          <w:sz w:val="22"/>
          <w:szCs w:val="22"/>
        </w:rPr>
        <w:t xml:space="preserve"> </w:t>
      </w:r>
      <w:r w:rsidR="00092197" w:rsidRPr="00DD5159">
        <w:rPr>
          <w:rFonts w:ascii="Segoe UI" w:hAnsi="Segoe UI" w:cs="Segoe UI"/>
          <w:sz w:val="22"/>
          <w:szCs w:val="22"/>
        </w:rPr>
        <w:t>continues to be</w:t>
      </w:r>
      <w:r w:rsidR="009804CA" w:rsidRPr="00DD5159">
        <w:rPr>
          <w:rFonts w:ascii="Segoe UI" w:hAnsi="Segoe UI" w:cs="Segoe UI"/>
          <w:sz w:val="22"/>
          <w:szCs w:val="22"/>
        </w:rPr>
        <w:t xml:space="preserve"> higher than</w:t>
      </w:r>
      <w:r w:rsidRPr="00DD5159">
        <w:rPr>
          <w:rFonts w:ascii="Segoe UI" w:hAnsi="Segoe UI" w:cs="Segoe UI"/>
          <w:sz w:val="22"/>
          <w:szCs w:val="22"/>
        </w:rPr>
        <w:t xml:space="preserve"> in</w:t>
      </w:r>
      <w:r w:rsidR="009804CA" w:rsidRPr="00DD5159">
        <w:rPr>
          <w:rFonts w:ascii="Segoe UI" w:hAnsi="Segoe UI" w:cs="Segoe UI"/>
          <w:sz w:val="22"/>
          <w:szCs w:val="22"/>
        </w:rPr>
        <w:t xml:space="preserve"> Buckinghamshire (</w:t>
      </w:r>
      <w:r w:rsidR="005A2F78" w:rsidRPr="00DD5159">
        <w:rPr>
          <w:rFonts w:ascii="Segoe UI" w:hAnsi="Segoe UI" w:cs="Segoe UI"/>
          <w:sz w:val="22"/>
          <w:szCs w:val="22"/>
        </w:rPr>
        <w:t>3</w:t>
      </w:r>
      <w:r w:rsidR="00CC5EAE" w:rsidRPr="00DD5159">
        <w:rPr>
          <w:rFonts w:ascii="Segoe UI" w:hAnsi="Segoe UI" w:cs="Segoe UI"/>
          <w:sz w:val="22"/>
          <w:szCs w:val="22"/>
        </w:rPr>
        <w:t>2</w:t>
      </w:r>
      <w:r w:rsidR="009804CA" w:rsidRPr="00DD5159">
        <w:rPr>
          <w:rFonts w:ascii="Segoe UI" w:hAnsi="Segoe UI" w:cs="Segoe UI"/>
          <w:sz w:val="22"/>
          <w:szCs w:val="22"/>
        </w:rPr>
        <w:t xml:space="preserve">% </w:t>
      </w:r>
      <w:r w:rsidR="00105532" w:rsidRPr="00DD5159">
        <w:rPr>
          <w:rFonts w:ascii="Segoe UI" w:hAnsi="Segoe UI" w:cs="Segoe UI"/>
          <w:sz w:val="22"/>
          <w:szCs w:val="22"/>
        </w:rPr>
        <w:t>higher in</w:t>
      </w:r>
      <w:r w:rsidR="009804CA" w:rsidRPr="00DD5159">
        <w:rPr>
          <w:rFonts w:ascii="Segoe UI" w:hAnsi="Segoe UI" w:cs="Segoe UI"/>
          <w:sz w:val="22"/>
          <w:szCs w:val="22"/>
        </w:rPr>
        <w:t xml:space="preserve"> </w:t>
      </w:r>
      <w:r w:rsidR="00CC5EAE" w:rsidRPr="00DD5159">
        <w:rPr>
          <w:rFonts w:ascii="Segoe UI" w:hAnsi="Segoe UI" w:cs="Segoe UI"/>
          <w:sz w:val="22"/>
          <w:szCs w:val="22"/>
        </w:rPr>
        <w:t>October</w:t>
      </w:r>
      <w:r w:rsidR="009804CA" w:rsidRPr="00DD5159">
        <w:rPr>
          <w:rFonts w:ascii="Segoe UI" w:hAnsi="Segoe UI" w:cs="Segoe UI"/>
          <w:sz w:val="22"/>
          <w:szCs w:val="22"/>
        </w:rPr>
        <w:t>)</w:t>
      </w:r>
      <w:r w:rsidRPr="00DD5159">
        <w:rPr>
          <w:rFonts w:ascii="Segoe UI" w:hAnsi="Segoe UI" w:cs="Segoe UI"/>
          <w:sz w:val="22"/>
          <w:szCs w:val="22"/>
        </w:rPr>
        <w:t>.</w:t>
      </w:r>
      <w:r w:rsidR="009804CA" w:rsidRPr="00DD5159">
        <w:rPr>
          <w:rFonts w:ascii="Segoe UI" w:hAnsi="Segoe UI" w:cs="Segoe UI"/>
          <w:sz w:val="22"/>
          <w:szCs w:val="22"/>
        </w:rPr>
        <w:t xml:space="preserve"> </w:t>
      </w:r>
    </w:p>
    <w:p w14:paraId="1371FD2B" w14:textId="77777777" w:rsidR="009804CA" w:rsidRPr="00DD5159" w:rsidRDefault="009804CA" w:rsidP="009804CA">
      <w:pPr>
        <w:pStyle w:val="ListParagraph"/>
        <w:ind w:left="426"/>
        <w:jc w:val="both"/>
        <w:rPr>
          <w:rFonts w:ascii="Segoe UI" w:hAnsi="Segoe UI" w:cs="Segoe UI"/>
          <w:sz w:val="22"/>
          <w:szCs w:val="22"/>
        </w:rPr>
      </w:pPr>
    </w:p>
    <w:p w14:paraId="170A16F1" w14:textId="77777777" w:rsidR="009804CA" w:rsidRPr="00DD5159" w:rsidRDefault="009804CA" w:rsidP="009804CA">
      <w:pPr>
        <w:pStyle w:val="ListParagraph"/>
        <w:ind w:left="426"/>
        <w:jc w:val="both"/>
        <w:rPr>
          <w:rFonts w:ascii="Segoe UI" w:hAnsi="Segoe UI" w:cs="Segoe UI"/>
          <w:sz w:val="22"/>
          <w:szCs w:val="22"/>
        </w:rPr>
      </w:pPr>
      <w:r w:rsidRPr="00DD5159">
        <w:rPr>
          <w:rFonts w:ascii="Segoe UI" w:hAnsi="Segoe UI" w:cs="Segoe UI"/>
          <w:sz w:val="22"/>
          <w:szCs w:val="22"/>
        </w:rPr>
        <w:t xml:space="preserve">The number of referrals received </w:t>
      </w:r>
      <w:r w:rsidR="00092197" w:rsidRPr="00DD5159">
        <w:rPr>
          <w:rFonts w:ascii="Segoe UI" w:hAnsi="Segoe UI" w:cs="Segoe UI"/>
          <w:sz w:val="22"/>
          <w:szCs w:val="22"/>
        </w:rPr>
        <w:t xml:space="preserve">by CAMH services </w:t>
      </w:r>
      <w:r w:rsidR="00D60B04" w:rsidRPr="00DD5159">
        <w:rPr>
          <w:rFonts w:ascii="Segoe UI" w:hAnsi="Segoe UI" w:cs="Segoe UI"/>
          <w:sz w:val="22"/>
          <w:szCs w:val="22"/>
        </w:rPr>
        <w:t xml:space="preserve">has </w:t>
      </w:r>
      <w:r w:rsidR="0008281A" w:rsidRPr="00DD5159">
        <w:rPr>
          <w:rFonts w:ascii="Segoe UI" w:hAnsi="Segoe UI" w:cs="Segoe UI"/>
          <w:sz w:val="22"/>
          <w:szCs w:val="22"/>
        </w:rPr>
        <w:t>increased</w:t>
      </w:r>
      <w:r w:rsidR="00D60B04" w:rsidRPr="00DD5159">
        <w:rPr>
          <w:rFonts w:ascii="Segoe UI" w:hAnsi="Segoe UI" w:cs="Segoe UI"/>
          <w:sz w:val="22"/>
          <w:szCs w:val="22"/>
        </w:rPr>
        <w:t xml:space="preserve"> in </w:t>
      </w:r>
      <w:r w:rsidR="002F6285" w:rsidRPr="00DD5159">
        <w:rPr>
          <w:rFonts w:ascii="Segoe UI" w:hAnsi="Segoe UI" w:cs="Segoe UI"/>
          <w:sz w:val="22"/>
          <w:szCs w:val="22"/>
        </w:rPr>
        <w:t>Octo</w:t>
      </w:r>
      <w:r w:rsidR="0008281A" w:rsidRPr="00DD5159">
        <w:rPr>
          <w:rFonts w:ascii="Segoe UI" w:hAnsi="Segoe UI" w:cs="Segoe UI"/>
          <w:sz w:val="22"/>
          <w:szCs w:val="22"/>
        </w:rPr>
        <w:t>ber</w:t>
      </w:r>
      <w:r w:rsidR="00D60B04" w:rsidRPr="00DD5159">
        <w:rPr>
          <w:rFonts w:ascii="Segoe UI" w:hAnsi="Segoe UI" w:cs="Segoe UI"/>
          <w:sz w:val="22"/>
          <w:szCs w:val="22"/>
        </w:rPr>
        <w:t xml:space="preserve"> </w:t>
      </w:r>
      <w:r w:rsidR="001F2148" w:rsidRPr="00DD5159">
        <w:rPr>
          <w:rFonts w:ascii="Segoe UI" w:hAnsi="Segoe UI" w:cs="Segoe UI"/>
          <w:sz w:val="22"/>
          <w:szCs w:val="22"/>
        </w:rPr>
        <w:t>which is consistent with</w:t>
      </w:r>
      <w:r w:rsidR="00AE72AC" w:rsidRPr="00DD5159">
        <w:rPr>
          <w:rFonts w:ascii="Segoe UI" w:hAnsi="Segoe UI" w:cs="Segoe UI"/>
          <w:sz w:val="22"/>
          <w:szCs w:val="22"/>
        </w:rPr>
        <w:t xml:space="preserve"> seasonal variation</w:t>
      </w:r>
      <w:r w:rsidR="00D60B04" w:rsidRPr="00DD5159">
        <w:rPr>
          <w:rFonts w:ascii="Segoe UI" w:hAnsi="Segoe UI" w:cs="Segoe UI"/>
          <w:sz w:val="22"/>
          <w:szCs w:val="22"/>
        </w:rPr>
        <w:t>.</w:t>
      </w:r>
      <w:r w:rsidR="00092197" w:rsidRPr="00DD5159">
        <w:rPr>
          <w:rFonts w:ascii="Segoe UI" w:hAnsi="Segoe UI" w:cs="Segoe UI"/>
          <w:sz w:val="22"/>
          <w:szCs w:val="22"/>
        </w:rPr>
        <w:t xml:space="preserve"> </w:t>
      </w:r>
      <w:r w:rsidRPr="00DD5159">
        <w:rPr>
          <w:rFonts w:ascii="Segoe UI" w:hAnsi="Segoe UI" w:cs="Segoe UI"/>
          <w:sz w:val="22"/>
          <w:szCs w:val="22"/>
        </w:rPr>
        <w:t>Overall referrals to the Trust’s CAMH services across Oxon, Bucks</w:t>
      </w:r>
      <w:r w:rsidR="00B63BFE" w:rsidRPr="00DD5159">
        <w:rPr>
          <w:rFonts w:ascii="Segoe UI" w:hAnsi="Segoe UI" w:cs="Segoe UI"/>
          <w:sz w:val="22"/>
          <w:szCs w:val="22"/>
        </w:rPr>
        <w:t>,</w:t>
      </w:r>
      <w:r w:rsidRPr="00DD5159">
        <w:rPr>
          <w:rFonts w:ascii="Segoe UI" w:hAnsi="Segoe UI" w:cs="Segoe UI"/>
          <w:sz w:val="22"/>
          <w:szCs w:val="22"/>
        </w:rPr>
        <w:t xml:space="preserve"> and BSW were </w:t>
      </w:r>
      <w:r w:rsidR="0008281A" w:rsidRPr="00DD5159">
        <w:rPr>
          <w:rFonts w:ascii="Segoe UI" w:hAnsi="Segoe UI" w:cs="Segoe UI"/>
          <w:sz w:val="22"/>
          <w:szCs w:val="22"/>
        </w:rPr>
        <w:t>2</w:t>
      </w:r>
      <w:r w:rsidR="00632A28" w:rsidRPr="00DD5159">
        <w:rPr>
          <w:rFonts w:ascii="Segoe UI" w:hAnsi="Segoe UI" w:cs="Segoe UI"/>
          <w:sz w:val="22"/>
          <w:szCs w:val="22"/>
        </w:rPr>
        <w:t>624</w:t>
      </w:r>
      <w:r w:rsidR="00D60B04" w:rsidRPr="00DD5159">
        <w:rPr>
          <w:rFonts w:ascii="Segoe UI" w:hAnsi="Segoe UI" w:cs="Segoe UI"/>
          <w:sz w:val="22"/>
          <w:szCs w:val="22"/>
        </w:rPr>
        <w:t xml:space="preserve"> in </w:t>
      </w:r>
      <w:r w:rsidR="00632A28" w:rsidRPr="00DD5159">
        <w:rPr>
          <w:rFonts w:ascii="Segoe UI" w:hAnsi="Segoe UI" w:cs="Segoe UI"/>
          <w:sz w:val="22"/>
          <w:szCs w:val="22"/>
        </w:rPr>
        <w:t>Octo</w:t>
      </w:r>
      <w:r w:rsidR="0008281A" w:rsidRPr="00DD5159">
        <w:rPr>
          <w:rFonts w:ascii="Segoe UI" w:hAnsi="Segoe UI" w:cs="Segoe UI"/>
          <w:sz w:val="22"/>
          <w:szCs w:val="22"/>
        </w:rPr>
        <w:t>ber</w:t>
      </w:r>
      <w:r w:rsidR="00D60B04" w:rsidRPr="00DD5159">
        <w:rPr>
          <w:rFonts w:ascii="Segoe UI" w:hAnsi="Segoe UI" w:cs="Segoe UI"/>
          <w:sz w:val="22"/>
          <w:szCs w:val="22"/>
        </w:rPr>
        <w:t xml:space="preserve"> </w:t>
      </w:r>
      <w:r w:rsidR="00105532" w:rsidRPr="00DD5159">
        <w:rPr>
          <w:rFonts w:ascii="Segoe UI" w:hAnsi="Segoe UI" w:cs="Segoe UI"/>
          <w:sz w:val="22"/>
          <w:szCs w:val="22"/>
        </w:rPr>
        <w:t xml:space="preserve">which is </w:t>
      </w:r>
      <w:r w:rsidR="002F6285" w:rsidRPr="00DD5159">
        <w:rPr>
          <w:rFonts w:ascii="Segoe UI" w:hAnsi="Segoe UI" w:cs="Segoe UI"/>
          <w:sz w:val="22"/>
          <w:szCs w:val="22"/>
        </w:rPr>
        <w:t>9</w:t>
      </w:r>
      <w:r w:rsidR="00AE72AC" w:rsidRPr="00DD5159">
        <w:rPr>
          <w:rFonts w:ascii="Segoe UI" w:hAnsi="Segoe UI" w:cs="Segoe UI"/>
          <w:sz w:val="22"/>
          <w:szCs w:val="22"/>
        </w:rPr>
        <w:t xml:space="preserve">% </w:t>
      </w:r>
      <w:r w:rsidR="00034311" w:rsidRPr="00DD5159">
        <w:rPr>
          <w:rFonts w:ascii="Segoe UI" w:hAnsi="Segoe UI" w:cs="Segoe UI"/>
          <w:sz w:val="22"/>
          <w:szCs w:val="22"/>
        </w:rPr>
        <w:t>higher</w:t>
      </w:r>
      <w:r w:rsidR="00105532" w:rsidRPr="00DD5159">
        <w:rPr>
          <w:rFonts w:ascii="Segoe UI" w:hAnsi="Segoe UI" w:cs="Segoe UI"/>
          <w:sz w:val="22"/>
          <w:szCs w:val="22"/>
        </w:rPr>
        <w:t xml:space="preserve"> than this time last year. </w:t>
      </w:r>
      <w:r w:rsidR="00092197" w:rsidRPr="00DD5159">
        <w:rPr>
          <w:rFonts w:ascii="Segoe UI" w:hAnsi="Segoe UI" w:cs="Segoe UI"/>
          <w:sz w:val="22"/>
          <w:szCs w:val="22"/>
        </w:rPr>
        <w:t xml:space="preserve"> The average number of </w:t>
      </w:r>
      <w:r w:rsidR="00D60B04" w:rsidRPr="00DD5159">
        <w:rPr>
          <w:rFonts w:ascii="Segoe UI" w:hAnsi="Segoe UI" w:cs="Segoe UI"/>
          <w:sz w:val="22"/>
          <w:szCs w:val="22"/>
        </w:rPr>
        <w:t>monthly</w:t>
      </w:r>
      <w:r w:rsidR="00120A2A" w:rsidRPr="00DD5159">
        <w:rPr>
          <w:rFonts w:ascii="Segoe UI" w:hAnsi="Segoe UI" w:cs="Segoe UI"/>
          <w:sz w:val="22"/>
          <w:szCs w:val="22"/>
        </w:rPr>
        <w:t xml:space="preserve"> </w:t>
      </w:r>
      <w:r w:rsidR="00092197" w:rsidRPr="00DD5159">
        <w:rPr>
          <w:rFonts w:ascii="Segoe UI" w:hAnsi="Segoe UI" w:cs="Segoe UI"/>
          <w:sz w:val="22"/>
          <w:szCs w:val="22"/>
        </w:rPr>
        <w:t xml:space="preserve">referrals between </w:t>
      </w:r>
      <w:r w:rsidR="00632A28" w:rsidRPr="00DD5159">
        <w:rPr>
          <w:rFonts w:ascii="Segoe UI" w:hAnsi="Segoe UI" w:cs="Segoe UI"/>
          <w:sz w:val="22"/>
          <w:szCs w:val="22"/>
        </w:rPr>
        <w:t>November</w:t>
      </w:r>
      <w:r w:rsidR="00092197" w:rsidRPr="00DD5159">
        <w:rPr>
          <w:rFonts w:ascii="Segoe UI" w:hAnsi="Segoe UI" w:cs="Segoe UI"/>
          <w:sz w:val="22"/>
          <w:szCs w:val="22"/>
        </w:rPr>
        <w:t xml:space="preserve"> 2018 and </w:t>
      </w:r>
      <w:r w:rsidR="00632A28" w:rsidRPr="00DD5159">
        <w:rPr>
          <w:rFonts w:ascii="Segoe UI" w:hAnsi="Segoe UI" w:cs="Segoe UI"/>
          <w:sz w:val="22"/>
          <w:szCs w:val="22"/>
        </w:rPr>
        <w:t>October</w:t>
      </w:r>
      <w:r w:rsidR="00092197" w:rsidRPr="00DD5159">
        <w:rPr>
          <w:rFonts w:ascii="Segoe UI" w:hAnsi="Segoe UI" w:cs="Segoe UI"/>
          <w:sz w:val="22"/>
          <w:szCs w:val="22"/>
        </w:rPr>
        <w:t xml:space="preserve"> 2019 was</w:t>
      </w:r>
      <w:r w:rsidR="001F32AC" w:rsidRPr="00DD5159">
        <w:rPr>
          <w:rFonts w:ascii="Segoe UI" w:hAnsi="Segoe UI" w:cs="Segoe UI"/>
          <w:sz w:val="22"/>
          <w:szCs w:val="22"/>
        </w:rPr>
        <w:t xml:space="preserve"> </w:t>
      </w:r>
      <w:r w:rsidR="00D60B04" w:rsidRPr="00DD5159">
        <w:rPr>
          <w:rFonts w:ascii="Segoe UI" w:hAnsi="Segoe UI" w:cs="Segoe UI"/>
          <w:sz w:val="22"/>
          <w:szCs w:val="22"/>
        </w:rPr>
        <w:t>21</w:t>
      </w:r>
      <w:r w:rsidR="00632A28" w:rsidRPr="00DD5159">
        <w:rPr>
          <w:rFonts w:ascii="Segoe UI" w:hAnsi="Segoe UI" w:cs="Segoe UI"/>
          <w:sz w:val="22"/>
          <w:szCs w:val="22"/>
        </w:rPr>
        <w:t>98</w:t>
      </w:r>
      <w:r w:rsidR="00092197" w:rsidRPr="00DD5159">
        <w:rPr>
          <w:rFonts w:ascii="Segoe UI" w:hAnsi="Segoe UI" w:cs="Segoe UI"/>
          <w:sz w:val="22"/>
          <w:szCs w:val="22"/>
        </w:rPr>
        <w:t>.</w:t>
      </w:r>
      <w:r w:rsidR="00120A2A" w:rsidRPr="00DD5159">
        <w:rPr>
          <w:rFonts w:ascii="Segoe UI" w:hAnsi="Segoe UI" w:cs="Segoe UI"/>
          <w:sz w:val="22"/>
          <w:szCs w:val="22"/>
        </w:rPr>
        <w:t xml:space="preserve">  </w:t>
      </w:r>
    </w:p>
    <w:p w14:paraId="791ED77E" w14:textId="77777777" w:rsidR="009804CA" w:rsidRPr="00DD5159" w:rsidRDefault="009804CA" w:rsidP="009804CA">
      <w:pPr>
        <w:pStyle w:val="ListParagraph"/>
        <w:ind w:left="426"/>
        <w:jc w:val="both"/>
        <w:rPr>
          <w:rFonts w:ascii="Segoe UI" w:hAnsi="Segoe UI" w:cs="Segoe UI"/>
          <w:sz w:val="22"/>
          <w:szCs w:val="22"/>
        </w:rPr>
      </w:pPr>
    </w:p>
    <w:p w14:paraId="2F3DE29A" w14:textId="77777777" w:rsidR="009804CA" w:rsidRPr="00DD5159" w:rsidRDefault="009804CA" w:rsidP="009804CA">
      <w:pPr>
        <w:pStyle w:val="ListParagraph"/>
        <w:numPr>
          <w:ilvl w:val="0"/>
          <w:numId w:val="23"/>
        </w:numPr>
        <w:ind w:left="426"/>
        <w:jc w:val="both"/>
        <w:rPr>
          <w:rFonts w:ascii="Segoe UI" w:hAnsi="Segoe UI" w:cs="Segoe UI"/>
          <w:b/>
        </w:rPr>
      </w:pPr>
      <w:r w:rsidRPr="00DD5159">
        <w:rPr>
          <w:rFonts w:ascii="Segoe UI" w:hAnsi="Segoe UI" w:cs="Segoe UI"/>
          <w:b/>
        </w:rPr>
        <w:t>Access/Waits</w:t>
      </w:r>
    </w:p>
    <w:p w14:paraId="742B0216" w14:textId="77777777" w:rsidR="008A0CDA" w:rsidRPr="00DD5159" w:rsidRDefault="008A0CDA" w:rsidP="008A0CDA">
      <w:pPr>
        <w:rPr>
          <w:rFonts w:ascii="Segoe UI" w:hAnsi="Segoe UI" w:cs="Segoe UI"/>
          <w:b/>
          <w:bCs/>
        </w:rPr>
      </w:pPr>
    </w:p>
    <w:p w14:paraId="30FC0585" w14:textId="77777777" w:rsidR="008A0CDA" w:rsidRPr="00DD5159" w:rsidRDefault="008A0CDA" w:rsidP="003D4A0D">
      <w:pPr>
        <w:ind w:left="426"/>
        <w:jc w:val="both"/>
        <w:rPr>
          <w:rFonts w:ascii="Segoe UI" w:eastAsia="Calibri" w:hAnsi="Segoe UI" w:cs="Segoe UI"/>
          <w:sz w:val="22"/>
          <w:szCs w:val="22"/>
        </w:rPr>
      </w:pPr>
      <w:r w:rsidRPr="00DD5159">
        <w:rPr>
          <w:rFonts w:ascii="Segoe UI" w:hAnsi="Segoe UI" w:cs="Segoe UI"/>
          <w:b/>
          <w:bCs/>
          <w:sz w:val="22"/>
          <w:szCs w:val="22"/>
        </w:rPr>
        <w:t xml:space="preserve">Adult Mental Health </w:t>
      </w:r>
      <w:r w:rsidRPr="00DD5159">
        <w:rPr>
          <w:rFonts w:ascii="Segoe UI" w:hAnsi="Segoe UI" w:cs="Segoe UI"/>
          <w:sz w:val="22"/>
          <w:szCs w:val="22"/>
        </w:rPr>
        <w:t>–</w:t>
      </w:r>
      <w:r w:rsidRPr="00DD5159">
        <w:rPr>
          <w:rFonts w:ascii="Arial" w:hAnsi="Arial" w:cs="Arial"/>
        </w:rPr>
        <w:t xml:space="preserve"> </w:t>
      </w:r>
      <w:r w:rsidRPr="00DD5159">
        <w:rPr>
          <w:rFonts w:ascii="Segoe UI" w:hAnsi="Segoe UI" w:cs="Segoe UI"/>
          <w:sz w:val="22"/>
          <w:szCs w:val="22"/>
        </w:rPr>
        <w:t xml:space="preserve">A significant </w:t>
      </w:r>
      <w:r w:rsidR="00312FC7" w:rsidRPr="00DD5159">
        <w:rPr>
          <w:rFonts w:ascii="Segoe UI" w:hAnsi="Segoe UI" w:cs="Segoe UI"/>
          <w:sz w:val="22"/>
          <w:szCs w:val="22"/>
        </w:rPr>
        <w:t xml:space="preserve">long-term </w:t>
      </w:r>
      <w:r w:rsidRPr="00DD5159">
        <w:rPr>
          <w:rFonts w:ascii="Segoe UI" w:hAnsi="Segoe UI" w:cs="Segoe UI"/>
          <w:sz w:val="22"/>
          <w:szCs w:val="22"/>
        </w:rPr>
        <w:t xml:space="preserve">underfunding of mental health in </w:t>
      </w:r>
      <w:proofErr w:type="spellStart"/>
      <w:r w:rsidRPr="00DD5159">
        <w:rPr>
          <w:rFonts w:ascii="Segoe UI" w:hAnsi="Segoe UI" w:cs="Segoe UI"/>
          <w:sz w:val="22"/>
          <w:szCs w:val="22"/>
        </w:rPr>
        <w:t>Oxfordshire</w:t>
      </w:r>
      <w:proofErr w:type="spellEnd"/>
      <w:r w:rsidRPr="00DD5159">
        <w:rPr>
          <w:rFonts w:ascii="Segoe UI" w:hAnsi="Segoe UI" w:cs="Segoe UI"/>
          <w:sz w:val="22"/>
          <w:szCs w:val="22"/>
        </w:rPr>
        <w:t xml:space="preserve"> has resulted in considerable pressure building up for mental health services.  </w:t>
      </w:r>
      <w:r w:rsidRPr="00DD5159">
        <w:rPr>
          <w:rFonts w:ascii="Segoe UI" w:hAnsi="Segoe UI" w:cs="Segoe UI"/>
          <w:bCs/>
          <w:sz w:val="22"/>
          <w:szCs w:val="22"/>
        </w:rPr>
        <w:t>Although the waiting time</w:t>
      </w:r>
      <w:r w:rsidR="00312FC7" w:rsidRPr="00DD5159">
        <w:rPr>
          <w:rFonts w:ascii="Segoe UI" w:hAnsi="Segoe UI" w:cs="Segoe UI"/>
          <w:bCs/>
          <w:sz w:val="22"/>
          <w:szCs w:val="22"/>
        </w:rPr>
        <w:t xml:space="preserve"> target w</w:t>
      </w:r>
      <w:r w:rsidRPr="00DD5159">
        <w:rPr>
          <w:rFonts w:ascii="Segoe UI" w:hAnsi="Segoe UI" w:cs="Segoe UI"/>
          <w:bCs/>
          <w:sz w:val="22"/>
          <w:szCs w:val="22"/>
        </w:rPr>
        <w:t xml:space="preserve">as changed to 8 weeks, </w:t>
      </w:r>
      <w:r w:rsidRPr="00DD5159">
        <w:rPr>
          <w:rFonts w:ascii="Segoe UI" w:hAnsi="Segoe UI" w:cs="Segoe UI"/>
          <w:sz w:val="22"/>
          <w:szCs w:val="22"/>
        </w:rPr>
        <w:t xml:space="preserve">with the current levels of resources available, this position remains challenging. In </w:t>
      </w:r>
      <w:r w:rsidR="008A1B6C" w:rsidRPr="00DD5159">
        <w:rPr>
          <w:rFonts w:ascii="Segoe UI" w:hAnsi="Segoe UI" w:cs="Segoe UI"/>
          <w:sz w:val="22"/>
          <w:szCs w:val="22"/>
        </w:rPr>
        <w:t>October</w:t>
      </w:r>
      <w:r w:rsidRPr="00DD5159">
        <w:rPr>
          <w:rFonts w:ascii="Segoe UI" w:hAnsi="Segoe UI" w:cs="Segoe UI"/>
          <w:sz w:val="22"/>
          <w:szCs w:val="22"/>
        </w:rPr>
        <w:t xml:space="preserve"> </w:t>
      </w:r>
      <w:r w:rsidR="00D34F58" w:rsidRPr="00DD5159">
        <w:rPr>
          <w:rFonts w:ascii="Segoe UI" w:hAnsi="Segoe UI" w:cs="Segoe UI"/>
          <w:sz w:val="22"/>
          <w:szCs w:val="22"/>
        </w:rPr>
        <w:t>54</w:t>
      </w:r>
      <w:r w:rsidRPr="00DD5159">
        <w:rPr>
          <w:rFonts w:ascii="Segoe UI" w:hAnsi="Segoe UI" w:cs="Segoe UI"/>
          <w:sz w:val="22"/>
          <w:szCs w:val="22"/>
        </w:rPr>
        <w:t>% of routine referrals were seen within 28 days</w:t>
      </w:r>
      <w:r w:rsidR="009E7248">
        <w:rPr>
          <w:rFonts w:ascii="Segoe UI" w:hAnsi="Segoe UI" w:cs="Segoe UI"/>
          <w:sz w:val="22"/>
          <w:szCs w:val="22"/>
        </w:rPr>
        <w:t xml:space="preserve"> compared to 84% in Buckinghamshire.</w:t>
      </w:r>
    </w:p>
    <w:p w14:paraId="4F6C9F26" w14:textId="77777777" w:rsidR="008A0CDA" w:rsidRPr="00DD5159" w:rsidRDefault="008A0CDA" w:rsidP="009804CA">
      <w:pPr>
        <w:pStyle w:val="ListParagraph"/>
        <w:ind w:left="426"/>
        <w:jc w:val="both"/>
        <w:rPr>
          <w:rFonts w:ascii="Segoe UI" w:hAnsi="Segoe UI" w:cs="Segoe UI"/>
          <w:sz w:val="22"/>
          <w:szCs w:val="22"/>
        </w:rPr>
      </w:pPr>
    </w:p>
    <w:p w14:paraId="3843A4B4" w14:textId="77777777" w:rsidR="003B66F1" w:rsidRDefault="008A0CDA" w:rsidP="009804CA">
      <w:pPr>
        <w:pStyle w:val="ListParagraph"/>
        <w:ind w:left="426"/>
        <w:jc w:val="both"/>
        <w:rPr>
          <w:rFonts w:ascii="Segoe UI" w:hAnsi="Segoe UI" w:cs="Segoe UI"/>
          <w:sz w:val="22"/>
          <w:szCs w:val="22"/>
        </w:rPr>
      </w:pPr>
      <w:r w:rsidRPr="00DD5159">
        <w:rPr>
          <w:rFonts w:ascii="Segoe UI" w:hAnsi="Segoe UI" w:cs="Segoe UI"/>
          <w:b/>
          <w:sz w:val="22"/>
          <w:szCs w:val="22"/>
        </w:rPr>
        <w:t>Child &amp; Adolescent Mental Health (CAMH)</w:t>
      </w:r>
      <w:r w:rsidRPr="00DD5159">
        <w:rPr>
          <w:rFonts w:ascii="Segoe UI" w:hAnsi="Segoe UI" w:cs="Segoe UI"/>
          <w:sz w:val="22"/>
          <w:szCs w:val="22"/>
        </w:rPr>
        <w:t xml:space="preserve"> </w:t>
      </w:r>
      <w:r w:rsidR="00120A2A" w:rsidRPr="00DD5159">
        <w:rPr>
          <w:rFonts w:ascii="Segoe UI" w:hAnsi="Segoe UI" w:cs="Segoe UI"/>
          <w:sz w:val="22"/>
          <w:szCs w:val="22"/>
        </w:rPr>
        <w:t xml:space="preserve">During </w:t>
      </w:r>
      <w:r w:rsidR="00B13689" w:rsidRPr="00DD5159">
        <w:rPr>
          <w:rFonts w:ascii="Segoe UI" w:hAnsi="Segoe UI" w:cs="Segoe UI"/>
          <w:sz w:val="22"/>
          <w:szCs w:val="22"/>
        </w:rPr>
        <w:t>October</w:t>
      </w:r>
      <w:r w:rsidR="003B66F1">
        <w:rPr>
          <w:rFonts w:ascii="Segoe UI" w:hAnsi="Segoe UI" w:cs="Segoe UI"/>
          <w:sz w:val="22"/>
          <w:szCs w:val="22"/>
        </w:rPr>
        <w:t>,</w:t>
      </w:r>
      <w:r w:rsidR="00B63BFE" w:rsidRPr="00DD5159">
        <w:rPr>
          <w:rFonts w:ascii="Segoe UI" w:hAnsi="Segoe UI" w:cs="Segoe UI"/>
          <w:sz w:val="22"/>
          <w:szCs w:val="22"/>
        </w:rPr>
        <w:t xml:space="preserve"> a</w:t>
      </w:r>
      <w:r w:rsidR="009804CA" w:rsidRPr="00DD5159">
        <w:rPr>
          <w:rFonts w:ascii="Segoe UI" w:hAnsi="Segoe UI" w:cs="Segoe UI"/>
          <w:sz w:val="22"/>
          <w:szCs w:val="22"/>
        </w:rPr>
        <w:t xml:space="preserve">ccess to the </w:t>
      </w:r>
      <w:proofErr w:type="spellStart"/>
      <w:r w:rsidR="009804CA" w:rsidRPr="00DD5159">
        <w:rPr>
          <w:rFonts w:ascii="Segoe UI" w:hAnsi="Segoe UI" w:cs="Segoe UI"/>
          <w:sz w:val="22"/>
          <w:szCs w:val="22"/>
        </w:rPr>
        <w:t>Oxfordshire</w:t>
      </w:r>
      <w:proofErr w:type="spellEnd"/>
      <w:r w:rsidR="009804CA" w:rsidRPr="00DD5159">
        <w:rPr>
          <w:rFonts w:ascii="Segoe UI" w:hAnsi="Segoe UI" w:cs="Segoe UI"/>
          <w:sz w:val="22"/>
          <w:szCs w:val="22"/>
        </w:rPr>
        <w:t xml:space="preserve"> </w:t>
      </w:r>
      <w:r w:rsidR="00D34F58" w:rsidRPr="00DD5159">
        <w:rPr>
          <w:rFonts w:ascii="Segoe UI" w:hAnsi="Segoe UI" w:cs="Segoe UI"/>
          <w:sz w:val="22"/>
          <w:szCs w:val="22"/>
        </w:rPr>
        <w:t>C</w:t>
      </w:r>
      <w:r w:rsidR="009804CA" w:rsidRPr="00DD5159">
        <w:rPr>
          <w:rFonts w:ascii="Segoe UI" w:hAnsi="Segoe UI" w:cs="Segoe UI"/>
          <w:sz w:val="22"/>
          <w:szCs w:val="22"/>
        </w:rPr>
        <w:t>AMH service</w:t>
      </w:r>
      <w:r w:rsidR="00092197" w:rsidRPr="00DD5159">
        <w:rPr>
          <w:rFonts w:ascii="Segoe UI" w:hAnsi="Segoe UI" w:cs="Segoe UI"/>
          <w:sz w:val="22"/>
          <w:szCs w:val="22"/>
        </w:rPr>
        <w:t>s</w:t>
      </w:r>
      <w:r w:rsidR="009804CA" w:rsidRPr="00DD5159">
        <w:rPr>
          <w:rFonts w:ascii="Segoe UI" w:hAnsi="Segoe UI" w:cs="Segoe UI"/>
          <w:sz w:val="22"/>
          <w:szCs w:val="22"/>
        </w:rPr>
        <w:t xml:space="preserve"> continue</w:t>
      </w:r>
      <w:r w:rsidR="00120A2A" w:rsidRPr="00DD5159">
        <w:rPr>
          <w:rFonts w:ascii="Segoe UI" w:hAnsi="Segoe UI" w:cs="Segoe UI"/>
          <w:sz w:val="22"/>
          <w:szCs w:val="22"/>
        </w:rPr>
        <w:t>d</w:t>
      </w:r>
      <w:r w:rsidR="009804CA" w:rsidRPr="00DD5159">
        <w:rPr>
          <w:rFonts w:ascii="Segoe UI" w:hAnsi="Segoe UI" w:cs="Segoe UI"/>
          <w:sz w:val="22"/>
          <w:szCs w:val="22"/>
        </w:rPr>
        <w:t xml:space="preserve"> to be challenging, with only </w:t>
      </w:r>
      <w:r w:rsidR="00B13689" w:rsidRPr="00DD5159">
        <w:rPr>
          <w:rFonts w:ascii="Segoe UI" w:hAnsi="Segoe UI" w:cs="Segoe UI"/>
          <w:sz w:val="22"/>
          <w:szCs w:val="22"/>
        </w:rPr>
        <w:t>30</w:t>
      </w:r>
      <w:r w:rsidR="009804CA" w:rsidRPr="00DD5159">
        <w:rPr>
          <w:rFonts w:ascii="Segoe UI" w:hAnsi="Segoe UI" w:cs="Segoe UI"/>
          <w:sz w:val="22"/>
          <w:szCs w:val="22"/>
        </w:rPr>
        <w:t>%</w:t>
      </w:r>
      <w:r w:rsidR="00105532" w:rsidRPr="00DD5159">
        <w:rPr>
          <w:rFonts w:ascii="Segoe UI" w:hAnsi="Segoe UI" w:cs="Segoe UI"/>
          <w:sz w:val="22"/>
          <w:szCs w:val="22"/>
        </w:rPr>
        <w:t xml:space="preserve"> of patients</w:t>
      </w:r>
      <w:r w:rsidR="002A694A" w:rsidRPr="00DD5159">
        <w:rPr>
          <w:rFonts w:ascii="Segoe UI" w:hAnsi="Segoe UI" w:cs="Segoe UI"/>
          <w:sz w:val="22"/>
          <w:szCs w:val="22"/>
        </w:rPr>
        <w:t xml:space="preserve"> referred to routine pathways</w:t>
      </w:r>
      <w:r w:rsidR="00105532" w:rsidRPr="00DD5159">
        <w:rPr>
          <w:rFonts w:ascii="Segoe UI" w:hAnsi="Segoe UI" w:cs="Segoe UI"/>
          <w:sz w:val="22"/>
          <w:szCs w:val="22"/>
        </w:rPr>
        <w:t xml:space="preserve"> seen</w:t>
      </w:r>
      <w:r w:rsidR="009804CA" w:rsidRPr="00DD5159">
        <w:rPr>
          <w:rFonts w:ascii="Segoe UI" w:hAnsi="Segoe UI" w:cs="Segoe UI"/>
          <w:sz w:val="22"/>
          <w:szCs w:val="22"/>
        </w:rPr>
        <w:t xml:space="preserve"> </w:t>
      </w:r>
      <w:r w:rsidR="00446638" w:rsidRPr="00DD5159">
        <w:rPr>
          <w:rFonts w:ascii="Segoe UI" w:hAnsi="Segoe UI" w:cs="Segoe UI"/>
          <w:sz w:val="22"/>
          <w:szCs w:val="22"/>
        </w:rPr>
        <w:t>within 12 weeks</w:t>
      </w:r>
      <w:r w:rsidR="00D34F58" w:rsidRPr="00DD5159">
        <w:rPr>
          <w:rFonts w:ascii="Segoe UI" w:hAnsi="Segoe UI" w:cs="Segoe UI"/>
          <w:sz w:val="22"/>
          <w:szCs w:val="22"/>
        </w:rPr>
        <w:t xml:space="preserve">. this decrease in performance was expected as the longest waiters are now being </w:t>
      </w:r>
      <w:proofErr w:type="spellStart"/>
      <w:r w:rsidR="00D34F58" w:rsidRPr="00DD5159">
        <w:rPr>
          <w:rFonts w:ascii="Segoe UI" w:hAnsi="Segoe UI" w:cs="Segoe UI"/>
          <w:sz w:val="22"/>
          <w:szCs w:val="22"/>
        </w:rPr>
        <w:t>prioritised</w:t>
      </w:r>
      <w:proofErr w:type="spellEnd"/>
      <w:r w:rsidR="00D34F58" w:rsidRPr="00DD5159">
        <w:rPr>
          <w:rFonts w:ascii="Segoe UI" w:hAnsi="Segoe UI" w:cs="Segoe UI"/>
          <w:sz w:val="22"/>
          <w:szCs w:val="22"/>
        </w:rPr>
        <w:t xml:space="preserve"> as part of an improvement plan agreed with Commissioners.</w:t>
      </w:r>
      <w:r w:rsidR="003D4A0D">
        <w:rPr>
          <w:rFonts w:ascii="Segoe UI" w:hAnsi="Segoe UI" w:cs="Segoe UI"/>
          <w:sz w:val="22"/>
          <w:szCs w:val="22"/>
        </w:rPr>
        <w:t xml:space="preserve">  </w:t>
      </w:r>
    </w:p>
    <w:p w14:paraId="59266A17" w14:textId="77777777" w:rsidR="003B66F1" w:rsidRDefault="003B66F1" w:rsidP="009804CA">
      <w:pPr>
        <w:pStyle w:val="ListParagraph"/>
        <w:ind w:left="426"/>
        <w:jc w:val="both"/>
        <w:rPr>
          <w:rFonts w:ascii="Segoe UI" w:hAnsi="Segoe UI" w:cs="Segoe UI"/>
          <w:sz w:val="22"/>
          <w:szCs w:val="22"/>
        </w:rPr>
      </w:pPr>
    </w:p>
    <w:p w14:paraId="15225ADC" w14:textId="16125A7F" w:rsidR="00482C9D" w:rsidRDefault="003B66F1" w:rsidP="009804CA">
      <w:pPr>
        <w:pStyle w:val="ListParagraph"/>
        <w:ind w:left="426"/>
        <w:jc w:val="both"/>
        <w:rPr>
          <w:rFonts w:ascii="Segoe UI" w:hAnsi="Segoe UI" w:cs="Segoe UI"/>
          <w:sz w:val="22"/>
          <w:szCs w:val="22"/>
        </w:rPr>
      </w:pPr>
      <w:r w:rsidRPr="003B66F1">
        <w:rPr>
          <w:rFonts w:ascii="Segoe UI" w:hAnsi="Segoe UI" w:cs="Segoe UI"/>
          <w:sz w:val="22"/>
          <w:szCs w:val="22"/>
        </w:rPr>
        <w:t>Across Bath &amp; North East Somerset, Swindon and Wiltshire, 49% CAMH referrals were seen within 4 weeks.</w:t>
      </w:r>
    </w:p>
    <w:p w14:paraId="62046C88" w14:textId="77777777" w:rsidR="00482C9D" w:rsidRDefault="00482C9D" w:rsidP="009804CA">
      <w:pPr>
        <w:pStyle w:val="ListParagraph"/>
        <w:ind w:left="426"/>
        <w:jc w:val="both"/>
        <w:rPr>
          <w:rFonts w:ascii="Segoe UI" w:hAnsi="Segoe UI" w:cs="Segoe UI"/>
          <w:sz w:val="22"/>
          <w:szCs w:val="22"/>
        </w:rPr>
      </w:pPr>
    </w:p>
    <w:p w14:paraId="5EC4899A" w14:textId="1FAFD909" w:rsidR="001F2148" w:rsidRPr="00DD5159" w:rsidRDefault="00D34F58" w:rsidP="009804CA">
      <w:pPr>
        <w:pStyle w:val="ListParagraph"/>
        <w:ind w:left="426"/>
        <w:jc w:val="both"/>
        <w:rPr>
          <w:rFonts w:ascii="Segoe UI" w:hAnsi="Segoe UI" w:cs="Segoe UI"/>
          <w:sz w:val="22"/>
          <w:szCs w:val="22"/>
        </w:rPr>
      </w:pPr>
      <w:r w:rsidRPr="00DD5159">
        <w:rPr>
          <w:rFonts w:ascii="Segoe UI" w:hAnsi="Segoe UI" w:cs="Segoe UI"/>
          <w:sz w:val="22"/>
          <w:szCs w:val="22"/>
        </w:rPr>
        <w:t>During October access to the Buckinghamshire CAMH services improved with 91%</w:t>
      </w:r>
      <w:r w:rsidR="00092197" w:rsidRPr="00DD5159">
        <w:rPr>
          <w:rFonts w:ascii="Segoe UI" w:hAnsi="Segoe UI" w:cs="Segoe UI"/>
          <w:sz w:val="22"/>
          <w:szCs w:val="22"/>
        </w:rPr>
        <w:t xml:space="preserve"> </w:t>
      </w:r>
      <w:r w:rsidR="000459D5" w:rsidRPr="00DD5159">
        <w:rPr>
          <w:rFonts w:ascii="Segoe UI" w:hAnsi="Segoe UI" w:cs="Segoe UI"/>
          <w:sz w:val="22"/>
          <w:szCs w:val="22"/>
        </w:rPr>
        <w:t xml:space="preserve">of patients seen </w:t>
      </w:r>
      <w:r w:rsidR="00446638" w:rsidRPr="00DD5159">
        <w:rPr>
          <w:rFonts w:ascii="Segoe UI" w:hAnsi="Segoe UI" w:cs="Segoe UI"/>
          <w:sz w:val="22"/>
          <w:szCs w:val="22"/>
        </w:rPr>
        <w:t>within 4 weeks</w:t>
      </w:r>
      <w:r w:rsidRPr="00DD5159">
        <w:rPr>
          <w:rFonts w:ascii="Segoe UI" w:hAnsi="Segoe UI" w:cs="Segoe UI"/>
          <w:sz w:val="22"/>
          <w:szCs w:val="22"/>
        </w:rPr>
        <w:t>.</w:t>
      </w:r>
      <w:r w:rsidR="00446638" w:rsidRPr="00DD5159">
        <w:rPr>
          <w:rFonts w:ascii="Segoe UI" w:hAnsi="Segoe UI" w:cs="Segoe UI"/>
          <w:sz w:val="22"/>
          <w:szCs w:val="22"/>
        </w:rPr>
        <w:t xml:space="preserve"> </w:t>
      </w:r>
      <w:r w:rsidR="00482C9D">
        <w:rPr>
          <w:rFonts w:ascii="Segoe UI" w:hAnsi="Segoe UI" w:cs="Segoe UI"/>
          <w:sz w:val="22"/>
          <w:szCs w:val="22"/>
        </w:rPr>
        <w:t xml:space="preserve"> </w:t>
      </w:r>
    </w:p>
    <w:p w14:paraId="34DFBDE0" w14:textId="77777777" w:rsidR="00D34F58" w:rsidRPr="00DD5159" w:rsidRDefault="00D34F58" w:rsidP="009804CA">
      <w:pPr>
        <w:pStyle w:val="ListParagraph"/>
        <w:ind w:left="426"/>
        <w:jc w:val="both"/>
        <w:rPr>
          <w:rFonts w:ascii="Segoe UI" w:hAnsi="Segoe UI" w:cs="Segoe UI"/>
          <w:sz w:val="22"/>
          <w:szCs w:val="22"/>
        </w:rPr>
      </w:pPr>
    </w:p>
    <w:p w14:paraId="0684078E" w14:textId="77777777" w:rsidR="009804CA" w:rsidRPr="00DD5159" w:rsidRDefault="009804CA" w:rsidP="009804CA">
      <w:pPr>
        <w:pStyle w:val="ListParagraph"/>
        <w:numPr>
          <w:ilvl w:val="0"/>
          <w:numId w:val="23"/>
        </w:numPr>
        <w:ind w:left="426"/>
        <w:jc w:val="both"/>
        <w:rPr>
          <w:rFonts w:ascii="Segoe UI" w:hAnsi="Segoe UI" w:cs="Segoe UI"/>
          <w:b/>
        </w:rPr>
      </w:pPr>
      <w:r w:rsidRPr="00DD5159">
        <w:rPr>
          <w:rFonts w:ascii="Segoe UI" w:hAnsi="Segoe UI" w:cs="Segoe UI"/>
          <w:b/>
        </w:rPr>
        <w:t>Delayed Transfers of Care (DTOC)</w:t>
      </w:r>
    </w:p>
    <w:p w14:paraId="12228983" w14:textId="77777777" w:rsidR="00761A13" w:rsidRPr="00DD5159" w:rsidRDefault="000459D5" w:rsidP="00761A13">
      <w:pPr>
        <w:pStyle w:val="ListParagraph"/>
        <w:ind w:left="426"/>
        <w:jc w:val="both"/>
        <w:rPr>
          <w:rFonts w:ascii="Segoe UI" w:hAnsi="Segoe UI" w:cs="Segoe UI"/>
          <w:sz w:val="22"/>
          <w:szCs w:val="22"/>
        </w:rPr>
      </w:pPr>
      <w:r w:rsidRPr="00DD5159">
        <w:rPr>
          <w:rFonts w:ascii="Segoe UI" w:hAnsi="Segoe UI" w:cs="Segoe UI"/>
          <w:sz w:val="22"/>
          <w:szCs w:val="22"/>
        </w:rPr>
        <w:t xml:space="preserve">In </w:t>
      </w:r>
      <w:r w:rsidR="006D471D" w:rsidRPr="00DD5159">
        <w:rPr>
          <w:rFonts w:ascii="Segoe UI" w:hAnsi="Segoe UI" w:cs="Segoe UI"/>
          <w:sz w:val="22"/>
          <w:szCs w:val="22"/>
        </w:rPr>
        <w:t>Octo</w:t>
      </w:r>
      <w:r w:rsidR="00386069" w:rsidRPr="00DD5159">
        <w:rPr>
          <w:rFonts w:ascii="Segoe UI" w:hAnsi="Segoe UI" w:cs="Segoe UI"/>
          <w:sz w:val="22"/>
          <w:szCs w:val="22"/>
        </w:rPr>
        <w:t>ber</w:t>
      </w:r>
      <w:r w:rsidRPr="00DD5159">
        <w:rPr>
          <w:rFonts w:ascii="Segoe UI" w:hAnsi="Segoe UI" w:cs="Segoe UI"/>
          <w:sz w:val="22"/>
          <w:szCs w:val="22"/>
        </w:rPr>
        <w:t xml:space="preserve">, bed days lost to DTOC in mental health </w:t>
      </w:r>
      <w:r w:rsidR="003D4A0D">
        <w:rPr>
          <w:rFonts w:ascii="Segoe UI" w:hAnsi="Segoe UI" w:cs="Segoe UI"/>
          <w:sz w:val="22"/>
          <w:szCs w:val="22"/>
        </w:rPr>
        <w:t>has reduced from 214 last month to 207 this month</w:t>
      </w:r>
      <w:r w:rsidR="00E9528B" w:rsidRPr="00DD5159">
        <w:rPr>
          <w:rFonts w:ascii="Segoe UI" w:hAnsi="Segoe UI" w:cs="Segoe UI"/>
          <w:sz w:val="22"/>
          <w:szCs w:val="22"/>
        </w:rPr>
        <w:t xml:space="preserve"> </w:t>
      </w:r>
      <w:r w:rsidRPr="00DD5159">
        <w:rPr>
          <w:rFonts w:ascii="Segoe UI" w:hAnsi="Segoe UI" w:cs="Segoe UI"/>
          <w:sz w:val="22"/>
          <w:szCs w:val="22"/>
        </w:rPr>
        <w:t xml:space="preserve">(equivalent to </w:t>
      </w:r>
      <w:r w:rsidR="00D34F58" w:rsidRPr="00DD5159">
        <w:rPr>
          <w:rFonts w:ascii="Segoe UI" w:hAnsi="Segoe UI" w:cs="Segoe UI"/>
          <w:sz w:val="22"/>
          <w:szCs w:val="22"/>
        </w:rPr>
        <w:t>7</w:t>
      </w:r>
      <w:r w:rsidR="00761A13" w:rsidRPr="00DD5159">
        <w:rPr>
          <w:rFonts w:ascii="Segoe UI" w:hAnsi="Segoe UI" w:cs="Segoe UI"/>
          <w:sz w:val="22"/>
          <w:szCs w:val="22"/>
        </w:rPr>
        <w:t xml:space="preserve"> beds)</w:t>
      </w:r>
      <w:r w:rsidR="003D4A0D">
        <w:rPr>
          <w:rFonts w:ascii="Segoe UI" w:hAnsi="Segoe UI" w:cs="Segoe UI"/>
          <w:sz w:val="22"/>
          <w:szCs w:val="22"/>
        </w:rPr>
        <w:t xml:space="preserve">, however, this is still above the </w:t>
      </w:r>
      <w:r w:rsidRPr="00DD5159">
        <w:rPr>
          <w:rFonts w:ascii="Segoe UI" w:hAnsi="Segoe UI" w:cs="Segoe UI"/>
          <w:sz w:val="22"/>
          <w:szCs w:val="22"/>
        </w:rPr>
        <w:t>rolling 12</w:t>
      </w:r>
      <w:r w:rsidR="009E7248">
        <w:rPr>
          <w:rFonts w:ascii="Segoe UI" w:hAnsi="Segoe UI" w:cs="Segoe UI"/>
          <w:sz w:val="22"/>
          <w:szCs w:val="22"/>
        </w:rPr>
        <w:t>-</w:t>
      </w:r>
      <w:r w:rsidRPr="00DD5159">
        <w:rPr>
          <w:rFonts w:ascii="Segoe UI" w:hAnsi="Segoe UI" w:cs="Segoe UI"/>
          <w:sz w:val="22"/>
          <w:szCs w:val="22"/>
        </w:rPr>
        <w:t xml:space="preserve">month average of </w:t>
      </w:r>
      <w:r w:rsidR="00F83B22" w:rsidRPr="00DD5159">
        <w:rPr>
          <w:rFonts w:ascii="Segoe UI" w:hAnsi="Segoe UI" w:cs="Segoe UI"/>
          <w:sz w:val="22"/>
          <w:szCs w:val="22"/>
        </w:rPr>
        <w:t>1</w:t>
      </w:r>
      <w:r w:rsidR="00386069" w:rsidRPr="00DD5159">
        <w:rPr>
          <w:rFonts w:ascii="Segoe UI" w:hAnsi="Segoe UI" w:cs="Segoe UI"/>
          <w:sz w:val="22"/>
          <w:szCs w:val="22"/>
        </w:rPr>
        <w:t>8</w:t>
      </w:r>
      <w:r w:rsidR="006D471D" w:rsidRPr="00DD5159">
        <w:rPr>
          <w:rFonts w:ascii="Segoe UI" w:hAnsi="Segoe UI" w:cs="Segoe UI"/>
          <w:sz w:val="22"/>
          <w:szCs w:val="22"/>
        </w:rPr>
        <w:t>3</w:t>
      </w:r>
      <w:r w:rsidR="00761A13" w:rsidRPr="00DD5159">
        <w:rPr>
          <w:rFonts w:ascii="Segoe UI" w:hAnsi="Segoe UI" w:cs="Segoe UI"/>
          <w:sz w:val="22"/>
          <w:szCs w:val="22"/>
        </w:rPr>
        <w:t xml:space="preserve"> </w:t>
      </w:r>
      <w:r w:rsidR="002A694A" w:rsidRPr="00DD5159">
        <w:rPr>
          <w:rFonts w:ascii="Segoe UI" w:hAnsi="Segoe UI" w:cs="Segoe UI"/>
          <w:sz w:val="22"/>
          <w:szCs w:val="22"/>
        </w:rPr>
        <w:t>(</w:t>
      </w:r>
      <w:r w:rsidR="00D34F58" w:rsidRPr="00DD5159">
        <w:rPr>
          <w:rFonts w:ascii="Segoe UI" w:hAnsi="Segoe UI" w:cs="Segoe UI"/>
          <w:sz w:val="22"/>
          <w:szCs w:val="22"/>
        </w:rPr>
        <w:t>6</w:t>
      </w:r>
      <w:r w:rsidR="00761A13" w:rsidRPr="00DD5159">
        <w:rPr>
          <w:rFonts w:ascii="Segoe UI" w:hAnsi="Segoe UI" w:cs="Segoe UI"/>
          <w:sz w:val="22"/>
          <w:szCs w:val="22"/>
        </w:rPr>
        <w:t xml:space="preserve"> beds</w:t>
      </w:r>
      <w:r w:rsidR="002A694A" w:rsidRPr="00DD5159">
        <w:rPr>
          <w:rFonts w:ascii="Segoe UI" w:hAnsi="Segoe UI" w:cs="Segoe UI"/>
          <w:sz w:val="22"/>
          <w:szCs w:val="22"/>
        </w:rPr>
        <w:t>)</w:t>
      </w:r>
      <w:r w:rsidR="00761A13" w:rsidRPr="00DD5159">
        <w:rPr>
          <w:rFonts w:ascii="Segoe UI" w:hAnsi="Segoe UI" w:cs="Segoe UI"/>
          <w:sz w:val="22"/>
          <w:szCs w:val="22"/>
        </w:rPr>
        <w:t xml:space="preserve">.    Community DTOC </w:t>
      </w:r>
      <w:r w:rsidR="006D471D" w:rsidRPr="00DD5159">
        <w:rPr>
          <w:rFonts w:ascii="Segoe UI" w:hAnsi="Segoe UI" w:cs="Segoe UI"/>
          <w:sz w:val="22"/>
          <w:szCs w:val="22"/>
        </w:rPr>
        <w:t>increased</w:t>
      </w:r>
      <w:r w:rsidR="00761A13" w:rsidRPr="00DD5159">
        <w:rPr>
          <w:rFonts w:ascii="Segoe UI" w:hAnsi="Segoe UI" w:cs="Segoe UI"/>
          <w:sz w:val="22"/>
          <w:szCs w:val="22"/>
        </w:rPr>
        <w:t xml:space="preserve"> by </w:t>
      </w:r>
      <w:r w:rsidR="006D471D" w:rsidRPr="00DD5159">
        <w:rPr>
          <w:rFonts w:ascii="Segoe UI" w:hAnsi="Segoe UI" w:cs="Segoe UI"/>
          <w:sz w:val="22"/>
          <w:szCs w:val="22"/>
        </w:rPr>
        <w:t>235</w:t>
      </w:r>
      <w:r w:rsidR="00761A13" w:rsidRPr="00DD5159">
        <w:rPr>
          <w:rFonts w:ascii="Segoe UI" w:hAnsi="Segoe UI" w:cs="Segoe UI"/>
          <w:sz w:val="22"/>
          <w:szCs w:val="22"/>
        </w:rPr>
        <w:t xml:space="preserve"> days in </w:t>
      </w:r>
      <w:r w:rsidR="006D471D" w:rsidRPr="00DD5159">
        <w:rPr>
          <w:rFonts w:ascii="Segoe UI" w:hAnsi="Segoe UI" w:cs="Segoe UI"/>
          <w:sz w:val="22"/>
          <w:szCs w:val="22"/>
        </w:rPr>
        <w:t>Octo</w:t>
      </w:r>
      <w:r w:rsidR="00386069" w:rsidRPr="00DD5159">
        <w:rPr>
          <w:rFonts w:ascii="Segoe UI" w:hAnsi="Segoe UI" w:cs="Segoe UI"/>
          <w:sz w:val="22"/>
          <w:szCs w:val="22"/>
        </w:rPr>
        <w:t>ber t</w:t>
      </w:r>
      <w:r w:rsidR="00761A13" w:rsidRPr="00DD5159">
        <w:rPr>
          <w:rFonts w:ascii="Segoe UI" w:hAnsi="Segoe UI" w:cs="Segoe UI"/>
          <w:sz w:val="22"/>
          <w:szCs w:val="22"/>
        </w:rPr>
        <w:t xml:space="preserve">o </w:t>
      </w:r>
      <w:r w:rsidR="00386069" w:rsidRPr="00DD5159">
        <w:rPr>
          <w:rFonts w:ascii="Segoe UI" w:hAnsi="Segoe UI" w:cs="Segoe UI"/>
          <w:sz w:val="22"/>
          <w:szCs w:val="22"/>
        </w:rPr>
        <w:t>1</w:t>
      </w:r>
      <w:r w:rsidR="006D471D" w:rsidRPr="00DD5159">
        <w:rPr>
          <w:rFonts w:ascii="Segoe UI" w:hAnsi="Segoe UI" w:cs="Segoe UI"/>
          <w:sz w:val="22"/>
          <w:szCs w:val="22"/>
        </w:rPr>
        <w:t>317</w:t>
      </w:r>
      <w:r w:rsidR="00761A13" w:rsidRPr="00DD5159">
        <w:rPr>
          <w:rFonts w:ascii="Segoe UI" w:hAnsi="Segoe UI" w:cs="Segoe UI"/>
          <w:sz w:val="22"/>
          <w:szCs w:val="22"/>
        </w:rPr>
        <w:t xml:space="preserve"> bed days lost (equivalent to </w:t>
      </w:r>
      <w:r w:rsidR="00D34F58" w:rsidRPr="00DD5159">
        <w:rPr>
          <w:rFonts w:ascii="Segoe UI" w:hAnsi="Segoe UI" w:cs="Segoe UI"/>
          <w:sz w:val="22"/>
          <w:szCs w:val="22"/>
        </w:rPr>
        <w:t xml:space="preserve">43 </w:t>
      </w:r>
      <w:r w:rsidR="00761A13" w:rsidRPr="00DD5159">
        <w:rPr>
          <w:rFonts w:ascii="Segoe UI" w:hAnsi="Segoe UI" w:cs="Segoe UI"/>
          <w:sz w:val="22"/>
          <w:szCs w:val="22"/>
        </w:rPr>
        <w:t>beds), with a rolling 12</w:t>
      </w:r>
      <w:r w:rsidR="009E7248">
        <w:rPr>
          <w:rFonts w:ascii="Segoe UI" w:hAnsi="Segoe UI" w:cs="Segoe UI"/>
          <w:sz w:val="22"/>
          <w:szCs w:val="22"/>
        </w:rPr>
        <w:t>-</w:t>
      </w:r>
      <w:r w:rsidR="00761A13" w:rsidRPr="00DD5159">
        <w:rPr>
          <w:rFonts w:ascii="Segoe UI" w:hAnsi="Segoe UI" w:cs="Segoe UI"/>
          <w:sz w:val="22"/>
          <w:szCs w:val="22"/>
        </w:rPr>
        <w:t xml:space="preserve">month average of </w:t>
      </w:r>
      <w:r w:rsidR="00E9528B" w:rsidRPr="00DD5159">
        <w:rPr>
          <w:rFonts w:ascii="Segoe UI" w:hAnsi="Segoe UI" w:cs="Segoe UI"/>
          <w:sz w:val="22"/>
          <w:szCs w:val="22"/>
        </w:rPr>
        <w:t>1</w:t>
      </w:r>
      <w:r w:rsidR="005C3840" w:rsidRPr="00DD5159">
        <w:rPr>
          <w:rFonts w:ascii="Segoe UI" w:hAnsi="Segoe UI" w:cs="Segoe UI"/>
          <w:sz w:val="22"/>
          <w:szCs w:val="22"/>
        </w:rPr>
        <w:t>304</w:t>
      </w:r>
      <w:r w:rsidR="00761A13" w:rsidRPr="00DD5159">
        <w:rPr>
          <w:rFonts w:ascii="Segoe UI" w:hAnsi="Segoe UI" w:cs="Segoe UI"/>
          <w:sz w:val="22"/>
          <w:szCs w:val="22"/>
        </w:rPr>
        <w:t xml:space="preserve"> days per month </w:t>
      </w:r>
      <w:r w:rsidR="002A694A" w:rsidRPr="00DD5159">
        <w:rPr>
          <w:rFonts w:ascii="Segoe UI" w:hAnsi="Segoe UI" w:cs="Segoe UI"/>
          <w:sz w:val="22"/>
          <w:szCs w:val="22"/>
        </w:rPr>
        <w:t>(</w:t>
      </w:r>
      <w:r w:rsidR="00D34F58" w:rsidRPr="00DD5159">
        <w:rPr>
          <w:rFonts w:ascii="Segoe UI" w:hAnsi="Segoe UI" w:cs="Segoe UI"/>
          <w:sz w:val="22"/>
          <w:szCs w:val="22"/>
        </w:rPr>
        <w:t>42</w:t>
      </w:r>
      <w:r w:rsidR="00761A13" w:rsidRPr="00DD5159">
        <w:rPr>
          <w:rFonts w:ascii="Segoe UI" w:hAnsi="Segoe UI" w:cs="Segoe UI"/>
          <w:sz w:val="22"/>
          <w:szCs w:val="22"/>
        </w:rPr>
        <w:t xml:space="preserve"> beds</w:t>
      </w:r>
      <w:r w:rsidR="002A694A" w:rsidRPr="00DD5159">
        <w:rPr>
          <w:rFonts w:ascii="Segoe UI" w:hAnsi="Segoe UI" w:cs="Segoe UI"/>
          <w:sz w:val="22"/>
          <w:szCs w:val="22"/>
        </w:rPr>
        <w:t>)</w:t>
      </w:r>
      <w:r w:rsidR="00761A13" w:rsidRPr="00DD5159">
        <w:rPr>
          <w:rFonts w:ascii="Segoe UI" w:hAnsi="Segoe UI" w:cs="Segoe UI"/>
          <w:sz w:val="22"/>
          <w:szCs w:val="22"/>
        </w:rPr>
        <w:t>.</w:t>
      </w:r>
    </w:p>
    <w:p w14:paraId="52021F89" w14:textId="77777777" w:rsidR="006662C3" w:rsidRPr="00DD5159" w:rsidRDefault="00761A13" w:rsidP="009804CA">
      <w:pPr>
        <w:pStyle w:val="ListParagraph"/>
        <w:ind w:left="426"/>
        <w:jc w:val="both"/>
        <w:rPr>
          <w:rFonts w:ascii="Segoe UI" w:hAnsi="Segoe UI" w:cs="Segoe UI"/>
          <w:sz w:val="22"/>
          <w:szCs w:val="22"/>
        </w:rPr>
      </w:pPr>
      <w:r w:rsidRPr="00DD5159">
        <w:rPr>
          <w:rFonts w:ascii="Segoe UI" w:hAnsi="Segoe UI" w:cs="Segoe UI"/>
          <w:sz w:val="22"/>
          <w:szCs w:val="22"/>
        </w:rPr>
        <w:t xml:space="preserve"> </w:t>
      </w:r>
    </w:p>
    <w:p w14:paraId="3680A668" w14:textId="77777777" w:rsidR="00D17EDF" w:rsidRPr="00DD5159" w:rsidRDefault="006662C3" w:rsidP="004C22CE">
      <w:pPr>
        <w:pStyle w:val="ListParagraph"/>
        <w:numPr>
          <w:ilvl w:val="0"/>
          <w:numId w:val="23"/>
        </w:numPr>
        <w:ind w:left="426" w:hanging="292"/>
        <w:jc w:val="both"/>
        <w:rPr>
          <w:rFonts w:ascii="Segoe UI" w:hAnsi="Segoe UI" w:cs="Segoe UI"/>
          <w:b/>
        </w:rPr>
      </w:pPr>
      <w:r w:rsidRPr="00DD5159">
        <w:rPr>
          <w:rFonts w:ascii="Segoe UI" w:hAnsi="Segoe UI" w:cs="Segoe UI"/>
          <w:b/>
        </w:rPr>
        <w:t>Out of Area Placements (OAPs)</w:t>
      </w:r>
      <w:r w:rsidR="00D17EDF" w:rsidRPr="00DD5159">
        <w:rPr>
          <w:rFonts w:ascii="Segoe UI" w:hAnsi="Segoe UI" w:cs="Segoe UI"/>
        </w:rPr>
        <w:t xml:space="preserve"> </w:t>
      </w:r>
    </w:p>
    <w:p w14:paraId="007CC33E" w14:textId="31C0D7C9" w:rsidR="00761A13" w:rsidRDefault="003D4A0D" w:rsidP="00761A13">
      <w:pPr>
        <w:ind w:left="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11</w:t>
      </w:r>
      <w:r w:rsidR="00991DE2" w:rsidRPr="00DD5159">
        <w:rPr>
          <w:rFonts w:ascii="Segoe UI" w:hAnsi="Segoe UI" w:cs="Segoe UI"/>
          <w:sz w:val="22"/>
          <w:szCs w:val="22"/>
        </w:rPr>
        <w:t xml:space="preserve"> new</w:t>
      </w:r>
      <w:r w:rsidR="00761A13" w:rsidRPr="00DD5159">
        <w:rPr>
          <w:rFonts w:ascii="Segoe UI" w:hAnsi="Segoe UI" w:cs="Segoe UI"/>
          <w:sz w:val="22"/>
          <w:szCs w:val="22"/>
        </w:rPr>
        <w:t xml:space="preserve"> patients were placed out of area in </w:t>
      </w:r>
      <w:r>
        <w:rPr>
          <w:rFonts w:ascii="Segoe UI" w:hAnsi="Segoe UI" w:cs="Segoe UI"/>
          <w:sz w:val="22"/>
          <w:szCs w:val="22"/>
        </w:rPr>
        <w:t>October (6 in Oxon and 5 in Bucks)</w:t>
      </w:r>
      <w:r w:rsidR="00761A13" w:rsidRPr="00DD5159">
        <w:rPr>
          <w:rFonts w:ascii="Segoe UI" w:hAnsi="Segoe UI" w:cs="Segoe UI"/>
          <w:sz w:val="22"/>
          <w:szCs w:val="22"/>
        </w:rPr>
        <w:t xml:space="preserve">.  </w:t>
      </w:r>
      <w:r w:rsidR="00EE0DA6" w:rsidRPr="00DD5159">
        <w:rPr>
          <w:rFonts w:ascii="Segoe UI" w:hAnsi="Segoe UI" w:cs="Segoe UI"/>
          <w:sz w:val="22"/>
          <w:szCs w:val="22"/>
        </w:rPr>
        <w:t>13</w:t>
      </w:r>
      <w:r w:rsidR="00761A13" w:rsidRPr="00DD5159">
        <w:rPr>
          <w:rFonts w:ascii="Segoe UI" w:hAnsi="Segoe UI" w:cs="Segoe UI"/>
          <w:sz w:val="22"/>
          <w:szCs w:val="22"/>
        </w:rPr>
        <w:t xml:space="preserve"> patients in total </w:t>
      </w:r>
      <w:r w:rsidR="00991DE2" w:rsidRPr="00DD5159">
        <w:rPr>
          <w:rFonts w:ascii="Segoe UI" w:hAnsi="Segoe UI" w:cs="Segoe UI"/>
          <w:sz w:val="22"/>
          <w:szCs w:val="22"/>
        </w:rPr>
        <w:t>were</w:t>
      </w:r>
      <w:r w:rsidR="002A694A" w:rsidRPr="00DD5159">
        <w:rPr>
          <w:rFonts w:ascii="Segoe UI" w:hAnsi="Segoe UI" w:cs="Segoe UI"/>
          <w:sz w:val="22"/>
          <w:szCs w:val="22"/>
        </w:rPr>
        <w:t xml:space="preserve"> in</w:t>
      </w:r>
      <w:r w:rsidR="00991DE2" w:rsidRPr="00DD5159">
        <w:rPr>
          <w:rFonts w:ascii="Segoe UI" w:hAnsi="Segoe UI" w:cs="Segoe UI"/>
          <w:sz w:val="22"/>
          <w:szCs w:val="22"/>
        </w:rPr>
        <w:t xml:space="preserve"> </w:t>
      </w:r>
      <w:r w:rsidR="00761A13" w:rsidRPr="00DD5159">
        <w:rPr>
          <w:rFonts w:ascii="Segoe UI" w:hAnsi="Segoe UI" w:cs="Segoe UI"/>
          <w:sz w:val="22"/>
          <w:szCs w:val="22"/>
        </w:rPr>
        <w:t xml:space="preserve">out of area placements </w:t>
      </w:r>
      <w:r w:rsidR="00991DE2" w:rsidRPr="00DD5159">
        <w:rPr>
          <w:rFonts w:ascii="Segoe UI" w:hAnsi="Segoe UI" w:cs="Segoe UI"/>
          <w:sz w:val="22"/>
          <w:szCs w:val="22"/>
        </w:rPr>
        <w:t>during the</w:t>
      </w:r>
      <w:r w:rsidR="00761A13" w:rsidRPr="00DD5159">
        <w:rPr>
          <w:rFonts w:ascii="Segoe UI" w:hAnsi="Segoe UI" w:cs="Segoe UI"/>
          <w:sz w:val="22"/>
          <w:szCs w:val="22"/>
        </w:rPr>
        <w:t xml:space="preserve"> month </w:t>
      </w:r>
      <w:proofErr w:type="spellStart"/>
      <w:r w:rsidR="00761A13" w:rsidRPr="00DD5159">
        <w:rPr>
          <w:rFonts w:ascii="Segoe UI" w:hAnsi="Segoe UI" w:cs="Segoe UI"/>
          <w:sz w:val="22"/>
          <w:szCs w:val="22"/>
        </w:rPr>
        <w:t>utilising</w:t>
      </w:r>
      <w:proofErr w:type="spellEnd"/>
      <w:r w:rsidR="00761A13" w:rsidRPr="00DD5159">
        <w:rPr>
          <w:rFonts w:ascii="Segoe UI" w:hAnsi="Segoe UI" w:cs="Segoe UI"/>
          <w:sz w:val="22"/>
          <w:szCs w:val="22"/>
        </w:rPr>
        <w:t xml:space="preserve"> a total of </w:t>
      </w:r>
      <w:r w:rsidR="00EE0DA6" w:rsidRPr="00DD5159">
        <w:rPr>
          <w:rFonts w:ascii="Segoe UI" w:hAnsi="Segoe UI" w:cs="Segoe UI"/>
          <w:sz w:val="22"/>
          <w:szCs w:val="22"/>
        </w:rPr>
        <w:t>80</w:t>
      </w:r>
      <w:r w:rsidR="00761A13" w:rsidRPr="00DD5159">
        <w:rPr>
          <w:rFonts w:ascii="Segoe UI" w:hAnsi="Segoe UI" w:cs="Segoe UI"/>
          <w:sz w:val="22"/>
          <w:szCs w:val="22"/>
        </w:rPr>
        <w:t xml:space="preserve"> bed days in the month.  The distance from patients’ home to placements ranged from </w:t>
      </w:r>
      <w:r w:rsidR="00EE0DA6" w:rsidRPr="00DD5159">
        <w:rPr>
          <w:rFonts w:ascii="Segoe UI" w:hAnsi="Segoe UI" w:cs="Segoe UI"/>
          <w:sz w:val="22"/>
          <w:szCs w:val="22"/>
        </w:rPr>
        <w:t>0.</w:t>
      </w:r>
      <w:r w:rsidR="006845BA" w:rsidRPr="00DD5159">
        <w:rPr>
          <w:rFonts w:ascii="Segoe UI" w:hAnsi="Segoe UI" w:cs="Segoe UI"/>
          <w:sz w:val="22"/>
          <w:szCs w:val="22"/>
        </w:rPr>
        <w:t>3</w:t>
      </w:r>
      <w:r w:rsidR="00761A13" w:rsidRPr="00DD5159">
        <w:rPr>
          <w:rFonts w:ascii="Segoe UI" w:hAnsi="Segoe UI" w:cs="Segoe UI"/>
          <w:sz w:val="22"/>
          <w:szCs w:val="22"/>
        </w:rPr>
        <w:t xml:space="preserve"> to </w:t>
      </w:r>
      <w:r w:rsidR="00EE0DA6" w:rsidRPr="00DD5159">
        <w:rPr>
          <w:rFonts w:ascii="Segoe UI" w:hAnsi="Segoe UI" w:cs="Segoe UI"/>
          <w:sz w:val="22"/>
          <w:szCs w:val="22"/>
        </w:rPr>
        <w:t>98.5</w:t>
      </w:r>
      <w:r w:rsidR="00761A13" w:rsidRPr="00DD5159">
        <w:rPr>
          <w:rFonts w:ascii="Segoe UI" w:hAnsi="Segoe UI" w:cs="Segoe UI"/>
          <w:sz w:val="22"/>
          <w:szCs w:val="22"/>
        </w:rPr>
        <w:t xml:space="preserve"> miles, with the average distance being </w:t>
      </w:r>
      <w:r w:rsidR="00EE0DA6" w:rsidRPr="00DD5159">
        <w:rPr>
          <w:rFonts w:ascii="Segoe UI" w:hAnsi="Segoe UI" w:cs="Segoe UI"/>
          <w:sz w:val="22"/>
          <w:szCs w:val="22"/>
        </w:rPr>
        <w:t>57</w:t>
      </w:r>
      <w:r w:rsidR="00991DE2" w:rsidRPr="00DD5159">
        <w:rPr>
          <w:rFonts w:ascii="Segoe UI" w:hAnsi="Segoe UI" w:cs="Segoe UI"/>
          <w:sz w:val="22"/>
          <w:szCs w:val="22"/>
        </w:rPr>
        <w:t xml:space="preserve"> </w:t>
      </w:r>
      <w:r w:rsidR="00761A13" w:rsidRPr="00DD5159">
        <w:rPr>
          <w:rFonts w:ascii="Segoe UI" w:hAnsi="Segoe UI" w:cs="Segoe UI"/>
          <w:sz w:val="22"/>
          <w:szCs w:val="22"/>
        </w:rPr>
        <w:t>miles.</w:t>
      </w:r>
      <w:r w:rsidR="004C22CE">
        <w:rPr>
          <w:rFonts w:ascii="Segoe UI" w:hAnsi="Segoe UI" w:cs="Segoe UI"/>
          <w:sz w:val="22"/>
          <w:szCs w:val="22"/>
        </w:rPr>
        <w:t xml:space="preserve"> </w:t>
      </w:r>
    </w:p>
    <w:p w14:paraId="4E231548" w14:textId="32F44E23" w:rsidR="003B66F1" w:rsidRDefault="003B66F1" w:rsidP="00761A13">
      <w:pPr>
        <w:ind w:left="426"/>
        <w:jc w:val="both"/>
        <w:rPr>
          <w:rFonts w:ascii="Segoe UI" w:hAnsi="Segoe UI" w:cs="Segoe UI"/>
          <w:sz w:val="22"/>
          <w:szCs w:val="22"/>
        </w:rPr>
      </w:pPr>
    </w:p>
    <w:p w14:paraId="61666C87" w14:textId="315E72C0" w:rsidR="003B66F1" w:rsidRDefault="003B66F1" w:rsidP="00761A13">
      <w:pPr>
        <w:ind w:left="426"/>
        <w:jc w:val="both"/>
        <w:rPr>
          <w:rFonts w:ascii="Segoe UI" w:hAnsi="Segoe UI" w:cs="Segoe UI"/>
          <w:sz w:val="22"/>
          <w:szCs w:val="22"/>
        </w:rPr>
      </w:pPr>
    </w:p>
    <w:p w14:paraId="0F650552" w14:textId="3189DEE6" w:rsidR="003B66F1" w:rsidRDefault="003B66F1" w:rsidP="00761A13">
      <w:pPr>
        <w:ind w:left="426"/>
        <w:jc w:val="both"/>
        <w:rPr>
          <w:rFonts w:ascii="Segoe UI" w:hAnsi="Segoe UI" w:cs="Segoe UI"/>
          <w:sz w:val="22"/>
          <w:szCs w:val="22"/>
        </w:rPr>
      </w:pPr>
    </w:p>
    <w:p w14:paraId="1138FBAB" w14:textId="521B87FE" w:rsidR="003B66F1" w:rsidRDefault="003B66F1" w:rsidP="00761A13">
      <w:pPr>
        <w:ind w:left="426"/>
        <w:jc w:val="both"/>
        <w:rPr>
          <w:rFonts w:ascii="Segoe UI" w:hAnsi="Segoe UI" w:cs="Segoe UI"/>
          <w:sz w:val="22"/>
          <w:szCs w:val="22"/>
        </w:rPr>
      </w:pPr>
    </w:p>
    <w:p w14:paraId="053CEFF2" w14:textId="77777777" w:rsidR="003B66F1" w:rsidRPr="00DD5159" w:rsidRDefault="003B66F1" w:rsidP="00761A13">
      <w:pPr>
        <w:ind w:left="426"/>
        <w:jc w:val="both"/>
        <w:rPr>
          <w:rFonts w:ascii="Segoe UI" w:hAnsi="Segoe UI" w:cs="Segoe UI"/>
          <w:sz w:val="22"/>
          <w:szCs w:val="22"/>
        </w:rPr>
      </w:pPr>
    </w:p>
    <w:p w14:paraId="4D5AE4BC" w14:textId="77777777" w:rsidR="00761A13" w:rsidRDefault="00761A13" w:rsidP="00F83B22">
      <w:pPr>
        <w:jc w:val="both"/>
        <w:rPr>
          <w:rFonts w:ascii="Segoe UI" w:hAnsi="Segoe UI" w:cs="Segoe UI"/>
          <w:sz w:val="22"/>
          <w:szCs w:val="22"/>
        </w:rPr>
      </w:pPr>
    </w:p>
    <w:p w14:paraId="3305D784" w14:textId="77777777" w:rsidR="00EA34EB" w:rsidRPr="00DD5159" w:rsidRDefault="00EA34EB" w:rsidP="00E515DE">
      <w:pPr>
        <w:jc w:val="both"/>
        <w:rPr>
          <w:rFonts w:ascii="Segoe UI" w:hAnsi="Segoe UI" w:cs="Segoe UI"/>
          <w:b/>
        </w:rPr>
      </w:pPr>
      <w:r w:rsidRPr="00DD5159">
        <w:rPr>
          <w:rFonts w:ascii="Segoe UI" w:hAnsi="Segoe UI" w:cs="Segoe UI"/>
          <w:b/>
        </w:rPr>
        <w:t xml:space="preserve">Performance by Directorate in </w:t>
      </w:r>
      <w:r w:rsidR="00EE0DA6" w:rsidRPr="00DD5159">
        <w:rPr>
          <w:rFonts w:ascii="Segoe UI" w:hAnsi="Segoe UI" w:cs="Segoe UI"/>
          <w:b/>
        </w:rPr>
        <w:t>October</w:t>
      </w:r>
      <w:r w:rsidR="008D36D2" w:rsidRPr="00DD5159">
        <w:rPr>
          <w:rFonts w:ascii="Segoe UI" w:hAnsi="Segoe UI" w:cs="Segoe UI"/>
          <w:b/>
        </w:rPr>
        <w:t xml:space="preserve"> 2019</w:t>
      </w:r>
      <w:r w:rsidRPr="00DD5159">
        <w:rPr>
          <w:rFonts w:ascii="Segoe UI" w:hAnsi="Segoe UI" w:cs="Segoe UI"/>
          <w:b/>
        </w:rPr>
        <w:t>:</w:t>
      </w:r>
    </w:p>
    <w:p w14:paraId="0229B262" w14:textId="77777777" w:rsidR="00EA34EB" w:rsidRPr="00DD5159" w:rsidRDefault="00EA34EB" w:rsidP="00E515DE">
      <w:pPr>
        <w:jc w:val="both"/>
        <w:rPr>
          <w:rFonts w:ascii="Segoe UI" w:hAnsi="Segoe UI" w:cs="Segoe UI"/>
          <w:b/>
        </w:rPr>
      </w:pPr>
    </w:p>
    <w:p w14:paraId="14ACFB66" w14:textId="77777777" w:rsidR="00761A13" w:rsidRPr="003D4A0D" w:rsidRDefault="00761A13" w:rsidP="00A80A17">
      <w:pPr>
        <w:jc w:val="both"/>
        <w:rPr>
          <w:rFonts w:ascii="Segoe UI" w:eastAsia="Calibri" w:hAnsi="Segoe UI" w:cs="Segoe UI"/>
          <w:sz w:val="22"/>
        </w:rPr>
      </w:pPr>
      <w:proofErr w:type="spellStart"/>
      <w:r w:rsidRPr="003D4A0D">
        <w:rPr>
          <w:rFonts w:ascii="Segoe UI" w:eastAsia="Calibri" w:hAnsi="Segoe UI" w:cs="Segoe UI"/>
          <w:b/>
          <w:bCs/>
          <w:sz w:val="22"/>
        </w:rPr>
        <w:t>Oxfordshire</w:t>
      </w:r>
      <w:proofErr w:type="spellEnd"/>
      <w:r w:rsidRPr="003D4A0D">
        <w:rPr>
          <w:rFonts w:ascii="Segoe UI" w:eastAsia="Calibri" w:hAnsi="Segoe UI" w:cs="Segoe UI"/>
          <w:b/>
          <w:bCs/>
          <w:sz w:val="22"/>
        </w:rPr>
        <w:t xml:space="preserve">, Swindon, Wiltshire &amp; </w:t>
      </w:r>
      <w:proofErr w:type="spellStart"/>
      <w:r w:rsidRPr="003D4A0D">
        <w:rPr>
          <w:rFonts w:ascii="Segoe UI" w:eastAsia="Calibri" w:hAnsi="Segoe UI" w:cs="Segoe UI"/>
          <w:b/>
          <w:bCs/>
          <w:sz w:val="22"/>
        </w:rPr>
        <w:t>BaNES</w:t>
      </w:r>
      <w:proofErr w:type="spellEnd"/>
      <w:r w:rsidRPr="003D4A0D">
        <w:rPr>
          <w:rFonts w:ascii="Segoe UI" w:eastAsia="Calibri" w:hAnsi="Segoe UI" w:cs="Segoe UI"/>
          <w:b/>
          <w:bCs/>
          <w:sz w:val="22"/>
        </w:rPr>
        <w:t xml:space="preserve"> – All Ages Mental Health </w:t>
      </w:r>
      <w:r w:rsidRPr="003D4A0D">
        <w:rPr>
          <w:rFonts w:ascii="Segoe UI" w:eastAsia="Calibri" w:hAnsi="Segoe UI" w:cs="Segoe UI"/>
          <w:sz w:val="22"/>
        </w:rPr>
        <w:t xml:space="preserve">achieved </w:t>
      </w:r>
      <w:r w:rsidR="00AF052F" w:rsidRPr="003D4A0D">
        <w:rPr>
          <w:rFonts w:ascii="Segoe UI" w:eastAsia="Calibri" w:hAnsi="Segoe UI" w:cs="Segoe UI"/>
          <w:sz w:val="22"/>
        </w:rPr>
        <w:t>90</w:t>
      </w:r>
      <w:r w:rsidRPr="003D4A0D">
        <w:rPr>
          <w:rFonts w:ascii="Segoe UI" w:eastAsia="Calibri" w:hAnsi="Segoe UI" w:cs="Segoe UI"/>
          <w:sz w:val="22"/>
        </w:rPr>
        <w:t xml:space="preserve"> of the </w:t>
      </w:r>
      <w:r w:rsidR="00F83B22" w:rsidRPr="003D4A0D">
        <w:rPr>
          <w:rFonts w:ascii="Segoe UI" w:eastAsia="Calibri" w:hAnsi="Segoe UI" w:cs="Segoe UI"/>
          <w:sz w:val="22"/>
        </w:rPr>
        <w:t>12</w:t>
      </w:r>
      <w:r w:rsidR="00AF052F" w:rsidRPr="003D4A0D">
        <w:rPr>
          <w:rFonts w:ascii="Segoe UI" w:eastAsia="Calibri" w:hAnsi="Segoe UI" w:cs="Segoe UI"/>
          <w:sz w:val="22"/>
        </w:rPr>
        <w:t>4</w:t>
      </w:r>
      <w:r w:rsidRPr="003D4A0D">
        <w:rPr>
          <w:rFonts w:ascii="Segoe UI" w:eastAsia="Calibri" w:hAnsi="Segoe UI" w:cs="Segoe UI"/>
          <w:sz w:val="22"/>
        </w:rPr>
        <w:t xml:space="preserve"> targeted indicators (</w:t>
      </w:r>
      <w:r w:rsidR="00AF052F" w:rsidRPr="003D4A0D">
        <w:rPr>
          <w:rFonts w:ascii="Segoe UI" w:eastAsia="Calibri" w:hAnsi="Segoe UI" w:cs="Segoe UI"/>
          <w:sz w:val="22"/>
        </w:rPr>
        <w:t>7</w:t>
      </w:r>
      <w:r w:rsidR="00F83B22" w:rsidRPr="003D4A0D">
        <w:rPr>
          <w:rFonts w:ascii="Segoe UI" w:eastAsia="Calibri" w:hAnsi="Segoe UI" w:cs="Segoe UI"/>
          <w:sz w:val="22"/>
        </w:rPr>
        <w:t>3</w:t>
      </w:r>
      <w:r w:rsidRPr="003D4A0D">
        <w:rPr>
          <w:rFonts w:ascii="Segoe UI" w:eastAsia="Calibri" w:hAnsi="Segoe UI" w:cs="Segoe UI"/>
          <w:sz w:val="22"/>
        </w:rPr>
        <w:t>%</w:t>
      </w:r>
      <w:r w:rsidR="00361816" w:rsidRPr="003D4A0D">
        <w:rPr>
          <w:rFonts w:ascii="Segoe UI" w:eastAsia="Calibri" w:hAnsi="Segoe UI" w:cs="Segoe UI"/>
          <w:sz w:val="22"/>
        </w:rPr>
        <w:t xml:space="preserve">) </w:t>
      </w:r>
    </w:p>
    <w:p w14:paraId="4B352876" w14:textId="77777777" w:rsidR="00761A13" w:rsidRPr="003D4A0D" w:rsidRDefault="00761A13" w:rsidP="00761A13">
      <w:pPr>
        <w:jc w:val="both"/>
        <w:rPr>
          <w:rFonts w:ascii="Segoe UI" w:eastAsia="Calibri" w:hAnsi="Segoe UI" w:cs="Segoe UI"/>
          <w:sz w:val="22"/>
        </w:rPr>
      </w:pPr>
    </w:p>
    <w:p w14:paraId="515E0E62" w14:textId="77777777" w:rsidR="00761A13" w:rsidRPr="003D4A0D" w:rsidRDefault="00761A13" w:rsidP="00761A13">
      <w:pPr>
        <w:jc w:val="both"/>
        <w:rPr>
          <w:rFonts w:ascii="Segoe UI" w:eastAsia="Calibri" w:hAnsi="Segoe UI" w:cs="Segoe UI"/>
          <w:b/>
          <w:bCs/>
          <w:sz w:val="22"/>
        </w:rPr>
      </w:pPr>
      <w:r w:rsidRPr="003D4A0D">
        <w:rPr>
          <w:rFonts w:ascii="Segoe UI" w:eastAsia="Calibri" w:hAnsi="Segoe UI" w:cs="Segoe UI"/>
          <w:b/>
          <w:bCs/>
          <w:sz w:val="22"/>
        </w:rPr>
        <w:t>Highlights for the Board:</w:t>
      </w:r>
    </w:p>
    <w:p w14:paraId="205AA570" w14:textId="77777777" w:rsidR="00761A13" w:rsidRPr="003D4A0D" w:rsidRDefault="00761A13" w:rsidP="00761A13">
      <w:pPr>
        <w:jc w:val="both"/>
        <w:rPr>
          <w:rFonts w:ascii="Segoe UI" w:eastAsia="Calibri" w:hAnsi="Segoe UI" w:cs="Segoe UI"/>
          <w:sz w:val="22"/>
        </w:rPr>
      </w:pPr>
    </w:p>
    <w:p w14:paraId="50897960" w14:textId="77777777" w:rsidR="00761A13" w:rsidRPr="003D4A0D" w:rsidRDefault="00761A13" w:rsidP="00761A13">
      <w:pPr>
        <w:numPr>
          <w:ilvl w:val="0"/>
          <w:numId w:val="24"/>
        </w:numPr>
        <w:jc w:val="both"/>
        <w:rPr>
          <w:rFonts w:ascii="Segoe UI" w:hAnsi="Segoe UI" w:cs="Segoe UI"/>
          <w:b/>
          <w:bCs/>
          <w:sz w:val="22"/>
        </w:rPr>
      </w:pPr>
      <w:r w:rsidRPr="003D4A0D">
        <w:rPr>
          <w:rFonts w:ascii="Segoe UI" w:hAnsi="Segoe UI" w:cs="Segoe UI"/>
          <w:b/>
          <w:bCs/>
          <w:sz w:val="22"/>
        </w:rPr>
        <w:t>Emergency Department Psychiatric Service (EDPS)</w:t>
      </w:r>
      <w:r w:rsidR="00361816" w:rsidRPr="003D4A0D">
        <w:rPr>
          <w:rFonts w:ascii="Segoe UI" w:hAnsi="Segoe UI" w:cs="Segoe UI"/>
          <w:b/>
          <w:bCs/>
          <w:sz w:val="22"/>
        </w:rPr>
        <w:t xml:space="preserve">. </w:t>
      </w:r>
      <w:r w:rsidR="00015744" w:rsidRPr="003D4A0D">
        <w:rPr>
          <w:rFonts w:ascii="Segoe UI" w:hAnsi="Segoe UI" w:cs="Segoe UI"/>
          <w:bCs/>
          <w:sz w:val="22"/>
        </w:rPr>
        <w:t>S</w:t>
      </w:r>
      <w:r w:rsidRPr="003D4A0D">
        <w:rPr>
          <w:rFonts w:ascii="Segoe UI" w:hAnsi="Segoe UI" w:cs="Segoe UI"/>
          <w:sz w:val="22"/>
        </w:rPr>
        <w:t xml:space="preserve">taffing pressures continue to affect performance </w:t>
      </w:r>
      <w:r w:rsidR="008A0CDA" w:rsidRPr="003D4A0D">
        <w:rPr>
          <w:rFonts w:ascii="Segoe UI" w:hAnsi="Segoe UI" w:cs="Segoe UI"/>
          <w:sz w:val="22"/>
        </w:rPr>
        <w:t xml:space="preserve">at </w:t>
      </w:r>
      <w:r w:rsidR="003D4A0D" w:rsidRPr="003D4A0D">
        <w:rPr>
          <w:rFonts w:ascii="Segoe UI" w:hAnsi="Segoe UI" w:cs="Segoe UI"/>
          <w:sz w:val="22"/>
        </w:rPr>
        <w:t xml:space="preserve">night and at weekends at </w:t>
      </w:r>
      <w:r w:rsidR="008A0CDA" w:rsidRPr="003D4A0D">
        <w:rPr>
          <w:rFonts w:ascii="Segoe UI" w:hAnsi="Segoe UI" w:cs="Segoe UI"/>
          <w:sz w:val="22"/>
        </w:rPr>
        <w:t>both the John Radcliffe and Horton General Hospitals</w:t>
      </w:r>
      <w:r w:rsidR="00361816" w:rsidRPr="003D4A0D">
        <w:rPr>
          <w:rFonts w:ascii="Segoe UI" w:hAnsi="Segoe UI" w:cs="Segoe UI"/>
          <w:sz w:val="22"/>
        </w:rPr>
        <w:t>.</w:t>
      </w:r>
      <w:r w:rsidRPr="003D4A0D">
        <w:rPr>
          <w:rFonts w:ascii="Segoe UI" w:hAnsi="Segoe UI" w:cs="Segoe UI"/>
          <w:sz w:val="22"/>
        </w:rPr>
        <w:t xml:space="preserve">  The pressures have been reported to </w:t>
      </w:r>
      <w:proofErr w:type="spellStart"/>
      <w:r w:rsidRPr="003D4A0D">
        <w:rPr>
          <w:rFonts w:ascii="Segoe UI" w:hAnsi="Segoe UI" w:cs="Segoe UI"/>
          <w:sz w:val="22"/>
        </w:rPr>
        <w:t>Oxfordshire</w:t>
      </w:r>
      <w:proofErr w:type="spellEnd"/>
      <w:r w:rsidRPr="003D4A0D">
        <w:rPr>
          <w:rFonts w:ascii="Segoe UI" w:hAnsi="Segoe UI" w:cs="Segoe UI"/>
          <w:sz w:val="22"/>
        </w:rPr>
        <w:t xml:space="preserve"> CCG so that </w:t>
      </w:r>
      <w:r w:rsidR="004C22CE">
        <w:rPr>
          <w:rFonts w:ascii="Segoe UI" w:hAnsi="Segoe UI" w:cs="Segoe UI"/>
          <w:sz w:val="22"/>
        </w:rPr>
        <w:t>any</w:t>
      </w:r>
      <w:r w:rsidRPr="003D4A0D">
        <w:rPr>
          <w:rFonts w:ascii="Segoe UI" w:hAnsi="Segoe UI" w:cs="Segoe UI"/>
          <w:sz w:val="22"/>
        </w:rPr>
        <w:t xml:space="preserve"> risks to patients can be understood and mitigated.</w:t>
      </w:r>
      <w:r w:rsidR="008A0CDA" w:rsidRPr="003D4A0D">
        <w:rPr>
          <w:rFonts w:ascii="Segoe UI" w:hAnsi="Segoe UI" w:cs="Segoe UI"/>
          <w:sz w:val="22"/>
        </w:rPr>
        <w:t xml:space="preserve"> </w:t>
      </w:r>
      <w:r w:rsidR="00422FCA">
        <w:rPr>
          <w:rFonts w:ascii="Segoe UI" w:hAnsi="Segoe UI" w:cs="Segoe UI"/>
          <w:sz w:val="22"/>
        </w:rPr>
        <w:t xml:space="preserve"> The impact of </w:t>
      </w:r>
      <w:r w:rsidR="004C22CE">
        <w:rPr>
          <w:rFonts w:ascii="Segoe UI" w:hAnsi="Segoe UI" w:cs="Segoe UI"/>
          <w:sz w:val="22"/>
        </w:rPr>
        <w:t>resource</w:t>
      </w:r>
      <w:r w:rsidR="008A0CDA" w:rsidRPr="003D4A0D">
        <w:rPr>
          <w:rFonts w:ascii="Segoe UI" w:hAnsi="Segoe UI" w:cs="Segoe UI"/>
          <w:sz w:val="22"/>
        </w:rPr>
        <w:t xml:space="preserve"> shortages </w:t>
      </w:r>
      <w:r w:rsidR="004C22CE">
        <w:rPr>
          <w:rFonts w:ascii="Segoe UI" w:hAnsi="Segoe UI" w:cs="Segoe UI"/>
          <w:sz w:val="22"/>
        </w:rPr>
        <w:t xml:space="preserve">means that the Trust is </w:t>
      </w:r>
      <w:r w:rsidR="008A0CDA" w:rsidRPr="003D4A0D">
        <w:rPr>
          <w:rFonts w:ascii="Segoe UI" w:hAnsi="Segoe UI" w:cs="Segoe UI"/>
          <w:sz w:val="22"/>
        </w:rPr>
        <w:t>not be able to achieve the commissioner defined targets</w:t>
      </w:r>
      <w:r w:rsidR="00422FCA">
        <w:rPr>
          <w:rFonts w:ascii="Segoe UI" w:hAnsi="Segoe UI" w:cs="Segoe UI"/>
          <w:sz w:val="22"/>
        </w:rPr>
        <w:t xml:space="preserve"> - the Trust </w:t>
      </w:r>
      <w:r w:rsidR="004C22CE">
        <w:rPr>
          <w:rFonts w:ascii="Segoe UI" w:hAnsi="Segoe UI" w:cs="Segoe UI"/>
          <w:sz w:val="22"/>
        </w:rPr>
        <w:t>has been</w:t>
      </w:r>
      <w:r w:rsidR="00422FCA">
        <w:rPr>
          <w:rFonts w:ascii="Segoe UI" w:hAnsi="Segoe UI" w:cs="Segoe UI"/>
          <w:sz w:val="22"/>
        </w:rPr>
        <w:t xml:space="preserve"> successful with its bid for </w:t>
      </w:r>
      <w:r w:rsidR="004C22CE">
        <w:rPr>
          <w:rFonts w:ascii="Segoe UI" w:hAnsi="Segoe UI" w:cs="Segoe UI"/>
          <w:sz w:val="22"/>
        </w:rPr>
        <w:t xml:space="preserve">funding to improve </w:t>
      </w:r>
      <w:r w:rsidR="00422FCA">
        <w:rPr>
          <w:rFonts w:ascii="Segoe UI" w:hAnsi="Segoe UI" w:cs="Segoe UI"/>
          <w:sz w:val="22"/>
        </w:rPr>
        <w:t xml:space="preserve">overnight and weekend cover with effect from April 2020.  </w:t>
      </w:r>
    </w:p>
    <w:p w14:paraId="450240D9" w14:textId="77777777" w:rsidR="00161CD3" w:rsidRPr="003D4A0D" w:rsidRDefault="00161CD3" w:rsidP="00161CD3">
      <w:pPr>
        <w:ind w:left="720"/>
        <w:jc w:val="both"/>
        <w:rPr>
          <w:rFonts w:ascii="Segoe UI" w:hAnsi="Segoe UI" w:cs="Segoe UI"/>
          <w:b/>
          <w:bCs/>
          <w:sz w:val="22"/>
        </w:rPr>
      </w:pPr>
    </w:p>
    <w:p w14:paraId="027EB108" w14:textId="2D50443E" w:rsidR="00161CD3" w:rsidRPr="00D712BE" w:rsidRDefault="00161CD3" w:rsidP="00163074">
      <w:pPr>
        <w:numPr>
          <w:ilvl w:val="0"/>
          <w:numId w:val="24"/>
        </w:numPr>
        <w:jc w:val="both"/>
        <w:rPr>
          <w:rFonts w:ascii="Segoe UI" w:hAnsi="Segoe UI" w:cs="Segoe UI"/>
          <w:b/>
          <w:bCs/>
          <w:sz w:val="22"/>
        </w:rPr>
      </w:pPr>
      <w:r w:rsidRPr="003D4A0D">
        <w:rPr>
          <w:rFonts w:ascii="Segoe UI" w:hAnsi="Segoe UI" w:cs="Segoe UI"/>
          <w:b/>
          <w:bCs/>
          <w:sz w:val="22"/>
        </w:rPr>
        <w:t>CAMHS (Swindon, Wiltshire, Bath and North East Somerset</w:t>
      </w:r>
      <w:r w:rsidR="008E7AB2">
        <w:rPr>
          <w:rFonts w:ascii="Segoe UI" w:hAnsi="Segoe UI" w:cs="Segoe UI"/>
          <w:b/>
          <w:bCs/>
          <w:sz w:val="22"/>
        </w:rPr>
        <w:t xml:space="preserve"> (</w:t>
      </w:r>
      <w:proofErr w:type="spellStart"/>
      <w:r w:rsidR="008E7AB2">
        <w:rPr>
          <w:rFonts w:ascii="Segoe UI" w:hAnsi="Segoe UI" w:cs="Segoe UI"/>
          <w:b/>
          <w:bCs/>
          <w:sz w:val="22"/>
        </w:rPr>
        <w:t>BaNES</w:t>
      </w:r>
      <w:proofErr w:type="spellEnd"/>
      <w:r w:rsidR="008E7AB2">
        <w:rPr>
          <w:rFonts w:ascii="Segoe UI" w:hAnsi="Segoe UI" w:cs="Segoe UI"/>
          <w:b/>
          <w:bCs/>
          <w:sz w:val="22"/>
        </w:rPr>
        <w:t>)</w:t>
      </w:r>
      <w:r w:rsidRPr="003D4A0D">
        <w:rPr>
          <w:rFonts w:ascii="Segoe UI" w:hAnsi="Segoe UI" w:cs="Segoe UI"/>
          <w:b/>
          <w:bCs/>
          <w:sz w:val="22"/>
        </w:rPr>
        <w:t xml:space="preserve">) </w:t>
      </w:r>
      <w:r w:rsidR="008D4F4B" w:rsidRPr="003D4A0D">
        <w:rPr>
          <w:rFonts w:ascii="Segoe UI" w:hAnsi="Segoe UI" w:cs="Segoe UI"/>
          <w:b/>
          <w:bCs/>
          <w:sz w:val="22"/>
        </w:rPr>
        <w:t>–</w:t>
      </w:r>
      <w:r w:rsidRPr="003D4A0D">
        <w:rPr>
          <w:rFonts w:ascii="Segoe UI" w:hAnsi="Segoe UI" w:cs="Segoe UI"/>
          <w:b/>
          <w:bCs/>
          <w:sz w:val="22"/>
        </w:rPr>
        <w:t xml:space="preserve"> </w:t>
      </w:r>
      <w:r w:rsidR="00AC55D0" w:rsidRPr="003D4A0D">
        <w:rPr>
          <w:rFonts w:ascii="Segoe UI" w:hAnsi="Segoe UI" w:cs="Segoe UI"/>
          <w:bCs/>
          <w:sz w:val="22"/>
        </w:rPr>
        <w:t xml:space="preserve">A comprehensive waiting time improvement </w:t>
      </w:r>
      <w:r w:rsidR="00B26BD0">
        <w:rPr>
          <w:rFonts w:ascii="Segoe UI" w:hAnsi="Segoe UI" w:cs="Segoe UI"/>
          <w:bCs/>
          <w:sz w:val="22"/>
        </w:rPr>
        <w:t xml:space="preserve">plan is now </w:t>
      </w:r>
      <w:r w:rsidR="008E7AB2">
        <w:rPr>
          <w:rFonts w:ascii="Segoe UI" w:hAnsi="Segoe UI" w:cs="Segoe UI"/>
          <w:bCs/>
          <w:sz w:val="22"/>
        </w:rPr>
        <w:t>in progress</w:t>
      </w:r>
      <w:r w:rsidR="00B26BD0">
        <w:rPr>
          <w:rFonts w:ascii="Segoe UI" w:hAnsi="Segoe UI" w:cs="Segoe UI"/>
          <w:bCs/>
          <w:sz w:val="22"/>
        </w:rPr>
        <w:t xml:space="preserve"> and</w:t>
      </w:r>
      <w:r w:rsidR="00414EFF">
        <w:rPr>
          <w:rFonts w:ascii="Segoe UI" w:hAnsi="Segoe UI" w:cs="Segoe UI"/>
          <w:bCs/>
          <w:sz w:val="22"/>
        </w:rPr>
        <w:t xml:space="preserve"> although commissioner targets have not yet been achieved,</w:t>
      </w:r>
      <w:r w:rsidR="00B26BD0">
        <w:rPr>
          <w:rFonts w:ascii="Segoe UI" w:hAnsi="Segoe UI" w:cs="Segoe UI"/>
          <w:bCs/>
          <w:sz w:val="22"/>
        </w:rPr>
        <w:t xml:space="preserve"> improvements have been seen </w:t>
      </w:r>
      <w:r w:rsidR="008E7AB2">
        <w:rPr>
          <w:rFonts w:ascii="Segoe UI" w:hAnsi="Segoe UI" w:cs="Segoe UI"/>
          <w:bCs/>
          <w:sz w:val="22"/>
        </w:rPr>
        <w:t xml:space="preserve">in 4 week waiting times in </w:t>
      </w:r>
      <w:proofErr w:type="spellStart"/>
      <w:r w:rsidR="008E7AB2">
        <w:rPr>
          <w:rFonts w:ascii="Segoe UI" w:hAnsi="Segoe UI" w:cs="Segoe UI"/>
          <w:bCs/>
          <w:sz w:val="22"/>
        </w:rPr>
        <w:t>BaNES</w:t>
      </w:r>
      <w:proofErr w:type="spellEnd"/>
      <w:r w:rsidR="008E7AB2">
        <w:rPr>
          <w:rFonts w:ascii="Segoe UI" w:hAnsi="Segoe UI" w:cs="Segoe UI"/>
          <w:bCs/>
          <w:sz w:val="22"/>
        </w:rPr>
        <w:t xml:space="preserve"> &amp; Wiltshire</w:t>
      </w:r>
      <w:r w:rsidR="00AC55D0" w:rsidRPr="003D4A0D">
        <w:rPr>
          <w:rFonts w:ascii="Segoe UI" w:hAnsi="Segoe UI" w:cs="Segoe UI"/>
          <w:bCs/>
          <w:sz w:val="22"/>
        </w:rPr>
        <w:t>.</w:t>
      </w:r>
      <w:r w:rsidR="008E7AB2">
        <w:rPr>
          <w:rFonts w:ascii="Segoe UI" w:hAnsi="Segoe UI" w:cs="Segoe UI"/>
          <w:bCs/>
          <w:sz w:val="22"/>
        </w:rPr>
        <w:t xml:space="preserve">  </w:t>
      </w:r>
    </w:p>
    <w:p w14:paraId="4BCBAF92" w14:textId="77777777" w:rsidR="00D712BE" w:rsidRDefault="00D712BE" w:rsidP="00D712BE">
      <w:pPr>
        <w:pStyle w:val="ListParagraph"/>
        <w:rPr>
          <w:rFonts w:ascii="Segoe UI" w:hAnsi="Segoe UI" w:cs="Segoe UI"/>
          <w:b/>
          <w:bCs/>
          <w:sz w:val="22"/>
        </w:rPr>
      </w:pPr>
    </w:p>
    <w:p w14:paraId="6F626BCB" w14:textId="77777777" w:rsidR="007D2B08" w:rsidRPr="007D2B08" w:rsidRDefault="00D712BE" w:rsidP="00163074">
      <w:pPr>
        <w:numPr>
          <w:ilvl w:val="0"/>
          <w:numId w:val="24"/>
        </w:numPr>
        <w:jc w:val="both"/>
        <w:rPr>
          <w:rFonts w:ascii="Segoe UI" w:hAnsi="Segoe UI" w:cs="Segoe UI"/>
          <w:b/>
          <w:bCs/>
          <w:sz w:val="22"/>
        </w:rPr>
      </w:pPr>
      <w:r>
        <w:rPr>
          <w:rFonts w:ascii="Segoe UI" w:hAnsi="Segoe UI" w:cs="Segoe UI"/>
          <w:b/>
          <w:bCs/>
          <w:sz w:val="22"/>
        </w:rPr>
        <w:t xml:space="preserve">Improving Access to Psychological </w:t>
      </w:r>
      <w:r w:rsidR="002A6555">
        <w:rPr>
          <w:rFonts w:ascii="Segoe UI" w:hAnsi="Segoe UI" w:cs="Segoe UI"/>
          <w:b/>
          <w:bCs/>
          <w:sz w:val="22"/>
        </w:rPr>
        <w:t>Therapies (IAPT)</w:t>
      </w:r>
      <w:r w:rsidR="002A6555">
        <w:rPr>
          <w:rFonts w:ascii="Segoe UI" w:hAnsi="Segoe UI" w:cs="Segoe UI"/>
          <w:bCs/>
          <w:sz w:val="22"/>
        </w:rPr>
        <w:t xml:space="preserve"> –</w:t>
      </w:r>
      <w:r w:rsidR="00216194">
        <w:rPr>
          <w:rFonts w:ascii="Segoe UI" w:hAnsi="Segoe UI" w:cs="Segoe UI"/>
          <w:bCs/>
          <w:sz w:val="22"/>
        </w:rPr>
        <w:t xml:space="preserve"> </w:t>
      </w:r>
      <w:r w:rsidR="00F37923">
        <w:rPr>
          <w:rFonts w:ascii="Segoe UI" w:hAnsi="Segoe UI" w:cs="Segoe UI"/>
          <w:bCs/>
          <w:sz w:val="22"/>
        </w:rPr>
        <w:t>Clinical a</w:t>
      </w:r>
      <w:r w:rsidR="002A6555">
        <w:rPr>
          <w:rFonts w:ascii="Segoe UI" w:hAnsi="Segoe UI" w:cs="Segoe UI"/>
          <w:bCs/>
          <w:sz w:val="22"/>
        </w:rPr>
        <w:t xml:space="preserve">ccommodation </w:t>
      </w:r>
      <w:r w:rsidR="00216194">
        <w:rPr>
          <w:rFonts w:ascii="Segoe UI" w:hAnsi="Segoe UI" w:cs="Segoe UI"/>
          <w:bCs/>
          <w:sz w:val="22"/>
        </w:rPr>
        <w:t xml:space="preserve">pressures </w:t>
      </w:r>
      <w:r w:rsidR="002A6555">
        <w:rPr>
          <w:rFonts w:ascii="Segoe UI" w:hAnsi="Segoe UI" w:cs="Segoe UI"/>
          <w:bCs/>
          <w:sz w:val="22"/>
        </w:rPr>
        <w:t xml:space="preserve">continue to affect performance </w:t>
      </w:r>
      <w:r w:rsidR="00AE4344">
        <w:rPr>
          <w:rFonts w:ascii="Segoe UI" w:hAnsi="Segoe UI" w:cs="Segoe UI"/>
          <w:bCs/>
          <w:sz w:val="22"/>
        </w:rPr>
        <w:t xml:space="preserve">of the IAPT </w:t>
      </w:r>
      <w:r w:rsidR="003C27B4">
        <w:rPr>
          <w:rFonts w:ascii="Segoe UI" w:hAnsi="Segoe UI" w:cs="Segoe UI"/>
          <w:bCs/>
          <w:sz w:val="22"/>
        </w:rPr>
        <w:t xml:space="preserve">Counselling &amp; </w:t>
      </w:r>
      <w:r w:rsidR="00C26A3B">
        <w:rPr>
          <w:rFonts w:ascii="Segoe UI" w:hAnsi="Segoe UI" w:cs="Segoe UI"/>
          <w:bCs/>
          <w:sz w:val="22"/>
        </w:rPr>
        <w:t>CBT Services</w:t>
      </w:r>
      <w:r w:rsidR="00AE4344">
        <w:rPr>
          <w:rFonts w:ascii="Segoe UI" w:hAnsi="Segoe UI" w:cs="Segoe UI"/>
          <w:bCs/>
          <w:sz w:val="22"/>
        </w:rPr>
        <w:t>.</w:t>
      </w:r>
      <w:r w:rsidR="00C26A3B">
        <w:rPr>
          <w:rFonts w:ascii="Segoe UI" w:hAnsi="Segoe UI" w:cs="Segoe UI"/>
          <w:bCs/>
          <w:sz w:val="22"/>
        </w:rPr>
        <w:t xml:space="preserve"> </w:t>
      </w:r>
      <w:r w:rsidR="00216194">
        <w:rPr>
          <w:rFonts w:ascii="Segoe UI" w:hAnsi="Segoe UI" w:cs="Segoe UI"/>
          <w:bCs/>
          <w:sz w:val="22"/>
        </w:rPr>
        <w:t xml:space="preserve"> </w:t>
      </w:r>
      <w:r w:rsidR="00723B96">
        <w:rPr>
          <w:rFonts w:ascii="Segoe UI" w:hAnsi="Segoe UI" w:cs="Segoe UI"/>
          <w:bCs/>
          <w:sz w:val="22"/>
        </w:rPr>
        <w:t xml:space="preserve">This has been reported to </w:t>
      </w:r>
      <w:proofErr w:type="spellStart"/>
      <w:r w:rsidR="00723B96">
        <w:rPr>
          <w:rFonts w:ascii="Segoe UI" w:hAnsi="Segoe UI" w:cs="Segoe UI"/>
          <w:bCs/>
          <w:sz w:val="22"/>
        </w:rPr>
        <w:t>Oxfordshire</w:t>
      </w:r>
      <w:proofErr w:type="spellEnd"/>
      <w:r w:rsidR="00723B96">
        <w:rPr>
          <w:rFonts w:ascii="Segoe UI" w:hAnsi="Segoe UI" w:cs="Segoe UI"/>
          <w:bCs/>
          <w:sz w:val="22"/>
        </w:rPr>
        <w:t xml:space="preserve"> CCG so that they are able to assist </w:t>
      </w:r>
      <w:r w:rsidR="00ED1537">
        <w:rPr>
          <w:rFonts w:ascii="Segoe UI" w:hAnsi="Segoe UI" w:cs="Segoe UI"/>
          <w:bCs/>
          <w:sz w:val="22"/>
        </w:rPr>
        <w:t>with finding affordable al</w:t>
      </w:r>
      <w:r w:rsidR="003B656B">
        <w:rPr>
          <w:rFonts w:ascii="Segoe UI" w:hAnsi="Segoe UI" w:cs="Segoe UI"/>
          <w:bCs/>
          <w:sz w:val="22"/>
        </w:rPr>
        <w:t>ternatives to GP surgeries.</w:t>
      </w:r>
      <w:r w:rsidR="00C26A3B">
        <w:rPr>
          <w:rFonts w:ascii="Segoe UI" w:hAnsi="Segoe UI" w:cs="Segoe UI"/>
          <w:bCs/>
          <w:sz w:val="22"/>
        </w:rPr>
        <w:t xml:space="preserve"> </w:t>
      </w:r>
    </w:p>
    <w:p w14:paraId="2DCE32AC" w14:textId="77777777" w:rsidR="007D2B08" w:rsidRDefault="007D2B08" w:rsidP="007D2B08">
      <w:pPr>
        <w:pStyle w:val="ListParagraph"/>
        <w:rPr>
          <w:rFonts w:ascii="Segoe UI" w:hAnsi="Segoe UI" w:cs="Segoe UI"/>
          <w:bCs/>
          <w:sz w:val="22"/>
        </w:rPr>
      </w:pPr>
    </w:p>
    <w:p w14:paraId="7B56CB8C" w14:textId="711763E9" w:rsidR="00D712BE" w:rsidRPr="003D4A0D" w:rsidRDefault="007D2B08" w:rsidP="00163074">
      <w:pPr>
        <w:numPr>
          <w:ilvl w:val="0"/>
          <w:numId w:val="24"/>
        </w:numPr>
        <w:jc w:val="both"/>
        <w:rPr>
          <w:rFonts w:ascii="Segoe UI" w:hAnsi="Segoe UI" w:cs="Segoe UI"/>
          <w:b/>
          <w:bCs/>
          <w:sz w:val="22"/>
        </w:rPr>
      </w:pPr>
      <w:proofErr w:type="spellStart"/>
      <w:r w:rsidRPr="007D2B08">
        <w:rPr>
          <w:rFonts w:ascii="Segoe UI" w:hAnsi="Segoe UI" w:cs="Segoe UI"/>
          <w:b/>
          <w:bCs/>
          <w:sz w:val="22"/>
        </w:rPr>
        <w:t>Oxfordshire</w:t>
      </w:r>
      <w:proofErr w:type="spellEnd"/>
      <w:r w:rsidRPr="007D2B08">
        <w:rPr>
          <w:rFonts w:ascii="Segoe UI" w:hAnsi="Segoe UI" w:cs="Segoe UI"/>
          <w:b/>
          <w:bCs/>
          <w:sz w:val="22"/>
        </w:rPr>
        <w:t xml:space="preserve"> Care Plans</w:t>
      </w:r>
      <w:r>
        <w:rPr>
          <w:rFonts w:ascii="Segoe UI" w:hAnsi="Segoe UI" w:cs="Segoe UI"/>
          <w:bCs/>
          <w:sz w:val="22"/>
        </w:rPr>
        <w:t xml:space="preserve"> – A new </w:t>
      </w:r>
      <w:proofErr w:type="spellStart"/>
      <w:r w:rsidR="00DE40B4">
        <w:rPr>
          <w:rFonts w:ascii="Segoe UI" w:hAnsi="Segoe UI" w:cs="Segoe UI"/>
          <w:bCs/>
          <w:sz w:val="22"/>
        </w:rPr>
        <w:t>Carenotes</w:t>
      </w:r>
      <w:proofErr w:type="spellEnd"/>
      <w:r w:rsidR="00DE40B4">
        <w:rPr>
          <w:rFonts w:ascii="Segoe UI" w:hAnsi="Segoe UI" w:cs="Segoe UI"/>
          <w:bCs/>
          <w:sz w:val="22"/>
        </w:rPr>
        <w:t xml:space="preserve"> dashboard</w:t>
      </w:r>
      <w:r>
        <w:rPr>
          <w:rFonts w:ascii="Segoe UI" w:hAnsi="Segoe UI" w:cs="Segoe UI"/>
          <w:bCs/>
          <w:sz w:val="22"/>
        </w:rPr>
        <w:t xml:space="preserve"> </w:t>
      </w:r>
      <w:r w:rsidR="00B907AF">
        <w:rPr>
          <w:rFonts w:ascii="Segoe UI" w:hAnsi="Segoe UI" w:cs="Segoe UI"/>
          <w:bCs/>
          <w:sz w:val="22"/>
        </w:rPr>
        <w:t xml:space="preserve">was introduced in September and there has been </w:t>
      </w:r>
      <w:r w:rsidR="005A17A9">
        <w:rPr>
          <w:rFonts w:ascii="Segoe UI" w:hAnsi="Segoe UI" w:cs="Segoe UI"/>
          <w:bCs/>
          <w:sz w:val="22"/>
        </w:rPr>
        <w:t xml:space="preserve">a steady improvement in care plans being completed within the </w:t>
      </w:r>
      <w:r w:rsidR="00DE40B4">
        <w:rPr>
          <w:rFonts w:ascii="Segoe UI" w:hAnsi="Segoe UI" w:cs="Segoe UI"/>
          <w:bCs/>
          <w:sz w:val="22"/>
        </w:rPr>
        <w:t xml:space="preserve">agreed timeframe.   </w:t>
      </w:r>
    </w:p>
    <w:p w14:paraId="515A3E78" w14:textId="77777777" w:rsidR="00C03E5C" w:rsidRPr="003D4A0D" w:rsidRDefault="00C03E5C" w:rsidP="00C03E5C">
      <w:pPr>
        <w:pStyle w:val="ListParagraph"/>
        <w:rPr>
          <w:rFonts w:ascii="Segoe UI" w:eastAsia="Calibri" w:hAnsi="Segoe UI" w:cs="Segoe UI"/>
          <w:sz w:val="22"/>
        </w:rPr>
      </w:pPr>
    </w:p>
    <w:p w14:paraId="0E1B7524" w14:textId="77777777" w:rsidR="00EA34EB" w:rsidRPr="003D4A0D" w:rsidRDefault="00EA34EB" w:rsidP="00A80A17">
      <w:pPr>
        <w:jc w:val="both"/>
        <w:rPr>
          <w:rFonts w:ascii="Segoe UI" w:hAnsi="Segoe UI" w:cs="Segoe UI"/>
          <w:sz w:val="22"/>
        </w:rPr>
      </w:pPr>
      <w:r w:rsidRPr="003D4A0D">
        <w:rPr>
          <w:rFonts w:ascii="Segoe UI" w:hAnsi="Segoe UI" w:cs="Segoe UI"/>
          <w:b/>
          <w:sz w:val="22"/>
        </w:rPr>
        <w:t xml:space="preserve">Buckinghamshire – All Ages Mental Health </w:t>
      </w:r>
      <w:r w:rsidRPr="003D4A0D">
        <w:rPr>
          <w:rFonts w:ascii="Segoe UI" w:hAnsi="Segoe UI" w:cs="Segoe UI"/>
          <w:sz w:val="22"/>
        </w:rPr>
        <w:t xml:space="preserve">achieved </w:t>
      </w:r>
      <w:r w:rsidR="00DD5159" w:rsidRPr="003D4A0D">
        <w:rPr>
          <w:rFonts w:ascii="Segoe UI" w:hAnsi="Segoe UI" w:cs="Segoe UI"/>
          <w:sz w:val="22"/>
        </w:rPr>
        <w:t>28</w:t>
      </w:r>
      <w:r w:rsidR="00DB3604" w:rsidRPr="003D4A0D">
        <w:rPr>
          <w:rFonts w:ascii="Segoe UI" w:hAnsi="Segoe UI" w:cs="Segoe UI"/>
          <w:sz w:val="22"/>
        </w:rPr>
        <w:t xml:space="preserve"> of the </w:t>
      </w:r>
      <w:r w:rsidR="00F83B22" w:rsidRPr="003D4A0D">
        <w:rPr>
          <w:rFonts w:ascii="Segoe UI" w:hAnsi="Segoe UI" w:cs="Segoe UI"/>
          <w:sz w:val="22"/>
        </w:rPr>
        <w:t>4</w:t>
      </w:r>
      <w:r w:rsidR="00DD5159" w:rsidRPr="003D4A0D">
        <w:rPr>
          <w:rFonts w:ascii="Segoe UI" w:hAnsi="Segoe UI" w:cs="Segoe UI"/>
          <w:sz w:val="22"/>
        </w:rPr>
        <w:t>0</w:t>
      </w:r>
      <w:r w:rsidR="009F78D3" w:rsidRPr="003D4A0D">
        <w:rPr>
          <w:rFonts w:ascii="Segoe UI" w:hAnsi="Segoe UI" w:cs="Segoe UI"/>
          <w:sz w:val="22"/>
        </w:rPr>
        <w:t xml:space="preserve"> commissioner</w:t>
      </w:r>
      <w:r w:rsidR="0037248C" w:rsidRPr="003D4A0D">
        <w:rPr>
          <w:rFonts w:ascii="Segoe UI" w:hAnsi="Segoe UI" w:cs="Segoe UI"/>
          <w:sz w:val="22"/>
        </w:rPr>
        <w:t xml:space="preserve"> </w:t>
      </w:r>
      <w:r w:rsidRPr="003D4A0D">
        <w:rPr>
          <w:rFonts w:ascii="Segoe UI" w:hAnsi="Segoe UI" w:cs="Segoe UI"/>
          <w:sz w:val="22"/>
        </w:rPr>
        <w:t>targeted indicators</w:t>
      </w:r>
      <w:r w:rsidR="00DB3604" w:rsidRPr="003D4A0D">
        <w:rPr>
          <w:rFonts w:ascii="Segoe UI" w:hAnsi="Segoe UI" w:cs="Segoe UI"/>
          <w:sz w:val="22"/>
        </w:rPr>
        <w:t xml:space="preserve"> (</w:t>
      </w:r>
      <w:r w:rsidR="00DB7BCD" w:rsidRPr="003D4A0D">
        <w:rPr>
          <w:rFonts w:ascii="Segoe UI" w:hAnsi="Segoe UI" w:cs="Segoe UI"/>
          <w:sz w:val="22"/>
        </w:rPr>
        <w:t>7</w:t>
      </w:r>
      <w:r w:rsidR="00DD5159" w:rsidRPr="003D4A0D">
        <w:rPr>
          <w:rFonts w:ascii="Segoe UI" w:hAnsi="Segoe UI" w:cs="Segoe UI"/>
          <w:sz w:val="22"/>
        </w:rPr>
        <w:t>0</w:t>
      </w:r>
      <w:r w:rsidR="00DB3604" w:rsidRPr="003D4A0D">
        <w:rPr>
          <w:rFonts w:ascii="Segoe UI" w:hAnsi="Segoe UI" w:cs="Segoe UI"/>
          <w:sz w:val="22"/>
        </w:rPr>
        <w:t>%)</w:t>
      </w:r>
      <w:r w:rsidRPr="003D4A0D">
        <w:rPr>
          <w:rFonts w:ascii="Segoe UI" w:hAnsi="Segoe UI" w:cs="Segoe UI"/>
          <w:sz w:val="22"/>
        </w:rPr>
        <w:t xml:space="preserve">.  </w:t>
      </w:r>
    </w:p>
    <w:p w14:paraId="4E698DA4" w14:textId="77777777" w:rsidR="00132863" w:rsidRPr="003D4A0D" w:rsidRDefault="00132863" w:rsidP="00E515DE">
      <w:pPr>
        <w:jc w:val="both"/>
        <w:rPr>
          <w:rFonts w:ascii="Segoe UI" w:hAnsi="Segoe UI" w:cs="Segoe UI"/>
          <w:b/>
          <w:sz w:val="22"/>
        </w:rPr>
      </w:pPr>
    </w:p>
    <w:p w14:paraId="426BA2D2" w14:textId="77777777" w:rsidR="00132863" w:rsidRPr="003D4A0D" w:rsidRDefault="00132863" w:rsidP="00B83953">
      <w:pPr>
        <w:jc w:val="both"/>
        <w:rPr>
          <w:rFonts w:ascii="Segoe UI" w:hAnsi="Segoe UI" w:cs="Segoe UI"/>
          <w:b/>
          <w:sz w:val="22"/>
        </w:rPr>
      </w:pPr>
      <w:r w:rsidRPr="003D4A0D">
        <w:rPr>
          <w:rFonts w:ascii="Segoe UI" w:hAnsi="Segoe UI" w:cs="Segoe UI"/>
          <w:b/>
          <w:sz w:val="22"/>
        </w:rPr>
        <w:t>Highlights for the Board:</w:t>
      </w:r>
    </w:p>
    <w:p w14:paraId="36522EC0" w14:textId="77777777" w:rsidR="00132863" w:rsidRPr="003D4A0D" w:rsidRDefault="00132863" w:rsidP="00E515DE">
      <w:pPr>
        <w:jc w:val="both"/>
        <w:rPr>
          <w:rFonts w:ascii="Segoe UI" w:hAnsi="Segoe UI" w:cs="Segoe UI"/>
          <w:b/>
          <w:sz w:val="22"/>
        </w:rPr>
      </w:pPr>
    </w:p>
    <w:p w14:paraId="09D85B23" w14:textId="3150249A" w:rsidR="00C1197D" w:rsidRPr="003D4A0D" w:rsidRDefault="00B83953" w:rsidP="00FC201E">
      <w:pPr>
        <w:pStyle w:val="ListParagraph"/>
        <w:numPr>
          <w:ilvl w:val="0"/>
          <w:numId w:val="19"/>
        </w:numPr>
        <w:jc w:val="both"/>
        <w:rPr>
          <w:rFonts w:ascii="Segoe UI" w:hAnsi="Segoe UI" w:cs="Segoe UI"/>
          <w:sz w:val="22"/>
        </w:rPr>
      </w:pPr>
      <w:r w:rsidRPr="003D4A0D">
        <w:rPr>
          <w:rFonts w:ascii="Segoe UI" w:hAnsi="Segoe UI" w:cs="Segoe UI"/>
          <w:b/>
          <w:sz w:val="22"/>
        </w:rPr>
        <w:t xml:space="preserve">Bucks </w:t>
      </w:r>
      <w:r w:rsidR="009F78D3" w:rsidRPr="003D4A0D">
        <w:rPr>
          <w:rFonts w:ascii="Segoe UI" w:hAnsi="Segoe UI" w:cs="Segoe UI"/>
          <w:b/>
          <w:sz w:val="22"/>
        </w:rPr>
        <w:t>Care Reviews</w:t>
      </w:r>
      <w:r w:rsidRPr="003D4A0D">
        <w:rPr>
          <w:rFonts w:ascii="Segoe UI" w:hAnsi="Segoe UI" w:cs="Segoe UI"/>
          <w:sz w:val="22"/>
        </w:rPr>
        <w:t xml:space="preserve"> – </w:t>
      </w:r>
      <w:r w:rsidR="009F78D3" w:rsidRPr="003D4A0D">
        <w:rPr>
          <w:rFonts w:ascii="Segoe UI" w:hAnsi="Segoe UI" w:cs="Segoe UI"/>
          <w:sz w:val="22"/>
        </w:rPr>
        <w:t xml:space="preserve">Ensuring that Care Reviews are carried out within the timeframes set out in the clusters continue to be an area of underperformance for the Directorate.  </w:t>
      </w:r>
      <w:r w:rsidR="00DE40B4">
        <w:rPr>
          <w:rFonts w:ascii="Segoe UI" w:hAnsi="Segoe UI" w:cs="Segoe UI"/>
          <w:sz w:val="22"/>
        </w:rPr>
        <w:t xml:space="preserve">As with </w:t>
      </w:r>
      <w:proofErr w:type="spellStart"/>
      <w:r w:rsidR="00DE40B4">
        <w:rPr>
          <w:rFonts w:ascii="Segoe UI" w:hAnsi="Segoe UI" w:cs="Segoe UI"/>
          <w:sz w:val="22"/>
        </w:rPr>
        <w:t>Oxfordshire</w:t>
      </w:r>
      <w:proofErr w:type="spellEnd"/>
      <w:r w:rsidR="00DE40B4">
        <w:rPr>
          <w:rFonts w:ascii="Segoe UI" w:hAnsi="Segoe UI" w:cs="Segoe UI"/>
          <w:sz w:val="22"/>
        </w:rPr>
        <w:t>, the dashboard was rolled out to operational services</w:t>
      </w:r>
      <w:r w:rsidR="00DE1CB0" w:rsidRPr="003D4A0D">
        <w:rPr>
          <w:rFonts w:ascii="Segoe UI" w:hAnsi="Segoe UI" w:cs="Segoe UI"/>
          <w:sz w:val="22"/>
        </w:rPr>
        <w:t xml:space="preserve"> in </w:t>
      </w:r>
      <w:r w:rsidR="003D4A0D">
        <w:rPr>
          <w:rFonts w:ascii="Segoe UI" w:hAnsi="Segoe UI" w:cs="Segoe UI"/>
          <w:sz w:val="22"/>
        </w:rPr>
        <w:t>October</w:t>
      </w:r>
      <w:r w:rsidR="002368CD">
        <w:rPr>
          <w:rFonts w:ascii="Segoe UI" w:hAnsi="Segoe UI" w:cs="Segoe UI"/>
          <w:sz w:val="22"/>
        </w:rPr>
        <w:t>.  Performance will continue to be monitored and a review will be carried out in January 2020.</w:t>
      </w:r>
    </w:p>
    <w:p w14:paraId="4AB52C9E" w14:textId="0C300FE3" w:rsidR="00422FCA" w:rsidRDefault="00422FCA" w:rsidP="00DE1CB0">
      <w:pPr>
        <w:pStyle w:val="ListParagraph"/>
        <w:jc w:val="both"/>
        <w:rPr>
          <w:rFonts w:ascii="Segoe UI" w:hAnsi="Segoe UI" w:cs="Segoe UI"/>
          <w:sz w:val="22"/>
        </w:rPr>
      </w:pPr>
    </w:p>
    <w:p w14:paraId="2ADE385B" w14:textId="2A24BA13" w:rsidR="002368CD" w:rsidRDefault="002368CD" w:rsidP="00DE1CB0">
      <w:pPr>
        <w:pStyle w:val="ListParagraph"/>
        <w:jc w:val="both"/>
        <w:rPr>
          <w:rFonts w:ascii="Segoe UI" w:hAnsi="Segoe UI" w:cs="Segoe UI"/>
          <w:sz w:val="22"/>
        </w:rPr>
      </w:pPr>
    </w:p>
    <w:p w14:paraId="5E033B86" w14:textId="3D0F6E9A" w:rsidR="002368CD" w:rsidRDefault="002368CD" w:rsidP="00DE1CB0">
      <w:pPr>
        <w:pStyle w:val="ListParagraph"/>
        <w:jc w:val="both"/>
        <w:rPr>
          <w:rFonts w:ascii="Segoe UI" w:hAnsi="Segoe UI" w:cs="Segoe UI"/>
          <w:sz w:val="22"/>
        </w:rPr>
      </w:pPr>
    </w:p>
    <w:p w14:paraId="1412EB81" w14:textId="34E17A5F" w:rsidR="002368CD" w:rsidRDefault="002368CD" w:rsidP="00DE1CB0">
      <w:pPr>
        <w:pStyle w:val="ListParagraph"/>
        <w:jc w:val="both"/>
        <w:rPr>
          <w:rFonts w:ascii="Segoe UI" w:hAnsi="Segoe UI" w:cs="Segoe UI"/>
          <w:sz w:val="22"/>
        </w:rPr>
      </w:pPr>
    </w:p>
    <w:p w14:paraId="4920656E" w14:textId="7ADFFB68" w:rsidR="002368CD" w:rsidRDefault="002368CD" w:rsidP="00DE1CB0">
      <w:pPr>
        <w:pStyle w:val="ListParagraph"/>
        <w:jc w:val="both"/>
        <w:rPr>
          <w:rFonts w:ascii="Segoe UI" w:hAnsi="Segoe UI" w:cs="Segoe UI"/>
          <w:sz w:val="22"/>
        </w:rPr>
      </w:pPr>
    </w:p>
    <w:p w14:paraId="7DBCCBCC" w14:textId="77777777" w:rsidR="002368CD" w:rsidRDefault="002368CD" w:rsidP="00DE1CB0">
      <w:pPr>
        <w:pStyle w:val="ListParagraph"/>
        <w:jc w:val="both"/>
        <w:rPr>
          <w:rFonts w:ascii="Segoe UI" w:hAnsi="Segoe UI" w:cs="Segoe UI"/>
          <w:sz w:val="22"/>
        </w:rPr>
      </w:pPr>
    </w:p>
    <w:p w14:paraId="1EB96883" w14:textId="77777777" w:rsidR="00361816" w:rsidRPr="003D4A0D" w:rsidRDefault="00361816" w:rsidP="00A80A17">
      <w:pPr>
        <w:jc w:val="both"/>
        <w:rPr>
          <w:rFonts w:ascii="Segoe UI" w:eastAsia="Calibri" w:hAnsi="Segoe UI" w:cs="Segoe UI"/>
          <w:sz w:val="22"/>
        </w:rPr>
      </w:pPr>
      <w:proofErr w:type="spellStart"/>
      <w:r w:rsidRPr="003D4A0D">
        <w:rPr>
          <w:rFonts w:ascii="Segoe UI" w:eastAsia="Calibri" w:hAnsi="Segoe UI" w:cs="Segoe UI"/>
          <w:b/>
          <w:bCs/>
          <w:sz w:val="22"/>
        </w:rPr>
        <w:t>Oxfordshire</w:t>
      </w:r>
      <w:proofErr w:type="spellEnd"/>
      <w:r w:rsidRPr="003D4A0D">
        <w:rPr>
          <w:rFonts w:ascii="Segoe UI" w:eastAsia="Calibri" w:hAnsi="Segoe UI" w:cs="Segoe UI"/>
          <w:b/>
          <w:bCs/>
          <w:sz w:val="22"/>
        </w:rPr>
        <w:t xml:space="preserve"> Community Services Directorate </w:t>
      </w:r>
      <w:r w:rsidRPr="003D4A0D">
        <w:rPr>
          <w:rFonts w:ascii="Segoe UI" w:eastAsia="Calibri" w:hAnsi="Segoe UI" w:cs="Segoe UI"/>
          <w:sz w:val="22"/>
        </w:rPr>
        <w:t xml:space="preserve">achieved </w:t>
      </w:r>
      <w:r w:rsidR="00177166" w:rsidRPr="003D4A0D">
        <w:rPr>
          <w:rFonts w:ascii="Segoe UI" w:eastAsia="Calibri" w:hAnsi="Segoe UI" w:cs="Segoe UI"/>
          <w:sz w:val="22"/>
        </w:rPr>
        <w:t>32</w:t>
      </w:r>
      <w:r w:rsidRPr="003D4A0D">
        <w:rPr>
          <w:rFonts w:ascii="Segoe UI" w:eastAsia="Calibri" w:hAnsi="Segoe UI" w:cs="Segoe UI"/>
          <w:sz w:val="22"/>
        </w:rPr>
        <w:t xml:space="preserve"> of the </w:t>
      </w:r>
      <w:r w:rsidR="00E52608" w:rsidRPr="003D4A0D">
        <w:rPr>
          <w:rFonts w:ascii="Segoe UI" w:eastAsia="Calibri" w:hAnsi="Segoe UI" w:cs="Segoe UI"/>
          <w:sz w:val="22"/>
        </w:rPr>
        <w:t>45</w:t>
      </w:r>
      <w:r w:rsidR="000B3EA8" w:rsidRPr="003D4A0D">
        <w:rPr>
          <w:rFonts w:ascii="Segoe UI" w:eastAsia="Calibri" w:hAnsi="Segoe UI" w:cs="Segoe UI"/>
          <w:sz w:val="22"/>
        </w:rPr>
        <w:t xml:space="preserve"> commissioner</w:t>
      </w:r>
      <w:r w:rsidRPr="003D4A0D">
        <w:rPr>
          <w:rFonts w:ascii="Segoe UI" w:eastAsia="Calibri" w:hAnsi="Segoe UI" w:cs="Segoe UI"/>
          <w:sz w:val="22"/>
        </w:rPr>
        <w:t xml:space="preserve"> targeted indicators (</w:t>
      </w:r>
      <w:r w:rsidR="006A3128" w:rsidRPr="003D4A0D">
        <w:rPr>
          <w:rFonts w:ascii="Segoe UI" w:eastAsia="Calibri" w:hAnsi="Segoe UI" w:cs="Segoe UI"/>
          <w:sz w:val="22"/>
        </w:rPr>
        <w:t>7</w:t>
      </w:r>
      <w:r w:rsidR="00E52608" w:rsidRPr="003D4A0D">
        <w:rPr>
          <w:rFonts w:ascii="Segoe UI" w:eastAsia="Calibri" w:hAnsi="Segoe UI" w:cs="Segoe UI"/>
          <w:sz w:val="22"/>
        </w:rPr>
        <w:t>1</w:t>
      </w:r>
      <w:r w:rsidRPr="003D4A0D">
        <w:rPr>
          <w:rFonts w:ascii="Segoe UI" w:eastAsia="Calibri" w:hAnsi="Segoe UI" w:cs="Segoe UI"/>
          <w:sz w:val="22"/>
        </w:rPr>
        <w:t>%</w:t>
      </w:r>
      <w:r w:rsidR="00A80A17" w:rsidRPr="003D4A0D">
        <w:rPr>
          <w:rFonts w:ascii="Segoe UI" w:eastAsia="Calibri" w:hAnsi="Segoe UI" w:cs="Segoe UI"/>
          <w:sz w:val="22"/>
        </w:rPr>
        <w:t>)</w:t>
      </w:r>
      <w:r w:rsidRPr="003D4A0D">
        <w:rPr>
          <w:rFonts w:ascii="Segoe UI" w:eastAsia="Calibri" w:hAnsi="Segoe UI" w:cs="Segoe UI"/>
          <w:sz w:val="22"/>
        </w:rPr>
        <w:t xml:space="preserve"> </w:t>
      </w:r>
    </w:p>
    <w:p w14:paraId="49EB1C2B" w14:textId="77777777" w:rsidR="00361816" w:rsidRPr="003D4A0D" w:rsidRDefault="00361816" w:rsidP="00361816">
      <w:pPr>
        <w:jc w:val="both"/>
        <w:rPr>
          <w:rFonts w:ascii="Segoe UI" w:eastAsia="Calibri" w:hAnsi="Segoe UI" w:cs="Segoe UI"/>
          <w:sz w:val="22"/>
        </w:rPr>
      </w:pPr>
    </w:p>
    <w:p w14:paraId="5BA46866" w14:textId="77777777" w:rsidR="00361816" w:rsidRPr="003D4A0D" w:rsidRDefault="00361816" w:rsidP="00361816">
      <w:pPr>
        <w:jc w:val="both"/>
        <w:rPr>
          <w:rFonts w:ascii="Segoe UI" w:eastAsia="Calibri" w:hAnsi="Segoe UI" w:cs="Segoe UI"/>
          <w:b/>
          <w:bCs/>
          <w:sz w:val="22"/>
        </w:rPr>
      </w:pPr>
      <w:r w:rsidRPr="003D4A0D">
        <w:rPr>
          <w:rFonts w:ascii="Segoe UI" w:eastAsia="Calibri" w:hAnsi="Segoe UI" w:cs="Segoe UI"/>
          <w:b/>
          <w:bCs/>
          <w:sz w:val="22"/>
        </w:rPr>
        <w:t>Highlights for the Board:</w:t>
      </w:r>
    </w:p>
    <w:p w14:paraId="4D45F588" w14:textId="77777777" w:rsidR="00A913A8" w:rsidRPr="003D4A0D" w:rsidRDefault="00A913A8" w:rsidP="006A3B8F">
      <w:pPr>
        <w:rPr>
          <w:rFonts w:ascii="Segoe UI" w:hAnsi="Segoe UI" w:cs="Segoe UI"/>
          <w:b/>
          <w:bCs/>
          <w:sz w:val="22"/>
        </w:rPr>
      </w:pPr>
    </w:p>
    <w:p w14:paraId="0FE95281" w14:textId="77777777" w:rsidR="00A913A8" w:rsidRPr="003D4A0D" w:rsidRDefault="00A913A8" w:rsidP="003D4A0D">
      <w:pPr>
        <w:pStyle w:val="ListParagraph"/>
        <w:numPr>
          <w:ilvl w:val="0"/>
          <w:numId w:val="25"/>
        </w:numPr>
        <w:jc w:val="both"/>
        <w:rPr>
          <w:rFonts w:ascii="Segoe UI" w:hAnsi="Segoe UI" w:cs="Segoe UI"/>
          <w:sz w:val="22"/>
        </w:rPr>
      </w:pPr>
      <w:r w:rsidRPr="003D4A0D">
        <w:rPr>
          <w:rFonts w:ascii="Segoe UI" w:hAnsi="Segoe UI" w:cs="Segoe UI"/>
          <w:b/>
          <w:sz w:val="22"/>
        </w:rPr>
        <w:t>Buckinghamshire CHC</w:t>
      </w:r>
      <w:r w:rsidRPr="003D4A0D">
        <w:rPr>
          <w:rFonts w:ascii="Segoe UI" w:hAnsi="Segoe UI" w:cs="Segoe UI"/>
          <w:sz w:val="22"/>
        </w:rPr>
        <w:t xml:space="preserve"> – </w:t>
      </w:r>
      <w:r w:rsidR="003D4A0D">
        <w:rPr>
          <w:rFonts w:ascii="Segoe UI" w:hAnsi="Segoe UI" w:cs="Segoe UI"/>
          <w:sz w:val="22"/>
        </w:rPr>
        <w:t xml:space="preserve">Whilst the </w:t>
      </w:r>
      <w:r w:rsidR="00B00F1F">
        <w:rPr>
          <w:rFonts w:ascii="Segoe UI" w:hAnsi="Segoe UI" w:cs="Segoe UI"/>
          <w:sz w:val="22"/>
        </w:rPr>
        <w:t xml:space="preserve">Trust </w:t>
      </w:r>
      <w:r w:rsidR="003D4A0D">
        <w:rPr>
          <w:rFonts w:ascii="Segoe UI" w:hAnsi="Segoe UI" w:cs="Segoe UI"/>
          <w:sz w:val="22"/>
        </w:rPr>
        <w:t>is</w:t>
      </w:r>
      <w:r w:rsidRPr="003D4A0D">
        <w:rPr>
          <w:rFonts w:ascii="Segoe UI" w:hAnsi="Segoe UI" w:cs="Segoe UI"/>
          <w:sz w:val="22"/>
        </w:rPr>
        <w:t xml:space="preserve"> underperform</w:t>
      </w:r>
      <w:r w:rsidR="003D4A0D">
        <w:rPr>
          <w:rFonts w:ascii="Segoe UI" w:hAnsi="Segoe UI" w:cs="Segoe UI"/>
          <w:sz w:val="22"/>
        </w:rPr>
        <w:t>ing</w:t>
      </w:r>
      <w:r w:rsidRPr="003D4A0D">
        <w:rPr>
          <w:rFonts w:ascii="Segoe UI" w:hAnsi="Segoe UI" w:cs="Segoe UI"/>
          <w:sz w:val="22"/>
        </w:rPr>
        <w:t xml:space="preserve"> against the referrals completed within 28 days target</w:t>
      </w:r>
      <w:r w:rsidR="003D4A0D">
        <w:rPr>
          <w:rFonts w:ascii="Segoe UI" w:hAnsi="Segoe UI" w:cs="Segoe UI"/>
          <w:sz w:val="22"/>
        </w:rPr>
        <w:t>, c</w:t>
      </w:r>
      <w:r w:rsidRPr="003D4A0D">
        <w:rPr>
          <w:rFonts w:ascii="Segoe UI" w:hAnsi="Segoe UI" w:cs="Segoe UI"/>
          <w:sz w:val="22"/>
        </w:rPr>
        <w:t xml:space="preserve">ontinuous improvement </w:t>
      </w:r>
      <w:r w:rsidR="003D4A0D">
        <w:rPr>
          <w:rFonts w:ascii="Segoe UI" w:hAnsi="Segoe UI" w:cs="Segoe UI"/>
          <w:sz w:val="22"/>
        </w:rPr>
        <w:t xml:space="preserve">is being made </w:t>
      </w:r>
      <w:r w:rsidR="00B00F1F">
        <w:rPr>
          <w:rFonts w:ascii="Segoe UI" w:hAnsi="Segoe UI" w:cs="Segoe UI"/>
          <w:sz w:val="22"/>
        </w:rPr>
        <w:t>and the Trust expects the service to achieve the target early next year, subject to resources being available.</w:t>
      </w:r>
      <w:r w:rsidR="00E52608" w:rsidRPr="003D4A0D">
        <w:rPr>
          <w:rFonts w:ascii="Segoe UI" w:hAnsi="Segoe UI" w:cs="Segoe UI"/>
          <w:sz w:val="22"/>
        </w:rPr>
        <w:t xml:space="preserve"> </w:t>
      </w:r>
    </w:p>
    <w:p w14:paraId="050EC827" w14:textId="77777777" w:rsidR="00A913A8" w:rsidRPr="003D4A0D" w:rsidRDefault="00A913A8" w:rsidP="003D4A0D">
      <w:pPr>
        <w:pStyle w:val="ListParagraph"/>
        <w:jc w:val="both"/>
        <w:rPr>
          <w:rFonts w:ascii="Segoe UI" w:hAnsi="Segoe UI" w:cs="Segoe UI"/>
          <w:b/>
          <w:bCs/>
          <w:sz w:val="22"/>
        </w:rPr>
      </w:pPr>
    </w:p>
    <w:p w14:paraId="232136DE" w14:textId="03069E60" w:rsidR="00361816" w:rsidRPr="003D4A0D" w:rsidRDefault="00A913A8" w:rsidP="003D4A0D">
      <w:pPr>
        <w:pStyle w:val="ListParagraph"/>
        <w:numPr>
          <w:ilvl w:val="0"/>
          <w:numId w:val="25"/>
        </w:numPr>
        <w:jc w:val="both"/>
        <w:rPr>
          <w:rFonts w:ascii="Segoe UI" w:eastAsia="Calibri" w:hAnsi="Segoe UI" w:cs="Segoe UI"/>
          <w:sz w:val="22"/>
          <w:lang w:val="en-GB"/>
        </w:rPr>
      </w:pPr>
      <w:proofErr w:type="spellStart"/>
      <w:r w:rsidRPr="003D4A0D">
        <w:rPr>
          <w:rFonts w:ascii="Segoe UI" w:hAnsi="Segoe UI" w:cs="Segoe UI"/>
          <w:b/>
          <w:bCs/>
          <w:sz w:val="22"/>
        </w:rPr>
        <w:t>Oxfordshire</w:t>
      </w:r>
      <w:proofErr w:type="spellEnd"/>
      <w:r w:rsidRPr="003D4A0D">
        <w:rPr>
          <w:rFonts w:ascii="Segoe UI" w:hAnsi="Segoe UI" w:cs="Segoe UI"/>
          <w:b/>
          <w:bCs/>
          <w:sz w:val="22"/>
        </w:rPr>
        <w:t xml:space="preserve"> CHC – </w:t>
      </w:r>
      <w:r w:rsidR="00E52608" w:rsidRPr="003D4A0D">
        <w:rPr>
          <w:rFonts w:ascii="Segoe UI" w:hAnsi="Segoe UI" w:cs="Segoe UI"/>
          <w:bCs/>
          <w:sz w:val="22"/>
        </w:rPr>
        <w:t xml:space="preserve">The Trust continues to underperform against the referrals completed within </w:t>
      </w:r>
      <w:r w:rsidR="00784E14">
        <w:rPr>
          <w:rFonts w:ascii="Segoe UI" w:hAnsi="Segoe UI" w:cs="Segoe UI"/>
          <w:bCs/>
          <w:sz w:val="22"/>
        </w:rPr>
        <w:t xml:space="preserve">the </w:t>
      </w:r>
      <w:proofErr w:type="gramStart"/>
      <w:r w:rsidR="00E52608" w:rsidRPr="003D4A0D">
        <w:rPr>
          <w:rFonts w:ascii="Segoe UI" w:hAnsi="Segoe UI" w:cs="Segoe UI"/>
          <w:bCs/>
          <w:sz w:val="22"/>
        </w:rPr>
        <w:t>28</w:t>
      </w:r>
      <w:r w:rsidR="00784E14">
        <w:rPr>
          <w:rFonts w:ascii="Segoe UI" w:hAnsi="Segoe UI" w:cs="Segoe UI"/>
          <w:bCs/>
          <w:sz w:val="22"/>
        </w:rPr>
        <w:t xml:space="preserve"> </w:t>
      </w:r>
      <w:r w:rsidR="00E52608" w:rsidRPr="003D4A0D">
        <w:rPr>
          <w:rFonts w:ascii="Segoe UI" w:hAnsi="Segoe UI" w:cs="Segoe UI"/>
          <w:bCs/>
          <w:sz w:val="22"/>
        </w:rPr>
        <w:t>day</w:t>
      </w:r>
      <w:proofErr w:type="gramEnd"/>
      <w:r w:rsidR="00E52608" w:rsidRPr="003D4A0D">
        <w:rPr>
          <w:rFonts w:ascii="Segoe UI" w:hAnsi="Segoe UI" w:cs="Segoe UI"/>
          <w:bCs/>
          <w:sz w:val="22"/>
        </w:rPr>
        <w:t xml:space="preserve"> target. The Trust is working closely with </w:t>
      </w:r>
      <w:proofErr w:type="spellStart"/>
      <w:r w:rsidR="00E52608" w:rsidRPr="003D4A0D">
        <w:rPr>
          <w:rFonts w:ascii="Segoe UI" w:hAnsi="Segoe UI" w:cs="Segoe UI"/>
          <w:bCs/>
          <w:sz w:val="22"/>
        </w:rPr>
        <w:t>Oxfordshire</w:t>
      </w:r>
      <w:proofErr w:type="spellEnd"/>
      <w:r w:rsidR="00E52608" w:rsidRPr="003D4A0D">
        <w:rPr>
          <w:rFonts w:ascii="Segoe UI" w:hAnsi="Segoe UI" w:cs="Segoe UI"/>
          <w:bCs/>
          <w:sz w:val="22"/>
        </w:rPr>
        <w:t xml:space="preserve"> CCG </w:t>
      </w:r>
      <w:r w:rsidR="00784E14">
        <w:rPr>
          <w:rFonts w:ascii="Segoe UI" w:hAnsi="Segoe UI" w:cs="Segoe UI"/>
          <w:bCs/>
          <w:sz w:val="22"/>
        </w:rPr>
        <w:t xml:space="preserve">to </w:t>
      </w:r>
      <w:r w:rsidR="00E52608" w:rsidRPr="003D4A0D">
        <w:rPr>
          <w:rFonts w:ascii="Segoe UI" w:hAnsi="Segoe UI" w:cs="Segoe UI"/>
          <w:bCs/>
          <w:sz w:val="22"/>
        </w:rPr>
        <w:t xml:space="preserve">address the underlying reasons, improve commissioning and procurement processes, ensure </w:t>
      </w:r>
      <w:proofErr w:type="spellStart"/>
      <w:r w:rsidR="00E52608" w:rsidRPr="003D4A0D">
        <w:rPr>
          <w:rFonts w:ascii="Segoe UI" w:hAnsi="Segoe UI" w:cs="Segoe UI"/>
          <w:bCs/>
          <w:sz w:val="22"/>
        </w:rPr>
        <w:t>personalisation</w:t>
      </w:r>
      <w:proofErr w:type="spellEnd"/>
      <w:r w:rsidR="00E52608" w:rsidRPr="003D4A0D">
        <w:rPr>
          <w:rFonts w:ascii="Segoe UI" w:hAnsi="Segoe UI" w:cs="Segoe UI"/>
          <w:bCs/>
          <w:sz w:val="22"/>
        </w:rPr>
        <w:t>, and improve overall quality and sustainability.</w:t>
      </w:r>
    </w:p>
    <w:p w14:paraId="4C42AD0D" w14:textId="77777777" w:rsidR="00E52608" w:rsidRPr="003D4A0D" w:rsidRDefault="00E52608" w:rsidP="00E52608">
      <w:pPr>
        <w:pStyle w:val="ListParagraph"/>
        <w:rPr>
          <w:rFonts w:ascii="Segoe UI" w:eastAsia="Calibri" w:hAnsi="Segoe UI" w:cs="Segoe UI"/>
          <w:sz w:val="22"/>
          <w:lang w:val="en-GB"/>
        </w:rPr>
      </w:pPr>
    </w:p>
    <w:p w14:paraId="34F5B3B9" w14:textId="77777777" w:rsidR="000B3EA8" w:rsidRPr="003D4A0D" w:rsidRDefault="00EA34EB" w:rsidP="003D4A0D">
      <w:pPr>
        <w:jc w:val="both"/>
        <w:rPr>
          <w:rFonts w:ascii="Segoe UI" w:hAnsi="Segoe UI" w:cs="Segoe UI"/>
          <w:b/>
          <w:sz w:val="22"/>
        </w:rPr>
      </w:pPr>
      <w:proofErr w:type="spellStart"/>
      <w:r w:rsidRPr="003D4A0D">
        <w:rPr>
          <w:rFonts w:ascii="Segoe UI" w:hAnsi="Segoe UI" w:cs="Segoe UI"/>
          <w:b/>
          <w:sz w:val="22"/>
        </w:rPr>
        <w:t>Speciali</w:t>
      </w:r>
      <w:r w:rsidR="000974F2" w:rsidRPr="003D4A0D">
        <w:rPr>
          <w:rFonts w:ascii="Segoe UI" w:hAnsi="Segoe UI" w:cs="Segoe UI"/>
          <w:b/>
          <w:sz w:val="22"/>
        </w:rPr>
        <w:t>sed</w:t>
      </w:r>
      <w:proofErr w:type="spellEnd"/>
      <w:r w:rsidR="00C37643" w:rsidRPr="003D4A0D">
        <w:rPr>
          <w:rFonts w:ascii="Segoe UI" w:hAnsi="Segoe UI" w:cs="Segoe UI"/>
          <w:b/>
          <w:sz w:val="22"/>
        </w:rPr>
        <w:t xml:space="preserve"> Services</w:t>
      </w:r>
      <w:r w:rsidRPr="003D4A0D">
        <w:rPr>
          <w:rFonts w:ascii="Segoe UI" w:hAnsi="Segoe UI" w:cs="Segoe UI"/>
          <w:b/>
          <w:sz w:val="22"/>
        </w:rPr>
        <w:t xml:space="preserve"> </w:t>
      </w:r>
      <w:r w:rsidRPr="003D4A0D">
        <w:rPr>
          <w:rFonts w:ascii="Segoe UI" w:hAnsi="Segoe UI" w:cs="Segoe UI"/>
          <w:sz w:val="22"/>
        </w:rPr>
        <w:t xml:space="preserve">achieved </w:t>
      </w:r>
      <w:r w:rsidR="004C032A" w:rsidRPr="003D4A0D">
        <w:rPr>
          <w:rFonts w:ascii="Segoe UI" w:hAnsi="Segoe UI" w:cs="Segoe UI"/>
          <w:sz w:val="22"/>
        </w:rPr>
        <w:t>98</w:t>
      </w:r>
      <w:r w:rsidR="00E23391" w:rsidRPr="003D4A0D">
        <w:rPr>
          <w:rFonts w:ascii="Segoe UI" w:hAnsi="Segoe UI" w:cs="Segoe UI"/>
          <w:sz w:val="22"/>
        </w:rPr>
        <w:t xml:space="preserve"> out of 1</w:t>
      </w:r>
      <w:r w:rsidR="004C032A" w:rsidRPr="003D4A0D">
        <w:rPr>
          <w:rFonts w:ascii="Segoe UI" w:hAnsi="Segoe UI" w:cs="Segoe UI"/>
          <w:sz w:val="22"/>
        </w:rPr>
        <w:t>23</w:t>
      </w:r>
      <w:r w:rsidR="009750DE" w:rsidRPr="003D4A0D">
        <w:rPr>
          <w:rFonts w:ascii="Segoe UI" w:hAnsi="Segoe UI" w:cs="Segoe UI"/>
          <w:sz w:val="22"/>
        </w:rPr>
        <w:t xml:space="preserve"> </w:t>
      </w:r>
      <w:r w:rsidRPr="003D4A0D">
        <w:rPr>
          <w:rFonts w:ascii="Segoe UI" w:hAnsi="Segoe UI" w:cs="Segoe UI"/>
          <w:sz w:val="22"/>
        </w:rPr>
        <w:t>targeted indicators</w:t>
      </w:r>
      <w:r w:rsidR="00DB3604" w:rsidRPr="003D4A0D">
        <w:rPr>
          <w:rFonts w:ascii="Segoe UI" w:hAnsi="Segoe UI" w:cs="Segoe UI"/>
          <w:sz w:val="22"/>
        </w:rPr>
        <w:t xml:space="preserve"> (</w:t>
      </w:r>
      <w:r w:rsidR="004C032A" w:rsidRPr="003D4A0D">
        <w:rPr>
          <w:rFonts w:ascii="Segoe UI" w:hAnsi="Segoe UI" w:cs="Segoe UI"/>
          <w:sz w:val="22"/>
        </w:rPr>
        <w:t>80</w:t>
      </w:r>
      <w:r w:rsidR="00965FBF" w:rsidRPr="003D4A0D">
        <w:rPr>
          <w:rFonts w:ascii="Segoe UI" w:hAnsi="Segoe UI" w:cs="Segoe UI"/>
          <w:sz w:val="22"/>
        </w:rPr>
        <w:t>%)</w:t>
      </w:r>
    </w:p>
    <w:p w14:paraId="50FC9E8B" w14:textId="77777777" w:rsidR="00132863" w:rsidRPr="003D4A0D" w:rsidRDefault="00E23391" w:rsidP="003D4A0D">
      <w:pPr>
        <w:pStyle w:val="ListParagraph"/>
        <w:ind w:left="502"/>
        <w:jc w:val="both"/>
        <w:rPr>
          <w:rFonts w:ascii="Segoe UI" w:hAnsi="Segoe UI" w:cs="Segoe UI"/>
          <w:b/>
          <w:sz w:val="22"/>
        </w:rPr>
      </w:pPr>
      <w:r w:rsidRPr="003D4A0D">
        <w:rPr>
          <w:rFonts w:ascii="Segoe UI" w:hAnsi="Segoe UI" w:cs="Segoe UI"/>
          <w:b/>
          <w:sz w:val="22"/>
        </w:rPr>
        <w:t xml:space="preserve"> </w:t>
      </w:r>
    </w:p>
    <w:p w14:paraId="065B0847" w14:textId="77777777" w:rsidR="00132863" w:rsidRPr="003D4A0D" w:rsidRDefault="00132863" w:rsidP="003D4A0D">
      <w:pPr>
        <w:jc w:val="both"/>
        <w:rPr>
          <w:rFonts w:ascii="Segoe UI" w:hAnsi="Segoe UI" w:cs="Segoe UI"/>
          <w:b/>
          <w:sz w:val="22"/>
        </w:rPr>
      </w:pPr>
      <w:r w:rsidRPr="003D4A0D">
        <w:rPr>
          <w:rFonts w:ascii="Segoe UI" w:hAnsi="Segoe UI" w:cs="Segoe UI"/>
          <w:b/>
          <w:sz w:val="22"/>
        </w:rPr>
        <w:t>Highlights for the Board:</w:t>
      </w:r>
    </w:p>
    <w:p w14:paraId="6D592DBC" w14:textId="77777777" w:rsidR="00405D2D" w:rsidRPr="003D4A0D" w:rsidRDefault="00405D2D" w:rsidP="003D4A0D">
      <w:pPr>
        <w:jc w:val="both"/>
        <w:rPr>
          <w:rFonts w:ascii="Segoe UI" w:hAnsi="Segoe UI" w:cs="Segoe UI"/>
          <w:sz w:val="22"/>
        </w:rPr>
      </w:pPr>
    </w:p>
    <w:p w14:paraId="113C6A01" w14:textId="33BB04BF" w:rsidR="00180EDB" w:rsidRPr="003D4A0D" w:rsidRDefault="00012059" w:rsidP="003D4A0D">
      <w:pPr>
        <w:pStyle w:val="ListParagraph"/>
        <w:numPr>
          <w:ilvl w:val="0"/>
          <w:numId w:val="22"/>
        </w:numPr>
        <w:jc w:val="both"/>
        <w:rPr>
          <w:rFonts w:ascii="Segoe UI" w:hAnsi="Segoe UI" w:cs="Segoe UI"/>
          <w:b/>
          <w:sz w:val="22"/>
        </w:rPr>
      </w:pPr>
      <w:r w:rsidRPr="003D4A0D">
        <w:rPr>
          <w:rFonts w:ascii="Segoe UI" w:hAnsi="Segoe UI" w:cs="Segoe UI"/>
          <w:b/>
          <w:sz w:val="22"/>
        </w:rPr>
        <w:t xml:space="preserve">Eating Disorders (Bed Occupancy) </w:t>
      </w:r>
      <w:r w:rsidRPr="003D4A0D">
        <w:rPr>
          <w:rFonts w:ascii="Segoe UI" w:hAnsi="Segoe UI" w:cs="Segoe UI"/>
          <w:sz w:val="22"/>
        </w:rPr>
        <w:t xml:space="preserve">– </w:t>
      </w:r>
      <w:r w:rsidR="0066170A">
        <w:rPr>
          <w:rFonts w:ascii="Segoe UI" w:hAnsi="Segoe UI" w:cs="Segoe UI"/>
          <w:sz w:val="22"/>
        </w:rPr>
        <w:t xml:space="preserve">There have been </w:t>
      </w:r>
      <w:r w:rsidR="009E2EC5">
        <w:rPr>
          <w:rFonts w:ascii="Segoe UI" w:hAnsi="Segoe UI" w:cs="Segoe UI"/>
          <w:sz w:val="22"/>
        </w:rPr>
        <w:t xml:space="preserve">ongoing </w:t>
      </w:r>
      <w:r w:rsidR="0066170A">
        <w:rPr>
          <w:rFonts w:ascii="Segoe UI" w:hAnsi="Segoe UI" w:cs="Segoe UI"/>
          <w:sz w:val="22"/>
        </w:rPr>
        <w:t xml:space="preserve">difficulties in </w:t>
      </w:r>
      <w:r w:rsidR="009E2EC5">
        <w:rPr>
          <w:rFonts w:ascii="Segoe UI" w:hAnsi="Segoe UI" w:cs="Segoe UI"/>
          <w:sz w:val="22"/>
        </w:rPr>
        <w:t>providing beds</w:t>
      </w:r>
      <w:r w:rsidR="0066170A">
        <w:rPr>
          <w:rFonts w:ascii="Segoe UI" w:hAnsi="Segoe UI" w:cs="Segoe UI"/>
          <w:sz w:val="22"/>
        </w:rPr>
        <w:t xml:space="preserve"> due to high dependency patients</w:t>
      </w:r>
      <w:r w:rsidR="005078E5">
        <w:rPr>
          <w:rFonts w:ascii="Segoe UI" w:hAnsi="Segoe UI" w:cs="Segoe UI"/>
          <w:sz w:val="22"/>
        </w:rPr>
        <w:t xml:space="preserve"> and a shortage of workforce</w:t>
      </w:r>
      <w:r w:rsidR="0066170A">
        <w:rPr>
          <w:rFonts w:ascii="Segoe UI" w:hAnsi="Segoe UI" w:cs="Segoe UI"/>
          <w:sz w:val="22"/>
        </w:rPr>
        <w:t xml:space="preserve">.  </w:t>
      </w:r>
      <w:r w:rsidR="00125A85" w:rsidRPr="003D4A0D">
        <w:rPr>
          <w:rFonts w:ascii="Segoe UI" w:hAnsi="Segoe UI" w:cs="Segoe UI"/>
          <w:sz w:val="22"/>
        </w:rPr>
        <w:t xml:space="preserve">The service has implemented a </w:t>
      </w:r>
      <w:r w:rsidR="00EB6A8F">
        <w:rPr>
          <w:rFonts w:ascii="Segoe UI" w:hAnsi="Segoe UI" w:cs="Segoe UI"/>
          <w:sz w:val="22"/>
        </w:rPr>
        <w:t xml:space="preserve">new </w:t>
      </w:r>
      <w:r w:rsidR="00125A85" w:rsidRPr="003D4A0D">
        <w:rPr>
          <w:rFonts w:ascii="Segoe UI" w:hAnsi="Segoe UI" w:cs="Segoe UI"/>
          <w:sz w:val="22"/>
        </w:rPr>
        <w:t>Single Point of Access (SPA) as part of the New Care Model</w:t>
      </w:r>
      <w:r w:rsidR="00EF01D9" w:rsidRPr="003D4A0D">
        <w:rPr>
          <w:rFonts w:ascii="Segoe UI" w:hAnsi="Segoe UI" w:cs="Segoe UI"/>
          <w:sz w:val="22"/>
        </w:rPr>
        <w:t>s improvement work</w:t>
      </w:r>
      <w:r w:rsidR="00125A85" w:rsidRPr="003D4A0D">
        <w:rPr>
          <w:rFonts w:ascii="Segoe UI" w:hAnsi="Segoe UI" w:cs="Segoe UI"/>
          <w:sz w:val="22"/>
        </w:rPr>
        <w:t xml:space="preserve"> </w:t>
      </w:r>
      <w:r w:rsidR="00B00F1F">
        <w:rPr>
          <w:rFonts w:ascii="Segoe UI" w:hAnsi="Segoe UI" w:cs="Segoe UI"/>
          <w:sz w:val="22"/>
        </w:rPr>
        <w:t>and the implementation of this is expected to improve patient flow and bed occupancy levels.</w:t>
      </w:r>
    </w:p>
    <w:p w14:paraId="55BB60A2" w14:textId="77777777" w:rsidR="00EF01D9" w:rsidRPr="003D4A0D" w:rsidRDefault="00EF01D9" w:rsidP="0073522A">
      <w:pPr>
        <w:jc w:val="both"/>
        <w:rPr>
          <w:rFonts w:ascii="Segoe UI" w:hAnsi="Segoe UI" w:cs="Segoe UI"/>
          <w:b/>
          <w:sz w:val="22"/>
        </w:rPr>
      </w:pPr>
    </w:p>
    <w:p w14:paraId="10771081" w14:textId="77777777" w:rsidR="0073522A" w:rsidRPr="003D4A0D" w:rsidRDefault="0073522A" w:rsidP="0073522A">
      <w:pPr>
        <w:jc w:val="both"/>
        <w:rPr>
          <w:rFonts w:ascii="Segoe UI" w:hAnsi="Segoe UI" w:cs="Segoe UI"/>
          <w:sz w:val="22"/>
        </w:rPr>
      </w:pPr>
      <w:r w:rsidRPr="003D4A0D">
        <w:rPr>
          <w:rFonts w:ascii="Segoe UI" w:hAnsi="Segoe UI" w:cs="Segoe UI"/>
          <w:b/>
          <w:sz w:val="22"/>
        </w:rPr>
        <w:t>Recommendation</w:t>
      </w:r>
    </w:p>
    <w:p w14:paraId="42C0DCAF" w14:textId="77777777" w:rsidR="005D3499" w:rsidRPr="003D4A0D" w:rsidRDefault="00F95454">
      <w:pPr>
        <w:jc w:val="both"/>
        <w:rPr>
          <w:rFonts w:ascii="Segoe UI" w:hAnsi="Segoe UI" w:cs="Segoe UI"/>
          <w:sz w:val="22"/>
        </w:rPr>
      </w:pPr>
      <w:r w:rsidRPr="003D4A0D">
        <w:rPr>
          <w:rFonts w:ascii="Segoe UI" w:hAnsi="Segoe UI" w:cs="Segoe UI"/>
          <w:sz w:val="22"/>
        </w:rPr>
        <w:t>The Board of Directors is</w:t>
      </w:r>
      <w:r w:rsidR="00C62464" w:rsidRPr="003D4A0D">
        <w:rPr>
          <w:rFonts w:ascii="Segoe UI" w:hAnsi="Segoe UI" w:cs="Segoe UI"/>
          <w:sz w:val="22"/>
        </w:rPr>
        <w:t xml:space="preserve"> asked to review </w:t>
      </w:r>
      <w:r w:rsidR="00982842" w:rsidRPr="003D4A0D">
        <w:rPr>
          <w:rFonts w:ascii="Segoe UI" w:hAnsi="Segoe UI" w:cs="Segoe UI"/>
          <w:sz w:val="22"/>
        </w:rPr>
        <w:t xml:space="preserve">and note </w:t>
      </w:r>
      <w:r w:rsidR="00C62464" w:rsidRPr="003D4A0D">
        <w:rPr>
          <w:rFonts w:ascii="Segoe UI" w:hAnsi="Segoe UI" w:cs="Segoe UI"/>
          <w:sz w:val="22"/>
        </w:rPr>
        <w:t xml:space="preserve">the </w:t>
      </w:r>
      <w:r w:rsidR="00982842" w:rsidRPr="003D4A0D">
        <w:rPr>
          <w:rFonts w:ascii="Segoe UI" w:hAnsi="Segoe UI" w:cs="Segoe UI"/>
          <w:sz w:val="22"/>
        </w:rPr>
        <w:t xml:space="preserve">Board </w:t>
      </w:r>
      <w:r w:rsidR="00EF01D9" w:rsidRPr="003D4A0D">
        <w:rPr>
          <w:rFonts w:ascii="Segoe UI" w:hAnsi="Segoe UI" w:cs="Segoe UI"/>
          <w:sz w:val="22"/>
        </w:rPr>
        <w:t>P</w:t>
      </w:r>
      <w:r w:rsidR="00982842" w:rsidRPr="003D4A0D">
        <w:rPr>
          <w:rFonts w:ascii="Segoe UI" w:hAnsi="Segoe UI" w:cs="Segoe UI"/>
          <w:sz w:val="22"/>
        </w:rPr>
        <w:t xml:space="preserve">erformance </w:t>
      </w:r>
      <w:r w:rsidR="00EF01D9" w:rsidRPr="003D4A0D">
        <w:rPr>
          <w:rFonts w:ascii="Segoe UI" w:hAnsi="Segoe UI" w:cs="Segoe UI"/>
          <w:sz w:val="22"/>
        </w:rPr>
        <w:t>R</w:t>
      </w:r>
      <w:r w:rsidR="00982842" w:rsidRPr="003D4A0D">
        <w:rPr>
          <w:rFonts w:ascii="Segoe UI" w:hAnsi="Segoe UI" w:cs="Segoe UI"/>
          <w:sz w:val="22"/>
        </w:rPr>
        <w:t>eport.</w:t>
      </w:r>
    </w:p>
    <w:p w14:paraId="7BDF0BC6" w14:textId="77777777" w:rsidR="00982842" w:rsidRPr="003D4A0D" w:rsidRDefault="00982842">
      <w:pPr>
        <w:jc w:val="both"/>
        <w:rPr>
          <w:rFonts w:ascii="Segoe UI" w:hAnsi="Segoe UI" w:cs="Segoe UI"/>
          <w:b/>
          <w:sz w:val="22"/>
        </w:rPr>
      </w:pPr>
    </w:p>
    <w:p w14:paraId="36D3A1D7" w14:textId="77777777" w:rsidR="00C14C3B" w:rsidRPr="003D4A0D" w:rsidRDefault="002619EF" w:rsidP="00EF01D9">
      <w:pPr>
        <w:ind w:left="1440" w:hanging="1440"/>
        <w:jc w:val="both"/>
        <w:rPr>
          <w:rFonts w:ascii="Segoe UI" w:hAnsi="Segoe UI" w:cs="Segoe UI"/>
          <w:sz w:val="22"/>
        </w:rPr>
      </w:pPr>
      <w:r w:rsidRPr="003D4A0D">
        <w:rPr>
          <w:rFonts w:ascii="Segoe UI" w:hAnsi="Segoe UI" w:cs="Segoe UI"/>
          <w:b/>
          <w:sz w:val="22"/>
        </w:rPr>
        <w:t>Author and T</w:t>
      </w:r>
      <w:r w:rsidR="0073522A" w:rsidRPr="003D4A0D">
        <w:rPr>
          <w:rFonts w:ascii="Segoe UI" w:hAnsi="Segoe UI" w:cs="Segoe UI"/>
          <w:b/>
          <w:sz w:val="22"/>
        </w:rPr>
        <w:t>itle:</w:t>
      </w:r>
      <w:r w:rsidR="0073522A" w:rsidRPr="003D4A0D">
        <w:rPr>
          <w:rFonts w:ascii="Segoe UI" w:hAnsi="Segoe UI" w:cs="Segoe UI"/>
          <w:sz w:val="22"/>
        </w:rPr>
        <w:t xml:space="preserve"> </w:t>
      </w:r>
      <w:r w:rsidR="00B129F4" w:rsidRPr="003D4A0D">
        <w:rPr>
          <w:rFonts w:ascii="Segoe UI" w:hAnsi="Segoe UI" w:cs="Segoe UI"/>
          <w:sz w:val="22"/>
        </w:rPr>
        <w:t xml:space="preserve"> </w:t>
      </w:r>
      <w:r w:rsidR="00C36082" w:rsidRPr="003D4A0D">
        <w:rPr>
          <w:rFonts w:ascii="Segoe UI" w:hAnsi="Segoe UI" w:cs="Segoe UI"/>
          <w:sz w:val="22"/>
        </w:rPr>
        <w:t xml:space="preserve">Martyn Ward – </w:t>
      </w:r>
      <w:r w:rsidR="00BF72AE" w:rsidRPr="003D4A0D">
        <w:rPr>
          <w:rFonts w:ascii="Segoe UI" w:hAnsi="Segoe UI" w:cs="Segoe UI"/>
          <w:sz w:val="22"/>
        </w:rPr>
        <w:t xml:space="preserve">Director of </w:t>
      </w:r>
      <w:r w:rsidR="00C77CF2" w:rsidRPr="003D4A0D">
        <w:rPr>
          <w:rFonts w:ascii="Segoe UI" w:hAnsi="Segoe UI" w:cs="Segoe UI"/>
          <w:sz w:val="22"/>
        </w:rPr>
        <w:t xml:space="preserve">Strategy &amp; </w:t>
      </w:r>
      <w:r w:rsidR="00C24259" w:rsidRPr="003D4A0D">
        <w:rPr>
          <w:rFonts w:ascii="Segoe UI" w:hAnsi="Segoe UI" w:cs="Segoe UI"/>
          <w:sz w:val="22"/>
        </w:rPr>
        <w:t xml:space="preserve">Chief Information </w:t>
      </w:r>
      <w:r w:rsidR="00B129F4" w:rsidRPr="003D4A0D">
        <w:rPr>
          <w:rFonts w:ascii="Segoe UI" w:hAnsi="Segoe UI" w:cs="Segoe UI"/>
          <w:sz w:val="22"/>
        </w:rPr>
        <w:t>O</w:t>
      </w:r>
      <w:r w:rsidR="00C24259" w:rsidRPr="003D4A0D">
        <w:rPr>
          <w:rFonts w:ascii="Segoe UI" w:hAnsi="Segoe UI" w:cs="Segoe UI"/>
          <w:sz w:val="22"/>
        </w:rPr>
        <w:t>fficer</w:t>
      </w:r>
    </w:p>
    <w:p w14:paraId="6FF49922" w14:textId="77777777" w:rsidR="00C14C3B" w:rsidRPr="003D4A0D" w:rsidRDefault="00C14C3B" w:rsidP="00EF01D9">
      <w:pPr>
        <w:ind w:left="1440" w:hanging="1440"/>
        <w:jc w:val="both"/>
        <w:rPr>
          <w:rFonts w:ascii="Segoe UI" w:hAnsi="Segoe UI" w:cs="Segoe UI"/>
          <w:sz w:val="18"/>
          <w:szCs w:val="20"/>
        </w:rPr>
      </w:pPr>
    </w:p>
    <w:p w14:paraId="15A39A00" w14:textId="77777777" w:rsidR="00C14C3B" w:rsidRPr="003D4A0D" w:rsidRDefault="00C14C3B" w:rsidP="00C14C3B">
      <w:pPr>
        <w:jc w:val="both"/>
        <w:rPr>
          <w:rFonts w:ascii="Segoe UI" w:hAnsi="Segoe UI" w:cs="Segoe UI"/>
          <w:b/>
          <w:sz w:val="18"/>
          <w:szCs w:val="20"/>
        </w:rPr>
      </w:pPr>
    </w:p>
    <w:p w14:paraId="4057B429" w14:textId="77777777" w:rsidR="00C14C3B" w:rsidRDefault="00C14C3B" w:rsidP="00C14C3B">
      <w:pPr>
        <w:jc w:val="both"/>
        <w:rPr>
          <w:rFonts w:ascii="Segoe UI" w:hAnsi="Segoe UI" w:cs="Segoe UI"/>
          <w:b/>
          <w:sz w:val="20"/>
          <w:szCs w:val="20"/>
        </w:rPr>
      </w:pPr>
    </w:p>
    <w:p w14:paraId="7FA771A4" w14:textId="77777777" w:rsidR="00C14C3B" w:rsidRDefault="00C14C3B" w:rsidP="00C14C3B">
      <w:pPr>
        <w:jc w:val="both"/>
        <w:rPr>
          <w:rFonts w:ascii="Segoe UI" w:hAnsi="Segoe UI" w:cs="Segoe UI"/>
          <w:b/>
          <w:sz w:val="20"/>
          <w:szCs w:val="20"/>
        </w:rPr>
      </w:pPr>
    </w:p>
    <w:p w14:paraId="55BF9E3B" w14:textId="77777777" w:rsidR="00C14C3B" w:rsidRDefault="00C14C3B" w:rsidP="00C14C3B">
      <w:pPr>
        <w:jc w:val="both"/>
        <w:rPr>
          <w:rFonts w:ascii="Segoe UI" w:hAnsi="Segoe UI" w:cs="Segoe UI"/>
          <w:b/>
          <w:sz w:val="20"/>
          <w:szCs w:val="20"/>
        </w:rPr>
      </w:pPr>
    </w:p>
    <w:p w14:paraId="33262ECD" w14:textId="77777777" w:rsidR="00C14C3B" w:rsidRDefault="00C14C3B" w:rsidP="00C14C3B">
      <w:pPr>
        <w:jc w:val="both"/>
        <w:rPr>
          <w:rFonts w:ascii="Segoe UI" w:hAnsi="Segoe UI" w:cs="Segoe UI"/>
          <w:b/>
          <w:sz w:val="20"/>
          <w:szCs w:val="20"/>
        </w:rPr>
      </w:pPr>
    </w:p>
    <w:p w14:paraId="5ADE417E" w14:textId="77777777" w:rsidR="003D4A0D" w:rsidRDefault="003D4A0D" w:rsidP="00C14C3B">
      <w:pPr>
        <w:jc w:val="both"/>
        <w:rPr>
          <w:rFonts w:ascii="Segoe UI" w:hAnsi="Segoe UI" w:cs="Segoe UI"/>
          <w:b/>
          <w:sz w:val="20"/>
          <w:szCs w:val="20"/>
        </w:rPr>
      </w:pPr>
    </w:p>
    <w:p w14:paraId="1B836281" w14:textId="77777777" w:rsidR="003D4A0D" w:rsidRDefault="003D4A0D" w:rsidP="00C14C3B">
      <w:pPr>
        <w:jc w:val="both"/>
        <w:rPr>
          <w:rFonts w:ascii="Segoe UI" w:hAnsi="Segoe UI" w:cs="Segoe UI"/>
          <w:b/>
          <w:sz w:val="20"/>
          <w:szCs w:val="20"/>
        </w:rPr>
      </w:pPr>
    </w:p>
    <w:p w14:paraId="1A66BFA3" w14:textId="77777777" w:rsidR="003D4A0D" w:rsidRDefault="003D4A0D" w:rsidP="00C14C3B">
      <w:pPr>
        <w:jc w:val="both"/>
        <w:rPr>
          <w:rFonts w:ascii="Segoe UI" w:hAnsi="Segoe UI" w:cs="Segoe UI"/>
          <w:b/>
          <w:sz w:val="20"/>
          <w:szCs w:val="20"/>
        </w:rPr>
      </w:pPr>
    </w:p>
    <w:p w14:paraId="72D2A2B5" w14:textId="77777777" w:rsidR="003D4A0D" w:rsidRDefault="003D4A0D" w:rsidP="00C14C3B">
      <w:pPr>
        <w:jc w:val="both"/>
        <w:rPr>
          <w:rFonts w:ascii="Segoe UI" w:hAnsi="Segoe UI" w:cs="Segoe UI"/>
          <w:b/>
          <w:sz w:val="20"/>
          <w:szCs w:val="20"/>
        </w:rPr>
      </w:pPr>
    </w:p>
    <w:p w14:paraId="15B8F96F" w14:textId="77777777" w:rsidR="003D4A0D" w:rsidRDefault="003D4A0D" w:rsidP="00C14C3B">
      <w:pPr>
        <w:jc w:val="both"/>
        <w:rPr>
          <w:rFonts w:ascii="Segoe UI" w:hAnsi="Segoe UI" w:cs="Segoe UI"/>
          <w:b/>
          <w:sz w:val="20"/>
          <w:szCs w:val="20"/>
        </w:rPr>
      </w:pPr>
    </w:p>
    <w:p w14:paraId="7445DE94" w14:textId="77777777" w:rsidR="003D4A0D" w:rsidRDefault="003D4A0D" w:rsidP="00C14C3B">
      <w:pPr>
        <w:jc w:val="both"/>
        <w:rPr>
          <w:rFonts w:ascii="Segoe UI" w:hAnsi="Segoe UI" w:cs="Segoe UI"/>
          <w:b/>
          <w:sz w:val="20"/>
          <w:szCs w:val="20"/>
        </w:rPr>
      </w:pPr>
    </w:p>
    <w:p w14:paraId="3778CA01" w14:textId="77777777" w:rsidR="003D4A0D" w:rsidRDefault="003D4A0D" w:rsidP="00C14C3B">
      <w:pPr>
        <w:jc w:val="both"/>
        <w:rPr>
          <w:rFonts w:ascii="Segoe UI" w:hAnsi="Segoe UI" w:cs="Segoe UI"/>
          <w:b/>
          <w:sz w:val="20"/>
          <w:szCs w:val="20"/>
        </w:rPr>
      </w:pPr>
    </w:p>
    <w:p w14:paraId="2FEA541E" w14:textId="77777777" w:rsidR="003D4A0D" w:rsidRDefault="003D4A0D" w:rsidP="00C14C3B">
      <w:pPr>
        <w:jc w:val="both"/>
        <w:rPr>
          <w:rFonts w:ascii="Segoe UI" w:hAnsi="Segoe UI" w:cs="Segoe UI"/>
          <w:b/>
          <w:sz w:val="20"/>
          <w:szCs w:val="20"/>
        </w:rPr>
      </w:pPr>
    </w:p>
    <w:p w14:paraId="4BA9CEE0" w14:textId="77777777" w:rsidR="00C14C3B" w:rsidRDefault="00C14C3B" w:rsidP="00C14C3B">
      <w:pPr>
        <w:jc w:val="both"/>
        <w:rPr>
          <w:rFonts w:ascii="Segoe UI" w:hAnsi="Segoe UI" w:cs="Segoe UI"/>
          <w:b/>
          <w:sz w:val="20"/>
          <w:szCs w:val="20"/>
        </w:rPr>
      </w:pPr>
    </w:p>
    <w:p w14:paraId="4C724842" w14:textId="77777777" w:rsidR="00C14C3B" w:rsidRDefault="00C14C3B" w:rsidP="00C14C3B">
      <w:pPr>
        <w:jc w:val="both"/>
        <w:rPr>
          <w:rFonts w:ascii="Segoe UI" w:hAnsi="Segoe UI" w:cs="Segoe UI"/>
          <w:b/>
          <w:sz w:val="20"/>
          <w:szCs w:val="20"/>
        </w:rPr>
      </w:pPr>
    </w:p>
    <w:p w14:paraId="574AE07F" w14:textId="77777777" w:rsidR="00C14C3B" w:rsidRDefault="00C14C3B" w:rsidP="00C14C3B">
      <w:pPr>
        <w:jc w:val="both"/>
        <w:rPr>
          <w:rFonts w:ascii="Segoe UI" w:hAnsi="Segoe UI" w:cs="Segoe UI"/>
          <w:b/>
          <w:sz w:val="20"/>
          <w:szCs w:val="20"/>
        </w:rPr>
      </w:pPr>
    </w:p>
    <w:p w14:paraId="6E933DC7" w14:textId="77777777" w:rsidR="00C14C3B" w:rsidRDefault="00C14C3B" w:rsidP="00C14C3B">
      <w:pPr>
        <w:jc w:val="both"/>
        <w:rPr>
          <w:rFonts w:ascii="Segoe UI" w:hAnsi="Segoe UI" w:cs="Segoe UI"/>
          <w:b/>
          <w:sz w:val="20"/>
          <w:szCs w:val="20"/>
        </w:rPr>
      </w:pPr>
    </w:p>
    <w:p w14:paraId="21B5ECBD" w14:textId="77777777" w:rsidR="00DD5159" w:rsidRDefault="00DD5159" w:rsidP="00C14C3B">
      <w:pPr>
        <w:jc w:val="both"/>
        <w:rPr>
          <w:rFonts w:ascii="Segoe UI" w:hAnsi="Segoe UI" w:cs="Segoe UI"/>
          <w:b/>
          <w:sz w:val="20"/>
          <w:szCs w:val="20"/>
        </w:rPr>
      </w:pPr>
    </w:p>
    <w:p w14:paraId="5B47C26F" w14:textId="4F54A56C" w:rsidR="00C14C3B" w:rsidRDefault="00C14C3B" w:rsidP="00C14C3B">
      <w:pPr>
        <w:jc w:val="both"/>
        <w:rPr>
          <w:rFonts w:ascii="Segoe UI" w:hAnsi="Segoe UI" w:cs="Segoe UI"/>
          <w:b/>
          <w:sz w:val="20"/>
          <w:szCs w:val="20"/>
        </w:rPr>
      </w:pPr>
      <w:r w:rsidRPr="00A12EFD">
        <w:rPr>
          <w:rFonts w:ascii="Segoe UI" w:hAnsi="Segoe UI" w:cs="Segoe UI"/>
          <w:b/>
          <w:sz w:val="20"/>
          <w:szCs w:val="20"/>
        </w:rPr>
        <w:t>Appendix 1 – Patient Access and Flow</w:t>
      </w:r>
    </w:p>
    <w:p w14:paraId="6AFB09DE" w14:textId="77777777" w:rsidR="00C14C3B" w:rsidRPr="009F78D3" w:rsidRDefault="00C14C3B" w:rsidP="00C14C3B">
      <w:pPr>
        <w:jc w:val="both"/>
        <w:rPr>
          <w:rFonts w:ascii="Segoe UI" w:hAnsi="Segoe UI" w:cs="Segoe UI"/>
          <w:b/>
          <w:sz w:val="20"/>
          <w:szCs w:val="20"/>
        </w:rPr>
      </w:pPr>
    </w:p>
    <w:p w14:paraId="3BB678EB" w14:textId="158C8E21" w:rsidR="009F78D3" w:rsidRDefault="00102321" w:rsidP="00C14C3B">
      <w:pPr>
        <w:ind w:left="1440" w:hanging="1440"/>
        <w:jc w:val="both"/>
        <w:rPr>
          <w:rFonts w:ascii="Segoe UI" w:hAnsi="Segoe UI" w:cs="Segoe UI"/>
          <w:sz w:val="20"/>
          <w:szCs w:val="20"/>
        </w:rPr>
      </w:pPr>
      <w:r w:rsidRPr="00102321">
        <w:rPr>
          <w:noProof/>
        </w:rPr>
        <w:drawing>
          <wp:inline distT="0" distB="0" distL="0" distR="0" wp14:anchorId="3774A04E" wp14:editId="00CED1A2">
            <wp:extent cx="6513501" cy="36957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91" cy="370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8D3" w:rsidSect="00F14E34">
      <w:headerReference w:type="default" r:id="rId17"/>
      <w:footerReference w:type="default" r:id="rId18"/>
      <w:pgSz w:w="12240" w:h="15840"/>
      <w:pgMar w:top="1440" w:right="180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1DE61" w14:textId="77777777" w:rsidR="009C7D81" w:rsidRDefault="009C7D81" w:rsidP="005B3E3C">
      <w:r>
        <w:separator/>
      </w:r>
    </w:p>
  </w:endnote>
  <w:endnote w:type="continuationSeparator" w:id="0">
    <w:p w14:paraId="3CED84DE" w14:textId="77777777" w:rsidR="009C7D81" w:rsidRDefault="009C7D81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utiger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051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D5D79" w14:textId="77777777" w:rsidR="00B418F5" w:rsidRDefault="00B418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97AF98" w14:textId="77777777" w:rsidR="00B418F5" w:rsidRDefault="00B41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91C14" w14:textId="77777777" w:rsidR="009C7D81" w:rsidRDefault="009C7D81" w:rsidP="005B3E3C">
      <w:r>
        <w:separator/>
      </w:r>
    </w:p>
  </w:footnote>
  <w:footnote w:type="continuationSeparator" w:id="0">
    <w:p w14:paraId="20A40987" w14:textId="77777777" w:rsidR="009C7D81" w:rsidRDefault="009C7D81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AE933" w14:textId="77777777" w:rsidR="00781566" w:rsidRPr="005B3E3C" w:rsidRDefault="006E3C3E" w:rsidP="005B3E3C">
    <w:pPr>
      <w:pStyle w:val="Header"/>
      <w:jc w:val="center"/>
      <w:rPr>
        <w:rFonts w:ascii="Arial" w:hAnsi="Arial" w:cs="Arial"/>
      </w:rPr>
    </w:pPr>
    <w:r w:rsidRPr="006E3C3E">
      <w:rPr>
        <w:rFonts w:ascii="Arial" w:hAnsi="Arial" w:cs="Arial"/>
        <w:b/>
        <w:i/>
      </w:rPr>
      <w:t>P</w:t>
    </w:r>
    <w:r w:rsidR="003066A9">
      <w:rPr>
        <w:rFonts w:ascii="Arial" w:hAnsi="Arial" w:cs="Arial"/>
        <w:b/>
        <w:i/>
      </w:rPr>
      <w:t>ublic</w:t>
    </w:r>
    <w:r w:rsidRPr="006E3C3E">
      <w:rPr>
        <w:rFonts w:ascii="Arial" w:hAnsi="Arial" w:cs="Arial"/>
        <w:b/>
        <w:i/>
      </w:rPr>
      <w:t xml:space="preserve"> </w:t>
    </w:r>
    <w:r w:rsidR="003066A9">
      <w:rPr>
        <w:rFonts w:ascii="Arial" w:hAnsi="Arial" w:cs="Arial"/>
        <w:b/>
        <w:i/>
      </w:rPr>
      <w:t>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2B68"/>
    <w:multiLevelType w:val="hybridMultilevel"/>
    <w:tmpl w:val="CBF2B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70688"/>
    <w:multiLevelType w:val="hybridMultilevel"/>
    <w:tmpl w:val="74F43184"/>
    <w:lvl w:ilvl="0" w:tplc="FFFAC73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2857"/>
    <w:multiLevelType w:val="hybridMultilevel"/>
    <w:tmpl w:val="F9FCD1C4"/>
    <w:lvl w:ilvl="0" w:tplc="B7ACCD3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76DD"/>
    <w:multiLevelType w:val="hybridMultilevel"/>
    <w:tmpl w:val="8B9AF6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FD2D9B"/>
    <w:multiLevelType w:val="hybridMultilevel"/>
    <w:tmpl w:val="0E8699A8"/>
    <w:lvl w:ilvl="0" w:tplc="51C6718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E3839"/>
    <w:multiLevelType w:val="hybridMultilevel"/>
    <w:tmpl w:val="73365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C32DF"/>
    <w:multiLevelType w:val="hybridMultilevel"/>
    <w:tmpl w:val="50C62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6678F"/>
    <w:multiLevelType w:val="hybridMultilevel"/>
    <w:tmpl w:val="6CE06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6656"/>
    <w:multiLevelType w:val="hybridMultilevel"/>
    <w:tmpl w:val="155A5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8614C"/>
    <w:multiLevelType w:val="hybridMultilevel"/>
    <w:tmpl w:val="6C069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7202E"/>
    <w:multiLevelType w:val="hybridMultilevel"/>
    <w:tmpl w:val="E41A5620"/>
    <w:lvl w:ilvl="0" w:tplc="0276CA7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81543"/>
    <w:multiLevelType w:val="hybridMultilevel"/>
    <w:tmpl w:val="F7CABEC6"/>
    <w:lvl w:ilvl="0" w:tplc="6602F1C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60E94"/>
    <w:multiLevelType w:val="hybridMultilevel"/>
    <w:tmpl w:val="49802B04"/>
    <w:lvl w:ilvl="0" w:tplc="DD769A3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E4AF2"/>
    <w:multiLevelType w:val="hybridMultilevel"/>
    <w:tmpl w:val="99725AB2"/>
    <w:lvl w:ilvl="0" w:tplc="96024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01369"/>
    <w:multiLevelType w:val="hybridMultilevel"/>
    <w:tmpl w:val="8946AF4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5" w15:restartNumberingAfterBreak="0">
    <w:nsid w:val="44081F66"/>
    <w:multiLevelType w:val="hybridMultilevel"/>
    <w:tmpl w:val="FCF4E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0D6005"/>
    <w:multiLevelType w:val="hybridMultilevel"/>
    <w:tmpl w:val="0BA062CE"/>
    <w:lvl w:ilvl="0" w:tplc="0BD2EE8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B4741"/>
    <w:multiLevelType w:val="hybridMultilevel"/>
    <w:tmpl w:val="E506B98E"/>
    <w:lvl w:ilvl="0" w:tplc="CA06E2B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1F25AD"/>
    <w:multiLevelType w:val="hybridMultilevel"/>
    <w:tmpl w:val="22E28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A5E0E"/>
    <w:multiLevelType w:val="hybridMultilevel"/>
    <w:tmpl w:val="15CC9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2D20DC"/>
    <w:multiLevelType w:val="hybridMultilevel"/>
    <w:tmpl w:val="F45026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1E7606"/>
    <w:multiLevelType w:val="hybridMultilevel"/>
    <w:tmpl w:val="8B442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54DD5"/>
    <w:multiLevelType w:val="hybridMultilevel"/>
    <w:tmpl w:val="3160A908"/>
    <w:lvl w:ilvl="0" w:tplc="48CC0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11"/>
  </w:num>
  <w:num w:numId="5">
    <w:abstractNumId w:val="18"/>
  </w:num>
  <w:num w:numId="6">
    <w:abstractNumId w:val="2"/>
  </w:num>
  <w:num w:numId="7">
    <w:abstractNumId w:val="13"/>
  </w:num>
  <w:num w:numId="8">
    <w:abstractNumId w:val="10"/>
  </w:num>
  <w:num w:numId="9">
    <w:abstractNumId w:val="4"/>
  </w:num>
  <w:num w:numId="10">
    <w:abstractNumId w:val="12"/>
  </w:num>
  <w:num w:numId="11">
    <w:abstractNumId w:val="21"/>
  </w:num>
  <w:num w:numId="12">
    <w:abstractNumId w:val="6"/>
  </w:num>
  <w:num w:numId="13">
    <w:abstractNumId w:val="7"/>
  </w:num>
  <w:num w:numId="14">
    <w:abstractNumId w:val="23"/>
  </w:num>
  <w:num w:numId="15">
    <w:abstractNumId w:val="0"/>
  </w:num>
  <w:num w:numId="16">
    <w:abstractNumId w:val="17"/>
  </w:num>
  <w:num w:numId="17">
    <w:abstractNumId w:val="24"/>
  </w:num>
  <w:num w:numId="18">
    <w:abstractNumId w:val="25"/>
  </w:num>
  <w:num w:numId="19">
    <w:abstractNumId w:val="20"/>
  </w:num>
  <w:num w:numId="20">
    <w:abstractNumId w:val="15"/>
  </w:num>
  <w:num w:numId="21">
    <w:abstractNumId w:val="8"/>
  </w:num>
  <w:num w:numId="22">
    <w:abstractNumId w:val="5"/>
  </w:num>
  <w:num w:numId="23">
    <w:abstractNumId w:val="14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"/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E8"/>
    <w:rsid w:val="00007830"/>
    <w:rsid w:val="000104E4"/>
    <w:rsid w:val="0001134C"/>
    <w:rsid w:val="00012059"/>
    <w:rsid w:val="00013A7D"/>
    <w:rsid w:val="00014845"/>
    <w:rsid w:val="00015744"/>
    <w:rsid w:val="000161D5"/>
    <w:rsid w:val="00016B35"/>
    <w:rsid w:val="00023074"/>
    <w:rsid w:val="00024D76"/>
    <w:rsid w:val="00026260"/>
    <w:rsid w:val="000302E0"/>
    <w:rsid w:val="00031871"/>
    <w:rsid w:val="0003209B"/>
    <w:rsid w:val="00034311"/>
    <w:rsid w:val="000344E6"/>
    <w:rsid w:val="00036D9C"/>
    <w:rsid w:val="00041960"/>
    <w:rsid w:val="00045966"/>
    <w:rsid w:val="000459D5"/>
    <w:rsid w:val="00047911"/>
    <w:rsid w:val="00050037"/>
    <w:rsid w:val="0005194A"/>
    <w:rsid w:val="00053FB7"/>
    <w:rsid w:val="00057F0B"/>
    <w:rsid w:val="0006115B"/>
    <w:rsid w:val="00063499"/>
    <w:rsid w:val="00071531"/>
    <w:rsid w:val="000726FF"/>
    <w:rsid w:val="0007305A"/>
    <w:rsid w:val="00080E72"/>
    <w:rsid w:val="0008281A"/>
    <w:rsid w:val="00092197"/>
    <w:rsid w:val="00095F98"/>
    <w:rsid w:val="000974F2"/>
    <w:rsid w:val="000A0020"/>
    <w:rsid w:val="000A1AF7"/>
    <w:rsid w:val="000A2B61"/>
    <w:rsid w:val="000A3319"/>
    <w:rsid w:val="000A3DB3"/>
    <w:rsid w:val="000A47D9"/>
    <w:rsid w:val="000B133B"/>
    <w:rsid w:val="000B3EA8"/>
    <w:rsid w:val="000B45A6"/>
    <w:rsid w:val="000B77F9"/>
    <w:rsid w:val="000C0988"/>
    <w:rsid w:val="000D24FB"/>
    <w:rsid w:val="000E28AF"/>
    <w:rsid w:val="000E317C"/>
    <w:rsid w:val="000E49A0"/>
    <w:rsid w:val="000E5986"/>
    <w:rsid w:val="000E7059"/>
    <w:rsid w:val="000E7AD1"/>
    <w:rsid w:val="000F2610"/>
    <w:rsid w:val="000F47AD"/>
    <w:rsid w:val="000F4C46"/>
    <w:rsid w:val="000F77BF"/>
    <w:rsid w:val="00101A21"/>
    <w:rsid w:val="00102321"/>
    <w:rsid w:val="00102E4F"/>
    <w:rsid w:val="00103519"/>
    <w:rsid w:val="00105532"/>
    <w:rsid w:val="0010685F"/>
    <w:rsid w:val="00107AAC"/>
    <w:rsid w:val="00110E24"/>
    <w:rsid w:val="001123A3"/>
    <w:rsid w:val="00113C22"/>
    <w:rsid w:val="001141A1"/>
    <w:rsid w:val="00120A2A"/>
    <w:rsid w:val="00125A85"/>
    <w:rsid w:val="00130D9D"/>
    <w:rsid w:val="00130E60"/>
    <w:rsid w:val="00132863"/>
    <w:rsid w:val="00132BED"/>
    <w:rsid w:val="00136461"/>
    <w:rsid w:val="00141763"/>
    <w:rsid w:val="00142BB1"/>
    <w:rsid w:val="0014509D"/>
    <w:rsid w:val="0014622C"/>
    <w:rsid w:val="00146C68"/>
    <w:rsid w:val="001512FB"/>
    <w:rsid w:val="001513D5"/>
    <w:rsid w:val="00152B4C"/>
    <w:rsid w:val="001542F5"/>
    <w:rsid w:val="0015532C"/>
    <w:rsid w:val="001604E3"/>
    <w:rsid w:val="00161CD3"/>
    <w:rsid w:val="00165EEF"/>
    <w:rsid w:val="00172D01"/>
    <w:rsid w:val="00177166"/>
    <w:rsid w:val="00180EDB"/>
    <w:rsid w:val="001944AC"/>
    <w:rsid w:val="001963F3"/>
    <w:rsid w:val="0019785F"/>
    <w:rsid w:val="001A00AA"/>
    <w:rsid w:val="001A170F"/>
    <w:rsid w:val="001A2011"/>
    <w:rsid w:val="001A2F3F"/>
    <w:rsid w:val="001A49DD"/>
    <w:rsid w:val="001A7443"/>
    <w:rsid w:val="001B3AEB"/>
    <w:rsid w:val="001B4833"/>
    <w:rsid w:val="001B4B9D"/>
    <w:rsid w:val="001B6EEE"/>
    <w:rsid w:val="001C295C"/>
    <w:rsid w:val="001C4ED8"/>
    <w:rsid w:val="001D03E1"/>
    <w:rsid w:val="001D3728"/>
    <w:rsid w:val="001D48E6"/>
    <w:rsid w:val="001D65AB"/>
    <w:rsid w:val="001E12EB"/>
    <w:rsid w:val="001E1C83"/>
    <w:rsid w:val="001E1E6B"/>
    <w:rsid w:val="001E3511"/>
    <w:rsid w:val="001E48F5"/>
    <w:rsid w:val="001E6DBC"/>
    <w:rsid w:val="001E7831"/>
    <w:rsid w:val="001F2148"/>
    <w:rsid w:val="001F23B3"/>
    <w:rsid w:val="001F2541"/>
    <w:rsid w:val="001F32AC"/>
    <w:rsid w:val="001F76ED"/>
    <w:rsid w:val="00200556"/>
    <w:rsid w:val="00202D5F"/>
    <w:rsid w:val="00207FC8"/>
    <w:rsid w:val="00213006"/>
    <w:rsid w:val="0021416A"/>
    <w:rsid w:val="00216194"/>
    <w:rsid w:val="002168D1"/>
    <w:rsid w:val="0022050F"/>
    <w:rsid w:val="0022314F"/>
    <w:rsid w:val="00225CD4"/>
    <w:rsid w:val="00227BA7"/>
    <w:rsid w:val="00227FCE"/>
    <w:rsid w:val="002306E2"/>
    <w:rsid w:val="00232D98"/>
    <w:rsid w:val="00233516"/>
    <w:rsid w:val="002368CD"/>
    <w:rsid w:val="002407F8"/>
    <w:rsid w:val="00252E51"/>
    <w:rsid w:val="0025508D"/>
    <w:rsid w:val="00256F43"/>
    <w:rsid w:val="00260A9C"/>
    <w:rsid w:val="002619EF"/>
    <w:rsid w:val="00270487"/>
    <w:rsid w:val="002710D7"/>
    <w:rsid w:val="00274738"/>
    <w:rsid w:val="00280D19"/>
    <w:rsid w:val="002821F8"/>
    <w:rsid w:val="002875D9"/>
    <w:rsid w:val="00290581"/>
    <w:rsid w:val="00291E9E"/>
    <w:rsid w:val="00292613"/>
    <w:rsid w:val="00294343"/>
    <w:rsid w:val="002A0F36"/>
    <w:rsid w:val="002A6555"/>
    <w:rsid w:val="002A694A"/>
    <w:rsid w:val="002A73E8"/>
    <w:rsid w:val="002B1020"/>
    <w:rsid w:val="002B55A4"/>
    <w:rsid w:val="002B6E44"/>
    <w:rsid w:val="002C2F97"/>
    <w:rsid w:val="002C3D1A"/>
    <w:rsid w:val="002C5F95"/>
    <w:rsid w:val="002C7C79"/>
    <w:rsid w:val="002D3AAD"/>
    <w:rsid w:val="002D4CCA"/>
    <w:rsid w:val="002D575D"/>
    <w:rsid w:val="002D5B46"/>
    <w:rsid w:val="002E003B"/>
    <w:rsid w:val="002E3C80"/>
    <w:rsid w:val="002E4CF9"/>
    <w:rsid w:val="002E6FC6"/>
    <w:rsid w:val="002F0C3A"/>
    <w:rsid w:val="002F1E5B"/>
    <w:rsid w:val="002F3C92"/>
    <w:rsid w:val="002F6285"/>
    <w:rsid w:val="002F73C3"/>
    <w:rsid w:val="0030031A"/>
    <w:rsid w:val="00302535"/>
    <w:rsid w:val="003066A9"/>
    <w:rsid w:val="00312FC7"/>
    <w:rsid w:val="003208EA"/>
    <w:rsid w:val="00323FC2"/>
    <w:rsid w:val="00325CB3"/>
    <w:rsid w:val="00330275"/>
    <w:rsid w:val="00330845"/>
    <w:rsid w:val="00330886"/>
    <w:rsid w:val="00333EFF"/>
    <w:rsid w:val="003352AA"/>
    <w:rsid w:val="00347F43"/>
    <w:rsid w:val="003518BC"/>
    <w:rsid w:val="00352371"/>
    <w:rsid w:val="00352ACA"/>
    <w:rsid w:val="00353DB4"/>
    <w:rsid w:val="00361816"/>
    <w:rsid w:val="003623C4"/>
    <w:rsid w:val="003633C8"/>
    <w:rsid w:val="003640F0"/>
    <w:rsid w:val="0037124A"/>
    <w:rsid w:val="0037138A"/>
    <w:rsid w:val="0037248C"/>
    <w:rsid w:val="00375478"/>
    <w:rsid w:val="0037692B"/>
    <w:rsid w:val="00381949"/>
    <w:rsid w:val="00382967"/>
    <w:rsid w:val="00384B87"/>
    <w:rsid w:val="00384BF2"/>
    <w:rsid w:val="00384DB2"/>
    <w:rsid w:val="00385BF1"/>
    <w:rsid w:val="00386069"/>
    <w:rsid w:val="00386090"/>
    <w:rsid w:val="00386B91"/>
    <w:rsid w:val="00391668"/>
    <w:rsid w:val="00396317"/>
    <w:rsid w:val="003965D7"/>
    <w:rsid w:val="003971F6"/>
    <w:rsid w:val="003A1BA3"/>
    <w:rsid w:val="003A413B"/>
    <w:rsid w:val="003B656B"/>
    <w:rsid w:val="003B66F1"/>
    <w:rsid w:val="003C136E"/>
    <w:rsid w:val="003C19D3"/>
    <w:rsid w:val="003C2222"/>
    <w:rsid w:val="003C27B4"/>
    <w:rsid w:val="003D0B91"/>
    <w:rsid w:val="003D1D77"/>
    <w:rsid w:val="003D4A0D"/>
    <w:rsid w:val="003D66C3"/>
    <w:rsid w:val="003D7F7F"/>
    <w:rsid w:val="003E47E9"/>
    <w:rsid w:val="003E4910"/>
    <w:rsid w:val="003F226B"/>
    <w:rsid w:val="003F3BD5"/>
    <w:rsid w:val="003F7366"/>
    <w:rsid w:val="004015FF"/>
    <w:rsid w:val="0040186B"/>
    <w:rsid w:val="00401AC7"/>
    <w:rsid w:val="004021C5"/>
    <w:rsid w:val="00405D2D"/>
    <w:rsid w:val="0040722B"/>
    <w:rsid w:val="00410244"/>
    <w:rsid w:val="004104C7"/>
    <w:rsid w:val="00413D9F"/>
    <w:rsid w:val="00414A70"/>
    <w:rsid w:val="00414EFF"/>
    <w:rsid w:val="00415ACB"/>
    <w:rsid w:val="004214F7"/>
    <w:rsid w:val="00421734"/>
    <w:rsid w:val="00422FCA"/>
    <w:rsid w:val="00423058"/>
    <w:rsid w:val="0042741C"/>
    <w:rsid w:val="00431649"/>
    <w:rsid w:val="004326BB"/>
    <w:rsid w:val="00436775"/>
    <w:rsid w:val="0043718B"/>
    <w:rsid w:val="00437FB4"/>
    <w:rsid w:val="00445343"/>
    <w:rsid w:val="00446638"/>
    <w:rsid w:val="00447BE4"/>
    <w:rsid w:val="0045048F"/>
    <w:rsid w:val="00450C3F"/>
    <w:rsid w:val="00451DB0"/>
    <w:rsid w:val="00465CF0"/>
    <w:rsid w:val="00472286"/>
    <w:rsid w:val="00475D23"/>
    <w:rsid w:val="004829AE"/>
    <w:rsid w:val="00482C9D"/>
    <w:rsid w:val="0048584C"/>
    <w:rsid w:val="004862BC"/>
    <w:rsid w:val="00490282"/>
    <w:rsid w:val="00492483"/>
    <w:rsid w:val="004A1287"/>
    <w:rsid w:val="004A4DFB"/>
    <w:rsid w:val="004A7F6B"/>
    <w:rsid w:val="004B1544"/>
    <w:rsid w:val="004B6756"/>
    <w:rsid w:val="004C032A"/>
    <w:rsid w:val="004C22CE"/>
    <w:rsid w:val="004C5125"/>
    <w:rsid w:val="004C5897"/>
    <w:rsid w:val="004D0BB5"/>
    <w:rsid w:val="004D1192"/>
    <w:rsid w:val="004D3C66"/>
    <w:rsid w:val="004D3F55"/>
    <w:rsid w:val="004E1C4A"/>
    <w:rsid w:val="004E2219"/>
    <w:rsid w:val="004E4C86"/>
    <w:rsid w:val="004E4D94"/>
    <w:rsid w:val="004E740C"/>
    <w:rsid w:val="004F4BBA"/>
    <w:rsid w:val="004F5DE5"/>
    <w:rsid w:val="004F61D8"/>
    <w:rsid w:val="004F67F0"/>
    <w:rsid w:val="005018C3"/>
    <w:rsid w:val="005027DB"/>
    <w:rsid w:val="005051F3"/>
    <w:rsid w:val="005078E5"/>
    <w:rsid w:val="00513994"/>
    <w:rsid w:val="00520D02"/>
    <w:rsid w:val="005233AA"/>
    <w:rsid w:val="00527C15"/>
    <w:rsid w:val="00530D1F"/>
    <w:rsid w:val="00531625"/>
    <w:rsid w:val="0054040B"/>
    <w:rsid w:val="0054546A"/>
    <w:rsid w:val="00551B0F"/>
    <w:rsid w:val="0055229C"/>
    <w:rsid w:val="00554AF4"/>
    <w:rsid w:val="00557CC7"/>
    <w:rsid w:val="00563E0F"/>
    <w:rsid w:val="005659FB"/>
    <w:rsid w:val="00574A97"/>
    <w:rsid w:val="0057512E"/>
    <w:rsid w:val="00584D27"/>
    <w:rsid w:val="00586BF7"/>
    <w:rsid w:val="005902B5"/>
    <w:rsid w:val="005A17A9"/>
    <w:rsid w:val="005A2F78"/>
    <w:rsid w:val="005A4A64"/>
    <w:rsid w:val="005A5ADF"/>
    <w:rsid w:val="005B01FE"/>
    <w:rsid w:val="005B3E3C"/>
    <w:rsid w:val="005B7F81"/>
    <w:rsid w:val="005C1B25"/>
    <w:rsid w:val="005C1D1C"/>
    <w:rsid w:val="005C3840"/>
    <w:rsid w:val="005C3FC1"/>
    <w:rsid w:val="005D3499"/>
    <w:rsid w:val="005D5813"/>
    <w:rsid w:val="005E09C4"/>
    <w:rsid w:val="005E2583"/>
    <w:rsid w:val="005E2EF4"/>
    <w:rsid w:val="005E5C55"/>
    <w:rsid w:val="005E617C"/>
    <w:rsid w:val="005F270E"/>
    <w:rsid w:val="005F33A8"/>
    <w:rsid w:val="005F36B6"/>
    <w:rsid w:val="005F4BA9"/>
    <w:rsid w:val="005F6A8B"/>
    <w:rsid w:val="006044DE"/>
    <w:rsid w:val="00606B48"/>
    <w:rsid w:val="006114E4"/>
    <w:rsid w:val="00612AF0"/>
    <w:rsid w:val="006160CC"/>
    <w:rsid w:val="0061684E"/>
    <w:rsid w:val="0062376E"/>
    <w:rsid w:val="00624CC9"/>
    <w:rsid w:val="00626EFA"/>
    <w:rsid w:val="00632A28"/>
    <w:rsid w:val="00632F83"/>
    <w:rsid w:val="006403C3"/>
    <w:rsid w:val="0064084D"/>
    <w:rsid w:val="0064347E"/>
    <w:rsid w:val="00645531"/>
    <w:rsid w:val="006472D3"/>
    <w:rsid w:val="00650771"/>
    <w:rsid w:val="00651C0D"/>
    <w:rsid w:val="00654880"/>
    <w:rsid w:val="00655827"/>
    <w:rsid w:val="00657D10"/>
    <w:rsid w:val="0066170A"/>
    <w:rsid w:val="00662DC5"/>
    <w:rsid w:val="00665F45"/>
    <w:rsid w:val="006662C3"/>
    <w:rsid w:val="00666651"/>
    <w:rsid w:val="00666816"/>
    <w:rsid w:val="00666E6B"/>
    <w:rsid w:val="0067461E"/>
    <w:rsid w:val="006845BA"/>
    <w:rsid w:val="00693F68"/>
    <w:rsid w:val="00697940"/>
    <w:rsid w:val="00697AA7"/>
    <w:rsid w:val="006A3128"/>
    <w:rsid w:val="006A3B8F"/>
    <w:rsid w:val="006B33BC"/>
    <w:rsid w:val="006B6FE8"/>
    <w:rsid w:val="006C1F9B"/>
    <w:rsid w:val="006C22C2"/>
    <w:rsid w:val="006C2A9A"/>
    <w:rsid w:val="006C62F1"/>
    <w:rsid w:val="006D09AA"/>
    <w:rsid w:val="006D0B6C"/>
    <w:rsid w:val="006D13A3"/>
    <w:rsid w:val="006D2AA4"/>
    <w:rsid w:val="006D471D"/>
    <w:rsid w:val="006E1D15"/>
    <w:rsid w:val="006E3C3E"/>
    <w:rsid w:val="006F03C1"/>
    <w:rsid w:val="006F0D59"/>
    <w:rsid w:val="006F5021"/>
    <w:rsid w:val="00700391"/>
    <w:rsid w:val="007003DD"/>
    <w:rsid w:val="00702383"/>
    <w:rsid w:val="00703044"/>
    <w:rsid w:val="00706A13"/>
    <w:rsid w:val="0072165B"/>
    <w:rsid w:val="00722032"/>
    <w:rsid w:val="00722108"/>
    <w:rsid w:val="00723B96"/>
    <w:rsid w:val="00723EAF"/>
    <w:rsid w:val="00724AD0"/>
    <w:rsid w:val="00725AD2"/>
    <w:rsid w:val="007273B3"/>
    <w:rsid w:val="00731303"/>
    <w:rsid w:val="007319DB"/>
    <w:rsid w:val="00732301"/>
    <w:rsid w:val="00733C5D"/>
    <w:rsid w:val="0073522A"/>
    <w:rsid w:val="007359C0"/>
    <w:rsid w:val="007364D9"/>
    <w:rsid w:val="00742E7D"/>
    <w:rsid w:val="007439EC"/>
    <w:rsid w:val="0074404D"/>
    <w:rsid w:val="007441B8"/>
    <w:rsid w:val="00744D05"/>
    <w:rsid w:val="007600CA"/>
    <w:rsid w:val="007601EB"/>
    <w:rsid w:val="00761A13"/>
    <w:rsid w:val="00764D01"/>
    <w:rsid w:val="00771A63"/>
    <w:rsid w:val="00771B7F"/>
    <w:rsid w:val="0077522B"/>
    <w:rsid w:val="007769CD"/>
    <w:rsid w:val="0078032B"/>
    <w:rsid w:val="007813A6"/>
    <w:rsid w:val="00781566"/>
    <w:rsid w:val="007847D9"/>
    <w:rsid w:val="0078491E"/>
    <w:rsid w:val="00784E14"/>
    <w:rsid w:val="00792BB1"/>
    <w:rsid w:val="007960BE"/>
    <w:rsid w:val="007972A2"/>
    <w:rsid w:val="007976E7"/>
    <w:rsid w:val="007A1640"/>
    <w:rsid w:val="007A2CF0"/>
    <w:rsid w:val="007A48D4"/>
    <w:rsid w:val="007A515B"/>
    <w:rsid w:val="007B1760"/>
    <w:rsid w:val="007B4C1E"/>
    <w:rsid w:val="007B4CA2"/>
    <w:rsid w:val="007B5005"/>
    <w:rsid w:val="007B6D77"/>
    <w:rsid w:val="007B754C"/>
    <w:rsid w:val="007C3339"/>
    <w:rsid w:val="007C3C27"/>
    <w:rsid w:val="007C5E02"/>
    <w:rsid w:val="007C6925"/>
    <w:rsid w:val="007C7AA9"/>
    <w:rsid w:val="007D2B08"/>
    <w:rsid w:val="007D68C6"/>
    <w:rsid w:val="007D7901"/>
    <w:rsid w:val="007F19A4"/>
    <w:rsid w:val="007F6A3D"/>
    <w:rsid w:val="00801A75"/>
    <w:rsid w:val="00802701"/>
    <w:rsid w:val="008038A2"/>
    <w:rsid w:val="00804FF3"/>
    <w:rsid w:val="00806DE6"/>
    <w:rsid w:val="00810306"/>
    <w:rsid w:val="00811148"/>
    <w:rsid w:val="00811FE8"/>
    <w:rsid w:val="0081430F"/>
    <w:rsid w:val="00817DF5"/>
    <w:rsid w:val="00821F0D"/>
    <w:rsid w:val="008275B5"/>
    <w:rsid w:val="00830125"/>
    <w:rsid w:val="00830CA6"/>
    <w:rsid w:val="00837EBA"/>
    <w:rsid w:val="00841715"/>
    <w:rsid w:val="00841EB0"/>
    <w:rsid w:val="00845979"/>
    <w:rsid w:val="008477E1"/>
    <w:rsid w:val="00847BC4"/>
    <w:rsid w:val="0085366E"/>
    <w:rsid w:val="0085688C"/>
    <w:rsid w:val="008635F0"/>
    <w:rsid w:val="0086436B"/>
    <w:rsid w:val="00864ED6"/>
    <w:rsid w:val="0087047B"/>
    <w:rsid w:val="0087190C"/>
    <w:rsid w:val="00872ACD"/>
    <w:rsid w:val="0088128C"/>
    <w:rsid w:val="00887841"/>
    <w:rsid w:val="0089208D"/>
    <w:rsid w:val="00893C1C"/>
    <w:rsid w:val="00894B97"/>
    <w:rsid w:val="00895A62"/>
    <w:rsid w:val="008967B9"/>
    <w:rsid w:val="00897AC8"/>
    <w:rsid w:val="008A0CDA"/>
    <w:rsid w:val="008A1B6C"/>
    <w:rsid w:val="008A215C"/>
    <w:rsid w:val="008A6A48"/>
    <w:rsid w:val="008B72D9"/>
    <w:rsid w:val="008C1666"/>
    <w:rsid w:val="008C512E"/>
    <w:rsid w:val="008C780D"/>
    <w:rsid w:val="008D2EA8"/>
    <w:rsid w:val="008D32C4"/>
    <w:rsid w:val="008D36D2"/>
    <w:rsid w:val="008D4F4B"/>
    <w:rsid w:val="008D5C80"/>
    <w:rsid w:val="008E0BA4"/>
    <w:rsid w:val="008E1F96"/>
    <w:rsid w:val="008E7AB2"/>
    <w:rsid w:val="008F77AE"/>
    <w:rsid w:val="0090141D"/>
    <w:rsid w:val="009035FA"/>
    <w:rsid w:val="00913610"/>
    <w:rsid w:val="009142DE"/>
    <w:rsid w:val="009227B8"/>
    <w:rsid w:val="00922966"/>
    <w:rsid w:val="00927A12"/>
    <w:rsid w:val="009305CD"/>
    <w:rsid w:val="00930A75"/>
    <w:rsid w:val="00930C19"/>
    <w:rsid w:val="009320C6"/>
    <w:rsid w:val="009346F5"/>
    <w:rsid w:val="00945D93"/>
    <w:rsid w:val="00945E1F"/>
    <w:rsid w:val="0094603B"/>
    <w:rsid w:val="00946E6E"/>
    <w:rsid w:val="009478B1"/>
    <w:rsid w:val="00952D02"/>
    <w:rsid w:val="00954068"/>
    <w:rsid w:val="00954B73"/>
    <w:rsid w:val="009551BC"/>
    <w:rsid w:val="0095527B"/>
    <w:rsid w:val="00956A0A"/>
    <w:rsid w:val="00961343"/>
    <w:rsid w:val="00961813"/>
    <w:rsid w:val="0096293E"/>
    <w:rsid w:val="00963FBC"/>
    <w:rsid w:val="00965FBF"/>
    <w:rsid w:val="00966D7B"/>
    <w:rsid w:val="00966DA2"/>
    <w:rsid w:val="00974317"/>
    <w:rsid w:val="009750DE"/>
    <w:rsid w:val="00975819"/>
    <w:rsid w:val="00976DE7"/>
    <w:rsid w:val="009804CA"/>
    <w:rsid w:val="0098250E"/>
    <w:rsid w:val="00982842"/>
    <w:rsid w:val="0098298E"/>
    <w:rsid w:val="00983EAF"/>
    <w:rsid w:val="00983ECE"/>
    <w:rsid w:val="009857D9"/>
    <w:rsid w:val="0098634D"/>
    <w:rsid w:val="009869DE"/>
    <w:rsid w:val="00991DE2"/>
    <w:rsid w:val="009922C2"/>
    <w:rsid w:val="00994695"/>
    <w:rsid w:val="009A0683"/>
    <w:rsid w:val="009A2D0F"/>
    <w:rsid w:val="009A4401"/>
    <w:rsid w:val="009A5D55"/>
    <w:rsid w:val="009B143F"/>
    <w:rsid w:val="009C1F52"/>
    <w:rsid w:val="009C223E"/>
    <w:rsid w:val="009C47E9"/>
    <w:rsid w:val="009C484B"/>
    <w:rsid w:val="009C7179"/>
    <w:rsid w:val="009C7D81"/>
    <w:rsid w:val="009C7F8D"/>
    <w:rsid w:val="009D1058"/>
    <w:rsid w:val="009D265C"/>
    <w:rsid w:val="009D5FD0"/>
    <w:rsid w:val="009D6F76"/>
    <w:rsid w:val="009E2EC5"/>
    <w:rsid w:val="009E31B0"/>
    <w:rsid w:val="009E7248"/>
    <w:rsid w:val="009F50E5"/>
    <w:rsid w:val="009F6D6A"/>
    <w:rsid w:val="009F78D3"/>
    <w:rsid w:val="00A00EDD"/>
    <w:rsid w:val="00A0211A"/>
    <w:rsid w:val="00A0284F"/>
    <w:rsid w:val="00A03230"/>
    <w:rsid w:val="00A12EFD"/>
    <w:rsid w:val="00A1521F"/>
    <w:rsid w:val="00A241A3"/>
    <w:rsid w:val="00A27187"/>
    <w:rsid w:val="00A3401E"/>
    <w:rsid w:val="00A51265"/>
    <w:rsid w:val="00A674FB"/>
    <w:rsid w:val="00A72A72"/>
    <w:rsid w:val="00A752CB"/>
    <w:rsid w:val="00A766A0"/>
    <w:rsid w:val="00A80A17"/>
    <w:rsid w:val="00A81851"/>
    <w:rsid w:val="00A82952"/>
    <w:rsid w:val="00A85311"/>
    <w:rsid w:val="00A913A8"/>
    <w:rsid w:val="00A92981"/>
    <w:rsid w:val="00A940CF"/>
    <w:rsid w:val="00A97A92"/>
    <w:rsid w:val="00AA0957"/>
    <w:rsid w:val="00AA0C3F"/>
    <w:rsid w:val="00AA306E"/>
    <w:rsid w:val="00AA59FC"/>
    <w:rsid w:val="00AA61FB"/>
    <w:rsid w:val="00AA759A"/>
    <w:rsid w:val="00AC07C2"/>
    <w:rsid w:val="00AC3814"/>
    <w:rsid w:val="00AC55D0"/>
    <w:rsid w:val="00AC640D"/>
    <w:rsid w:val="00AD04D3"/>
    <w:rsid w:val="00AD0CF6"/>
    <w:rsid w:val="00AD13EF"/>
    <w:rsid w:val="00AD169B"/>
    <w:rsid w:val="00AD3212"/>
    <w:rsid w:val="00AD6DB3"/>
    <w:rsid w:val="00AD7098"/>
    <w:rsid w:val="00AE4344"/>
    <w:rsid w:val="00AE72AC"/>
    <w:rsid w:val="00AE74E9"/>
    <w:rsid w:val="00AE7549"/>
    <w:rsid w:val="00AF052F"/>
    <w:rsid w:val="00AF0562"/>
    <w:rsid w:val="00AF345D"/>
    <w:rsid w:val="00AF75DA"/>
    <w:rsid w:val="00B00F1F"/>
    <w:rsid w:val="00B04788"/>
    <w:rsid w:val="00B06C21"/>
    <w:rsid w:val="00B07778"/>
    <w:rsid w:val="00B10453"/>
    <w:rsid w:val="00B10E37"/>
    <w:rsid w:val="00B129F4"/>
    <w:rsid w:val="00B13689"/>
    <w:rsid w:val="00B1385C"/>
    <w:rsid w:val="00B165F0"/>
    <w:rsid w:val="00B20CD2"/>
    <w:rsid w:val="00B21287"/>
    <w:rsid w:val="00B2259F"/>
    <w:rsid w:val="00B26BD0"/>
    <w:rsid w:val="00B26E1A"/>
    <w:rsid w:val="00B26F2C"/>
    <w:rsid w:val="00B27AE5"/>
    <w:rsid w:val="00B32D55"/>
    <w:rsid w:val="00B407B7"/>
    <w:rsid w:val="00B40C2D"/>
    <w:rsid w:val="00B418F5"/>
    <w:rsid w:val="00B50D5E"/>
    <w:rsid w:val="00B57EC7"/>
    <w:rsid w:val="00B606FB"/>
    <w:rsid w:val="00B607AE"/>
    <w:rsid w:val="00B612E7"/>
    <w:rsid w:val="00B63BFE"/>
    <w:rsid w:val="00B6613C"/>
    <w:rsid w:val="00B71B2B"/>
    <w:rsid w:val="00B72B51"/>
    <w:rsid w:val="00B83953"/>
    <w:rsid w:val="00B85BEF"/>
    <w:rsid w:val="00B907AF"/>
    <w:rsid w:val="00B92B14"/>
    <w:rsid w:val="00B93287"/>
    <w:rsid w:val="00BA1FC6"/>
    <w:rsid w:val="00BA2E08"/>
    <w:rsid w:val="00BA3B3E"/>
    <w:rsid w:val="00BA761E"/>
    <w:rsid w:val="00BB3840"/>
    <w:rsid w:val="00BB3BD5"/>
    <w:rsid w:val="00BB7D95"/>
    <w:rsid w:val="00BD05BC"/>
    <w:rsid w:val="00BD4559"/>
    <w:rsid w:val="00BD4B96"/>
    <w:rsid w:val="00BD5C2B"/>
    <w:rsid w:val="00BD6B8C"/>
    <w:rsid w:val="00BE280A"/>
    <w:rsid w:val="00BE48C0"/>
    <w:rsid w:val="00BF482A"/>
    <w:rsid w:val="00BF5367"/>
    <w:rsid w:val="00BF6D0E"/>
    <w:rsid w:val="00BF72AE"/>
    <w:rsid w:val="00C03E5C"/>
    <w:rsid w:val="00C053BB"/>
    <w:rsid w:val="00C07817"/>
    <w:rsid w:val="00C11726"/>
    <w:rsid w:val="00C1197D"/>
    <w:rsid w:val="00C11AA2"/>
    <w:rsid w:val="00C14C3B"/>
    <w:rsid w:val="00C205E5"/>
    <w:rsid w:val="00C2270E"/>
    <w:rsid w:val="00C24259"/>
    <w:rsid w:val="00C24BAC"/>
    <w:rsid w:val="00C26A3B"/>
    <w:rsid w:val="00C26D06"/>
    <w:rsid w:val="00C27287"/>
    <w:rsid w:val="00C27C64"/>
    <w:rsid w:val="00C35BC1"/>
    <w:rsid w:val="00C36082"/>
    <w:rsid w:val="00C37643"/>
    <w:rsid w:val="00C41F8A"/>
    <w:rsid w:val="00C42F0B"/>
    <w:rsid w:val="00C5674D"/>
    <w:rsid w:val="00C56B87"/>
    <w:rsid w:val="00C57113"/>
    <w:rsid w:val="00C60F3E"/>
    <w:rsid w:val="00C6166D"/>
    <w:rsid w:val="00C61CC5"/>
    <w:rsid w:val="00C62464"/>
    <w:rsid w:val="00C65D84"/>
    <w:rsid w:val="00C72519"/>
    <w:rsid w:val="00C75116"/>
    <w:rsid w:val="00C76E03"/>
    <w:rsid w:val="00C77CF2"/>
    <w:rsid w:val="00C83803"/>
    <w:rsid w:val="00C839FD"/>
    <w:rsid w:val="00C907A3"/>
    <w:rsid w:val="00C91637"/>
    <w:rsid w:val="00C92A42"/>
    <w:rsid w:val="00C94AE5"/>
    <w:rsid w:val="00C97745"/>
    <w:rsid w:val="00CA0798"/>
    <w:rsid w:val="00CA0C9A"/>
    <w:rsid w:val="00CA150A"/>
    <w:rsid w:val="00CA68FE"/>
    <w:rsid w:val="00CA6F2A"/>
    <w:rsid w:val="00CB4E16"/>
    <w:rsid w:val="00CB6FA1"/>
    <w:rsid w:val="00CC2CF9"/>
    <w:rsid w:val="00CC5EAE"/>
    <w:rsid w:val="00CC62C4"/>
    <w:rsid w:val="00CC7855"/>
    <w:rsid w:val="00CD72A7"/>
    <w:rsid w:val="00CE0678"/>
    <w:rsid w:val="00CE10CD"/>
    <w:rsid w:val="00CE39F8"/>
    <w:rsid w:val="00CE6E6A"/>
    <w:rsid w:val="00CF2916"/>
    <w:rsid w:val="00CF3AC2"/>
    <w:rsid w:val="00CF5DCD"/>
    <w:rsid w:val="00D0261A"/>
    <w:rsid w:val="00D07064"/>
    <w:rsid w:val="00D17123"/>
    <w:rsid w:val="00D179A0"/>
    <w:rsid w:val="00D17EDF"/>
    <w:rsid w:val="00D250C8"/>
    <w:rsid w:val="00D26C34"/>
    <w:rsid w:val="00D279FC"/>
    <w:rsid w:val="00D309F6"/>
    <w:rsid w:val="00D34F58"/>
    <w:rsid w:val="00D34F5E"/>
    <w:rsid w:val="00D3587D"/>
    <w:rsid w:val="00D35A98"/>
    <w:rsid w:val="00D366D0"/>
    <w:rsid w:val="00D42A42"/>
    <w:rsid w:val="00D43903"/>
    <w:rsid w:val="00D457A2"/>
    <w:rsid w:val="00D45AD7"/>
    <w:rsid w:val="00D529A7"/>
    <w:rsid w:val="00D55ADD"/>
    <w:rsid w:val="00D60A5F"/>
    <w:rsid w:val="00D60B04"/>
    <w:rsid w:val="00D64FF5"/>
    <w:rsid w:val="00D651A1"/>
    <w:rsid w:val="00D65795"/>
    <w:rsid w:val="00D67B4A"/>
    <w:rsid w:val="00D712BE"/>
    <w:rsid w:val="00D737A3"/>
    <w:rsid w:val="00D765AE"/>
    <w:rsid w:val="00D805E8"/>
    <w:rsid w:val="00D8544F"/>
    <w:rsid w:val="00D9527D"/>
    <w:rsid w:val="00D95F7A"/>
    <w:rsid w:val="00D97428"/>
    <w:rsid w:val="00D97D6F"/>
    <w:rsid w:val="00DA0FA6"/>
    <w:rsid w:val="00DA7D60"/>
    <w:rsid w:val="00DB3604"/>
    <w:rsid w:val="00DB4DC4"/>
    <w:rsid w:val="00DB683F"/>
    <w:rsid w:val="00DB7BCD"/>
    <w:rsid w:val="00DC111B"/>
    <w:rsid w:val="00DC14C4"/>
    <w:rsid w:val="00DC2462"/>
    <w:rsid w:val="00DC29F5"/>
    <w:rsid w:val="00DC39C2"/>
    <w:rsid w:val="00DC5669"/>
    <w:rsid w:val="00DD04A9"/>
    <w:rsid w:val="00DD33DF"/>
    <w:rsid w:val="00DD4A27"/>
    <w:rsid w:val="00DD5159"/>
    <w:rsid w:val="00DD6C74"/>
    <w:rsid w:val="00DE0FC5"/>
    <w:rsid w:val="00DE1293"/>
    <w:rsid w:val="00DE1CB0"/>
    <w:rsid w:val="00DE40B4"/>
    <w:rsid w:val="00DE47FA"/>
    <w:rsid w:val="00DE67A8"/>
    <w:rsid w:val="00DE7572"/>
    <w:rsid w:val="00DF4A53"/>
    <w:rsid w:val="00DF6116"/>
    <w:rsid w:val="00DF6E0E"/>
    <w:rsid w:val="00E00E21"/>
    <w:rsid w:val="00E01587"/>
    <w:rsid w:val="00E0208E"/>
    <w:rsid w:val="00E10D92"/>
    <w:rsid w:val="00E12DF5"/>
    <w:rsid w:val="00E12FA9"/>
    <w:rsid w:val="00E23391"/>
    <w:rsid w:val="00E2349F"/>
    <w:rsid w:val="00E2445F"/>
    <w:rsid w:val="00E2778C"/>
    <w:rsid w:val="00E27A6E"/>
    <w:rsid w:val="00E33061"/>
    <w:rsid w:val="00E3308A"/>
    <w:rsid w:val="00E334B0"/>
    <w:rsid w:val="00E34AE4"/>
    <w:rsid w:val="00E36F13"/>
    <w:rsid w:val="00E41E87"/>
    <w:rsid w:val="00E42165"/>
    <w:rsid w:val="00E45B62"/>
    <w:rsid w:val="00E515DE"/>
    <w:rsid w:val="00E51AB8"/>
    <w:rsid w:val="00E52608"/>
    <w:rsid w:val="00E54343"/>
    <w:rsid w:val="00E6088B"/>
    <w:rsid w:val="00E64282"/>
    <w:rsid w:val="00E64C48"/>
    <w:rsid w:val="00E71F1F"/>
    <w:rsid w:val="00E722CA"/>
    <w:rsid w:val="00E73227"/>
    <w:rsid w:val="00E827C5"/>
    <w:rsid w:val="00E82DFF"/>
    <w:rsid w:val="00E83000"/>
    <w:rsid w:val="00E841B0"/>
    <w:rsid w:val="00E87D6E"/>
    <w:rsid w:val="00E93F2C"/>
    <w:rsid w:val="00E9528B"/>
    <w:rsid w:val="00E977C4"/>
    <w:rsid w:val="00E97CCE"/>
    <w:rsid w:val="00EA34EB"/>
    <w:rsid w:val="00EB6A8F"/>
    <w:rsid w:val="00EC09B2"/>
    <w:rsid w:val="00EC74BA"/>
    <w:rsid w:val="00ED1537"/>
    <w:rsid w:val="00ED3BCF"/>
    <w:rsid w:val="00ED4ABC"/>
    <w:rsid w:val="00ED6B7C"/>
    <w:rsid w:val="00EE0DA6"/>
    <w:rsid w:val="00EE1C5E"/>
    <w:rsid w:val="00EE6F42"/>
    <w:rsid w:val="00EF01D9"/>
    <w:rsid w:val="00EF1D72"/>
    <w:rsid w:val="00EF4243"/>
    <w:rsid w:val="00EF4E03"/>
    <w:rsid w:val="00EF6A4B"/>
    <w:rsid w:val="00F05DD1"/>
    <w:rsid w:val="00F14E34"/>
    <w:rsid w:val="00F14F75"/>
    <w:rsid w:val="00F150BB"/>
    <w:rsid w:val="00F22BCA"/>
    <w:rsid w:val="00F24980"/>
    <w:rsid w:val="00F24EB2"/>
    <w:rsid w:val="00F266F2"/>
    <w:rsid w:val="00F317BB"/>
    <w:rsid w:val="00F33065"/>
    <w:rsid w:val="00F3433E"/>
    <w:rsid w:val="00F36757"/>
    <w:rsid w:val="00F37300"/>
    <w:rsid w:val="00F37923"/>
    <w:rsid w:val="00F37E0C"/>
    <w:rsid w:val="00F41A59"/>
    <w:rsid w:val="00F46AA5"/>
    <w:rsid w:val="00F50A07"/>
    <w:rsid w:val="00F553BF"/>
    <w:rsid w:val="00F57119"/>
    <w:rsid w:val="00F6367D"/>
    <w:rsid w:val="00F65ABF"/>
    <w:rsid w:val="00F65DCD"/>
    <w:rsid w:val="00F678C9"/>
    <w:rsid w:val="00F77C13"/>
    <w:rsid w:val="00F81748"/>
    <w:rsid w:val="00F8330B"/>
    <w:rsid w:val="00F83B22"/>
    <w:rsid w:val="00F83DC2"/>
    <w:rsid w:val="00F86FA3"/>
    <w:rsid w:val="00F913ED"/>
    <w:rsid w:val="00F94979"/>
    <w:rsid w:val="00F95454"/>
    <w:rsid w:val="00F95C29"/>
    <w:rsid w:val="00F95C54"/>
    <w:rsid w:val="00F979A7"/>
    <w:rsid w:val="00FA3668"/>
    <w:rsid w:val="00FA5118"/>
    <w:rsid w:val="00FA5818"/>
    <w:rsid w:val="00FA7F00"/>
    <w:rsid w:val="00FB07D8"/>
    <w:rsid w:val="00FB2022"/>
    <w:rsid w:val="00FB3980"/>
    <w:rsid w:val="00FB7008"/>
    <w:rsid w:val="00FC1FA6"/>
    <w:rsid w:val="00FC43CD"/>
    <w:rsid w:val="00FC4EF6"/>
    <w:rsid w:val="00FC6DA7"/>
    <w:rsid w:val="00FC75D3"/>
    <w:rsid w:val="00FC76CF"/>
    <w:rsid w:val="00FD2279"/>
    <w:rsid w:val="00FD6142"/>
    <w:rsid w:val="00FD74D2"/>
    <w:rsid w:val="00FE0C76"/>
    <w:rsid w:val="00FE113A"/>
    <w:rsid w:val="00FE2385"/>
    <w:rsid w:val="00FF028F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8C39FEF"/>
  <w15:docId w15:val="{A9B5ACBE-D485-4EED-82A6-7192B712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945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704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04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047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70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047B"/>
    <w:rPr>
      <w:b/>
      <w:bCs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607AE"/>
    <w:rPr>
      <w:rFonts w:ascii="Calibri" w:eastAsiaTheme="minorHAnsi" w:hAnsi="Calibri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607AE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7FB8D7785D4F944273678E824406" ma:contentTypeVersion="5" ma:contentTypeDescription="Create a new document." ma:contentTypeScope="" ma:versionID="ba19694307a2b614903f03e63d6a2dfd">
  <xsd:schema xmlns:xsd="http://www.w3.org/2001/XMLSchema" xmlns:xs="http://www.w3.org/2001/XMLSchema" xmlns:p="http://schemas.microsoft.com/office/2006/metadata/properties" xmlns:ns3="357dafa5-ede4-4722-8c65-2a9389ff8a37" xmlns:ns4="a13ebd55-1202-4432-8d3b-2fef3c497e0c" targetNamespace="http://schemas.microsoft.com/office/2006/metadata/properties" ma:root="true" ma:fieldsID="57ee91987b09a9aa7dea94c9cbed92ff" ns3:_="" ns4:_="">
    <xsd:import namespace="357dafa5-ede4-4722-8c65-2a9389ff8a37"/>
    <xsd:import namespace="a13ebd55-1202-4432-8d3b-2fef3c497e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afa5-ede4-4722-8c65-2a9389ff8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ebd55-1202-4432-8d3b-2fef3c497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0B0D-B522-4F5E-BA3B-86755270E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565B78-2329-49C1-A962-39387FD4A29F}">
  <ds:schemaRefs>
    <ds:schemaRef ds:uri="357dafa5-ede4-4722-8c65-2a9389ff8a37"/>
    <ds:schemaRef ds:uri="http://schemas.openxmlformats.org/package/2006/metadata/core-properties"/>
    <ds:schemaRef ds:uri="http://schemas.microsoft.com/office/2006/documentManagement/types"/>
    <ds:schemaRef ds:uri="a13ebd55-1202-4432-8d3b-2fef3c497e0c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EC13F0-A674-4FE7-B342-93D36104A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dafa5-ede4-4722-8c65-2a9389ff8a37"/>
    <ds:schemaRef ds:uri="a13ebd55-1202-4432-8d3b-2fef3c497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A62FAF-F5FC-47AD-8D11-61AD525A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1161</Words>
  <Characters>6389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StackJ</dc:creator>
  <cp:lastModifiedBy>Weerawarnakula Surangi (RNU) Oxford Health</cp:lastModifiedBy>
  <cp:revision>2</cp:revision>
  <cp:lastPrinted>2014-03-17T14:55:00Z</cp:lastPrinted>
  <dcterms:created xsi:type="dcterms:W3CDTF">2019-11-28T10:48:00Z</dcterms:created>
  <dcterms:modified xsi:type="dcterms:W3CDTF">2019-11-28T10:48:00Z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0x010100D2857FB8D7785D4F944273678E824406</vt:lpwstr>
  </property>
</Properties>
</file>