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6ED3" w14:textId="4A76F703" w:rsidR="005D3499" w:rsidRPr="000A4E77" w:rsidRDefault="00971771" w:rsidP="0086436B">
      <w:pPr>
        <w:ind w:right="-900"/>
        <w:jc w:val="right"/>
        <w:rPr>
          <w:rFonts w:ascii="Segoe UI" w:hAnsi="Segoe UI" w:cs="Segoe UI"/>
          <w:lang w:val="en-GB"/>
        </w:rPr>
      </w:pPr>
      <w:r>
        <w:rPr>
          <w:rFonts w:ascii="Segoe UI" w:hAnsi="Segoe UI" w:cs="Segoe UI"/>
          <w:noProof/>
        </w:rPr>
        <w:drawing>
          <wp:anchor distT="0" distB="0" distL="114300" distR="114300" simplePos="0" relativeHeight="251659776" behindDoc="1" locked="0" layoutInCell="1" allowOverlap="1" wp14:anchorId="1668CD05" wp14:editId="3E6F2F50">
            <wp:simplePos x="0" y="0"/>
            <wp:positionH relativeFrom="column">
              <wp:posOffset>3895725</wp:posOffset>
            </wp:positionH>
            <wp:positionV relativeFrom="paragraph">
              <wp:posOffset>-762000</wp:posOffset>
            </wp:positionV>
            <wp:extent cx="2505075" cy="1514475"/>
            <wp:effectExtent l="0" t="0" r="0" b="0"/>
            <wp:wrapNone/>
            <wp:docPr id="16" name="Picture 1" descr="A4 logo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logo siz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514475"/>
                    </a:xfrm>
                    <a:prstGeom prst="rect">
                      <a:avLst/>
                    </a:prstGeom>
                    <a:noFill/>
                  </pic:spPr>
                </pic:pic>
              </a:graphicData>
            </a:graphic>
            <wp14:sizeRelH relativeFrom="page">
              <wp14:pctWidth>0</wp14:pctWidth>
            </wp14:sizeRelH>
            <wp14:sizeRelV relativeFrom="page">
              <wp14:pctHeight>0</wp14:pctHeight>
            </wp14:sizeRelV>
          </wp:anchor>
        </w:drawing>
      </w:r>
    </w:p>
    <w:p w14:paraId="4A2068A6" w14:textId="77777777" w:rsidR="009F378C" w:rsidRPr="000A4E77" w:rsidRDefault="009F378C" w:rsidP="00B33471">
      <w:pPr>
        <w:pStyle w:val="Heading1"/>
        <w:rPr>
          <w:rFonts w:ascii="Segoe UI" w:hAnsi="Segoe UI" w:cs="Segoe UI"/>
          <w:sz w:val="28"/>
          <w:u w:val="none"/>
        </w:rPr>
      </w:pPr>
    </w:p>
    <w:p w14:paraId="585B7388" w14:textId="77777777" w:rsidR="005E2583" w:rsidRPr="000A4E77" w:rsidRDefault="005D3499">
      <w:pPr>
        <w:pStyle w:val="Heading1"/>
        <w:jc w:val="center"/>
        <w:rPr>
          <w:rFonts w:ascii="Segoe UI" w:hAnsi="Segoe UI" w:cs="Segoe UI"/>
          <w:sz w:val="28"/>
          <w:u w:val="none"/>
        </w:rPr>
      </w:pPr>
      <w:r w:rsidRPr="000A4E77">
        <w:rPr>
          <w:rFonts w:ascii="Segoe UI" w:hAnsi="Segoe UI" w:cs="Segoe UI"/>
          <w:sz w:val="28"/>
          <w:u w:val="none"/>
        </w:rPr>
        <w:t xml:space="preserve">Report to the Meeting </w:t>
      </w:r>
      <w:r w:rsidR="00B50D5E" w:rsidRPr="000A4E77">
        <w:rPr>
          <w:rFonts w:ascii="Segoe UI" w:hAnsi="Segoe UI" w:cs="Segoe UI"/>
          <w:sz w:val="28"/>
          <w:u w:val="none"/>
        </w:rPr>
        <w:t xml:space="preserve">of the </w:t>
      </w:r>
    </w:p>
    <w:p w14:paraId="476C1055" w14:textId="77777777" w:rsidR="002821F8" w:rsidRPr="000A4E77" w:rsidRDefault="00B50D5E">
      <w:pPr>
        <w:pStyle w:val="Heading1"/>
        <w:jc w:val="center"/>
        <w:rPr>
          <w:rFonts w:ascii="Segoe UI" w:hAnsi="Segoe UI" w:cs="Segoe UI"/>
          <w:sz w:val="28"/>
          <w:u w:val="none"/>
        </w:rPr>
      </w:pPr>
      <w:r w:rsidRPr="000A4E77">
        <w:rPr>
          <w:rFonts w:ascii="Segoe UI" w:hAnsi="Segoe UI" w:cs="Segoe UI"/>
          <w:sz w:val="28"/>
          <w:u w:val="none"/>
        </w:rPr>
        <w:t xml:space="preserve">Oxford Health NHS </w:t>
      </w:r>
      <w:r w:rsidR="002821F8" w:rsidRPr="000A4E77">
        <w:rPr>
          <w:rFonts w:ascii="Segoe UI" w:hAnsi="Segoe UI" w:cs="Segoe UI"/>
          <w:sz w:val="28"/>
          <w:u w:val="none"/>
        </w:rPr>
        <w:t xml:space="preserve">Foundation Trust </w:t>
      </w:r>
    </w:p>
    <w:p w14:paraId="17BB6440" w14:textId="17C40024" w:rsidR="005D3499" w:rsidRPr="000A4E77" w:rsidRDefault="00971771">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4D8E0013" wp14:editId="448F2EC0">
                <wp:simplePos x="0" y="0"/>
                <wp:positionH relativeFrom="column">
                  <wp:posOffset>4824730</wp:posOffset>
                </wp:positionH>
                <wp:positionV relativeFrom="paragraph">
                  <wp:posOffset>144779</wp:posOffset>
                </wp:positionV>
                <wp:extent cx="1371600" cy="667385"/>
                <wp:effectExtent l="0" t="0" r="19050" b="184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67385"/>
                        </a:xfrm>
                        <a:prstGeom prst="rect">
                          <a:avLst/>
                        </a:prstGeom>
                        <a:solidFill>
                          <a:srgbClr val="FFFFFF"/>
                        </a:solidFill>
                        <a:ln w="9525">
                          <a:solidFill>
                            <a:srgbClr val="000000"/>
                          </a:solidFill>
                          <a:miter lim="800000"/>
                          <a:headEnd/>
                          <a:tailEnd/>
                        </a:ln>
                      </wps:spPr>
                      <wps:txbx>
                        <w:txbxContent>
                          <w:p w14:paraId="79FC05A2" w14:textId="77777777" w:rsidR="0049570F" w:rsidRDefault="0049570F">
                            <w:pPr>
                              <w:pStyle w:val="BodyText"/>
                              <w:rPr>
                                <w:sz w:val="22"/>
                              </w:rPr>
                            </w:pPr>
                          </w:p>
                          <w:p w14:paraId="7B91CFB5" w14:textId="6A848C02" w:rsidR="00781566" w:rsidRDefault="004B633F">
                            <w:pPr>
                              <w:pStyle w:val="BodyText"/>
                              <w:rPr>
                                <w:b w:val="0"/>
                                <w:sz w:val="22"/>
                              </w:rPr>
                            </w:pPr>
                            <w:proofErr w:type="spellStart"/>
                            <w:r>
                              <w:rPr>
                                <w:sz w:val="22"/>
                              </w:rPr>
                              <w:t>BoD</w:t>
                            </w:r>
                            <w:proofErr w:type="spellEnd"/>
                            <w:r w:rsidR="00736BB8">
                              <w:rPr>
                                <w:sz w:val="22"/>
                              </w:rPr>
                              <w:t xml:space="preserve"> </w:t>
                            </w:r>
                            <w:r w:rsidR="0049570F">
                              <w:rPr>
                                <w:sz w:val="22"/>
                              </w:rPr>
                              <w:t>116/</w:t>
                            </w:r>
                            <w:r w:rsidR="00B606D5">
                              <w:rPr>
                                <w:sz w:val="22"/>
                              </w:rPr>
                              <w:t>201</w:t>
                            </w:r>
                            <w:r w:rsidR="000A4E77">
                              <w:rPr>
                                <w:sz w:val="22"/>
                              </w:rPr>
                              <w:t>9</w:t>
                            </w:r>
                          </w:p>
                          <w:p w14:paraId="23DA51AF" w14:textId="7DA236BF" w:rsidR="002D7C41" w:rsidRPr="002D7C41" w:rsidRDefault="003329C5">
                            <w:pPr>
                              <w:pStyle w:val="BodyText"/>
                              <w:rPr>
                                <w:b w:val="0"/>
                                <w:sz w:val="22"/>
                              </w:rPr>
                            </w:pPr>
                            <w:r>
                              <w:rPr>
                                <w:b w:val="0"/>
                                <w:sz w:val="22"/>
                              </w:rPr>
                              <w:t xml:space="preserve">(Agenda item: </w:t>
                            </w:r>
                            <w:r w:rsidR="0049570F">
                              <w:rPr>
                                <w:b w:val="0"/>
                                <w:sz w:val="22"/>
                              </w:rPr>
                              <w:t>20</w:t>
                            </w:r>
                            <w:r w:rsidR="002D7C41">
                              <w:rPr>
                                <w:b w:val="0"/>
                                <w:sz w:val="22"/>
                              </w:rPr>
                              <w:t>)</w:t>
                            </w:r>
                          </w:p>
                          <w:p w14:paraId="097C7507" w14:textId="77777777" w:rsidR="00781566" w:rsidRDefault="0078156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0013" id="Rectangle 10" o:spid="_x0000_s1026" style="position:absolute;left:0;text-align:left;margin-left:379.9pt;margin-top:11.4pt;width:108pt;height:5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">
                <v:textbox inset="0,0,0,0">
                  <w:txbxContent>
                    <w:p w14:paraId="79FC05A2" w14:textId="77777777" w:rsidR="0049570F" w:rsidRDefault="0049570F">
                      <w:pPr>
                        <w:pStyle w:val="BodyText"/>
                        <w:rPr>
                          <w:sz w:val="22"/>
                        </w:rPr>
                      </w:pPr>
                    </w:p>
                    <w:p w14:paraId="7B91CFB5" w14:textId="6A848C02" w:rsidR="00781566" w:rsidRDefault="004B633F">
                      <w:pPr>
                        <w:pStyle w:val="BodyText"/>
                        <w:rPr>
                          <w:b w:val="0"/>
                          <w:sz w:val="22"/>
                        </w:rPr>
                      </w:pPr>
                      <w:proofErr w:type="spellStart"/>
                      <w:r>
                        <w:rPr>
                          <w:sz w:val="22"/>
                        </w:rPr>
                        <w:t>BoD</w:t>
                      </w:r>
                      <w:proofErr w:type="spellEnd"/>
                      <w:r w:rsidR="00736BB8">
                        <w:rPr>
                          <w:sz w:val="22"/>
                        </w:rPr>
                        <w:t xml:space="preserve"> </w:t>
                      </w:r>
                      <w:r w:rsidR="0049570F">
                        <w:rPr>
                          <w:sz w:val="22"/>
                        </w:rPr>
                        <w:t>116/</w:t>
                      </w:r>
                      <w:r w:rsidR="00B606D5">
                        <w:rPr>
                          <w:sz w:val="22"/>
                        </w:rPr>
                        <w:t>201</w:t>
                      </w:r>
                      <w:r w:rsidR="000A4E77">
                        <w:rPr>
                          <w:sz w:val="22"/>
                        </w:rPr>
                        <w:t>9</w:t>
                      </w:r>
                    </w:p>
                    <w:p w14:paraId="23DA51AF" w14:textId="7DA236BF" w:rsidR="002D7C41" w:rsidRPr="002D7C41" w:rsidRDefault="003329C5">
                      <w:pPr>
                        <w:pStyle w:val="BodyText"/>
                        <w:rPr>
                          <w:b w:val="0"/>
                          <w:sz w:val="22"/>
                        </w:rPr>
                      </w:pPr>
                      <w:r>
                        <w:rPr>
                          <w:b w:val="0"/>
                          <w:sz w:val="22"/>
                        </w:rPr>
                        <w:t xml:space="preserve">(Agenda item: </w:t>
                      </w:r>
                      <w:r w:rsidR="0049570F">
                        <w:rPr>
                          <w:b w:val="0"/>
                          <w:sz w:val="22"/>
                        </w:rPr>
                        <w:t>20</w:t>
                      </w:r>
                      <w:r w:rsidR="002D7C41">
                        <w:rPr>
                          <w:b w:val="0"/>
                          <w:sz w:val="22"/>
                        </w:rPr>
                        <w:t>)</w:t>
                      </w:r>
                    </w:p>
                    <w:p w14:paraId="097C7507" w14:textId="77777777" w:rsidR="00781566" w:rsidRDefault="00781566">
                      <w:pPr>
                        <w:jc w:val="center"/>
                        <w:rPr>
                          <w:b/>
                        </w:rPr>
                      </w:pPr>
                    </w:p>
                  </w:txbxContent>
                </v:textbox>
              </v:rect>
            </w:pict>
          </mc:Fallback>
        </mc:AlternateContent>
      </w:r>
      <w:r w:rsidR="005D3499" w:rsidRPr="000A4E77">
        <w:rPr>
          <w:rFonts w:ascii="Segoe UI" w:hAnsi="Segoe UI" w:cs="Segoe UI"/>
          <w:sz w:val="28"/>
          <w:u w:val="none"/>
        </w:rPr>
        <w:t>Board</w:t>
      </w:r>
      <w:r w:rsidR="002821F8" w:rsidRPr="000A4E77">
        <w:rPr>
          <w:rFonts w:ascii="Segoe UI" w:hAnsi="Segoe UI" w:cs="Segoe UI"/>
          <w:sz w:val="28"/>
          <w:u w:val="none"/>
        </w:rPr>
        <w:t xml:space="preserve"> of Directors</w:t>
      </w:r>
    </w:p>
    <w:p w14:paraId="0B0196C9" w14:textId="77777777" w:rsidR="005D3499" w:rsidRPr="000A4E77" w:rsidRDefault="005D3499" w:rsidP="00A85311">
      <w:pPr>
        <w:rPr>
          <w:rFonts w:ascii="Segoe UI" w:hAnsi="Segoe UI" w:cs="Segoe UI"/>
          <w:b/>
        </w:rPr>
      </w:pPr>
    </w:p>
    <w:p w14:paraId="570264F3" w14:textId="575CBB32" w:rsidR="005D3499" w:rsidRPr="000A4E77" w:rsidRDefault="006161F3">
      <w:pPr>
        <w:jc w:val="center"/>
        <w:rPr>
          <w:rFonts w:ascii="Segoe UI" w:hAnsi="Segoe UI" w:cs="Segoe UI"/>
          <w:b/>
        </w:rPr>
      </w:pPr>
      <w:r>
        <w:rPr>
          <w:rFonts w:ascii="Segoe UI" w:hAnsi="Segoe UI" w:cs="Segoe UI"/>
          <w:b/>
        </w:rPr>
        <w:t>4</w:t>
      </w:r>
      <w:r w:rsidRPr="006161F3">
        <w:rPr>
          <w:rFonts w:ascii="Segoe UI" w:hAnsi="Segoe UI" w:cs="Segoe UI"/>
          <w:b/>
          <w:vertAlign w:val="superscript"/>
        </w:rPr>
        <w:t>th</w:t>
      </w:r>
      <w:r>
        <w:rPr>
          <w:rFonts w:ascii="Segoe UI" w:hAnsi="Segoe UI" w:cs="Segoe UI"/>
          <w:b/>
        </w:rPr>
        <w:t xml:space="preserve"> December 2019</w:t>
      </w:r>
    </w:p>
    <w:p w14:paraId="11E7A681" w14:textId="77777777" w:rsidR="005D3499" w:rsidRPr="000A4E77" w:rsidRDefault="005D3499">
      <w:pPr>
        <w:jc w:val="center"/>
        <w:rPr>
          <w:rFonts w:ascii="Segoe UI" w:hAnsi="Segoe UI" w:cs="Segoe UI"/>
          <w:b/>
        </w:rPr>
      </w:pPr>
    </w:p>
    <w:p w14:paraId="7EEB6FBC" w14:textId="77777777" w:rsidR="005D3499" w:rsidRPr="000A4E77" w:rsidRDefault="001F1905" w:rsidP="00CD4771">
      <w:pPr>
        <w:jc w:val="center"/>
        <w:rPr>
          <w:rFonts w:ascii="Segoe UI" w:hAnsi="Segoe UI" w:cs="Segoe UI"/>
          <w:b/>
        </w:rPr>
      </w:pPr>
      <w:r w:rsidRPr="000A4E77">
        <w:rPr>
          <w:rFonts w:ascii="Segoe UI" w:hAnsi="Segoe UI" w:cs="Segoe UI"/>
          <w:b/>
        </w:rPr>
        <w:t>Board Assurance Framework</w:t>
      </w:r>
      <w:r w:rsidR="00FA00E4" w:rsidRPr="000A4E77">
        <w:rPr>
          <w:rFonts w:ascii="Segoe UI" w:hAnsi="Segoe UI" w:cs="Segoe UI"/>
          <w:b/>
        </w:rPr>
        <w:t xml:space="preserve"> (BAF)</w:t>
      </w:r>
      <w:r w:rsidR="00A60578" w:rsidRPr="000A4E77">
        <w:rPr>
          <w:rFonts w:ascii="Segoe UI" w:hAnsi="Segoe UI" w:cs="Segoe UI"/>
          <w:b/>
        </w:rPr>
        <w:t xml:space="preserve"> </w:t>
      </w:r>
      <w:r w:rsidRPr="000A4E77">
        <w:rPr>
          <w:rFonts w:ascii="Segoe UI" w:hAnsi="Segoe UI" w:cs="Segoe UI"/>
          <w:b/>
        </w:rPr>
        <w:t>Report</w:t>
      </w:r>
    </w:p>
    <w:p w14:paraId="292A8D70" w14:textId="77777777" w:rsidR="005D3499" w:rsidRPr="000A4E77" w:rsidRDefault="005D3499">
      <w:pPr>
        <w:rPr>
          <w:rFonts w:ascii="Segoe UI" w:hAnsi="Segoe UI" w:cs="Segoe UI"/>
          <w:b/>
        </w:rPr>
      </w:pPr>
    </w:p>
    <w:p w14:paraId="6080CB31" w14:textId="77777777" w:rsidR="005D3499" w:rsidRPr="000A4E77" w:rsidRDefault="00B606D5" w:rsidP="00A11F2E">
      <w:pPr>
        <w:jc w:val="center"/>
        <w:rPr>
          <w:rFonts w:ascii="Segoe UI" w:hAnsi="Segoe UI" w:cs="Segoe UI"/>
        </w:rPr>
      </w:pPr>
      <w:r w:rsidRPr="000A4E77">
        <w:rPr>
          <w:rFonts w:ascii="Segoe UI" w:hAnsi="Segoe UI" w:cs="Segoe UI"/>
          <w:b/>
        </w:rPr>
        <w:t>For</w:t>
      </w:r>
      <w:r w:rsidR="00A11F2E" w:rsidRPr="000A4E77">
        <w:rPr>
          <w:rFonts w:ascii="Segoe UI" w:hAnsi="Segoe UI" w:cs="Segoe UI"/>
          <w:b/>
        </w:rPr>
        <w:t xml:space="preserve"> </w:t>
      </w:r>
      <w:r w:rsidR="003262B2" w:rsidRPr="000A4E77">
        <w:rPr>
          <w:rFonts w:ascii="Segoe UI" w:hAnsi="Segoe UI" w:cs="Segoe UI"/>
          <w:b/>
        </w:rPr>
        <w:t xml:space="preserve">Assurance </w:t>
      </w:r>
    </w:p>
    <w:p w14:paraId="47FFF7E8" w14:textId="77777777" w:rsidR="005C3FC1" w:rsidRPr="000A4E77" w:rsidRDefault="005C3FC1" w:rsidP="0073522A">
      <w:pPr>
        <w:jc w:val="both"/>
        <w:rPr>
          <w:rFonts w:ascii="Segoe UI" w:hAnsi="Segoe UI" w:cs="Segoe UI"/>
          <w:b/>
        </w:rPr>
      </w:pPr>
    </w:p>
    <w:p w14:paraId="41D668B5" w14:textId="77777777" w:rsidR="00BA3B3E" w:rsidRDefault="00A11F2E" w:rsidP="0073522A">
      <w:pPr>
        <w:jc w:val="both"/>
        <w:rPr>
          <w:rFonts w:ascii="Segoe UI" w:hAnsi="Segoe UI" w:cs="Segoe UI"/>
          <w:b/>
        </w:rPr>
      </w:pPr>
      <w:r w:rsidRPr="000A4E77">
        <w:rPr>
          <w:rFonts w:ascii="Segoe UI" w:hAnsi="Segoe UI" w:cs="Segoe UI"/>
          <w:b/>
        </w:rPr>
        <w:t xml:space="preserve">Executive Summary </w:t>
      </w:r>
      <w:r w:rsidR="000A6AF2">
        <w:rPr>
          <w:rFonts w:ascii="Segoe UI" w:hAnsi="Segoe UI" w:cs="Segoe UI"/>
          <w:b/>
        </w:rPr>
        <w:t>and Context</w:t>
      </w:r>
    </w:p>
    <w:p w14:paraId="597BB108" w14:textId="77777777" w:rsidR="00347124" w:rsidRPr="000A4E77" w:rsidRDefault="00347124" w:rsidP="0073522A">
      <w:pPr>
        <w:jc w:val="both"/>
        <w:rPr>
          <w:rFonts w:ascii="Segoe UI" w:hAnsi="Segoe UI" w:cs="Segoe UI"/>
        </w:rPr>
      </w:pPr>
    </w:p>
    <w:p w14:paraId="79437278" w14:textId="6EE0D5F5" w:rsidR="00AE44B8" w:rsidRDefault="00EC354F" w:rsidP="0073522A">
      <w:pPr>
        <w:jc w:val="both"/>
        <w:rPr>
          <w:rFonts w:ascii="Segoe UI" w:hAnsi="Segoe UI" w:cs="Segoe UI"/>
        </w:rPr>
      </w:pPr>
      <w:r w:rsidRPr="000A4E77">
        <w:rPr>
          <w:rFonts w:ascii="Segoe UI" w:hAnsi="Segoe UI" w:cs="Segoe UI"/>
        </w:rPr>
        <w:t>This</w:t>
      </w:r>
      <w:r w:rsidR="002F3BCF">
        <w:rPr>
          <w:rFonts w:ascii="Segoe UI" w:hAnsi="Segoe UI" w:cs="Segoe UI"/>
        </w:rPr>
        <w:t xml:space="preserve"> is an interim </w:t>
      </w:r>
      <w:r w:rsidRPr="000A4E77">
        <w:rPr>
          <w:rFonts w:ascii="Segoe UI" w:hAnsi="Segoe UI" w:cs="Segoe UI"/>
        </w:rPr>
        <w:t xml:space="preserve">report </w:t>
      </w:r>
      <w:r w:rsidR="004B633F" w:rsidRPr="000A4E77">
        <w:rPr>
          <w:rFonts w:ascii="Segoe UI" w:hAnsi="Segoe UI" w:cs="Segoe UI"/>
        </w:rPr>
        <w:t>on</w:t>
      </w:r>
      <w:r w:rsidRPr="000A4E77">
        <w:rPr>
          <w:rFonts w:ascii="Segoe UI" w:hAnsi="Segoe UI" w:cs="Segoe UI"/>
        </w:rPr>
        <w:t xml:space="preserve"> the posi</w:t>
      </w:r>
      <w:r w:rsidR="00BB3B63" w:rsidRPr="000A4E77">
        <w:rPr>
          <w:rFonts w:ascii="Segoe UI" w:hAnsi="Segoe UI" w:cs="Segoe UI"/>
        </w:rPr>
        <w:t>ti</w:t>
      </w:r>
      <w:r w:rsidR="00004F34" w:rsidRPr="000A4E77">
        <w:rPr>
          <w:rFonts w:ascii="Segoe UI" w:hAnsi="Segoe UI" w:cs="Segoe UI"/>
        </w:rPr>
        <w:t xml:space="preserve">on of the BAF </w:t>
      </w:r>
      <w:r w:rsidR="009D5BCA">
        <w:rPr>
          <w:rFonts w:ascii="Segoe UI" w:hAnsi="Segoe UI" w:cs="Segoe UI"/>
        </w:rPr>
        <w:t>mid</w:t>
      </w:r>
      <w:r w:rsidR="00142128">
        <w:rPr>
          <w:rFonts w:ascii="Segoe UI" w:hAnsi="Segoe UI" w:cs="Segoe UI"/>
        </w:rPr>
        <w:t>-</w:t>
      </w:r>
      <w:r w:rsidR="00AE44B8">
        <w:rPr>
          <w:rFonts w:ascii="Segoe UI" w:hAnsi="Segoe UI" w:cs="Segoe UI"/>
        </w:rPr>
        <w:t>Q</w:t>
      </w:r>
      <w:r w:rsidR="006161F3">
        <w:rPr>
          <w:rFonts w:ascii="Segoe UI" w:hAnsi="Segoe UI" w:cs="Segoe UI"/>
        </w:rPr>
        <w:t>3</w:t>
      </w:r>
      <w:r w:rsidR="00AE44B8">
        <w:rPr>
          <w:rFonts w:ascii="Segoe UI" w:hAnsi="Segoe UI" w:cs="Segoe UI"/>
        </w:rPr>
        <w:t xml:space="preserve"> FY20</w:t>
      </w:r>
      <w:r w:rsidR="00142128">
        <w:rPr>
          <w:rFonts w:ascii="Segoe UI" w:hAnsi="Segoe UI" w:cs="Segoe UI"/>
        </w:rPr>
        <w:t>,</w:t>
      </w:r>
      <w:r w:rsidR="00B44452">
        <w:rPr>
          <w:rFonts w:ascii="Segoe UI" w:hAnsi="Segoe UI" w:cs="Segoe UI"/>
        </w:rPr>
        <w:t xml:space="preserve"> pending a more detailed update in Q4 </w:t>
      </w:r>
      <w:r w:rsidR="00910770">
        <w:rPr>
          <w:rFonts w:ascii="Segoe UI" w:hAnsi="Segoe UI" w:cs="Segoe UI"/>
        </w:rPr>
        <w:t>and</w:t>
      </w:r>
      <w:r w:rsidR="004B633F" w:rsidRPr="000A4E77">
        <w:rPr>
          <w:rFonts w:ascii="Segoe UI" w:hAnsi="Segoe UI" w:cs="Segoe UI"/>
        </w:rPr>
        <w:t xml:space="preserve"> </w:t>
      </w:r>
      <w:r w:rsidR="00C836B0" w:rsidRPr="000A4E77">
        <w:rPr>
          <w:rFonts w:ascii="Segoe UI" w:hAnsi="Segoe UI" w:cs="Segoe UI"/>
        </w:rPr>
        <w:t xml:space="preserve">refers to the </w:t>
      </w:r>
      <w:r w:rsidR="00D12042" w:rsidRPr="000A4E77">
        <w:rPr>
          <w:rFonts w:ascii="Segoe UI" w:hAnsi="Segoe UI" w:cs="Segoe UI"/>
        </w:rPr>
        <w:t>long-term</w:t>
      </w:r>
      <w:r w:rsidR="00C836B0" w:rsidRPr="000A4E77">
        <w:rPr>
          <w:rFonts w:ascii="Segoe UI" w:hAnsi="Segoe UI" w:cs="Segoe UI"/>
        </w:rPr>
        <w:t xml:space="preserve"> Strategic Objectives of the Trust and the risks which could cause the Trust to fail to achieve these as set out in the full BAF.</w:t>
      </w:r>
      <w:r w:rsidR="0020037C" w:rsidRPr="000A4E77">
        <w:rPr>
          <w:rFonts w:ascii="Segoe UI" w:hAnsi="Segoe UI" w:cs="Segoe UI"/>
        </w:rPr>
        <w:t xml:space="preserve">  </w:t>
      </w:r>
      <w:r w:rsidR="00B80B8D" w:rsidRPr="000A4E77">
        <w:rPr>
          <w:rFonts w:ascii="Segoe UI" w:hAnsi="Segoe UI" w:cs="Segoe UI"/>
        </w:rPr>
        <w:t xml:space="preserve"> The full BAF is provided so the</w:t>
      </w:r>
      <w:r w:rsidR="00910770">
        <w:rPr>
          <w:rFonts w:ascii="Segoe UI" w:hAnsi="Segoe UI" w:cs="Segoe UI"/>
        </w:rPr>
        <w:t xml:space="preserve"> latest version and its</w:t>
      </w:r>
      <w:r w:rsidR="00B80B8D" w:rsidRPr="000A4E77">
        <w:rPr>
          <w:rFonts w:ascii="Segoe UI" w:hAnsi="Segoe UI" w:cs="Segoe UI"/>
        </w:rPr>
        <w:t xml:space="preserve"> detail is available </w:t>
      </w:r>
      <w:r w:rsidR="0038287D">
        <w:rPr>
          <w:rFonts w:ascii="Segoe UI" w:hAnsi="Segoe UI" w:cs="Segoe UI"/>
        </w:rPr>
        <w:t>as</w:t>
      </w:r>
      <w:r w:rsidR="00B80B8D" w:rsidRPr="000A4E77">
        <w:rPr>
          <w:rFonts w:ascii="Segoe UI" w:hAnsi="Segoe UI" w:cs="Segoe UI"/>
        </w:rPr>
        <w:t xml:space="preserve"> required. </w:t>
      </w:r>
      <w:r w:rsidR="00AE44B8">
        <w:rPr>
          <w:rFonts w:ascii="Segoe UI" w:hAnsi="Segoe UI" w:cs="Segoe UI"/>
        </w:rPr>
        <w:t xml:space="preserve">  </w:t>
      </w:r>
    </w:p>
    <w:p w14:paraId="2B8B5B62" w14:textId="77777777" w:rsidR="00AE44B8" w:rsidRDefault="00AE44B8" w:rsidP="0073522A">
      <w:pPr>
        <w:jc w:val="both"/>
        <w:rPr>
          <w:rFonts w:ascii="Segoe UI" w:hAnsi="Segoe UI" w:cs="Segoe UI"/>
        </w:rPr>
      </w:pPr>
    </w:p>
    <w:p w14:paraId="1C3D86C3" w14:textId="5FCC0BF9" w:rsidR="00BA3B3E" w:rsidRDefault="00394423" w:rsidP="0073522A">
      <w:pPr>
        <w:jc w:val="both"/>
        <w:rPr>
          <w:rFonts w:ascii="Segoe UI" w:hAnsi="Segoe UI" w:cs="Segoe UI"/>
        </w:rPr>
      </w:pPr>
      <w:r>
        <w:rPr>
          <w:rFonts w:ascii="Segoe UI" w:hAnsi="Segoe UI" w:cs="Segoe UI"/>
        </w:rPr>
        <w:t xml:space="preserve">Board </w:t>
      </w:r>
      <w:r w:rsidR="007F0A5C">
        <w:rPr>
          <w:rFonts w:ascii="Segoe UI" w:hAnsi="Segoe UI" w:cs="Segoe UI"/>
        </w:rPr>
        <w:t xml:space="preserve">in the period since the last report has considered the </w:t>
      </w:r>
      <w:r w:rsidR="00AE44B8">
        <w:rPr>
          <w:rFonts w:ascii="Segoe UI" w:hAnsi="Segoe UI" w:cs="Segoe UI"/>
        </w:rPr>
        <w:t>2019/20 Operational Plan</w:t>
      </w:r>
      <w:r w:rsidR="007F0A5C">
        <w:rPr>
          <w:rFonts w:ascii="Segoe UI" w:hAnsi="Segoe UI" w:cs="Segoe UI"/>
        </w:rPr>
        <w:t>,</w:t>
      </w:r>
      <w:r w:rsidR="00AE44B8">
        <w:rPr>
          <w:rFonts w:ascii="Segoe UI" w:hAnsi="Segoe UI" w:cs="Segoe UI"/>
        </w:rPr>
        <w:t xml:space="preserve"> progress against the more immediate Strategic Priorities and the Trust’s key </w:t>
      </w:r>
      <w:proofErr w:type="spellStart"/>
      <w:r w:rsidR="00AE44B8">
        <w:rPr>
          <w:rFonts w:ascii="Segoe UI" w:hAnsi="Segoe UI" w:cs="Segoe UI"/>
        </w:rPr>
        <w:t>programmes</w:t>
      </w:r>
      <w:proofErr w:type="spellEnd"/>
      <w:r w:rsidR="00AE44B8">
        <w:rPr>
          <w:rFonts w:ascii="Segoe UI" w:hAnsi="Segoe UI" w:cs="Segoe UI"/>
        </w:rPr>
        <w:t xml:space="preserve"> </w:t>
      </w:r>
      <w:r w:rsidR="007F0A5C">
        <w:rPr>
          <w:rFonts w:ascii="Segoe UI" w:hAnsi="Segoe UI" w:cs="Segoe UI"/>
        </w:rPr>
        <w:t xml:space="preserve">and has contributed to the Integrated </w:t>
      </w:r>
      <w:r w:rsidR="009E4565">
        <w:rPr>
          <w:rFonts w:ascii="Segoe UI" w:hAnsi="Segoe UI" w:cs="Segoe UI"/>
        </w:rPr>
        <w:t>Care System (</w:t>
      </w:r>
      <w:r w:rsidR="009E4565" w:rsidRPr="009E4565">
        <w:rPr>
          <w:rFonts w:ascii="Segoe UI" w:hAnsi="Segoe UI" w:cs="Segoe UI"/>
          <w:b/>
        </w:rPr>
        <w:t>ICS</w:t>
      </w:r>
      <w:r w:rsidR="009E4565">
        <w:rPr>
          <w:rFonts w:ascii="Segoe UI" w:hAnsi="Segoe UI" w:cs="Segoe UI"/>
        </w:rPr>
        <w:t>)</w:t>
      </w:r>
      <w:r w:rsidR="00AE44B8">
        <w:rPr>
          <w:rFonts w:ascii="Segoe UI" w:hAnsi="Segoe UI" w:cs="Segoe UI"/>
        </w:rPr>
        <w:t xml:space="preserve"> </w:t>
      </w:r>
      <w:r w:rsidR="009E4565">
        <w:rPr>
          <w:rFonts w:ascii="Segoe UI" w:hAnsi="Segoe UI" w:cs="Segoe UI"/>
        </w:rPr>
        <w:t>four-year plan.</w:t>
      </w:r>
      <w:r w:rsidR="00976211">
        <w:rPr>
          <w:rFonts w:ascii="Segoe UI" w:hAnsi="Segoe UI" w:cs="Segoe UI"/>
        </w:rPr>
        <w:t xml:space="preserve">  </w:t>
      </w:r>
    </w:p>
    <w:p w14:paraId="31F43CC7" w14:textId="77777777" w:rsidR="00976211" w:rsidRDefault="00976211" w:rsidP="0073522A">
      <w:pPr>
        <w:jc w:val="both"/>
        <w:rPr>
          <w:rFonts w:ascii="Segoe UI" w:hAnsi="Segoe UI" w:cs="Segoe UI"/>
        </w:rPr>
      </w:pPr>
    </w:p>
    <w:p w14:paraId="4012717D" w14:textId="3F1BF79C" w:rsidR="00976211" w:rsidRPr="00976211" w:rsidRDefault="00976211" w:rsidP="00976211">
      <w:pPr>
        <w:jc w:val="both"/>
        <w:rPr>
          <w:rFonts w:ascii="Segoe UI" w:hAnsi="Segoe UI" w:cs="Segoe UI"/>
          <w:lang w:val="en-GB"/>
        </w:rPr>
      </w:pPr>
      <w:r w:rsidRPr="00976211">
        <w:rPr>
          <w:rFonts w:ascii="Segoe UI" w:hAnsi="Segoe UI" w:cs="Segoe UI"/>
          <w:lang w:val="en-GB"/>
        </w:rPr>
        <w:t>The BAF was</w:t>
      </w:r>
      <w:r w:rsidR="00FD73B1">
        <w:rPr>
          <w:rFonts w:ascii="Segoe UI" w:hAnsi="Segoe UI" w:cs="Segoe UI"/>
          <w:lang w:val="en-GB"/>
        </w:rPr>
        <w:t xml:space="preserve"> last</w:t>
      </w:r>
      <w:r w:rsidRPr="00976211">
        <w:rPr>
          <w:rFonts w:ascii="Segoe UI" w:hAnsi="Segoe UI" w:cs="Segoe UI"/>
          <w:lang w:val="en-GB"/>
        </w:rPr>
        <w:t xml:space="preserve"> presented to the Board in July 2019, </w:t>
      </w:r>
      <w:r w:rsidR="00FD73B1">
        <w:rPr>
          <w:rFonts w:ascii="Segoe UI" w:hAnsi="Segoe UI" w:cs="Segoe UI"/>
          <w:lang w:val="en-GB"/>
        </w:rPr>
        <w:t>and</w:t>
      </w:r>
      <w:r w:rsidR="00230655">
        <w:rPr>
          <w:rFonts w:ascii="Segoe UI" w:hAnsi="Segoe UI" w:cs="Segoe UI"/>
          <w:lang w:val="en-GB"/>
        </w:rPr>
        <w:t xml:space="preserve"> iterations have</w:t>
      </w:r>
      <w:r w:rsidRPr="00976211">
        <w:rPr>
          <w:rFonts w:ascii="Segoe UI" w:hAnsi="Segoe UI" w:cs="Segoe UI"/>
          <w:lang w:val="en-GB"/>
        </w:rPr>
        <w:t xml:space="preserve"> </w:t>
      </w:r>
      <w:r w:rsidR="0058635D">
        <w:rPr>
          <w:rFonts w:ascii="Segoe UI" w:hAnsi="Segoe UI" w:cs="Segoe UI"/>
          <w:lang w:val="en-GB"/>
        </w:rPr>
        <w:t xml:space="preserve">since </w:t>
      </w:r>
      <w:r w:rsidRPr="00976211">
        <w:rPr>
          <w:rFonts w:ascii="Segoe UI" w:hAnsi="Segoe UI" w:cs="Segoe UI"/>
          <w:lang w:val="en-GB"/>
        </w:rPr>
        <w:t xml:space="preserve">been </w:t>
      </w:r>
      <w:r w:rsidR="00230655">
        <w:rPr>
          <w:rFonts w:ascii="Segoe UI" w:hAnsi="Segoe UI" w:cs="Segoe UI"/>
          <w:lang w:val="en-GB"/>
        </w:rPr>
        <w:t xml:space="preserve">presented </w:t>
      </w:r>
      <w:r w:rsidRPr="00976211">
        <w:rPr>
          <w:rFonts w:ascii="Segoe UI" w:hAnsi="Segoe UI" w:cs="Segoe UI"/>
          <w:lang w:val="en-GB"/>
        </w:rPr>
        <w:t>to various Board Committees,</w:t>
      </w:r>
      <w:r w:rsidR="0058635D">
        <w:rPr>
          <w:rFonts w:ascii="Segoe UI" w:hAnsi="Segoe UI" w:cs="Segoe UI"/>
          <w:lang w:val="en-GB"/>
        </w:rPr>
        <w:t xml:space="preserve"> </w:t>
      </w:r>
      <w:r w:rsidR="005136A7">
        <w:rPr>
          <w:rFonts w:ascii="Segoe UI" w:hAnsi="Segoe UI" w:cs="Segoe UI"/>
          <w:lang w:val="en-GB"/>
        </w:rPr>
        <w:t>last</w:t>
      </w:r>
      <w:r w:rsidRPr="00976211">
        <w:rPr>
          <w:rFonts w:ascii="Segoe UI" w:hAnsi="Segoe UI" w:cs="Segoe UI"/>
          <w:lang w:val="en-GB"/>
        </w:rPr>
        <w:t xml:space="preserve"> being presented to the Audit Committee on 3</w:t>
      </w:r>
      <w:r w:rsidRPr="00976211">
        <w:rPr>
          <w:rFonts w:ascii="Segoe UI" w:hAnsi="Segoe UI" w:cs="Segoe UI"/>
          <w:vertAlign w:val="superscript"/>
          <w:lang w:val="en-GB"/>
        </w:rPr>
        <w:t>rd</w:t>
      </w:r>
      <w:r w:rsidRPr="00976211">
        <w:rPr>
          <w:rFonts w:ascii="Segoe UI" w:hAnsi="Segoe UI" w:cs="Segoe UI"/>
          <w:lang w:val="en-GB"/>
        </w:rPr>
        <w:t xml:space="preserve"> December.  It is scheduled for further review over the next period and </w:t>
      </w:r>
      <w:r w:rsidR="00E03FB6">
        <w:rPr>
          <w:rFonts w:ascii="Segoe UI" w:hAnsi="Segoe UI" w:cs="Segoe UI"/>
          <w:lang w:val="en-GB"/>
        </w:rPr>
        <w:t xml:space="preserve">as stated above, </w:t>
      </w:r>
      <w:r w:rsidRPr="00976211">
        <w:rPr>
          <w:rFonts w:ascii="Segoe UI" w:hAnsi="Segoe UI" w:cs="Segoe UI"/>
          <w:lang w:val="en-GB"/>
        </w:rPr>
        <w:t>a refreshed BAF will be presented to the Board in Quarter 4. The TRR continues to be presented to the Quality Committee each quarter and has been reviewed at each meeting by the Quality Sub-Committee: Well Led.</w:t>
      </w:r>
      <w:r w:rsidR="005136A7">
        <w:rPr>
          <w:rFonts w:ascii="Segoe UI" w:hAnsi="Segoe UI" w:cs="Segoe UI"/>
          <w:lang w:val="en-GB"/>
        </w:rPr>
        <w:t xml:space="preserve">  This update is to apprise Board </w:t>
      </w:r>
      <w:proofErr w:type="gramStart"/>
      <w:r w:rsidR="005136A7">
        <w:rPr>
          <w:rFonts w:ascii="Segoe UI" w:hAnsi="Segoe UI" w:cs="Segoe UI"/>
          <w:lang w:val="en-GB"/>
        </w:rPr>
        <w:t>in particular of</w:t>
      </w:r>
      <w:proofErr w:type="gramEnd"/>
      <w:r w:rsidR="005136A7">
        <w:rPr>
          <w:rFonts w:ascii="Segoe UI" w:hAnsi="Segoe UI" w:cs="Segoe UI"/>
          <w:lang w:val="en-GB"/>
        </w:rPr>
        <w:t xml:space="preserve"> </w:t>
      </w:r>
      <w:r w:rsidR="0024585B">
        <w:rPr>
          <w:rFonts w:ascii="Segoe UI" w:hAnsi="Segoe UI" w:cs="Segoe UI"/>
          <w:lang w:val="en-GB"/>
        </w:rPr>
        <w:t>recently added new risks</w:t>
      </w:r>
      <w:r w:rsidR="00842976">
        <w:rPr>
          <w:rFonts w:ascii="Segoe UI" w:hAnsi="Segoe UI" w:cs="Segoe UI"/>
          <w:lang w:val="en-GB"/>
        </w:rPr>
        <w:t>.</w:t>
      </w:r>
    </w:p>
    <w:p w14:paraId="1BDD7535" w14:textId="19E620A3" w:rsidR="00976211" w:rsidRDefault="00976211" w:rsidP="0073522A">
      <w:pPr>
        <w:jc w:val="both"/>
        <w:rPr>
          <w:rFonts w:ascii="Segoe UI" w:hAnsi="Segoe UI" w:cs="Segoe UI"/>
        </w:rPr>
      </w:pPr>
    </w:p>
    <w:p w14:paraId="176EA0DE" w14:textId="4BF6651C" w:rsidR="00B3608D" w:rsidRDefault="00E27A8A" w:rsidP="00C05526">
      <w:pPr>
        <w:jc w:val="both"/>
        <w:rPr>
          <w:rFonts w:ascii="Segoe UI" w:hAnsi="Segoe UI" w:cs="Segoe UI"/>
          <w:lang w:val="en-GB"/>
        </w:rPr>
      </w:pPr>
      <w:r>
        <w:rPr>
          <w:rFonts w:ascii="Segoe UI" w:hAnsi="Segoe UI" w:cs="Segoe UI"/>
        </w:rPr>
        <w:t xml:space="preserve">On a ‘new’ risk basis, </w:t>
      </w:r>
      <w:r w:rsidR="00C05526">
        <w:rPr>
          <w:rFonts w:ascii="Segoe UI" w:hAnsi="Segoe UI" w:cs="Segoe UI"/>
        </w:rPr>
        <w:t>at a strategic level, t</w:t>
      </w:r>
      <w:r w:rsidR="00C05526" w:rsidRPr="00C05526">
        <w:rPr>
          <w:rFonts w:ascii="Segoe UI" w:hAnsi="Segoe UI" w:cs="Segoe UI"/>
          <w:lang w:val="en-GB"/>
        </w:rPr>
        <w:t>he items</w:t>
      </w:r>
      <w:r w:rsidR="007D2DF7">
        <w:rPr>
          <w:rFonts w:ascii="Segoe UI" w:hAnsi="Segoe UI" w:cs="Segoe UI"/>
          <w:lang w:val="en-GB"/>
        </w:rPr>
        <w:t xml:space="preserve"> it is important</w:t>
      </w:r>
      <w:r w:rsidR="00C05526" w:rsidRPr="00C05526">
        <w:rPr>
          <w:rFonts w:ascii="Segoe UI" w:hAnsi="Segoe UI" w:cs="Segoe UI"/>
          <w:lang w:val="en-GB"/>
        </w:rPr>
        <w:t xml:space="preserve"> to bring to </w:t>
      </w:r>
      <w:r w:rsidR="00C05526">
        <w:rPr>
          <w:rFonts w:ascii="Segoe UI" w:hAnsi="Segoe UI" w:cs="Segoe UI"/>
          <w:lang w:val="en-GB"/>
        </w:rPr>
        <w:t>Board</w:t>
      </w:r>
      <w:r w:rsidR="00C05526" w:rsidRPr="00C05526">
        <w:rPr>
          <w:rFonts w:ascii="Segoe UI" w:hAnsi="Segoe UI" w:cs="Segoe UI"/>
          <w:lang w:val="en-GB"/>
        </w:rPr>
        <w:t xml:space="preserve">’s attention </w:t>
      </w:r>
      <w:r w:rsidR="0054710E">
        <w:rPr>
          <w:rFonts w:ascii="Segoe UI" w:hAnsi="Segoe UI" w:cs="Segoe UI"/>
          <w:lang w:val="en-GB"/>
        </w:rPr>
        <w:t xml:space="preserve">since the update in July </w:t>
      </w:r>
      <w:r w:rsidR="00C05526" w:rsidRPr="00C05526">
        <w:rPr>
          <w:rFonts w:ascii="Segoe UI" w:hAnsi="Segoe UI" w:cs="Segoe UI"/>
          <w:lang w:val="en-GB"/>
        </w:rPr>
        <w:t xml:space="preserve">are the new risk 6.4 (the Data Centre risk) and the revised risk 6.1, </w:t>
      </w:r>
      <w:r w:rsidR="00302426">
        <w:rPr>
          <w:rFonts w:ascii="Segoe UI" w:hAnsi="Segoe UI" w:cs="Segoe UI"/>
          <w:lang w:val="en-GB"/>
        </w:rPr>
        <w:t>and the enclosed BAF</w:t>
      </w:r>
      <w:r w:rsidR="00C05526" w:rsidRPr="00C05526">
        <w:rPr>
          <w:rFonts w:ascii="Segoe UI" w:hAnsi="Segoe UI" w:cs="Segoe UI"/>
          <w:lang w:val="en-GB"/>
        </w:rPr>
        <w:t xml:space="preserve"> is updated to reflect the current position on the Trust’s Data quality risk.  </w:t>
      </w:r>
    </w:p>
    <w:p w14:paraId="3E7C61B6" w14:textId="77777777" w:rsidR="00B3608D" w:rsidRDefault="00B3608D" w:rsidP="00C05526">
      <w:pPr>
        <w:jc w:val="both"/>
        <w:rPr>
          <w:rFonts w:ascii="Segoe UI" w:hAnsi="Segoe UI" w:cs="Segoe UI"/>
          <w:lang w:val="en-GB"/>
        </w:rPr>
      </w:pPr>
    </w:p>
    <w:p w14:paraId="069090AF" w14:textId="083A64D2" w:rsidR="00C05526" w:rsidRPr="00C05526" w:rsidRDefault="00C05526" w:rsidP="00C05526">
      <w:pPr>
        <w:numPr>
          <w:ilvl w:val="0"/>
          <w:numId w:val="44"/>
        </w:numPr>
        <w:jc w:val="both"/>
        <w:rPr>
          <w:rFonts w:ascii="Segoe UI" w:hAnsi="Segoe UI" w:cs="Segoe UI"/>
          <w:lang w:val="en-GB"/>
        </w:rPr>
      </w:pPr>
      <w:r w:rsidRPr="00C05526">
        <w:rPr>
          <w:rFonts w:ascii="Segoe UI" w:hAnsi="Segoe UI" w:cs="Segoe UI"/>
          <w:b/>
          <w:lang w:val="en-GB"/>
        </w:rPr>
        <w:lastRenderedPageBreak/>
        <w:t>A new risk – 6.4 – around the “Data Centre Risk”.</w:t>
      </w:r>
      <w:r w:rsidRPr="00C05526">
        <w:rPr>
          <w:rFonts w:ascii="Segoe UI" w:hAnsi="Segoe UI" w:cs="Segoe UI"/>
          <w:lang w:val="en-GB"/>
        </w:rPr>
        <w:t xml:space="preserve"> This risk was</w:t>
      </w:r>
      <w:r w:rsidR="00CE49F6">
        <w:rPr>
          <w:rFonts w:ascii="Segoe UI" w:hAnsi="Segoe UI" w:cs="Segoe UI"/>
          <w:lang w:val="en-GB"/>
        </w:rPr>
        <w:t xml:space="preserve"> </w:t>
      </w:r>
      <w:r w:rsidRPr="00C05526">
        <w:rPr>
          <w:rFonts w:ascii="Segoe UI" w:hAnsi="Segoe UI" w:cs="Segoe UI"/>
          <w:lang w:val="en-GB"/>
        </w:rPr>
        <w:t xml:space="preserve">discussed at Audit Committee in September 2019. It has been developed with IM&amp;T and now sits as a High risk on the BAF.   The risk was brought into focus by an incident in late October 2019, where there was a failure in the single Data Centre where the Trust hosts its IT systems and services.   </w:t>
      </w:r>
      <w:proofErr w:type="gramStart"/>
      <w:r w:rsidRPr="00C05526">
        <w:rPr>
          <w:rFonts w:ascii="Segoe UI" w:hAnsi="Segoe UI" w:cs="Segoe UI"/>
          <w:lang w:val="en-GB"/>
        </w:rPr>
        <w:t>The majority of</w:t>
      </w:r>
      <w:proofErr w:type="gramEnd"/>
      <w:r w:rsidRPr="00C05526">
        <w:rPr>
          <w:rFonts w:ascii="Segoe UI" w:hAnsi="Segoe UI" w:cs="Segoe UI"/>
          <w:lang w:val="en-GB"/>
        </w:rPr>
        <w:t xml:space="preserve"> the Trust’s systems were either affected or lost for an extended period of time whilst both teams worked to restore services. The Data Centre is owned and managed by </w:t>
      </w:r>
      <w:r w:rsidR="00E601B1">
        <w:rPr>
          <w:rFonts w:ascii="Segoe UI" w:hAnsi="Segoe UI" w:cs="Segoe UI"/>
          <w:lang w:val="en-GB"/>
        </w:rPr>
        <w:t>another provider</w:t>
      </w:r>
      <w:bookmarkStart w:id="0" w:name="_GoBack"/>
      <w:bookmarkEnd w:id="0"/>
      <w:r w:rsidRPr="00C05526">
        <w:rPr>
          <w:rFonts w:ascii="Segoe UI" w:hAnsi="Segoe UI" w:cs="Segoe UI"/>
          <w:lang w:val="en-GB"/>
        </w:rPr>
        <w:t xml:space="preserve"> and although layers of redundancy are built in (e.g. backup power sources), they did not work as designed.  This failure has reinforced the findings in the recent data centre audit and the Trust should continue its plans to identify and then migrate IT services to more sustainable and resilient hosting arrangements.</w:t>
      </w:r>
    </w:p>
    <w:p w14:paraId="730B4823" w14:textId="77777777" w:rsidR="00C05526" w:rsidRPr="00C05526" w:rsidRDefault="00C05526" w:rsidP="00C05526">
      <w:pPr>
        <w:jc w:val="both"/>
        <w:rPr>
          <w:rFonts w:ascii="Segoe UI" w:hAnsi="Segoe UI" w:cs="Segoe UI"/>
          <w:lang w:val="en-GB"/>
        </w:rPr>
      </w:pPr>
      <w:r w:rsidRPr="00C05526">
        <w:rPr>
          <w:rFonts w:ascii="Segoe UI" w:hAnsi="Segoe UI" w:cs="Segoe UI"/>
          <w:lang w:val="en-GB"/>
        </w:rPr>
        <w:t xml:space="preserve">    </w:t>
      </w:r>
    </w:p>
    <w:p w14:paraId="12DB5A42" w14:textId="77777777" w:rsidR="00C05526" w:rsidRPr="00C05526" w:rsidRDefault="00C05526" w:rsidP="00C05526">
      <w:pPr>
        <w:numPr>
          <w:ilvl w:val="0"/>
          <w:numId w:val="43"/>
        </w:numPr>
        <w:jc w:val="both"/>
        <w:rPr>
          <w:rFonts w:ascii="Segoe UI" w:hAnsi="Segoe UI" w:cs="Segoe UI"/>
          <w:lang w:val="en-GB"/>
        </w:rPr>
      </w:pPr>
      <w:r w:rsidRPr="00C05526">
        <w:rPr>
          <w:rFonts w:ascii="Segoe UI" w:hAnsi="Segoe UI" w:cs="Segoe UI"/>
          <w:b/>
          <w:lang w:val="en-GB"/>
        </w:rPr>
        <w:t>A revised description of the Data Quality Risk at 6.1.</w:t>
      </w:r>
      <w:r w:rsidRPr="00C05526">
        <w:rPr>
          <w:rFonts w:ascii="Segoe UI" w:hAnsi="Segoe UI" w:cs="Segoe UI"/>
          <w:lang w:val="en-GB"/>
        </w:rPr>
        <w:t xml:space="preserve"> There has been significant movement of the controls in place to avoid the risk and the assurances that the Trust has in place to test its processes. There has been a shift in strategy to focus on data quality (or lack thereof) that has an impact in one of more of the three areas of focus, which are –</w:t>
      </w:r>
    </w:p>
    <w:p w14:paraId="04224D0E" w14:textId="77777777" w:rsidR="00C05526" w:rsidRPr="00C05526" w:rsidRDefault="00C05526" w:rsidP="00C05526">
      <w:pPr>
        <w:numPr>
          <w:ilvl w:val="1"/>
          <w:numId w:val="43"/>
        </w:numPr>
        <w:jc w:val="both"/>
        <w:rPr>
          <w:rFonts w:ascii="Segoe UI" w:hAnsi="Segoe UI" w:cs="Segoe UI"/>
          <w:lang w:val="en-GB"/>
        </w:rPr>
      </w:pPr>
      <w:r w:rsidRPr="00C05526">
        <w:rPr>
          <w:rFonts w:ascii="Segoe UI" w:hAnsi="Segoe UI" w:cs="Segoe UI"/>
          <w:lang w:val="en-GB"/>
        </w:rPr>
        <w:t>Data quality that has financial and quality implications.</w:t>
      </w:r>
    </w:p>
    <w:p w14:paraId="32F2B29B" w14:textId="77777777" w:rsidR="00C05526" w:rsidRPr="00C05526" w:rsidRDefault="00C05526" w:rsidP="00C05526">
      <w:pPr>
        <w:numPr>
          <w:ilvl w:val="1"/>
          <w:numId w:val="43"/>
        </w:numPr>
        <w:jc w:val="both"/>
        <w:rPr>
          <w:rFonts w:ascii="Segoe UI" w:hAnsi="Segoe UI" w:cs="Segoe UI"/>
          <w:lang w:val="en-GB"/>
        </w:rPr>
      </w:pPr>
      <w:r w:rsidRPr="00C05526">
        <w:rPr>
          <w:rFonts w:ascii="Segoe UI" w:hAnsi="Segoe UI" w:cs="Segoe UI"/>
          <w:lang w:val="en-GB"/>
        </w:rPr>
        <w:t>Data quality for which there is external scrutiny (e.g. the Single Oversight Framework).</w:t>
      </w:r>
    </w:p>
    <w:p w14:paraId="23BAB7B5" w14:textId="6932BC69" w:rsidR="00C05526" w:rsidRDefault="00C05526" w:rsidP="00C05526">
      <w:pPr>
        <w:numPr>
          <w:ilvl w:val="1"/>
          <w:numId w:val="43"/>
        </w:numPr>
        <w:jc w:val="both"/>
        <w:rPr>
          <w:rFonts w:ascii="Segoe UI" w:hAnsi="Segoe UI" w:cs="Segoe UI"/>
          <w:lang w:val="en-GB"/>
        </w:rPr>
      </w:pPr>
      <w:r w:rsidRPr="00C05526">
        <w:rPr>
          <w:rFonts w:ascii="Segoe UI" w:hAnsi="Segoe UI" w:cs="Segoe UI"/>
          <w:lang w:val="en-GB"/>
        </w:rPr>
        <w:t>Recommendations about data quality that come from an Audit (e.g. PwC).</w:t>
      </w:r>
    </w:p>
    <w:p w14:paraId="5A72EF2B" w14:textId="77777777" w:rsidR="00F71CDC" w:rsidRPr="00C05526" w:rsidRDefault="00F71CDC" w:rsidP="00F71CDC">
      <w:pPr>
        <w:ind w:left="1440"/>
        <w:jc w:val="both"/>
        <w:rPr>
          <w:rFonts w:ascii="Segoe UI" w:hAnsi="Segoe UI" w:cs="Segoe UI"/>
          <w:lang w:val="en-GB"/>
        </w:rPr>
      </w:pPr>
    </w:p>
    <w:p w14:paraId="4D265499" w14:textId="77777777" w:rsidR="00C05526" w:rsidRPr="00C05526" w:rsidRDefault="00C05526" w:rsidP="00842976">
      <w:pPr>
        <w:ind w:left="720"/>
        <w:jc w:val="both"/>
        <w:rPr>
          <w:rFonts w:ascii="Segoe UI" w:hAnsi="Segoe UI" w:cs="Segoe UI"/>
          <w:lang w:val="en-GB"/>
        </w:rPr>
      </w:pPr>
      <w:r w:rsidRPr="00C05526">
        <w:rPr>
          <w:rFonts w:ascii="Segoe UI" w:hAnsi="Segoe UI" w:cs="Segoe UI"/>
          <w:lang w:val="en-GB"/>
        </w:rPr>
        <w:t xml:space="preserve">The Trust’s Data Quality Improvement Group – established in summer 2019 – identifies the activity for the Trust to focus on in order to address issues that are identified.     </w:t>
      </w:r>
    </w:p>
    <w:p w14:paraId="2A413F37" w14:textId="3D1CF60F" w:rsidR="00C05526" w:rsidRDefault="00C05526" w:rsidP="0073522A">
      <w:pPr>
        <w:jc w:val="both"/>
        <w:rPr>
          <w:rFonts w:ascii="Segoe UI" w:hAnsi="Segoe UI" w:cs="Segoe UI"/>
        </w:rPr>
      </w:pPr>
    </w:p>
    <w:p w14:paraId="21D0EE46" w14:textId="18AD232F" w:rsidR="00C76206" w:rsidRPr="00C76206" w:rsidRDefault="003504F6" w:rsidP="00C76206">
      <w:pPr>
        <w:jc w:val="both"/>
        <w:rPr>
          <w:rFonts w:ascii="Segoe UI" w:hAnsi="Segoe UI" w:cs="Segoe UI"/>
          <w:lang w:val="en-GB"/>
        </w:rPr>
      </w:pPr>
      <w:r>
        <w:rPr>
          <w:rFonts w:ascii="Segoe UI" w:hAnsi="Segoe UI" w:cs="Segoe UI"/>
          <w:lang w:val="en-GB"/>
        </w:rPr>
        <w:t>There is a</w:t>
      </w:r>
      <w:r w:rsidR="00C76206" w:rsidRPr="00C76206">
        <w:rPr>
          <w:rFonts w:ascii="Segoe UI" w:hAnsi="Segoe UI" w:cs="Segoe UI"/>
          <w:lang w:val="en-GB"/>
        </w:rPr>
        <w:t xml:space="preserve"> recently added extreme-rated </w:t>
      </w:r>
      <w:r w:rsidR="00C76206" w:rsidRPr="00C76206">
        <w:rPr>
          <w:rFonts w:ascii="Segoe UI" w:hAnsi="Segoe UI" w:cs="Segoe UI"/>
          <w:b/>
          <w:lang w:val="en-GB"/>
        </w:rPr>
        <w:t>demand and capacity risk on the BAF at SO 2.7</w:t>
      </w:r>
      <w:r w:rsidR="00ED0BAD" w:rsidRPr="004B3D00">
        <w:rPr>
          <w:rFonts w:ascii="Segoe UI" w:hAnsi="Segoe UI" w:cs="Segoe UI"/>
          <w:lang w:val="en-GB"/>
        </w:rPr>
        <w:t xml:space="preserve"> which was</w:t>
      </w:r>
      <w:r w:rsidR="0027045F">
        <w:rPr>
          <w:rFonts w:ascii="Segoe UI" w:hAnsi="Segoe UI" w:cs="Segoe UI"/>
          <w:lang w:val="en-GB"/>
        </w:rPr>
        <w:t xml:space="preserve"> requested</w:t>
      </w:r>
      <w:r>
        <w:rPr>
          <w:rFonts w:ascii="Segoe UI" w:hAnsi="Segoe UI" w:cs="Segoe UI"/>
          <w:lang w:val="en-GB"/>
        </w:rPr>
        <w:t xml:space="preserve"> for addition</w:t>
      </w:r>
      <w:r w:rsidR="0027045F">
        <w:rPr>
          <w:rFonts w:ascii="Segoe UI" w:hAnsi="Segoe UI" w:cs="Segoe UI"/>
          <w:lang w:val="en-GB"/>
        </w:rPr>
        <w:t xml:space="preserve"> by Board and </w:t>
      </w:r>
      <w:r w:rsidR="00ED0BAD" w:rsidRPr="004B3D00">
        <w:rPr>
          <w:rFonts w:ascii="Segoe UI" w:hAnsi="Segoe UI" w:cs="Segoe UI"/>
          <w:lang w:val="en-GB"/>
        </w:rPr>
        <w:t xml:space="preserve">presented to the Quality Committee in November </w:t>
      </w:r>
      <w:r>
        <w:rPr>
          <w:rFonts w:ascii="Segoe UI" w:hAnsi="Segoe UI" w:cs="Segoe UI"/>
          <w:lang w:val="en-GB"/>
        </w:rPr>
        <w:t>finally</w:t>
      </w:r>
      <w:r w:rsidR="00703ECA">
        <w:rPr>
          <w:rFonts w:ascii="Segoe UI" w:hAnsi="Segoe UI" w:cs="Segoe UI"/>
          <w:lang w:val="en-GB"/>
        </w:rPr>
        <w:t xml:space="preserve"> </w:t>
      </w:r>
      <w:r w:rsidR="00C76206" w:rsidRPr="00C76206">
        <w:rPr>
          <w:rFonts w:ascii="Segoe UI" w:hAnsi="Segoe UI" w:cs="Segoe UI"/>
          <w:lang w:val="en-GB"/>
        </w:rPr>
        <w:t>rated as ‘extreme’ on a net/current basis</w:t>
      </w:r>
      <w:r w:rsidR="008B46FE">
        <w:rPr>
          <w:rFonts w:ascii="Segoe UI" w:hAnsi="Segoe UI" w:cs="Segoe UI"/>
          <w:lang w:val="en-GB"/>
        </w:rPr>
        <w:t>, and has a</w:t>
      </w:r>
      <w:r w:rsidR="00C76206" w:rsidRPr="00C76206">
        <w:rPr>
          <w:rFonts w:ascii="Segoe UI" w:hAnsi="Segoe UI" w:cs="Segoe UI"/>
          <w:lang w:val="en-GB"/>
        </w:rPr>
        <w:t xml:space="preserve"> risk description as set out below:       </w:t>
      </w:r>
    </w:p>
    <w:p w14:paraId="6751BD28" w14:textId="77777777" w:rsidR="00C76206" w:rsidRPr="00C76206" w:rsidRDefault="00C76206" w:rsidP="00C76206">
      <w:pPr>
        <w:jc w:val="both"/>
        <w:rPr>
          <w:rFonts w:ascii="Segoe UI" w:hAnsi="Segoe UI" w:cs="Segoe UI"/>
          <w:i/>
          <w:lang w:val="en-GB"/>
        </w:rPr>
      </w:pPr>
      <w:r w:rsidRPr="00C76206">
        <w:rPr>
          <w:rFonts w:ascii="Segoe UI" w:hAnsi="Segoe UI" w:cs="Segoe UI"/>
          <w:lang w:val="en-GB"/>
        </w:rPr>
        <w:t>‘</w:t>
      </w:r>
      <w:r w:rsidRPr="00C76206">
        <w:rPr>
          <w:rFonts w:ascii="Segoe UI" w:hAnsi="Segoe UI" w:cs="Segoe UI"/>
          <w:i/>
          <w:lang w:val="en-GB"/>
        </w:rPr>
        <w:t xml:space="preserve">There is a risk that increasing demand for services continues to drive cost and staffing pressures </w:t>
      </w:r>
      <w:r w:rsidRPr="00C76206">
        <w:rPr>
          <w:rFonts w:ascii="Segoe UI" w:hAnsi="Segoe UI" w:cs="Segoe UI"/>
          <w:i/>
          <w:u w:val="single"/>
          <w:lang w:val="en-GB"/>
        </w:rPr>
        <w:t>which the Trust is limited from being able to mitigate</w:t>
      </w:r>
      <w:r w:rsidRPr="00C76206">
        <w:rPr>
          <w:rFonts w:ascii="Segoe UI" w:hAnsi="Segoe UI" w:cs="Segoe UI"/>
          <w:i/>
          <w:lang w:val="en-GB"/>
        </w:rPr>
        <w:t xml:space="preserve"> because a health and social care system-wide plan and action is required to influence this pattern of demand and it still may take 2-3 years on from FY20 to have a positive impact.  In the meantime, demand for services will continue to increase whilst capacity to provide services remains, or becomes further, insufficient in terms of both funding and workforce which could result in:</w:t>
      </w:r>
    </w:p>
    <w:p w14:paraId="45D29D8B" w14:textId="77777777" w:rsidR="00C76206" w:rsidRPr="00C76206" w:rsidRDefault="00C76206" w:rsidP="00C76206">
      <w:pPr>
        <w:numPr>
          <w:ilvl w:val="0"/>
          <w:numId w:val="49"/>
        </w:numPr>
        <w:jc w:val="both"/>
        <w:rPr>
          <w:rFonts w:ascii="Segoe UI" w:hAnsi="Segoe UI" w:cs="Segoe UI"/>
          <w:i/>
          <w:lang w:val="en-GB"/>
        </w:rPr>
      </w:pPr>
      <w:r w:rsidRPr="00C76206">
        <w:rPr>
          <w:rFonts w:ascii="Segoe UI" w:hAnsi="Segoe UI" w:cs="Segoe UI"/>
          <w:i/>
          <w:lang w:val="en-GB"/>
        </w:rPr>
        <w:t xml:space="preserve">inability to deliver services in a sustainable or safe way; </w:t>
      </w:r>
    </w:p>
    <w:p w14:paraId="3BF2BA8F" w14:textId="77777777" w:rsidR="00C76206" w:rsidRPr="00C76206" w:rsidRDefault="00C76206" w:rsidP="00C76206">
      <w:pPr>
        <w:numPr>
          <w:ilvl w:val="0"/>
          <w:numId w:val="49"/>
        </w:numPr>
        <w:jc w:val="both"/>
        <w:rPr>
          <w:rFonts w:ascii="Segoe UI" w:hAnsi="Segoe UI" w:cs="Segoe UI"/>
          <w:i/>
          <w:lang w:val="en-GB"/>
        </w:rPr>
      </w:pPr>
      <w:r w:rsidRPr="00C76206">
        <w:rPr>
          <w:rFonts w:ascii="Segoe UI" w:hAnsi="Segoe UI" w:cs="Segoe UI"/>
          <w:i/>
          <w:lang w:val="en-GB"/>
        </w:rPr>
        <w:lastRenderedPageBreak/>
        <w:t>pressure upon staff to manage resources in the context of increasing need; and</w:t>
      </w:r>
    </w:p>
    <w:p w14:paraId="69EBCA5A" w14:textId="77777777" w:rsidR="00C76206" w:rsidRPr="00C76206" w:rsidRDefault="00C76206" w:rsidP="00C76206">
      <w:pPr>
        <w:numPr>
          <w:ilvl w:val="0"/>
          <w:numId w:val="49"/>
        </w:numPr>
        <w:jc w:val="both"/>
        <w:rPr>
          <w:rFonts w:ascii="Segoe UI" w:hAnsi="Segoe UI" w:cs="Segoe UI"/>
          <w:lang w:val="en-GB"/>
        </w:rPr>
      </w:pPr>
      <w:r w:rsidRPr="00C76206">
        <w:rPr>
          <w:rFonts w:ascii="Segoe UI" w:hAnsi="Segoe UI" w:cs="Segoe UI"/>
          <w:i/>
          <w:lang w:val="en-GB"/>
        </w:rPr>
        <w:t>a deteriorating financial position if the Trust continues to bear the cost of high levels of demand and activity</w:t>
      </w:r>
      <w:r w:rsidRPr="00C76206">
        <w:rPr>
          <w:rFonts w:ascii="Segoe UI" w:hAnsi="Segoe UI" w:cs="Segoe UI"/>
          <w:lang w:val="en-GB"/>
        </w:rPr>
        <w:t xml:space="preserve">’.  </w:t>
      </w:r>
    </w:p>
    <w:p w14:paraId="15BEC6B3" w14:textId="77777777" w:rsidR="00C76206" w:rsidRPr="00C76206" w:rsidRDefault="00C76206" w:rsidP="00C76206">
      <w:pPr>
        <w:jc w:val="both"/>
        <w:rPr>
          <w:rFonts w:ascii="Segoe UI" w:hAnsi="Segoe UI" w:cs="Segoe UI"/>
          <w:lang w:val="en-GB"/>
        </w:rPr>
      </w:pPr>
    </w:p>
    <w:p w14:paraId="52D978FF" w14:textId="77777777" w:rsidR="00C76206" w:rsidRPr="00C76206" w:rsidRDefault="00C76206" w:rsidP="00C76206">
      <w:pPr>
        <w:jc w:val="both"/>
        <w:rPr>
          <w:rFonts w:ascii="Segoe UI" w:hAnsi="Segoe UI" w:cs="Segoe UI"/>
          <w:lang w:val="en-GB"/>
        </w:rPr>
      </w:pPr>
      <w:r w:rsidRPr="00C76206">
        <w:rPr>
          <w:rFonts w:ascii="Segoe UI" w:hAnsi="Segoe UI" w:cs="Segoe UI"/>
          <w:lang w:val="en-GB"/>
        </w:rPr>
        <w:t>Quality Committee accepted the gaps against controls and assurances to mitigate this risk (and which are therefore contributing to the ‘extreme’ net/current risk rating) as:</w:t>
      </w:r>
    </w:p>
    <w:p w14:paraId="7C03C2C6" w14:textId="77777777" w:rsidR="00C76206" w:rsidRPr="00C76206" w:rsidRDefault="00C76206" w:rsidP="00C76206">
      <w:pPr>
        <w:numPr>
          <w:ilvl w:val="0"/>
          <w:numId w:val="50"/>
        </w:numPr>
        <w:jc w:val="both"/>
        <w:rPr>
          <w:rFonts w:ascii="Segoe UI" w:hAnsi="Segoe UI" w:cs="Segoe UI"/>
          <w:lang w:val="en-GB"/>
        </w:rPr>
      </w:pPr>
      <w:r w:rsidRPr="00C76206">
        <w:rPr>
          <w:rFonts w:ascii="Segoe UI" w:hAnsi="Segoe UI" w:cs="Segoe UI"/>
          <w:lang w:val="en-GB"/>
        </w:rPr>
        <w:t xml:space="preserve">insufficient funding from commissioner contracts  </w:t>
      </w:r>
    </w:p>
    <w:p w14:paraId="3811AD07" w14:textId="3C466B4C" w:rsidR="00C76206" w:rsidRPr="00C76206" w:rsidRDefault="00C76206" w:rsidP="008870BD">
      <w:pPr>
        <w:numPr>
          <w:ilvl w:val="0"/>
          <w:numId w:val="50"/>
        </w:numPr>
        <w:jc w:val="both"/>
        <w:rPr>
          <w:rFonts w:ascii="Segoe UI" w:hAnsi="Segoe UI" w:cs="Segoe UI"/>
          <w:lang w:val="en-GB"/>
        </w:rPr>
      </w:pPr>
      <w:r w:rsidRPr="00C76206">
        <w:rPr>
          <w:rFonts w:ascii="Segoe UI" w:hAnsi="Segoe UI" w:cs="Segoe UI"/>
          <w:lang w:val="en-GB"/>
        </w:rPr>
        <w:t>insufficient funding from specialist commissioning contracts</w:t>
      </w:r>
      <w:r w:rsidR="008870BD">
        <w:rPr>
          <w:rFonts w:ascii="Segoe UI" w:hAnsi="Segoe UI" w:cs="Segoe UI"/>
          <w:lang w:val="en-GB"/>
        </w:rPr>
        <w:t xml:space="preserve">, </w:t>
      </w:r>
      <w:r w:rsidRPr="00C76206">
        <w:rPr>
          <w:rFonts w:ascii="Segoe UI" w:hAnsi="Segoe UI" w:cs="Segoe UI"/>
          <w:lang w:val="en-GB"/>
        </w:rPr>
        <w:t xml:space="preserve">and </w:t>
      </w:r>
    </w:p>
    <w:p w14:paraId="1927A4B6" w14:textId="77777777" w:rsidR="00C76206" w:rsidRPr="00C76206" w:rsidRDefault="00C76206" w:rsidP="00C76206">
      <w:pPr>
        <w:numPr>
          <w:ilvl w:val="0"/>
          <w:numId w:val="50"/>
        </w:numPr>
        <w:jc w:val="both"/>
        <w:rPr>
          <w:rFonts w:ascii="Segoe UI" w:hAnsi="Segoe UI" w:cs="Segoe UI"/>
          <w:lang w:val="en-GB"/>
        </w:rPr>
      </w:pPr>
      <w:r w:rsidRPr="00C76206">
        <w:rPr>
          <w:rFonts w:ascii="Segoe UI" w:hAnsi="Segoe UI" w:cs="Segoe UI"/>
          <w:lang w:val="en-GB"/>
        </w:rPr>
        <w:t xml:space="preserve">Oxfordshire County Council mental health budget cuts and anticipated reduction in funding by 2022  </w:t>
      </w:r>
    </w:p>
    <w:p w14:paraId="1B186588" w14:textId="5CF37C5E" w:rsidR="00C76206" w:rsidRDefault="00C76206" w:rsidP="0073522A">
      <w:pPr>
        <w:jc w:val="both"/>
        <w:rPr>
          <w:rFonts w:ascii="Segoe UI" w:hAnsi="Segoe UI" w:cs="Segoe UI"/>
        </w:rPr>
      </w:pPr>
    </w:p>
    <w:p w14:paraId="03F71C5C" w14:textId="6A123838" w:rsidR="00781951" w:rsidRDefault="00781951" w:rsidP="0073522A">
      <w:pPr>
        <w:jc w:val="both"/>
        <w:rPr>
          <w:rFonts w:ascii="Segoe UI" w:hAnsi="Segoe UI" w:cs="Segoe UI"/>
        </w:rPr>
      </w:pPr>
      <w:r>
        <w:rPr>
          <w:rFonts w:ascii="Segoe UI" w:hAnsi="Segoe UI" w:cs="Segoe UI"/>
        </w:rPr>
        <w:t xml:space="preserve">The reviewed actions are contained in detail within the attached BAF document. </w:t>
      </w:r>
    </w:p>
    <w:p w14:paraId="5803BAD2" w14:textId="77777777" w:rsidR="00781951" w:rsidRDefault="00781951" w:rsidP="0073522A">
      <w:pPr>
        <w:jc w:val="both"/>
        <w:rPr>
          <w:rFonts w:ascii="Segoe UI" w:hAnsi="Segoe UI" w:cs="Segoe UI"/>
        </w:rPr>
      </w:pPr>
    </w:p>
    <w:p w14:paraId="44220C66" w14:textId="4BDCA55B" w:rsidR="0005138F" w:rsidRDefault="00405081" w:rsidP="00B73C13">
      <w:pPr>
        <w:jc w:val="both"/>
        <w:rPr>
          <w:rFonts w:ascii="Segoe UI" w:hAnsi="Segoe UI" w:cs="Segoe UI"/>
        </w:rPr>
      </w:pPr>
      <w:r w:rsidRPr="00E264EE">
        <w:rPr>
          <w:rFonts w:ascii="Segoe UI" w:hAnsi="Segoe UI" w:cs="Segoe UI"/>
        </w:rPr>
        <w:t xml:space="preserve">On a </w:t>
      </w:r>
      <w:r w:rsidR="00736BB8" w:rsidRPr="00E264EE">
        <w:rPr>
          <w:rFonts w:ascii="Segoe UI" w:hAnsi="Segoe UI" w:cs="Segoe UI"/>
        </w:rPr>
        <w:t>current</w:t>
      </w:r>
      <w:r w:rsidRPr="00E264EE">
        <w:rPr>
          <w:rFonts w:ascii="Segoe UI" w:hAnsi="Segoe UI" w:cs="Segoe UI"/>
        </w:rPr>
        <w:t xml:space="preserve">/residual basis, and </w:t>
      </w:r>
      <w:r w:rsidR="00077115" w:rsidRPr="00E264EE">
        <w:rPr>
          <w:rFonts w:ascii="Segoe UI" w:hAnsi="Segoe UI" w:cs="Segoe UI"/>
        </w:rPr>
        <w:t xml:space="preserve">again </w:t>
      </w:r>
      <w:r w:rsidRPr="00E264EE">
        <w:rPr>
          <w:rFonts w:ascii="Segoe UI" w:hAnsi="Segoe UI" w:cs="Segoe UI"/>
        </w:rPr>
        <w:t xml:space="preserve">at a strategic level, the Trust has: </w:t>
      </w:r>
    </w:p>
    <w:p w14:paraId="3A62A6E7" w14:textId="77777777" w:rsidR="00CD3D9D" w:rsidRPr="00CD3D9D" w:rsidRDefault="00CD3D9D" w:rsidP="00CD3D9D">
      <w:pPr>
        <w:numPr>
          <w:ilvl w:val="0"/>
          <w:numId w:val="47"/>
        </w:numPr>
        <w:jc w:val="both"/>
        <w:rPr>
          <w:rFonts w:ascii="Segoe UI" w:hAnsi="Segoe UI" w:cs="Segoe UI"/>
          <w:lang w:val="en-GB"/>
        </w:rPr>
      </w:pPr>
      <w:r w:rsidRPr="00CD3D9D">
        <w:rPr>
          <w:rFonts w:ascii="Segoe UI" w:hAnsi="Segoe UI" w:cs="Segoe UI"/>
          <w:lang w:val="en-GB"/>
        </w:rPr>
        <w:t xml:space="preserve">6 (up from 5) extreme risks in relation to: </w:t>
      </w:r>
    </w:p>
    <w:p w14:paraId="75A9C947" w14:textId="77777777" w:rsidR="00CD3D9D" w:rsidRPr="00CD3D9D" w:rsidRDefault="00CD3D9D" w:rsidP="00CD3D9D">
      <w:pPr>
        <w:ind w:left="1440"/>
        <w:jc w:val="both"/>
        <w:rPr>
          <w:rFonts w:ascii="Segoe UI" w:hAnsi="Segoe UI" w:cs="Segoe UI"/>
          <w:lang w:val="en-GB"/>
        </w:rPr>
      </w:pPr>
    </w:p>
    <w:p w14:paraId="0D9B8F13" w14:textId="77777777" w:rsidR="00CD3D9D" w:rsidRPr="00CD3D9D" w:rsidRDefault="00CD3D9D" w:rsidP="00592F4D">
      <w:pPr>
        <w:jc w:val="both"/>
        <w:rPr>
          <w:rFonts w:ascii="Segoe UI" w:hAnsi="Segoe UI" w:cs="Segoe UI"/>
          <w:b/>
          <w:i/>
          <w:lang w:val="en-GB"/>
        </w:rPr>
      </w:pPr>
      <w:r w:rsidRPr="00CD3D9D">
        <w:rPr>
          <w:rFonts w:ascii="Segoe UI" w:hAnsi="Segoe UI" w:cs="Segoe UI"/>
          <w:b/>
          <w:i/>
          <w:lang w:val="en-GB"/>
        </w:rPr>
        <w:t>Strategic Objective 2: Delivering Operational Excellence</w:t>
      </w:r>
    </w:p>
    <w:p w14:paraId="23CC7D22" w14:textId="77777777" w:rsidR="00CD3D9D" w:rsidRPr="00CD3D9D" w:rsidRDefault="00CD3D9D" w:rsidP="00CD3D9D">
      <w:pPr>
        <w:numPr>
          <w:ilvl w:val="0"/>
          <w:numId w:val="45"/>
        </w:numPr>
        <w:jc w:val="both"/>
        <w:rPr>
          <w:rFonts w:ascii="Segoe UI" w:hAnsi="Segoe UI" w:cs="Segoe UI"/>
          <w:lang w:val="en-GB"/>
        </w:rPr>
      </w:pPr>
      <w:r w:rsidRPr="00CD3D9D">
        <w:rPr>
          <w:rFonts w:ascii="Segoe UI" w:hAnsi="Segoe UI" w:cs="Segoe UI"/>
          <w:lang w:val="en-GB"/>
        </w:rPr>
        <w:t>financial exposure (including, but not limited to, through non-delivery of Cost Improvement Programme (</w:t>
      </w:r>
      <w:r w:rsidRPr="00CD3D9D">
        <w:rPr>
          <w:rFonts w:ascii="Segoe UI" w:hAnsi="Segoe UI" w:cs="Segoe UI"/>
          <w:b/>
          <w:lang w:val="en-GB"/>
        </w:rPr>
        <w:t>CIP</w:t>
      </w:r>
      <w:r w:rsidRPr="00CD3D9D">
        <w:rPr>
          <w:rFonts w:ascii="Segoe UI" w:hAnsi="Segoe UI" w:cs="Segoe UI"/>
          <w:lang w:val="en-GB"/>
        </w:rPr>
        <w:t>) savings, failure to realise productivity gains, constraints of block contracts in the context of increasing levels of activity and demand and the impact of historic and/or ongoing underfunding of mental health services), at SO 2.3;</w:t>
      </w:r>
    </w:p>
    <w:p w14:paraId="76E941C9" w14:textId="77777777" w:rsidR="00CD3D9D" w:rsidRPr="00CD3D9D" w:rsidRDefault="00CD3D9D" w:rsidP="00CD3D9D">
      <w:pPr>
        <w:numPr>
          <w:ilvl w:val="0"/>
          <w:numId w:val="45"/>
        </w:numPr>
        <w:jc w:val="both"/>
        <w:rPr>
          <w:rFonts w:ascii="Segoe UI" w:hAnsi="Segoe UI" w:cs="Segoe UI"/>
          <w:lang w:val="en-GB"/>
        </w:rPr>
      </w:pPr>
      <w:r w:rsidRPr="00CD3D9D">
        <w:rPr>
          <w:rFonts w:ascii="Segoe UI" w:hAnsi="Segoe UI" w:cs="Segoe UI"/>
          <w:lang w:val="en-GB"/>
        </w:rPr>
        <w:t>CIP target delivery and difficulty in maintaining financial sustainability or being able to offset the annual deflator including, but not limited to, through: relatively high levels of efficiency already achieved; the cumulative impact of underfunding of mental health services combined with increasing demand and activity; increasing complexity of conditions; and inability to recruit and/or retain staff to match demand with capacity, at SO 2.4;</w:t>
      </w:r>
    </w:p>
    <w:p w14:paraId="6D8DC450" w14:textId="2D7E5F72" w:rsidR="00CD3D9D" w:rsidRPr="00CD3D9D" w:rsidRDefault="00CD3D9D" w:rsidP="00CD3D9D">
      <w:pPr>
        <w:numPr>
          <w:ilvl w:val="0"/>
          <w:numId w:val="45"/>
        </w:numPr>
        <w:jc w:val="both"/>
        <w:rPr>
          <w:rFonts w:ascii="Segoe UI" w:hAnsi="Segoe UI" w:cs="Segoe UI"/>
          <w:b/>
          <w:lang w:val="en-GB"/>
        </w:rPr>
      </w:pPr>
      <w:r w:rsidRPr="00CD3D9D">
        <w:rPr>
          <w:rFonts w:ascii="Segoe UI" w:hAnsi="Segoe UI" w:cs="Segoe UI"/>
          <w:lang w:val="en-GB"/>
        </w:rPr>
        <w:t xml:space="preserve">demand and capacity, </w:t>
      </w:r>
      <w:r w:rsidR="00F13CDC">
        <w:rPr>
          <w:rFonts w:ascii="Segoe UI" w:hAnsi="Segoe UI" w:cs="Segoe UI"/>
          <w:lang w:val="en-GB"/>
        </w:rPr>
        <w:t>as referenced above</w:t>
      </w:r>
      <w:r w:rsidR="007F0B01">
        <w:rPr>
          <w:rFonts w:ascii="Segoe UI" w:hAnsi="Segoe UI" w:cs="Segoe UI"/>
          <w:lang w:val="en-GB"/>
        </w:rPr>
        <w:t xml:space="preserve"> </w:t>
      </w:r>
      <w:r w:rsidRPr="00CD3D9D">
        <w:rPr>
          <w:rFonts w:ascii="Segoe UI" w:hAnsi="Segoe UI" w:cs="Segoe UI"/>
          <w:lang w:val="en-GB"/>
        </w:rPr>
        <w:t>at SO 2.7, but capturing a recurring theme and rated as ‘extreme’ on a net/current basis). Gaps against controls and assurances to mitigate this risk (and which are therefore contributing to the ‘extreme’ net/current risk rating) are –</w:t>
      </w:r>
    </w:p>
    <w:p w14:paraId="72B11A7C" w14:textId="77777777" w:rsidR="00CD3D9D" w:rsidRPr="00CD3D9D" w:rsidRDefault="00CD3D9D" w:rsidP="00CD3D9D">
      <w:pPr>
        <w:numPr>
          <w:ilvl w:val="0"/>
          <w:numId w:val="48"/>
        </w:numPr>
        <w:jc w:val="both"/>
        <w:rPr>
          <w:rFonts w:ascii="Segoe UI" w:hAnsi="Segoe UI" w:cs="Segoe UI"/>
          <w:lang w:val="en-GB"/>
        </w:rPr>
      </w:pPr>
      <w:r w:rsidRPr="00CD3D9D">
        <w:rPr>
          <w:rFonts w:ascii="Segoe UI" w:hAnsi="Segoe UI" w:cs="Segoe UI"/>
          <w:lang w:val="en-GB"/>
        </w:rPr>
        <w:t xml:space="preserve">insufficient funding from commissioner contracts  </w:t>
      </w:r>
    </w:p>
    <w:p w14:paraId="0F51F6C5" w14:textId="77777777" w:rsidR="00CD3D9D" w:rsidRPr="00CD3D9D" w:rsidRDefault="00CD3D9D" w:rsidP="00CD3D9D">
      <w:pPr>
        <w:numPr>
          <w:ilvl w:val="0"/>
          <w:numId w:val="48"/>
        </w:numPr>
        <w:jc w:val="both"/>
        <w:rPr>
          <w:rFonts w:ascii="Segoe UI" w:hAnsi="Segoe UI" w:cs="Segoe UI"/>
          <w:b/>
          <w:lang w:val="en-GB"/>
        </w:rPr>
      </w:pPr>
      <w:r w:rsidRPr="00CD3D9D">
        <w:rPr>
          <w:rFonts w:ascii="Segoe UI" w:hAnsi="Segoe UI" w:cs="Segoe UI"/>
          <w:lang w:val="en-GB"/>
        </w:rPr>
        <w:t xml:space="preserve">insufficient funding from specialist commissioning contracts  </w:t>
      </w:r>
    </w:p>
    <w:p w14:paraId="56749073" w14:textId="77777777" w:rsidR="00CD3D9D" w:rsidRPr="00CD3D9D" w:rsidRDefault="00CD3D9D" w:rsidP="00CD3D9D">
      <w:pPr>
        <w:numPr>
          <w:ilvl w:val="0"/>
          <w:numId w:val="48"/>
        </w:numPr>
        <w:jc w:val="both"/>
        <w:rPr>
          <w:rFonts w:ascii="Segoe UI" w:hAnsi="Segoe UI" w:cs="Segoe UI"/>
          <w:lang w:val="en-GB"/>
        </w:rPr>
      </w:pPr>
      <w:r w:rsidRPr="00CD3D9D">
        <w:rPr>
          <w:rFonts w:ascii="Segoe UI" w:hAnsi="Segoe UI" w:cs="Segoe UI"/>
          <w:lang w:val="en-GB"/>
        </w:rPr>
        <w:t xml:space="preserve">Oxfordshire County Council mental health budget cuts and anticipated reduction in funding by 2022  </w:t>
      </w:r>
    </w:p>
    <w:p w14:paraId="50D65E0C" w14:textId="77777777" w:rsidR="00CD3D9D" w:rsidRPr="00CD3D9D" w:rsidRDefault="00CD3D9D" w:rsidP="00CD3D9D">
      <w:pPr>
        <w:ind w:left="1440"/>
        <w:jc w:val="both"/>
        <w:rPr>
          <w:rFonts w:ascii="Segoe UI" w:hAnsi="Segoe UI" w:cs="Segoe UI"/>
          <w:lang w:val="en-GB"/>
        </w:rPr>
      </w:pPr>
    </w:p>
    <w:p w14:paraId="4AE2DD22" w14:textId="77777777" w:rsidR="00CD3D9D" w:rsidRPr="00CD3D9D" w:rsidRDefault="00CD3D9D" w:rsidP="00592F4D">
      <w:pPr>
        <w:jc w:val="both"/>
        <w:rPr>
          <w:rFonts w:ascii="Segoe UI" w:hAnsi="Segoe UI" w:cs="Segoe UI"/>
          <w:b/>
          <w:i/>
          <w:lang w:val="en-GB"/>
        </w:rPr>
      </w:pPr>
      <w:r w:rsidRPr="00CD3D9D">
        <w:rPr>
          <w:rFonts w:ascii="Segoe UI" w:hAnsi="Segoe UI" w:cs="Segoe UI"/>
          <w:b/>
          <w:i/>
          <w:lang w:val="en-GB"/>
        </w:rPr>
        <w:lastRenderedPageBreak/>
        <w:t>Strategic Objective 4: Developing our Business through Collaboration and Partnerships</w:t>
      </w:r>
    </w:p>
    <w:p w14:paraId="7C4A34F8" w14:textId="77777777" w:rsidR="00CD3D9D" w:rsidRPr="00CD3D9D" w:rsidRDefault="00CD3D9D" w:rsidP="00CD3D9D">
      <w:pPr>
        <w:numPr>
          <w:ilvl w:val="0"/>
          <w:numId w:val="45"/>
        </w:numPr>
        <w:jc w:val="both"/>
        <w:rPr>
          <w:rFonts w:ascii="Segoe UI" w:hAnsi="Segoe UI" w:cs="Segoe UI"/>
          <w:lang w:val="en-GB"/>
        </w:rPr>
      </w:pPr>
      <w:r w:rsidRPr="00CD3D9D">
        <w:rPr>
          <w:rFonts w:ascii="Segoe UI" w:hAnsi="Segoe UI" w:cs="Segoe UI"/>
          <w:lang w:val="en-GB"/>
        </w:rPr>
        <w:t>failure of the Health and Social Care Systems to act together to deliver integrated care, maintain financial equilibrium and share risk responsibly (especially during transition to Integrated Care Systems and from internal models of delivery to new ways of working in alliance and partnerships), at SO 4.1;</w:t>
      </w:r>
    </w:p>
    <w:p w14:paraId="45DF0335" w14:textId="77777777" w:rsidR="00CD3D9D" w:rsidRPr="00CD3D9D" w:rsidRDefault="00CD3D9D" w:rsidP="00CD3D9D">
      <w:pPr>
        <w:ind w:left="1440"/>
        <w:jc w:val="both"/>
        <w:rPr>
          <w:rFonts w:ascii="Segoe UI" w:hAnsi="Segoe UI" w:cs="Segoe UI"/>
          <w:lang w:val="en-GB"/>
        </w:rPr>
      </w:pPr>
    </w:p>
    <w:p w14:paraId="178ADE80" w14:textId="77777777" w:rsidR="00CD3D9D" w:rsidRPr="00CD3D9D" w:rsidRDefault="00CD3D9D" w:rsidP="00592F4D">
      <w:pPr>
        <w:jc w:val="both"/>
        <w:rPr>
          <w:rFonts w:ascii="Segoe UI" w:hAnsi="Segoe UI" w:cs="Segoe UI"/>
          <w:b/>
          <w:i/>
          <w:lang w:val="en-GB"/>
        </w:rPr>
      </w:pPr>
      <w:r w:rsidRPr="00CD3D9D">
        <w:rPr>
          <w:rFonts w:ascii="Segoe UI" w:hAnsi="Segoe UI" w:cs="Segoe UI"/>
          <w:b/>
          <w:i/>
          <w:lang w:val="en-GB"/>
        </w:rPr>
        <w:t>Strategic Objective 5: Developing Leadership, People and Culture</w:t>
      </w:r>
    </w:p>
    <w:p w14:paraId="45868A99" w14:textId="77777777" w:rsidR="00CD3D9D" w:rsidRPr="00CD3D9D" w:rsidRDefault="00CD3D9D" w:rsidP="00CD3D9D">
      <w:pPr>
        <w:numPr>
          <w:ilvl w:val="0"/>
          <w:numId w:val="45"/>
        </w:numPr>
        <w:jc w:val="both"/>
        <w:rPr>
          <w:rFonts w:ascii="Segoe UI" w:hAnsi="Segoe UI" w:cs="Segoe UI"/>
          <w:lang w:val="en-GB"/>
        </w:rPr>
      </w:pPr>
      <w:r w:rsidRPr="00CD3D9D">
        <w:rPr>
          <w:rFonts w:ascii="Segoe UI" w:hAnsi="Segoe UI" w:cs="Segoe UI"/>
          <w:lang w:val="en-GB"/>
        </w:rPr>
        <w:t xml:space="preserve">inadequate planning or ineffective planning for current and future workforce requirements (including number of </w:t>
      </w:r>
      <w:proofErr w:type="gramStart"/>
      <w:r w:rsidRPr="00CD3D9D">
        <w:rPr>
          <w:rFonts w:ascii="Segoe UI" w:hAnsi="Segoe UI" w:cs="Segoe UI"/>
          <w:lang w:val="en-GB"/>
        </w:rPr>
        <w:t>staff</w:t>
      </w:r>
      <w:proofErr w:type="gramEnd"/>
      <w:r w:rsidRPr="00CD3D9D">
        <w:rPr>
          <w:rFonts w:ascii="Segoe UI" w:hAnsi="Segoe UI" w:cs="Segoe UI"/>
          <w:lang w:val="en-GB"/>
        </w:rPr>
        <w:t>, skill mix and training), at SO 5.1A; and</w:t>
      </w:r>
    </w:p>
    <w:p w14:paraId="557FEEF7" w14:textId="6C3DC88C" w:rsidR="00CD3D9D" w:rsidRDefault="00CD3D9D" w:rsidP="00CD3D9D">
      <w:pPr>
        <w:numPr>
          <w:ilvl w:val="0"/>
          <w:numId w:val="45"/>
        </w:numPr>
        <w:jc w:val="both"/>
        <w:rPr>
          <w:rFonts w:ascii="Segoe UI" w:hAnsi="Segoe UI" w:cs="Segoe UI"/>
          <w:lang w:val="en-GB"/>
        </w:rPr>
      </w:pPr>
      <w:r w:rsidRPr="00CD3D9D">
        <w:rPr>
          <w:rFonts w:ascii="Segoe UI" w:hAnsi="Segoe UI" w:cs="Segoe UI"/>
          <w:lang w:val="en-GB"/>
        </w:rPr>
        <w:t>inability to recruit to vacancies or to retain permanent staff, at SO 5.1B;</w:t>
      </w:r>
    </w:p>
    <w:p w14:paraId="19439727" w14:textId="77777777" w:rsidR="00C363AB" w:rsidRPr="00CD3D9D" w:rsidRDefault="00C363AB" w:rsidP="00C363AB">
      <w:pPr>
        <w:ind w:left="720"/>
        <w:jc w:val="both"/>
        <w:rPr>
          <w:rFonts w:ascii="Segoe UI" w:hAnsi="Segoe UI" w:cs="Segoe UI"/>
          <w:lang w:val="en-GB"/>
        </w:rPr>
      </w:pPr>
    </w:p>
    <w:p w14:paraId="1D86DFCB" w14:textId="510A630C" w:rsidR="00CC4C40" w:rsidRPr="00CC4C40" w:rsidRDefault="00CC4C40" w:rsidP="00CC4C40">
      <w:pPr>
        <w:numPr>
          <w:ilvl w:val="0"/>
          <w:numId w:val="47"/>
        </w:numPr>
        <w:jc w:val="both"/>
        <w:rPr>
          <w:rFonts w:ascii="Segoe UI" w:hAnsi="Segoe UI" w:cs="Segoe UI"/>
          <w:lang w:val="en-GB" w:eastAsia="en-GB"/>
        </w:rPr>
      </w:pPr>
      <w:r w:rsidRPr="00CC4C40">
        <w:rPr>
          <w:rFonts w:ascii="Segoe UI" w:hAnsi="Segoe UI" w:cs="Segoe UI"/>
          <w:lang w:val="en-GB" w:eastAsia="en-GB"/>
        </w:rPr>
        <w:t xml:space="preserve">11 high risks </w:t>
      </w:r>
    </w:p>
    <w:p w14:paraId="5A44219F" w14:textId="77777777" w:rsidR="00CC4C40" w:rsidRPr="00CC4C40" w:rsidRDefault="00CC4C40" w:rsidP="00CC4C40">
      <w:pPr>
        <w:ind w:left="720"/>
        <w:jc w:val="both"/>
        <w:rPr>
          <w:rFonts w:ascii="Segoe UI" w:hAnsi="Segoe UI" w:cs="Segoe UI"/>
          <w:lang w:val="en-GB" w:eastAsia="en-GB"/>
        </w:rPr>
      </w:pPr>
    </w:p>
    <w:p w14:paraId="02CAB76B" w14:textId="77777777" w:rsidR="00CC4C40" w:rsidRPr="00CC4C40" w:rsidRDefault="00CC4C40" w:rsidP="00CC4C40">
      <w:pPr>
        <w:numPr>
          <w:ilvl w:val="0"/>
          <w:numId w:val="47"/>
        </w:numPr>
        <w:jc w:val="both"/>
        <w:rPr>
          <w:rFonts w:ascii="Segoe UI" w:hAnsi="Segoe UI" w:cs="Segoe UI"/>
          <w:lang w:val="en-GB" w:eastAsia="en-GB"/>
        </w:rPr>
      </w:pPr>
      <w:r w:rsidRPr="00CC4C40">
        <w:rPr>
          <w:rFonts w:ascii="Segoe UI" w:hAnsi="Segoe UI" w:cs="Segoe UI"/>
          <w:lang w:val="en-GB" w:eastAsia="en-GB"/>
        </w:rPr>
        <w:t xml:space="preserve">5 medium risks.  </w:t>
      </w:r>
    </w:p>
    <w:p w14:paraId="721FE455" w14:textId="77777777" w:rsidR="005E232E" w:rsidRDefault="005E232E" w:rsidP="005E232E">
      <w:pPr>
        <w:jc w:val="both"/>
        <w:rPr>
          <w:rFonts w:ascii="Segoe UI" w:hAnsi="Segoe UI" w:cs="Segoe UI"/>
          <w:lang w:val="en-GB"/>
        </w:rPr>
      </w:pPr>
    </w:p>
    <w:p w14:paraId="51DA3CBB" w14:textId="79A94D9E" w:rsidR="005E232E" w:rsidRPr="005E232E" w:rsidRDefault="005E232E" w:rsidP="005E232E">
      <w:pPr>
        <w:jc w:val="both"/>
        <w:rPr>
          <w:rFonts w:ascii="Segoe UI" w:hAnsi="Segoe UI" w:cs="Segoe UI"/>
          <w:lang w:val="en-GB"/>
        </w:rPr>
      </w:pPr>
      <w:r w:rsidRPr="005E232E">
        <w:rPr>
          <w:rFonts w:ascii="Segoe UI" w:hAnsi="Segoe UI" w:cs="Segoe UI"/>
          <w:lang w:val="en-GB"/>
        </w:rPr>
        <w:t>Placeholders remain on the BAF to explore further the degree of risk</w:t>
      </w:r>
      <w:r w:rsidR="005D0C6E">
        <w:rPr>
          <w:rFonts w:ascii="Segoe UI" w:hAnsi="Segoe UI" w:cs="Segoe UI"/>
          <w:lang w:val="en-GB"/>
        </w:rPr>
        <w:t>,</w:t>
      </w:r>
      <w:r w:rsidRPr="005E232E">
        <w:rPr>
          <w:rFonts w:ascii="Segoe UI" w:hAnsi="Segoe UI" w:cs="Segoe UI"/>
          <w:lang w:val="en-GB"/>
        </w:rPr>
        <w:t xml:space="preserve"> or to ensure they are appropriately reflected in existing risk descriptions </w:t>
      </w:r>
      <w:proofErr w:type="gramStart"/>
      <w:r w:rsidRPr="005E232E">
        <w:rPr>
          <w:rFonts w:ascii="Segoe UI" w:hAnsi="Segoe UI" w:cs="Segoe UI"/>
          <w:lang w:val="en-GB"/>
        </w:rPr>
        <w:t>with regard to</w:t>
      </w:r>
      <w:proofErr w:type="gramEnd"/>
      <w:r w:rsidRPr="005E232E">
        <w:rPr>
          <w:rFonts w:ascii="Segoe UI" w:hAnsi="Segoe UI" w:cs="Segoe UI"/>
          <w:lang w:val="en-GB"/>
        </w:rPr>
        <w:t xml:space="preserve">: </w:t>
      </w:r>
    </w:p>
    <w:p w14:paraId="3C58C5D9" w14:textId="77777777" w:rsidR="005E232E" w:rsidRPr="005E232E" w:rsidRDefault="005E232E" w:rsidP="005E232E">
      <w:pPr>
        <w:numPr>
          <w:ilvl w:val="0"/>
          <w:numId w:val="46"/>
        </w:numPr>
        <w:jc w:val="both"/>
        <w:rPr>
          <w:rFonts w:ascii="Segoe UI" w:hAnsi="Segoe UI" w:cs="Segoe UI"/>
          <w:lang w:val="en-GB"/>
        </w:rPr>
      </w:pPr>
      <w:r w:rsidRPr="005E232E">
        <w:rPr>
          <w:rFonts w:ascii="Segoe UI" w:hAnsi="Segoe UI" w:cs="Segoe UI"/>
          <w:lang w:val="en-GB"/>
        </w:rPr>
        <w:t xml:space="preserve">adequacy of funding for mental health services – which may be superseded by the development of the risk at SO 2.3, which now references the impact of historic and/or ongoing underfunding of mental health services upon the risk of financial exposure for the Trust for which we await the definitive outcome of current negotiations; and </w:t>
      </w:r>
    </w:p>
    <w:p w14:paraId="34AAEF99" w14:textId="77777777" w:rsidR="005E232E" w:rsidRPr="005E232E" w:rsidRDefault="005E232E" w:rsidP="005E232E">
      <w:pPr>
        <w:numPr>
          <w:ilvl w:val="0"/>
          <w:numId w:val="46"/>
        </w:numPr>
        <w:jc w:val="both"/>
        <w:rPr>
          <w:rFonts w:ascii="Segoe UI" w:hAnsi="Segoe UI" w:cs="Segoe UI"/>
          <w:lang w:val="en-GB"/>
        </w:rPr>
      </w:pPr>
      <w:r w:rsidRPr="005E232E">
        <w:rPr>
          <w:rFonts w:ascii="Segoe UI" w:hAnsi="Segoe UI" w:cs="Segoe UI"/>
          <w:lang w:val="en-GB"/>
        </w:rPr>
        <w:t xml:space="preserve">risks/financial consequences if Oxfordshire does not develop its own Integrated Care System - however BAF elements in connection with partnership working and further clarity now the ICS for Oxfordshire has been formally approved, may negate the need to develop this further as a stand-alone risk. </w:t>
      </w:r>
    </w:p>
    <w:p w14:paraId="5CD9C990" w14:textId="77777777" w:rsidR="00E95033" w:rsidRPr="000A4E77" w:rsidRDefault="00E95033" w:rsidP="0073522A">
      <w:pPr>
        <w:jc w:val="both"/>
        <w:rPr>
          <w:rFonts w:ascii="Segoe UI" w:hAnsi="Segoe UI" w:cs="Segoe UI"/>
        </w:rPr>
      </w:pPr>
    </w:p>
    <w:p w14:paraId="2A167181" w14:textId="77777777" w:rsidR="005B7005" w:rsidRPr="0072070D" w:rsidRDefault="005B7005" w:rsidP="005B7005">
      <w:pPr>
        <w:jc w:val="both"/>
        <w:rPr>
          <w:rFonts w:ascii="Segoe UI" w:hAnsi="Segoe UI" w:cs="Segoe UI"/>
          <w:b/>
        </w:rPr>
      </w:pPr>
      <w:r>
        <w:rPr>
          <w:rFonts w:ascii="Segoe UI" w:hAnsi="Segoe UI" w:cs="Segoe UI"/>
          <w:b/>
        </w:rPr>
        <w:t>Governance Route</w:t>
      </w:r>
    </w:p>
    <w:p w14:paraId="3A0D33B0" w14:textId="77777777" w:rsidR="005B7005" w:rsidRDefault="005B7005" w:rsidP="005B7005">
      <w:pPr>
        <w:jc w:val="both"/>
        <w:rPr>
          <w:rFonts w:ascii="Segoe UI" w:hAnsi="Segoe UI" w:cs="Segoe UI"/>
        </w:rPr>
      </w:pPr>
    </w:p>
    <w:p w14:paraId="2784A7E7" w14:textId="07151FFC" w:rsidR="003E7D64" w:rsidRDefault="002465F2" w:rsidP="005B7005">
      <w:pPr>
        <w:jc w:val="both"/>
        <w:rPr>
          <w:rFonts w:ascii="Segoe UI" w:hAnsi="Segoe UI" w:cs="Segoe UI"/>
        </w:rPr>
      </w:pPr>
      <w:r w:rsidRPr="002465F2">
        <w:rPr>
          <w:rFonts w:ascii="Segoe UI" w:hAnsi="Segoe UI" w:cs="Segoe UI"/>
          <w:lang w:val="en-GB"/>
        </w:rPr>
        <w:t xml:space="preserve">The full BAF was last presented to </w:t>
      </w:r>
      <w:bookmarkStart w:id="1" w:name="_Hlk6321785"/>
      <w:r w:rsidRPr="002465F2">
        <w:rPr>
          <w:rFonts w:ascii="Segoe UI" w:hAnsi="Segoe UI" w:cs="Segoe UI"/>
          <w:lang w:val="en-GB"/>
        </w:rPr>
        <w:t>the Board on 2</w:t>
      </w:r>
      <w:bookmarkEnd w:id="1"/>
      <w:r w:rsidR="009E1B39">
        <w:rPr>
          <w:rFonts w:ascii="Segoe UI" w:hAnsi="Segoe UI" w:cs="Segoe UI"/>
          <w:lang w:val="en-GB"/>
        </w:rPr>
        <w:t>4</w:t>
      </w:r>
      <w:r w:rsidR="009E1B39" w:rsidRPr="009E1B39">
        <w:rPr>
          <w:rFonts w:ascii="Segoe UI" w:hAnsi="Segoe UI" w:cs="Segoe UI"/>
          <w:vertAlign w:val="superscript"/>
          <w:lang w:val="en-GB"/>
        </w:rPr>
        <w:t>th</w:t>
      </w:r>
      <w:r w:rsidR="009E1B39">
        <w:rPr>
          <w:rFonts w:ascii="Segoe UI" w:hAnsi="Segoe UI" w:cs="Segoe UI"/>
          <w:lang w:val="en-GB"/>
        </w:rPr>
        <w:t xml:space="preserve"> July;</w:t>
      </w:r>
      <w:r w:rsidRPr="002465F2">
        <w:rPr>
          <w:rFonts w:ascii="Segoe UI" w:hAnsi="Segoe UI" w:cs="Segoe UI"/>
          <w:lang w:val="en-GB"/>
        </w:rPr>
        <w:t xml:space="preserve"> to the Quality Committee on 13 November 2019</w:t>
      </w:r>
      <w:r w:rsidR="009E1B39">
        <w:rPr>
          <w:rFonts w:ascii="Segoe UI" w:hAnsi="Segoe UI" w:cs="Segoe UI"/>
          <w:lang w:val="en-GB"/>
        </w:rPr>
        <w:t xml:space="preserve"> and to the Audit Committee on </w:t>
      </w:r>
      <w:r w:rsidR="009A4349">
        <w:rPr>
          <w:rFonts w:ascii="Segoe UI" w:hAnsi="Segoe UI" w:cs="Segoe UI"/>
          <w:lang w:val="en-GB"/>
        </w:rPr>
        <w:t>3 December 2019</w:t>
      </w:r>
      <w:r w:rsidRPr="002465F2">
        <w:rPr>
          <w:rFonts w:ascii="Segoe UI" w:hAnsi="Segoe UI" w:cs="Segoe UI"/>
          <w:lang w:val="en-GB"/>
        </w:rPr>
        <w:t>.</w:t>
      </w:r>
      <w:r w:rsidR="009A4349">
        <w:rPr>
          <w:rFonts w:ascii="Segoe UI" w:hAnsi="Segoe UI" w:cs="Segoe UI"/>
          <w:lang w:val="en-GB"/>
        </w:rPr>
        <w:t xml:space="preserve">  It</w:t>
      </w:r>
      <w:r w:rsidR="00687804">
        <w:rPr>
          <w:rFonts w:ascii="Segoe UI" w:hAnsi="Segoe UI" w:cs="Segoe UI"/>
        </w:rPr>
        <w:t xml:space="preserve"> was also presented</w:t>
      </w:r>
      <w:r w:rsidR="009A4349">
        <w:rPr>
          <w:rFonts w:ascii="Segoe UI" w:hAnsi="Segoe UI" w:cs="Segoe UI"/>
        </w:rPr>
        <w:t xml:space="preserve"> </w:t>
      </w:r>
      <w:r w:rsidR="00687804">
        <w:rPr>
          <w:rFonts w:ascii="Segoe UI" w:hAnsi="Segoe UI" w:cs="Segoe UI"/>
        </w:rPr>
        <w:t>together with the Trust Risk Register</w:t>
      </w:r>
      <w:r w:rsidR="00AD5D46">
        <w:rPr>
          <w:rFonts w:ascii="Segoe UI" w:hAnsi="Segoe UI" w:cs="Segoe UI"/>
        </w:rPr>
        <w:t xml:space="preserve"> setting out operational risks,</w:t>
      </w:r>
      <w:r w:rsidR="00687804">
        <w:rPr>
          <w:rFonts w:ascii="Segoe UI" w:hAnsi="Segoe UI" w:cs="Segoe UI"/>
        </w:rPr>
        <w:t xml:space="preserve"> at the Well Led quality sub-committee meeting on </w:t>
      </w:r>
      <w:r w:rsidR="00050729">
        <w:rPr>
          <w:rFonts w:ascii="Segoe UI" w:hAnsi="Segoe UI" w:cs="Segoe UI"/>
        </w:rPr>
        <w:t>16 October 2019</w:t>
      </w:r>
      <w:r w:rsidR="00687804">
        <w:rPr>
          <w:rFonts w:ascii="Segoe UI" w:hAnsi="Segoe UI" w:cs="Segoe UI"/>
        </w:rPr>
        <w:t xml:space="preserve">. </w:t>
      </w:r>
      <w:r w:rsidR="00E95033">
        <w:rPr>
          <w:rFonts w:ascii="Segoe UI" w:hAnsi="Segoe UI" w:cs="Segoe UI"/>
        </w:rPr>
        <w:t xml:space="preserve">  </w:t>
      </w:r>
    </w:p>
    <w:p w14:paraId="5078BF58" w14:textId="435160AB" w:rsidR="00025C30" w:rsidRDefault="00025C30" w:rsidP="005B7005">
      <w:pPr>
        <w:jc w:val="both"/>
        <w:rPr>
          <w:rFonts w:ascii="Segoe UI" w:hAnsi="Segoe UI" w:cs="Segoe UI"/>
        </w:rPr>
      </w:pPr>
    </w:p>
    <w:p w14:paraId="2EA15DCD" w14:textId="77777777" w:rsidR="00025C30" w:rsidRPr="00025C30" w:rsidRDefault="00025C30" w:rsidP="00025C30">
      <w:pPr>
        <w:jc w:val="both"/>
        <w:rPr>
          <w:rFonts w:ascii="Segoe UI" w:hAnsi="Segoe UI" w:cs="Segoe UI"/>
          <w:lang w:val="en-GB"/>
        </w:rPr>
      </w:pPr>
      <w:r w:rsidRPr="00025C30">
        <w:rPr>
          <w:rFonts w:ascii="Segoe UI" w:hAnsi="Segoe UI" w:cs="Segoe UI"/>
          <w:lang w:val="en-GB"/>
        </w:rPr>
        <w:t xml:space="preserve">Public Board agendas also list the strategic risks in the BAF, link agenda items to BAF risks (since June 2018) and provide a reminder under the item on ‘Any Other </w:t>
      </w:r>
      <w:r w:rsidRPr="00025C30">
        <w:rPr>
          <w:rFonts w:ascii="Segoe UI" w:hAnsi="Segoe UI" w:cs="Segoe UI"/>
          <w:lang w:val="en-GB"/>
        </w:rPr>
        <w:lastRenderedPageBreak/>
        <w:t xml:space="preserve">Business’ to confirm any changes to strategic risks arising out of discussion at Board meetings (whether or not the BAF had been specifically presented to the meeting).  </w:t>
      </w:r>
    </w:p>
    <w:p w14:paraId="23F667D3" w14:textId="77777777" w:rsidR="00025C30" w:rsidRDefault="00025C30" w:rsidP="005B7005">
      <w:pPr>
        <w:jc w:val="both"/>
        <w:rPr>
          <w:rFonts w:ascii="Segoe UI" w:hAnsi="Segoe UI" w:cs="Segoe UI"/>
        </w:rPr>
      </w:pPr>
    </w:p>
    <w:p w14:paraId="138A806C" w14:textId="77777777" w:rsidR="00BD212A" w:rsidRDefault="00BD212A" w:rsidP="00BD212A">
      <w:pPr>
        <w:jc w:val="both"/>
        <w:rPr>
          <w:rFonts w:ascii="Segoe UI" w:hAnsi="Segoe UI" w:cs="Segoe UI"/>
          <w:b/>
        </w:rPr>
      </w:pPr>
      <w:r w:rsidRPr="000A4E77">
        <w:rPr>
          <w:rFonts w:ascii="Segoe UI" w:hAnsi="Segoe UI" w:cs="Segoe UI"/>
          <w:b/>
        </w:rPr>
        <w:t>Recommendation</w:t>
      </w:r>
    </w:p>
    <w:p w14:paraId="436D742B" w14:textId="77777777" w:rsidR="003D5DFC" w:rsidRPr="000A4E77" w:rsidRDefault="003D5DFC" w:rsidP="00BD212A">
      <w:pPr>
        <w:jc w:val="both"/>
        <w:rPr>
          <w:rFonts w:ascii="Segoe UI" w:hAnsi="Segoe UI" w:cs="Segoe UI"/>
          <w:b/>
        </w:rPr>
      </w:pPr>
    </w:p>
    <w:p w14:paraId="590E73A8" w14:textId="705463AA" w:rsidR="00BD212A" w:rsidRDefault="00232720" w:rsidP="00232720">
      <w:pPr>
        <w:jc w:val="both"/>
        <w:rPr>
          <w:rFonts w:ascii="Segoe UI" w:hAnsi="Segoe UI" w:cs="Segoe UI"/>
        </w:rPr>
      </w:pPr>
      <w:r w:rsidRPr="000A4E77">
        <w:rPr>
          <w:rFonts w:ascii="Segoe UI" w:hAnsi="Segoe UI" w:cs="Segoe UI"/>
        </w:rPr>
        <w:t xml:space="preserve">The Board is asked to consider </w:t>
      </w:r>
      <w:r w:rsidR="00BD212A" w:rsidRPr="000A4E77">
        <w:rPr>
          <w:rFonts w:ascii="Segoe UI" w:hAnsi="Segoe UI" w:cs="Segoe UI"/>
        </w:rPr>
        <w:t>the</w:t>
      </w:r>
      <w:r w:rsidR="00EA281E">
        <w:rPr>
          <w:rFonts w:ascii="Segoe UI" w:hAnsi="Segoe UI" w:cs="Segoe UI"/>
        </w:rPr>
        <w:t xml:space="preserve"> 2 new risks (also discussed by the Audit Committee)</w:t>
      </w:r>
      <w:r w:rsidR="009A7CE6">
        <w:rPr>
          <w:rFonts w:ascii="Segoe UI" w:hAnsi="Segoe UI" w:cs="Segoe UI"/>
        </w:rPr>
        <w:t xml:space="preserve"> and the</w:t>
      </w:r>
      <w:r w:rsidR="00BD212A" w:rsidRPr="000A4E77">
        <w:rPr>
          <w:rFonts w:ascii="Segoe UI" w:hAnsi="Segoe UI" w:cs="Segoe UI"/>
        </w:rPr>
        <w:t xml:space="preserve"> </w:t>
      </w:r>
      <w:r w:rsidR="009A7CE6">
        <w:rPr>
          <w:rFonts w:ascii="Segoe UI" w:hAnsi="Segoe UI" w:cs="Segoe UI"/>
        </w:rPr>
        <w:t>latest version of the BAF</w:t>
      </w:r>
      <w:r w:rsidR="00BD212A" w:rsidRPr="000A4E77">
        <w:rPr>
          <w:rFonts w:ascii="Segoe UI" w:hAnsi="Segoe UI" w:cs="Segoe UI"/>
        </w:rPr>
        <w:t xml:space="preserve"> to assure itself that the Trust is </w:t>
      </w:r>
      <w:proofErr w:type="gramStart"/>
      <w:r w:rsidR="00BD212A" w:rsidRPr="000A4E77">
        <w:rPr>
          <w:rFonts w:ascii="Segoe UI" w:hAnsi="Segoe UI" w:cs="Segoe UI"/>
        </w:rPr>
        <w:t>taking action</w:t>
      </w:r>
      <w:proofErr w:type="gramEnd"/>
      <w:r w:rsidR="00BD212A" w:rsidRPr="000A4E77">
        <w:rPr>
          <w:rFonts w:ascii="Segoe UI" w:hAnsi="Segoe UI" w:cs="Segoe UI"/>
        </w:rPr>
        <w:t xml:space="preserve"> to mitigate those risks that have the greatest potential to cause the Trust to</w:t>
      </w:r>
      <w:r w:rsidRPr="000A4E77">
        <w:rPr>
          <w:rFonts w:ascii="Segoe UI" w:hAnsi="Segoe UI" w:cs="Segoe UI"/>
        </w:rPr>
        <w:t xml:space="preserve"> fail to achieve its objectives. </w:t>
      </w:r>
      <w:r w:rsidR="00BD212A" w:rsidRPr="000A4E77">
        <w:rPr>
          <w:rFonts w:ascii="Segoe UI" w:hAnsi="Segoe UI" w:cs="Segoe UI"/>
        </w:rPr>
        <w:t xml:space="preserve"> </w:t>
      </w:r>
    </w:p>
    <w:p w14:paraId="666BC5D8" w14:textId="77777777" w:rsidR="00213AA8" w:rsidRDefault="00213AA8" w:rsidP="00232720">
      <w:pPr>
        <w:jc w:val="both"/>
        <w:rPr>
          <w:rFonts w:ascii="Segoe UI" w:hAnsi="Segoe UI" w:cs="Segoe UI"/>
        </w:rPr>
      </w:pPr>
    </w:p>
    <w:p w14:paraId="36F8E9BA" w14:textId="5D24AE75" w:rsidR="00F115DE" w:rsidRPr="000A4E77" w:rsidRDefault="00F115DE" w:rsidP="00232720">
      <w:pPr>
        <w:jc w:val="both"/>
        <w:rPr>
          <w:rFonts w:ascii="Segoe UI" w:hAnsi="Segoe UI" w:cs="Segoe UI"/>
          <w:b/>
        </w:rPr>
      </w:pPr>
      <w:r>
        <w:rPr>
          <w:rFonts w:ascii="Segoe UI" w:hAnsi="Segoe UI" w:cs="Segoe UI"/>
        </w:rPr>
        <w:t>The more detailed, routine</w:t>
      </w:r>
      <w:r w:rsidR="00213AA8">
        <w:rPr>
          <w:rFonts w:ascii="Segoe UI" w:hAnsi="Segoe UI" w:cs="Segoe UI"/>
        </w:rPr>
        <w:t xml:space="preserve"> BAF update </w:t>
      </w:r>
      <w:r w:rsidR="009A7CE6">
        <w:rPr>
          <w:rFonts w:ascii="Segoe UI" w:hAnsi="Segoe UI" w:cs="Segoe UI"/>
        </w:rPr>
        <w:t>to include movement</w:t>
      </w:r>
      <w:r w:rsidR="00510F17">
        <w:rPr>
          <w:rFonts w:ascii="Segoe UI" w:hAnsi="Segoe UI" w:cs="Segoe UI"/>
        </w:rPr>
        <w:t>s and</w:t>
      </w:r>
      <w:r w:rsidR="004713D9">
        <w:rPr>
          <w:rFonts w:ascii="Segoe UI" w:hAnsi="Segoe UI" w:cs="Segoe UI"/>
        </w:rPr>
        <w:t xml:space="preserve"> </w:t>
      </w:r>
      <w:r w:rsidR="00213AA8">
        <w:rPr>
          <w:rFonts w:ascii="Segoe UI" w:hAnsi="Segoe UI" w:cs="Segoe UI"/>
        </w:rPr>
        <w:t>heat maps will be presented to the Board in Q4.</w:t>
      </w:r>
    </w:p>
    <w:p w14:paraId="1A77CC4D" w14:textId="77777777" w:rsidR="00BD212A" w:rsidRPr="000A4E77" w:rsidRDefault="00BD212A" w:rsidP="00BD212A">
      <w:pPr>
        <w:ind w:left="720"/>
        <w:jc w:val="both"/>
        <w:rPr>
          <w:rFonts w:ascii="Segoe UI" w:hAnsi="Segoe UI" w:cs="Segoe UI"/>
          <w:b/>
        </w:rPr>
      </w:pPr>
    </w:p>
    <w:p w14:paraId="797D2442" w14:textId="653DB6AE" w:rsidR="00BD212A" w:rsidRPr="000A4E77" w:rsidRDefault="00BD212A" w:rsidP="00BD212A">
      <w:pPr>
        <w:jc w:val="both"/>
        <w:rPr>
          <w:rFonts w:ascii="Segoe UI" w:hAnsi="Segoe UI" w:cs="Segoe UI"/>
          <w:b/>
        </w:rPr>
      </w:pPr>
      <w:r w:rsidRPr="000A4E77">
        <w:rPr>
          <w:rFonts w:ascii="Segoe UI" w:hAnsi="Segoe UI" w:cs="Segoe UI"/>
          <w:b/>
        </w:rPr>
        <w:t>Lead Executive Director:</w:t>
      </w:r>
      <w:r w:rsidRPr="000A4E77">
        <w:rPr>
          <w:rFonts w:ascii="Segoe UI" w:hAnsi="Segoe UI" w:cs="Segoe UI"/>
          <w:b/>
        </w:rPr>
        <w:tab/>
      </w:r>
      <w:r w:rsidR="008405D5" w:rsidRPr="000A4E77">
        <w:rPr>
          <w:rFonts w:ascii="Segoe UI" w:hAnsi="Segoe UI" w:cs="Segoe UI"/>
          <w:b/>
        </w:rPr>
        <w:t xml:space="preserve">Kerry Rogers, Director of Corporate Affairs and </w:t>
      </w:r>
      <w:r w:rsidR="0010402D">
        <w:rPr>
          <w:rFonts w:ascii="Segoe UI" w:hAnsi="Segoe UI" w:cs="Segoe UI"/>
          <w:b/>
        </w:rPr>
        <w:tab/>
      </w:r>
      <w:r w:rsidR="0010402D">
        <w:rPr>
          <w:rFonts w:ascii="Segoe UI" w:hAnsi="Segoe UI" w:cs="Segoe UI"/>
          <w:b/>
        </w:rPr>
        <w:tab/>
      </w:r>
      <w:r w:rsidR="0010402D">
        <w:rPr>
          <w:rFonts w:ascii="Segoe UI" w:hAnsi="Segoe UI" w:cs="Segoe UI"/>
          <w:b/>
        </w:rPr>
        <w:tab/>
      </w:r>
      <w:r w:rsidR="0010402D">
        <w:rPr>
          <w:rFonts w:ascii="Segoe UI" w:hAnsi="Segoe UI" w:cs="Segoe UI"/>
          <w:b/>
        </w:rPr>
        <w:tab/>
      </w:r>
      <w:r w:rsidR="0010402D">
        <w:rPr>
          <w:rFonts w:ascii="Segoe UI" w:hAnsi="Segoe UI" w:cs="Segoe UI"/>
          <w:b/>
        </w:rPr>
        <w:tab/>
      </w:r>
      <w:r w:rsidR="008405D5" w:rsidRPr="000A4E77">
        <w:rPr>
          <w:rFonts w:ascii="Segoe UI" w:hAnsi="Segoe UI" w:cs="Segoe UI"/>
          <w:b/>
        </w:rPr>
        <w:t>Company Secretary</w:t>
      </w:r>
    </w:p>
    <w:p w14:paraId="50E4E4B3" w14:textId="77777777" w:rsidR="000D5537" w:rsidRPr="000A4E77" w:rsidRDefault="000D5537" w:rsidP="00BD212A">
      <w:pPr>
        <w:jc w:val="both"/>
        <w:rPr>
          <w:rFonts w:ascii="Segoe UI" w:hAnsi="Segoe UI" w:cs="Segoe UI"/>
          <w:b/>
        </w:rPr>
      </w:pPr>
    </w:p>
    <w:p w14:paraId="78267B9E" w14:textId="77777777" w:rsidR="00BD212A" w:rsidRDefault="00BD212A" w:rsidP="00BD212A">
      <w:pPr>
        <w:numPr>
          <w:ilvl w:val="0"/>
          <w:numId w:val="2"/>
        </w:numPr>
        <w:jc w:val="both"/>
        <w:rPr>
          <w:rFonts w:ascii="Segoe UI" w:hAnsi="Segoe UI" w:cs="Segoe UI"/>
          <w:i/>
          <w:sz w:val="20"/>
          <w:szCs w:val="20"/>
        </w:rPr>
      </w:pPr>
      <w:r w:rsidRPr="000A4E77">
        <w:rPr>
          <w:rFonts w:ascii="Segoe UI" w:hAnsi="Segoe UI" w:cs="Segoe UI"/>
          <w:i/>
          <w:sz w:val="20"/>
          <w:szCs w:val="20"/>
        </w:rPr>
        <w:t>A risk assessment has been undertaken around the legal issues that this paper presents and there are no issues that need to be referred to the Trust Solicitors.</w:t>
      </w:r>
    </w:p>
    <w:p w14:paraId="77615F5F" w14:textId="77777777" w:rsidR="003D5DFC" w:rsidRDefault="003D5DFC" w:rsidP="003D5DFC">
      <w:pPr>
        <w:ind w:left="720"/>
        <w:jc w:val="both"/>
        <w:rPr>
          <w:rFonts w:ascii="Segoe UI" w:hAnsi="Segoe UI" w:cs="Segoe UI"/>
          <w:i/>
          <w:sz w:val="20"/>
          <w:szCs w:val="20"/>
        </w:rPr>
      </w:pPr>
    </w:p>
    <w:p w14:paraId="6D94ACD4" w14:textId="63459558" w:rsidR="005B7005" w:rsidRDefault="005B7005" w:rsidP="005B7005">
      <w:pPr>
        <w:numPr>
          <w:ilvl w:val="0"/>
          <w:numId w:val="2"/>
        </w:numPr>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 of the Trust:</w:t>
      </w:r>
    </w:p>
    <w:p w14:paraId="7F7F3ECF" w14:textId="77777777" w:rsidR="00510F17" w:rsidRPr="00FA3993" w:rsidRDefault="00510F17" w:rsidP="00A85CF8">
      <w:pPr>
        <w:jc w:val="both"/>
        <w:rPr>
          <w:rFonts w:ascii="Segoe UI" w:hAnsi="Segoe UI" w:cs="Segoe UI"/>
          <w:i/>
          <w:sz w:val="20"/>
          <w:szCs w:val="20"/>
        </w:rPr>
      </w:pPr>
    </w:p>
    <w:p w14:paraId="4064D20E" w14:textId="77777777" w:rsidR="005B7005" w:rsidRPr="002250DE" w:rsidRDefault="005B7005" w:rsidP="005B7005">
      <w:pPr>
        <w:ind w:firstLine="720"/>
        <w:jc w:val="both"/>
        <w:rPr>
          <w:rFonts w:ascii="Segoe UI" w:hAnsi="Segoe UI" w:cs="Segoe UI"/>
          <w:i/>
          <w:sz w:val="20"/>
          <w:szCs w:val="20"/>
        </w:rPr>
      </w:pPr>
      <w:r>
        <w:rPr>
          <w:rFonts w:ascii="Segoe UI" w:hAnsi="Segoe UI" w:cs="Segoe UI"/>
          <w:i/>
          <w:sz w:val="20"/>
          <w:szCs w:val="20"/>
        </w:rPr>
        <w:t xml:space="preserve">1) </w:t>
      </w:r>
      <w:r w:rsidRPr="002250DE">
        <w:rPr>
          <w:rFonts w:ascii="Segoe UI" w:hAnsi="Segoe UI" w:cs="Segoe UI"/>
          <w:i/>
          <w:sz w:val="20"/>
          <w:szCs w:val="20"/>
        </w:rPr>
        <w:t>Driving Quality Improvement</w:t>
      </w:r>
    </w:p>
    <w:p w14:paraId="76DB48E9" w14:textId="77777777" w:rsidR="005B7005" w:rsidRPr="002250DE" w:rsidRDefault="005B7005" w:rsidP="005B7005">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14:paraId="0B64515A" w14:textId="77777777" w:rsidR="00A85CF8" w:rsidRDefault="00A85CF8" w:rsidP="005B7005">
      <w:pPr>
        <w:ind w:firstLine="720"/>
        <w:jc w:val="both"/>
        <w:rPr>
          <w:rFonts w:ascii="Segoe UI" w:hAnsi="Segoe UI" w:cs="Segoe UI"/>
          <w:i/>
          <w:sz w:val="20"/>
          <w:szCs w:val="20"/>
        </w:rPr>
      </w:pPr>
    </w:p>
    <w:p w14:paraId="05C78A9E" w14:textId="0F2B4E37" w:rsidR="005B7005" w:rsidRPr="00FA3993" w:rsidRDefault="005B7005" w:rsidP="005B7005">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14:paraId="7D969F43" w14:textId="3E47E659" w:rsidR="00D238B9" w:rsidRPr="00D7024C" w:rsidRDefault="005B7005" w:rsidP="00D7024C">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sectPr w:rsidR="00D238B9" w:rsidRPr="00D7024C" w:rsidSect="00BD212A">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EF738" w14:textId="77777777" w:rsidR="005C5E97" w:rsidRDefault="005C5E97" w:rsidP="005B3E3C">
      <w:r>
        <w:separator/>
      </w:r>
    </w:p>
  </w:endnote>
  <w:endnote w:type="continuationSeparator" w:id="0">
    <w:p w14:paraId="25D238EB" w14:textId="77777777" w:rsidR="005C5E97" w:rsidRDefault="005C5E97"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91DD" w14:textId="77777777" w:rsidR="000F4470" w:rsidRDefault="000F4470">
    <w:pPr>
      <w:pStyle w:val="Footer"/>
      <w:jc w:val="right"/>
    </w:pPr>
    <w:r>
      <w:fldChar w:fldCharType="begin"/>
    </w:r>
    <w:r>
      <w:instrText xml:space="preserve"> PAGE   \* MERGEFORMAT </w:instrText>
    </w:r>
    <w:r>
      <w:fldChar w:fldCharType="separate"/>
    </w:r>
    <w:r w:rsidR="00B246DE">
      <w:rPr>
        <w:noProof/>
      </w:rPr>
      <w:t>4</w:t>
    </w:r>
    <w:r>
      <w:rPr>
        <w:noProof/>
      </w:rPr>
      <w:fldChar w:fldCharType="end"/>
    </w:r>
  </w:p>
  <w:p w14:paraId="472DAE44" w14:textId="77777777" w:rsidR="000F4470" w:rsidRDefault="000F4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3638" w14:textId="77777777" w:rsidR="000F4470" w:rsidRDefault="000F4470">
    <w:pPr>
      <w:pStyle w:val="Footer"/>
      <w:jc w:val="right"/>
    </w:pPr>
    <w:r>
      <w:fldChar w:fldCharType="begin"/>
    </w:r>
    <w:r>
      <w:instrText xml:space="preserve"> PAGE   \* MERGEFORMAT </w:instrText>
    </w:r>
    <w:r>
      <w:fldChar w:fldCharType="separate"/>
    </w:r>
    <w:r w:rsidR="00B246DE">
      <w:rPr>
        <w:noProof/>
      </w:rPr>
      <w:t>1</w:t>
    </w:r>
    <w:r>
      <w:rPr>
        <w:noProof/>
      </w:rPr>
      <w:fldChar w:fldCharType="end"/>
    </w:r>
  </w:p>
  <w:p w14:paraId="26F5BB37" w14:textId="77777777" w:rsidR="000F4470" w:rsidRDefault="000F4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47BE" w14:textId="77777777" w:rsidR="005C5E97" w:rsidRDefault="005C5E97" w:rsidP="005B3E3C">
      <w:r>
        <w:separator/>
      </w:r>
    </w:p>
  </w:footnote>
  <w:footnote w:type="continuationSeparator" w:id="0">
    <w:p w14:paraId="181622DD" w14:textId="77777777" w:rsidR="005C5E97" w:rsidRDefault="005C5E97"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49A9" w14:textId="77777777" w:rsidR="00316859" w:rsidRPr="005B3E3C" w:rsidRDefault="00316859" w:rsidP="00316859">
    <w:pPr>
      <w:pStyle w:val="Header"/>
      <w:jc w:val="center"/>
      <w:rPr>
        <w:rFonts w:ascii="Arial" w:hAnsi="Arial" w:cs="Arial"/>
      </w:rPr>
    </w:pPr>
    <w:r>
      <w:rPr>
        <w:rFonts w:ascii="Arial" w:hAnsi="Arial" w:cs="Arial"/>
        <w:b/>
        <w:i/>
      </w:rPr>
      <w:t>PUBLIC</w:t>
    </w:r>
  </w:p>
  <w:p w14:paraId="0ED0ADF7" w14:textId="77777777" w:rsidR="00316859" w:rsidRDefault="00316859" w:rsidP="003168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0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A3045"/>
    <w:multiLevelType w:val="hybridMultilevel"/>
    <w:tmpl w:val="FDB8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45D2"/>
    <w:multiLevelType w:val="hybridMultilevel"/>
    <w:tmpl w:val="9732F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9212D"/>
    <w:multiLevelType w:val="hybridMultilevel"/>
    <w:tmpl w:val="A266AA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41D56"/>
    <w:multiLevelType w:val="hybridMultilevel"/>
    <w:tmpl w:val="4AB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F73D2"/>
    <w:multiLevelType w:val="hybridMultilevel"/>
    <w:tmpl w:val="255EF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E45DD"/>
    <w:multiLevelType w:val="hybridMultilevel"/>
    <w:tmpl w:val="CA12C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F47C2"/>
    <w:multiLevelType w:val="hybridMultilevel"/>
    <w:tmpl w:val="2250B166"/>
    <w:lvl w:ilvl="0" w:tplc="2C926774">
      <w:start w:val="6"/>
      <w:numFmt w:val="bullet"/>
      <w:lvlText w:val="-"/>
      <w:lvlJc w:val="left"/>
      <w:pPr>
        <w:ind w:left="1636" w:hanging="360"/>
      </w:pPr>
      <w:rPr>
        <w:rFonts w:ascii="Segoe UI" w:eastAsia="Times New Roman" w:hAnsi="Segoe UI" w:cs="Segoe U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14687EA2"/>
    <w:multiLevelType w:val="hybridMultilevel"/>
    <w:tmpl w:val="A8C0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721DF"/>
    <w:multiLevelType w:val="hybridMultilevel"/>
    <w:tmpl w:val="233E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A76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6788D"/>
    <w:multiLevelType w:val="hybridMultilevel"/>
    <w:tmpl w:val="033E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A37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9C03BF"/>
    <w:multiLevelType w:val="hybridMultilevel"/>
    <w:tmpl w:val="C330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E3345"/>
    <w:multiLevelType w:val="hybridMultilevel"/>
    <w:tmpl w:val="10784222"/>
    <w:lvl w:ilvl="0" w:tplc="08090001">
      <w:start w:val="1"/>
      <w:numFmt w:val="bullet"/>
      <w:lvlText w:val=""/>
      <w:lvlJc w:val="left"/>
      <w:pPr>
        <w:ind w:left="720" w:hanging="360"/>
      </w:pPr>
      <w:rPr>
        <w:rFonts w:ascii="Symbol" w:hAnsi="Symbol" w:hint="default"/>
      </w:rPr>
    </w:lvl>
    <w:lvl w:ilvl="1" w:tplc="7EC0FEB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E2682"/>
    <w:multiLevelType w:val="hybridMultilevel"/>
    <w:tmpl w:val="444C85B4"/>
    <w:lvl w:ilvl="0" w:tplc="EE92F3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7C5B5B"/>
    <w:multiLevelType w:val="hybridMultilevel"/>
    <w:tmpl w:val="0BB4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975D49"/>
    <w:multiLevelType w:val="hybridMultilevel"/>
    <w:tmpl w:val="1FE8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D1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2B5AFE"/>
    <w:multiLevelType w:val="hybridMultilevel"/>
    <w:tmpl w:val="3C82CC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F55541B"/>
    <w:multiLevelType w:val="hybridMultilevel"/>
    <w:tmpl w:val="9590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411C0"/>
    <w:multiLevelType w:val="hybridMultilevel"/>
    <w:tmpl w:val="6FE4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770C9"/>
    <w:multiLevelType w:val="hybridMultilevel"/>
    <w:tmpl w:val="BF80189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66042B"/>
    <w:multiLevelType w:val="hybridMultilevel"/>
    <w:tmpl w:val="3088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D3039"/>
    <w:multiLevelType w:val="hybridMultilevel"/>
    <w:tmpl w:val="6D92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A31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8C2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3329C3"/>
    <w:multiLevelType w:val="hybridMultilevel"/>
    <w:tmpl w:val="D04EBA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536E5C"/>
    <w:multiLevelType w:val="hybridMultilevel"/>
    <w:tmpl w:val="3F6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36948"/>
    <w:multiLevelType w:val="hybridMultilevel"/>
    <w:tmpl w:val="9830F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01A0D"/>
    <w:multiLevelType w:val="hybridMultilevel"/>
    <w:tmpl w:val="27C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7157AEA"/>
    <w:multiLevelType w:val="hybridMultilevel"/>
    <w:tmpl w:val="9C281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F17550"/>
    <w:multiLevelType w:val="hybridMultilevel"/>
    <w:tmpl w:val="A35A21A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31281"/>
    <w:multiLevelType w:val="hybridMultilevel"/>
    <w:tmpl w:val="414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AD5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7C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3155B3"/>
    <w:multiLevelType w:val="hybridMultilevel"/>
    <w:tmpl w:val="EB04BA08"/>
    <w:lvl w:ilvl="0" w:tplc="6A00EBA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B2621D"/>
    <w:multiLevelType w:val="hybridMultilevel"/>
    <w:tmpl w:val="8824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100A21"/>
    <w:multiLevelType w:val="hybridMultilevel"/>
    <w:tmpl w:val="9684E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835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2A590B"/>
    <w:multiLevelType w:val="hybridMultilevel"/>
    <w:tmpl w:val="65CC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62F1A"/>
    <w:multiLevelType w:val="hybridMultilevel"/>
    <w:tmpl w:val="7E56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B70DC0"/>
    <w:multiLevelType w:val="multilevel"/>
    <w:tmpl w:val="847CF31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E55D83"/>
    <w:multiLevelType w:val="hybridMultilevel"/>
    <w:tmpl w:val="82C2D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74238"/>
    <w:multiLevelType w:val="hybridMultilevel"/>
    <w:tmpl w:val="63A8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3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9"/>
  </w:num>
  <w:num w:numId="8">
    <w:abstractNumId w:val="36"/>
  </w:num>
  <w:num w:numId="9">
    <w:abstractNumId w:val="30"/>
  </w:num>
  <w:num w:numId="10">
    <w:abstractNumId w:val="37"/>
  </w:num>
  <w:num w:numId="11">
    <w:abstractNumId w:val="10"/>
  </w:num>
  <w:num w:numId="12">
    <w:abstractNumId w:val="0"/>
  </w:num>
  <w:num w:numId="13">
    <w:abstractNumId w:val="16"/>
  </w:num>
  <w:num w:numId="14">
    <w:abstractNumId w:val="46"/>
  </w:num>
  <w:num w:numId="15">
    <w:abstractNumId w:val="19"/>
  </w:num>
  <w:num w:numId="16">
    <w:abstractNumId w:val="28"/>
  </w:num>
  <w:num w:numId="17">
    <w:abstractNumId w:val="27"/>
  </w:num>
  <w:num w:numId="18">
    <w:abstractNumId w:val="43"/>
  </w:num>
  <w:num w:numId="19">
    <w:abstractNumId w:val="38"/>
  </w:num>
  <w:num w:numId="20">
    <w:abstractNumId w:val="13"/>
  </w:num>
  <w:num w:numId="21">
    <w:abstractNumId w:val="4"/>
  </w:num>
  <w:num w:numId="22">
    <w:abstractNumId w:val="2"/>
  </w:num>
  <w:num w:numId="23">
    <w:abstractNumId w:val="5"/>
  </w:num>
  <w:num w:numId="24">
    <w:abstractNumId w:val="48"/>
  </w:num>
  <w:num w:numId="25">
    <w:abstractNumId w:val="26"/>
  </w:num>
  <w:num w:numId="26">
    <w:abstractNumId w:val="44"/>
  </w:num>
  <w:num w:numId="27">
    <w:abstractNumId w:val="1"/>
  </w:num>
  <w:num w:numId="28">
    <w:abstractNumId w:val="42"/>
  </w:num>
  <w:num w:numId="29">
    <w:abstractNumId w:val="8"/>
  </w:num>
  <w:num w:numId="30">
    <w:abstractNumId w:val="45"/>
  </w:num>
  <w:num w:numId="31">
    <w:abstractNumId w:val="34"/>
  </w:num>
  <w:num w:numId="32">
    <w:abstractNumId w:val="6"/>
  </w:num>
  <w:num w:numId="33">
    <w:abstractNumId w:val="47"/>
  </w:num>
  <w:num w:numId="34">
    <w:abstractNumId w:val="35"/>
  </w:num>
  <w:num w:numId="35">
    <w:abstractNumId w:val="23"/>
  </w:num>
  <w:num w:numId="36">
    <w:abstractNumId w:val="11"/>
  </w:num>
  <w:num w:numId="37">
    <w:abstractNumId w:val="25"/>
  </w:num>
  <w:num w:numId="38">
    <w:abstractNumId w:val="20"/>
  </w:num>
  <w:num w:numId="39">
    <w:abstractNumId w:val="3"/>
  </w:num>
  <w:num w:numId="40">
    <w:abstractNumId w:val="32"/>
  </w:num>
  <w:num w:numId="41">
    <w:abstractNumId w:val="18"/>
  </w:num>
  <w:num w:numId="42">
    <w:abstractNumId w:val="14"/>
  </w:num>
  <w:num w:numId="43">
    <w:abstractNumId w:val="15"/>
  </w:num>
  <w:num w:numId="44">
    <w:abstractNumId w:val="40"/>
  </w:num>
  <w:num w:numId="45">
    <w:abstractNumId w:val="39"/>
  </w:num>
  <w:num w:numId="46">
    <w:abstractNumId w:val="29"/>
  </w:num>
  <w:num w:numId="47">
    <w:abstractNumId w:val="22"/>
  </w:num>
  <w:num w:numId="48">
    <w:abstractNumId w:val="7"/>
  </w:num>
  <w:num w:numId="49">
    <w:abstractNumId w:val="2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F34"/>
    <w:rsid w:val="00011E9C"/>
    <w:rsid w:val="000218A0"/>
    <w:rsid w:val="00025C30"/>
    <w:rsid w:val="00030C91"/>
    <w:rsid w:val="00030E59"/>
    <w:rsid w:val="00032127"/>
    <w:rsid w:val="000325C0"/>
    <w:rsid w:val="0004502B"/>
    <w:rsid w:val="00050729"/>
    <w:rsid w:val="0005138F"/>
    <w:rsid w:val="00057D0C"/>
    <w:rsid w:val="00065ADD"/>
    <w:rsid w:val="0007126F"/>
    <w:rsid w:val="00072023"/>
    <w:rsid w:val="0007557C"/>
    <w:rsid w:val="00077115"/>
    <w:rsid w:val="00083BBF"/>
    <w:rsid w:val="00087E67"/>
    <w:rsid w:val="00091DEE"/>
    <w:rsid w:val="000A4E77"/>
    <w:rsid w:val="000A6AF2"/>
    <w:rsid w:val="000B58DA"/>
    <w:rsid w:val="000C2E5E"/>
    <w:rsid w:val="000C506C"/>
    <w:rsid w:val="000D4B65"/>
    <w:rsid w:val="000D5537"/>
    <w:rsid w:val="000E617D"/>
    <w:rsid w:val="000F0908"/>
    <w:rsid w:val="000F4470"/>
    <w:rsid w:val="000F78C8"/>
    <w:rsid w:val="001006C0"/>
    <w:rsid w:val="00100AE3"/>
    <w:rsid w:val="001029B4"/>
    <w:rsid w:val="00103E0A"/>
    <w:rsid w:val="0010402D"/>
    <w:rsid w:val="00106742"/>
    <w:rsid w:val="0012233C"/>
    <w:rsid w:val="001304F0"/>
    <w:rsid w:val="00132C46"/>
    <w:rsid w:val="00142128"/>
    <w:rsid w:val="00142A9B"/>
    <w:rsid w:val="00145017"/>
    <w:rsid w:val="00145C72"/>
    <w:rsid w:val="00147B84"/>
    <w:rsid w:val="00154CEC"/>
    <w:rsid w:val="00182282"/>
    <w:rsid w:val="001839C2"/>
    <w:rsid w:val="00187D43"/>
    <w:rsid w:val="001B748E"/>
    <w:rsid w:val="001C2AF7"/>
    <w:rsid w:val="001D0A6F"/>
    <w:rsid w:val="001D7430"/>
    <w:rsid w:val="001E5109"/>
    <w:rsid w:val="001E625A"/>
    <w:rsid w:val="001F1905"/>
    <w:rsid w:val="001F76ED"/>
    <w:rsid w:val="0020037C"/>
    <w:rsid w:val="00202C35"/>
    <w:rsid w:val="002038A4"/>
    <w:rsid w:val="002134E8"/>
    <w:rsid w:val="002138FA"/>
    <w:rsid w:val="00213AA8"/>
    <w:rsid w:val="00222AED"/>
    <w:rsid w:val="00227FCE"/>
    <w:rsid w:val="00230655"/>
    <w:rsid w:val="00232720"/>
    <w:rsid w:val="0024585B"/>
    <w:rsid w:val="00245E1D"/>
    <w:rsid w:val="002465F2"/>
    <w:rsid w:val="002619EF"/>
    <w:rsid w:val="00262486"/>
    <w:rsid w:val="0027045F"/>
    <w:rsid w:val="00270AC3"/>
    <w:rsid w:val="00276A48"/>
    <w:rsid w:val="002808DF"/>
    <w:rsid w:val="002821F8"/>
    <w:rsid w:val="00292613"/>
    <w:rsid w:val="00292F6B"/>
    <w:rsid w:val="00293556"/>
    <w:rsid w:val="00295307"/>
    <w:rsid w:val="002A52E3"/>
    <w:rsid w:val="002A5F67"/>
    <w:rsid w:val="002A73E8"/>
    <w:rsid w:val="002A763E"/>
    <w:rsid w:val="002B5BDE"/>
    <w:rsid w:val="002C29A8"/>
    <w:rsid w:val="002C2F97"/>
    <w:rsid w:val="002C6D3D"/>
    <w:rsid w:val="002D518B"/>
    <w:rsid w:val="002D7C41"/>
    <w:rsid w:val="002E350A"/>
    <w:rsid w:val="002E36C5"/>
    <w:rsid w:val="002E6FC6"/>
    <w:rsid w:val="002F0522"/>
    <w:rsid w:val="002F3BCF"/>
    <w:rsid w:val="002F7E92"/>
    <w:rsid w:val="003016D3"/>
    <w:rsid w:val="00302426"/>
    <w:rsid w:val="00303F4F"/>
    <w:rsid w:val="00310AF3"/>
    <w:rsid w:val="00316859"/>
    <w:rsid w:val="00316E2F"/>
    <w:rsid w:val="003262B2"/>
    <w:rsid w:val="003329C5"/>
    <w:rsid w:val="0033351F"/>
    <w:rsid w:val="00334291"/>
    <w:rsid w:val="00346479"/>
    <w:rsid w:val="00347124"/>
    <w:rsid w:val="00347F98"/>
    <w:rsid w:val="003504F6"/>
    <w:rsid w:val="00356E3C"/>
    <w:rsid w:val="0036034C"/>
    <w:rsid w:val="003675CB"/>
    <w:rsid w:val="0038287D"/>
    <w:rsid w:val="00382F03"/>
    <w:rsid w:val="003831CD"/>
    <w:rsid w:val="00386A44"/>
    <w:rsid w:val="00394423"/>
    <w:rsid w:val="003971F6"/>
    <w:rsid w:val="00397514"/>
    <w:rsid w:val="00397D39"/>
    <w:rsid w:val="003A3517"/>
    <w:rsid w:val="003A61C3"/>
    <w:rsid w:val="003C69D3"/>
    <w:rsid w:val="003D5DFC"/>
    <w:rsid w:val="003D65DE"/>
    <w:rsid w:val="003E020E"/>
    <w:rsid w:val="003E6F04"/>
    <w:rsid w:val="003E753A"/>
    <w:rsid w:val="003E7D64"/>
    <w:rsid w:val="003F5317"/>
    <w:rsid w:val="00405081"/>
    <w:rsid w:val="00412AEB"/>
    <w:rsid w:val="00413280"/>
    <w:rsid w:val="004211D5"/>
    <w:rsid w:val="00421DAD"/>
    <w:rsid w:val="004225F1"/>
    <w:rsid w:val="004326BB"/>
    <w:rsid w:val="00456FDC"/>
    <w:rsid w:val="0046143B"/>
    <w:rsid w:val="0046254B"/>
    <w:rsid w:val="004651A5"/>
    <w:rsid w:val="00466B8A"/>
    <w:rsid w:val="004703E9"/>
    <w:rsid w:val="004713D9"/>
    <w:rsid w:val="004742C4"/>
    <w:rsid w:val="00474930"/>
    <w:rsid w:val="0048206B"/>
    <w:rsid w:val="00484D3B"/>
    <w:rsid w:val="00485075"/>
    <w:rsid w:val="004928CF"/>
    <w:rsid w:val="004932B2"/>
    <w:rsid w:val="004941F3"/>
    <w:rsid w:val="0049570F"/>
    <w:rsid w:val="004958A7"/>
    <w:rsid w:val="004A26CF"/>
    <w:rsid w:val="004A5C2C"/>
    <w:rsid w:val="004A75E8"/>
    <w:rsid w:val="004B3D00"/>
    <w:rsid w:val="004B633F"/>
    <w:rsid w:val="004D0142"/>
    <w:rsid w:val="004D38E8"/>
    <w:rsid w:val="004D7DDD"/>
    <w:rsid w:val="004E1C7E"/>
    <w:rsid w:val="004E2590"/>
    <w:rsid w:val="004E5511"/>
    <w:rsid w:val="004E71B3"/>
    <w:rsid w:val="004F24B4"/>
    <w:rsid w:val="004F35A8"/>
    <w:rsid w:val="004F4BBA"/>
    <w:rsid w:val="004F4CDF"/>
    <w:rsid w:val="00501302"/>
    <w:rsid w:val="00510F17"/>
    <w:rsid w:val="005136A7"/>
    <w:rsid w:val="00522418"/>
    <w:rsid w:val="005233AA"/>
    <w:rsid w:val="00524901"/>
    <w:rsid w:val="005357A5"/>
    <w:rsid w:val="00537FC3"/>
    <w:rsid w:val="0054710E"/>
    <w:rsid w:val="00551B0F"/>
    <w:rsid w:val="00557450"/>
    <w:rsid w:val="00557DF8"/>
    <w:rsid w:val="005659FB"/>
    <w:rsid w:val="00567EEF"/>
    <w:rsid w:val="005722F4"/>
    <w:rsid w:val="00572AAE"/>
    <w:rsid w:val="00575D97"/>
    <w:rsid w:val="0058635D"/>
    <w:rsid w:val="00592F4D"/>
    <w:rsid w:val="00595E6C"/>
    <w:rsid w:val="005A044C"/>
    <w:rsid w:val="005B1C66"/>
    <w:rsid w:val="005B3E3C"/>
    <w:rsid w:val="005B7005"/>
    <w:rsid w:val="005C1F38"/>
    <w:rsid w:val="005C35F9"/>
    <w:rsid w:val="005C3FC1"/>
    <w:rsid w:val="005C5E97"/>
    <w:rsid w:val="005D0C6E"/>
    <w:rsid w:val="005D3499"/>
    <w:rsid w:val="005E232E"/>
    <w:rsid w:val="005E2583"/>
    <w:rsid w:val="006125B0"/>
    <w:rsid w:val="006146E3"/>
    <w:rsid w:val="006161F3"/>
    <w:rsid w:val="0061655F"/>
    <w:rsid w:val="0061684E"/>
    <w:rsid w:val="00625E2C"/>
    <w:rsid w:val="00642FAF"/>
    <w:rsid w:val="00643984"/>
    <w:rsid w:val="00651355"/>
    <w:rsid w:val="00653099"/>
    <w:rsid w:val="00667DD2"/>
    <w:rsid w:val="006737E3"/>
    <w:rsid w:val="0067472D"/>
    <w:rsid w:val="006762B0"/>
    <w:rsid w:val="00682A01"/>
    <w:rsid w:val="00687804"/>
    <w:rsid w:val="00692767"/>
    <w:rsid w:val="006A1DF4"/>
    <w:rsid w:val="006A397E"/>
    <w:rsid w:val="006B0746"/>
    <w:rsid w:val="006B0987"/>
    <w:rsid w:val="006C2B8B"/>
    <w:rsid w:val="006C33A8"/>
    <w:rsid w:val="006C4F98"/>
    <w:rsid w:val="006D4C0A"/>
    <w:rsid w:val="006E1213"/>
    <w:rsid w:val="006F1E37"/>
    <w:rsid w:val="00703ECA"/>
    <w:rsid w:val="00704965"/>
    <w:rsid w:val="00711CB6"/>
    <w:rsid w:val="007148FF"/>
    <w:rsid w:val="00716073"/>
    <w:rsid w:val="00730836"/>
    <w:rsid w:val="00734BE0"/>
    <w:rsid w:val="0073522A"/>
    <w:rsid w:val="00735E0A"/>
    <w:rsid w:val="00736BB8"/>
    <w:rsid w:val="00742831"/>
    <w:rsid w:val="00745952"/>
    <w:rsid w:val="00747295"/>
    <w:rsid w:val="00747833"/>
    <w:rsid w:val="007608FE"/>
    <w:rsid w:val="00763077"/>
    <w:rsid w:val="007769CD"/>
    <w:rsid w:val="0078032B"/>
    <w:rsid w:val="00781566"/>
    <w:rsid w:val="00781951"/>
    <w:rsid w:val="00782B5E"/>
    <w:rsid w:val="00783ED6"/>
    <w:rsid w:val="00784550"/>
    <w:rsid w:val="00786767"/>
    <w:rsid w:val="007872DD"/>
    <w:rsid w:val="00792B54"/>
    <w:rsid w:val="007976E7"/>
    <w:rsid w:val="007A0E6D"/>
    <w:rsid w:val="007B5760"/>
    <w:rsid w:val="007C152A"/>
    <w:rsid w:val="007C1EFE"/>
    <w:rsid w:val="007C23E8"/>
    <w:rsid w:val="007D214F"/>
    <w:rsid w:val="007D2DF7"/>
    <w:rsid w:val="007D40DF"/>
    <w:rsid w:val="007E6236"/>
    <w:rsid w:val="007F0A5C"/>
    <w:rsid w:val="007F0B01"/>
    <w:rsid w:val="00802701"/>
    <w:rsid w:val="008038A2"/>
    <w:rsid w:val="00811FE8"/>
    <w:rsid w:val="00813AAF"/>
    <w:rsid w:val="008146F3"/>
    <w:rsid w:val="00817435"/>
    <w:rsid w:val="00821237"/>
    <w:rsid w:val="00822AA0"/>
    <w:rsid w:val="00826925"/>
    <w:rsid w:val="008405D5"/>
    <w:rsid w:val="00841BC8"/>
    <w:rsid w:val="00842976"/>
    <w:rsid w:val="00844BB7"/>
    <w:rsid w:val="0086436B"/>
    <w:rsid w:val="00871FD3"/>
    <w:rsid w:val="00874939"/>
    <w:rsid w:val="00877B44"/>
    <w:rsid w:val="008870BD"/>
    <w:rsid w:val="00894130"/>
    <w:rsid w:val="00894B97"/>
    <w:rsid w:val="008A2BDD"/>
    <w:rsid w:val="008A5C66"/>
    <w:rsid w:val="008B2AC4"/>
    <w:rsid w:val="008B46FE"/>
    <w:rsid w:val="008B76F1"/>
    <w:rsid w:val="008D082B"/>
    <w:rsid w:val="008D10F8"/>
    <w:rsid w:val="008D1CA9"/>
    <w:rsid w:val="008E2957"/>
    <w:rsid w:val="008F6DA0"/>
    <w:rsid w:val="00901BE5"/>
    <w:rsid w:val="00901EBF"/>
    <w:rsid w:val="00910770"/>
    <w:rsid w:val="00932260"/>
    <w:rsid w:val="00935829"/>
    <w:rsid w:val="009456B1"/>
    <w:rsid w:val="00946E6E"/>
    <w:rsid w:val="00950FE1"/>
    <w:rsid w:val="00951A3E"/>
    <w:rsid w:val="00957915"/>
    <w:rsid w:val="009608DD"/>
    <w:rsid w:val="009651F3"/>
    <w:rsid w:val="009707CC"/>
    <w:rsid w:val="00971771"/>
    <w:rsid w:val="009719C9"/>
    <w:rsid w:val="00976211"/>
    <w:rsid w:val="00985129"/>
    <w:rsid w:val="009863BC"/>
    <w:rsid w:val="00996110"/>
    <w:rsid w:val="00996C98"/>
    <w:rsid w:val="009A4349"/>
    <w:rsid w:val="009A7CE6"/>
    <w:rsid w:val="009C145A"/>
    <w:rsid w:val="009C19F7"/>
    <w:rsid w:val="009C1AD5"/>
    <w:rsid w:val="009C7461"/>
    <w:rsid w:val="009D088B"/>
    <w:rsid w:val="009D1098"/>
    <w:rsid w:val="009D5BCA"/>
    <w:rsid w:val="009E1B39"/>
    <w:rsid w:val="009E4565"/>
    <w:rsid w:val="009F378C"/>
    <w:rsid w:val="009F4792"/>
    <w:rsid w:val="009F7136"/>
    <w:rsid w:val="00A0351A"/>
    <w:rsid w:val="00A03696"/>
    <w:rsid w:val="00A11F2E"/>
    <w:rsid w:val="00A15A0B"/>
    <w:rsid w:val="00A170C4"/>
    <w:rsid w:val="00A30132"/>
    <w:rsid w:val="00A30EF3"/>
    <w:rsid w:val="00A31C51"/>
    <w:rsid w:val="00A341CA"/>
    <w:rsid w:val="00A34BEE"/>
    <w:rsid w:val="00A35C09"/>
    <w:rsid w:val="00A42257"/>
    <w:rsid w:val="00A42B0D"/>
    <w:rsid w:val="00A4584D"/>
    <w:rsid w:val="00A517EA"/>
    <w:rsid w:val="00A60578"/>
    <w:rsid w:val="00A61835"/>
    <w:rsid w:val="00A674FB"/>
    <w:rsid w:val="00A74B25"/>
    <w:rsid w:val="00A77F78"/>
    <w:rsid w:val="00A818C4"/>
    <w:rsid w:val="00A829F5"/>
    <w:rsid w:val="00A83FF1"/>
    <w:rsid w:val="00A85311"/>
    <w:rsid w:val="00A85CF8"/>
    <w:rsid w:val="00A865A7"/>
    <w:rsid w:val="00A86DA4"/>
    <w:rsid w:val="00A945EF"/>
    <w:rsid w:val="00A94B0B"/>
    <w:rsid w:val="00AA0C3F"/>
    <w:rsid w:val="00AA788E"/>
    <w:rsid w:val="00AB54C8"/>
    <w:rsid w:val="00AC3814"/>
    <w:rsid w:val="00AD0AEF"/>
    <w:rsid w:val="00AD2EC4"/>
    <w:rsid w:val="00AD4498"/>
    <w:rsid w:val="00AD5D46"/>
    <w:rsid w:val="00AD6D8A"/>
    <w:rsid w:val="00AE14E1"/>
    <w:rsid w:val="00AE44B8"/>
    <w:rsid w:val="00AE47B6"/>
    <w:rsid w:val="00AF0562"/>
    <w:rsid w:val="00AF5ABA"/>
    <w:rsid w:val="00B05BEE"/>
    <w:rsid w:val="00B217CB"/>
    <w:rsid w:val="00B246DE"/>
    <w:rsid w:val="00B26E1A"/>
    <w:rsid w:val="00B33471"/>
    <w:rsid w:val="00B35877"/>
    <w:rsid w:val="00B35E88"/>
    <w:rsid w:val="00B3608D"/>
    <w:rsid w:val="00B40173"/>
    <w:rsid w:val="00B44452"/>
    <w:rsid w:val="00B47F36"/>
    <w:rsid w:val="00B50D5E"/>
    <w:rsid w:val="00B50DD2"/>
    <w:rsid w:val="00B606D5"/>
    <w:rsid w:val="00B61611"/>
    <w:rsid w:val="00B6353D"/>
    <w:rsid w:val="00B73C13"/>
    <w:rsid w:val="00B80B8D"/>
    <w:rsid w:val="00B84D3E"/>
    <w:rsid w:val="00B92F0A"/>
    <w:rsid w:val="00BA237C"/>
    <w:rsid w:val="00BA3B3E"/>
    <w:rsid w:val="00BA7FD8"/>
    <w:rsid w:val="00BB348E"/>
    <w:rsid w:val="00BB3B63"/>
    <w:rsid w:val="00BB7874"/>
    <w:rsid w:val="00BC1FB1"/>
    <w:rsid w:val="00BD1785"/>
    <w:rsid w:val="00BD212A"/>
    <w:rsid w:val="00BD23B5"/>
    <w:rsid w:val="00BE1EAD"/>
    <w:rsid w:val="00BE2AD9"/>
    <w:rsid w:val="00BE521E"/>
    <w:rsid w:val="00BE76E4"/>
    <w:rsid w:val="00BF38DB"/>
    <w:rsid w:val="00BF5367"/>
    <w:rsid w:val="00C00BAF"/>
    <w:rsid w:val="00C05526"/>
    <w:rsid w:val="00C05E42"/>
    <w:rsid w:val="00C063A5"/>
    <w:rsid w:val="00C07817"/>
    <w:rsid w:val="00C11AA2"/>
    <w:rsid w:val="00C14644"/>
    <w:rsid w:val="00C22CFE"/>
    <w:rsid w:val="00C35E95"/>
    <w:rsid w:val="00C363AB"/>
    <w:rsid w:val="00C511E5"/>
    <w:rsid w:val="00C559DC"/>
    <w:rsid w:val="00C76206"/>
    <w:rsid w:val="00C836B0"/>
    <w:rsid w:val="00C91EC6"/>
    <w:rsid w:val="00CA72F0"/>
    <w:rsid w:val="00CB119D"/>
    <w:rsid w:val="00CB1C47"/>
    <w:rsid w:val="00CB3C9C"/>
    <w:rsid w:val="00CB55E0"/>
    <w:rsid w:val="00CB6D6F"/>
    <w:rsid w:val="00CC03CA"/>
    <w:rsid w:val="00CC4C40"/>
    <w:rsid w:val="00CD3D9D"/>
    <w:rsid w:val="00CD4771"/>
    <w:rsid w:val="00CD6A92"/>
    <w:rsid w:val="00CE0DB9"/>
    <w:rsid w:val="00CE49F6"/>
    <w:rsid w:val="00CF30D9"/>
    <w:rsid w:val="00D07064"/>
    <w:rsid w:val="00D10ACA"/>
    <w:rsid w:val="00D12042"/>
    <w:rsid w:val="00D20D29"/>
    <w:rsid w:val="00D238B9"/>
    <w:rsid w:val="00D279FC"/>
    <w:rsid w:val="00D415C3"/>
    <w:rsid w:val="00D4177F"/>
    <w:rsid w:val="00D41B06"/>
    <w:rsid w:val="00D50673"/>
    <w:rsid w:val="00D55ADD"/>
    <w:rsid w:val="00D56023"/>
    <w:rsid w:val="00D57A15"/>
    <w:rsid w:val="00D7024C"/>
    <w:rsid w:val="00D8544F"/>
    <w:rsid w:val="00D91B4B"/>
    <w:rsid w:val="00DA0FA6"/>
    <w:rsid w:val="00DA23FD"/>
    <w:rsid w:val="00DC1DBC"/>
    <w:rsid w:val="00DC66B7"/>
    <w:rsid w:val="00DD18C3"/>
    <w:rsid w:val="00DD33DF"/>
    <w:rsid w:val="00DD4EFB"/>
    <w:rsid w:val="00DD575E"/>
    <w:rsid w:val="00DD61A1"/>
    <w:rsid w:val="00DD6DB8"/>
    <w:rsid w:val="00DE1293"/>
    <w:rsid w:val="00DE4352"/>
    <w:rsid w:val="00DE5902"/>
    <w:rsid w:val="00DF236F"/>
    <w:rsid w:val="00E031DA"/>
    <w:rsid w:val="00E033F3"/>
    <w:rsid w:val="00E03FB6"/>
    <w:rsid w:val="00E06924"/>
    <w:rsid w:val="00E15949"/>
    <w:rsid w:val="00E175BC"/>
    <w:rsid w:val="00E264EE"/>
    <w:rsid w:val="00E27A8A"/>
    <w:rsid w:val="00E317E8"/>
    <w:rsid w:val="00E3662A"/>
    <w:rsid w:val="00E472E8"/>
    <w:rsid w:val="00E506D5"/>
    <w:rsid w:val="00E51F27"/>
    <w:rsid w:val="00E601B1"/>
    <w:rsid w:val="00E635FA"/>
    <w:rsid w:val="00E6598B"/>
    <w:rsid w:val="00E71181"/>
    <w:rsid w:val="00E71838"/>
    <w:rsid w:val="00E73BD6"/>
    <w:rsid w:val="00E827C5"/>
    <w:rsid w:val="00E911B0"/>
    <w:rsid w:val="00E95033"/>
    <w:rsid w:val="00E96D13"/>
    <w:rsid w:val="00EA281E"/>
    <w:rsid w:val="00EB5638"/>
    <w:rsid w:val="00EC354F"/>
    <w:rsid w:val="00EC5B66"/>
    <w:rsid w:val="00ED0BAD"/>
    <w:rsid w:val="00ED2849"/>
    <w:rsid w:val="00EE2C27"/>
    <w:rsid w:val="00EE4E65"/>
    <w:rsid w:val="00EF7FCB"/>
    <w:rsid w:val="00F01B21"/>
    <w:rsid w:val="00F115DE"/>
    <w:rsid w:val="00F13CDC"/>
    <w:rsid w:val="00F1691D"/>
    <w:rsid w:val="00F24EB2"/>
    <w:rsid w:val="00F26E76"/>
    <w:rsid w:val="00F27CA6"/>
    <w:rsid w:val="00F300EE"/>
    <w:rsid w:val="00F40F35"/>
    <w:rsid w:val="00F44BEF"/>
    <w:rsid w:val="00F50A07"/>
    <w:rsid w:val="00F52D7C"/>
    <w:rsid w:val="00F54646"/>
    <w:rsid w:val="00F57119"/>
    <w:rsid w:val="00F71CDC"/>
    <w:rsid w:val="00F9725E"/>
    <w:rsid w:val="00FA00E4"/>
    <w:rsid w:val="00FA2C1E"/>
    <w:rsid w:val="00FA3B92"/>
    <w:rsid w:val="00FA7AB2"/>
    <w:rsid w:val="00FB7E89"/>
    <w:rsid w:val="00FC3D2C"/>
    <w:rsid w:val="00FD32C3"/>
    <w:rsid w:val="00FD73B1"/>
    <w:rsid w:val="00FE113A"/>
    <w:rsid w:val="00FE4A9D"/>
    <w:rsid w:val="00FE5F8E"/>
    <w:rsid w:val="00FE68FB"/>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3EB26"/>
  <w15:docId w15:val="{655F5B44-321F-48E4-BAEF-AD11D1CB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7DD2"/>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3E753A"/>
    <w:rPr>
      <w:rFonts w:ascii="Tahoma" w:hAnsi="Tahoma" w:cs="Tahoma"/>
      <w:sz w:val="16"/>
      <w:szCs w:val="16"/>
    </w:rPr>
  </w:style>
  <w:style w:type="character" w:customStyle="1" w:styleId="BalloonTextChar">
    <w:name w:val="Balloon Text Char"/>
    <w:link w:val="BalloonText"/>
    <w:rsid w:val="003E753A"/>
    <w:rPr>
      <w:rFonts w:ascii="Tahoma" w:hAnsi="Tahoma" w:cs="Tahoma"/>
      <w:sz w:val="16"/>
      <w:szCs w:val="16"/>
      <w:lang w:val="en-US" w:eastAsia="en-US"/>
    </w:rPr>
  </w:style>
  <w:style w:type="paragraph" w:styleId="FootnoteText">
    <w:name w:val="footnote text"/>
    <w:basedOn w:val="Normal"/>
    <w:link w:val="FootnoteTextChar"/>
    <w:rsid w:val="00821237"/>
    <w:rPr>
      <w:sz w:val="20"/>
      <w:szCs w:val="20"/>
    </w:rPr>
  </w:style>
  <w:style w:type="character" w:customStyle="1" w:styleId="FootnoteTextChar">
    <w:name w:val="Footnote Text Char"/>
    <w:link w:val="FootnoteText"/>
    <w:rsid w:val="00821237"/>
    <w:rPr>
      <w:lang w:val="en-US" w:eastAsia="en-US"/>
    </w:rPr>
  </w:style>
  <w:style w:type="character" w:styleId="FootnoteReference">
    <w:name w:val="footnote reference"/>
    <w:rsid w:val="00821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5353">
      <w:bodyDiv w:val="1"/>
      <w:marLeft w:val="0"/>
      <w:marRight w:val="0"/>
      <w:marTop w:val="0"/>
      <w:marBottom w:val="0"/>
      <w:divBdr>
        <w:top w:val="none" w:sz="0" w:space="0" w:color="auto"/>
        <w:left w:val="none" w:sz="0" w:space="0" w:color="auto"/>
        <w:bottom w:val="none" w:sz="0" w:space="0" w:color="auto"/>
        <w:right w:val="none" w:sz="0" w:space="0" w:color="auto"/>
      </w:divBdr>
    </w:div>
    <w:div w:id="472719323">
      <w:bodyDiv w:val="1"/>
      <w:marLeft w:val="0"/>
      <w:marRight w:val="0"/>
      <w:marTop w:val="0"/>
      <w:marBottom w:val="0"/>
      <w:divBdr>
        <w:top w:val="none" w:sz="0" w:space="0" w:color="auto"/>
        <w:left w:val="none" w:sz="0" w:space="0" w:color="auto"/>
        <w:bottom w:val="none" w:sz="0" w:space="0" w:color="auto"/>
        <w:right w:val="none" w:sz="0" w:space="0" w:color="auto"/>
      </w:divBdr>
    </w:div>
    <w:div w:id="1049764054">
      <w:bodyDiv w:val="1"/>
      <w:marLeft w:val="0"/>
      <w:marRight w:val="0"/>
      <w:marTop w:val="0"/>
      <w:marBottom w:val="0"/>
      <w:divBdr>
        <w:top w:val="none" w:sz="0" w:space="0" w:color="auto"/>
        <w:left w:val="none" w:sz="0" w:space="0" w:color="auto"/>
        <w:bottom w:val="none" w:sz="0" w:space="0" w:color="auto"/>
        <w:right w:val="none" w:sz="0" w:space="0" w:color="auto"/>
      </w:divBdr>
    </w:div>
    <w:div w:id="1368487829">
      <w:bodyDiv w:val="1"/>
      <w:marLeft w:val="0"/>
      <w:marRight w:val="0"/>
      <w:marTop w:val="0"/>
      <w:marBottom w:val="0"/>
      <w:divBdr>
        <w:top w:val="none" w:sz="0" w:space="0" w:color="auto"/>
        <w:left w:val="none" w:sz="0" w:space="0" w:color="auto"/>
        <w:bottom w:val="none" w:sz="0" w:space="0" w:color="auto"/>
        <w:right w:val="none" w:sz="0" w:space="0" w:color="auto"/>
      </w:divBdr>
    </w:div>
    <w:div w:id="1481917499">
      <w:bodyDiv w:val="1"/>
      <w:marLeft w:val="0"/>
      <w:marRight w:val="0"/>
      <w:marTop w:val="0"/>
      <w:marBottom w:val="0"/>
      <w:divBdr>
        <w:top w:val="none" w:sz="0" w:space="0" w:color="auto"/>
        <w:left w:val="none" w:sz="0" w:space="0" w:color="auto"/>
        <w:bottom w:val="none" w:sz="0" w:space="0" w:color="auto"/>
        <w:right w:val="none" w:sz="0" w:space="0" w:color="auto"/>
      </w:divBdr>
    </w:div>
    <w:div w:id="1495992545">
      <w:bodyDiv w:val="1"/>
      <w:marLeft w:val="0"/>
      <w:marRight w:val="0"/>
      <w:marTop w:val="0"/>
      <w:marBottom w:val="0"/>
      <w:divBdr>
        <w:top w:val="none" w:sz="0" w:space="0" w:color="auto"/>
        <w:left w:val="none" w:sz="0" w:space="0" w:color="auto"/>
        <w:bottom w:val="none" w:sz="0" w:space="0" w:color="auto"/>
        <w:right w:val="none" w:sz="0" w:space="0" w:color="auto"/>
      </w:divBdr>
    </w:div>
    <w:div w:id="1672223612">
      <w:bodyDiv w:val="1"/>
      <w:marLeft w:val="0"/>
      <w:marRight w:val="0"/>
      <w:marTop w:val="0"/>
      <w:marBottom w:val="0"/>
      <w:divBdr>
        <w:top w:val="none" w:sz="0" w:space="0" w:color="auto"/>
        <w:left w:val="none" w:sz="0" w:space="0" w:color="auto"/>
        <w:bottom w:val="none" w:sz="0" w:space="0" w:color="auto"/>
        <w:right w:val="none" w:sz="0" w:space="0" w:color="auto"/>
      </w:divBdr>
    </w:div>
    <w:div w:id="1958678086">
      <w:bodyDiv w:val="1"/>
      <w:marLeft w:val="0"/>
      <w:marRight w:val="0"/>
      <w:marTop w:val="0"/>
      <w:marBottom w:val="0"/>
      <w:divBdr>
        <w:top w:val="none" w:sz="0" w:space="0" w:color="auto"/>
        <w:left w:val="none" w:sz="0" w:space="0" w:color="auto"/>
        <w:bottom w:val="none" w:sz="0" w:space="0" w:color="auto"/>
        <w:right w:val="none" w:sz="0" w:space="0" w:color="auto"/>
      </w:divBdr>
    </w:div>
    <w:div w:id="21462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8" ma:contentTypeDescription="Create a new document." ma:contentTypeScope="" ma:versionID="3cb9e297024223e3fb6fba3e2b806ace">
  <xsd:schema xmlns:xsd="http://www.w3.org/2001/XMLSchema" xmlns:xs="http://www.w3.org/2001/XMLSchema" xmlns:p="http://schemas.microsoft.com/office/2006/metadata/properties" xmlns:ns3="af8eb780-3de4-4505-8762-2adfc7a091e9" targetNamespace="http://schemas.microsoft.com/office/2006/metadata/properties" ma:root="true" ma:fieldsID="d5050892bc847683f02eb86caefab5e5"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B5FE-F4C4-4DF5-BA7A-7D6AFEB72008}">
  <ds:schemaRef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af8eb780-3de4-4505-8762-2adfc7a091e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AAA9095-9617-462C-8A01-AEDC2458A79B}">
  <ds:schemaRefs>
    <ds:schemaRef ds:uri="http://schemas.microsoft.com/sharepoint/v3/contenttype/forms"/>
  </ds:schemaRefs>
</ds:datastoreItem>
</file>

<file path=customXml/itemProps3.xml><?xml version="1.0" encoding="utf-8"?>
<ds:datastoreItem xmlns:ds="http://schemas.openxmlformats.org/officeDocument/2006/customXml" ds:itemID="{75100DFC-7A14-49F6-BFCA-B28A951C3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BDE58-670A-451D-9612-93D8FFC7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2019-02-21T20:56:00Z</cp:lastPrinted>
  <dcterms:created xsi:type="dcterms:W3CDTF">2019-12-06T18:54:00Z</dcterms:created>
  <dcterms:modified xsi:type="dcterms:W3CDTF">2019-12-06T18:54:00Z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