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7B6D77" w:rsidP="0086436B">
      <w:pPr>
        <w:ind w:right="-900"/>
        <w:jc w:val="right"/>
        <w:rPr>
          <w:lang w:val="en-GB"/>
        </w:rPr>
      </w:pPr>
      <w:r>
        <w:rPr>
          <w:noProof/>
          <w:lang w:val="en-GB" w:eastAsia="en-GB"/>
        </w:rPr>
        <w:drawing>
          <wp:inline distT="0" distB="0" distL="0" distR="0" wp14:anchorId="588118E2" wp14:editId="6BA47A0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1FEB50C4" wp14:editId="2186356A">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975300">
                              <w:rPr>
                                <w:rFonts w:ascii="Arial" w:hAnsi="Arial" w:cs="Arial"/>
                                <w:b/>
                              </w:rPr>
                              <w:t>88/2019</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975300">
                              <w:rPr>
                                <w:rFonts w:ascii="Arial" w:hAnsi="Arial" w:cs="Arial"/>
                                <w:sz w:val="22"/>
                                <w:szCs w:val="22"/>
                              </w:rPr>
                              <w:t>8</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50C4"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975300">
                        <w:rPr>
                          <w:rFonts w:ascii="Arial" w:hAnsi="Arial" w:cs="Arial"/>
                          <w:b/>
                        </w:rPr>
                        <w:t>88/2019</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975300">
                        <w:rPr>
                          <w:rFonts w:ascii="Arial" w:hAnsi="Arial" w:cs="Arial"/>
                          <w:sz w:val="22"/>
                          <w:szCs w:val="22"/>
                        </w:rPr>
                        <w:t>8</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Pr="00A80A17" w:rsidRDefault="005D3499" w:rsidP="00FA5118">
      <w:pPr>
        <w:pStyle w:val="Heading1"/>
        <w:jc w:val="center"/>
        <w:rPr>
          <w:rFonts w:ascii="Segoe UI" w:hAnsi="Segoe UI" w:cs="Segoe UI"/>
          <w:sz w:val="24"/>
        </w:rPr>
      </w:pPr>
    </w:p>
    <w:p w:rsidR="005D3499" w:rsidRPr="00A80A17" w:rsidRDefault="005D3499">
      <w:pPr>
        <w:pStyle w:val="Heading1"/>
        <w:jc w:val="center"/>
        <w:rPr>
          <w:rFonts w:ascii="Segoe UI" w:hAnsi="Segoe UI" w:cs="Segoe UI"/>
          <w:sz w:val="28"/>
          <w:u w:val="none"/>
        </w:rPr>
      </w:pPr>
    </w:p>
    <w:p w:rsidR="005E2583" w:rsidRPr="00A80A17" w:rsidRDefault="005D3499">
      <w:pPr>
        <w:pStyle w:val="Heading1"/>
        <w:jc w:val="center"/>
        <w:rPr>
          <w:rFonts w:ascii="Segoe UI" w:hAnsi="Segoe UI" w:cs="Segoe UI"/>
          <w:sz w:val="28"/>
          <w:u w:val="none"/>
        </w:rPr>
      </w:pPr>
      <w:r w:rsidRPr="00A80A17">
        <w:rPr>
          <w:rFonts w:ascii="Segoe UI" w:hAnsi="Segoe UI" w:cs="Segoe UI"/>
          <w:sz w:val="28"/>
          <w:u w:val="none"/>
        </w:rPr>
        <w:t xml:space="preserve">Report to the Meeting </w:t>
      </w:r>
      <w:r w:rsidR="00B50D5E" w:rsidRPr="00A80A17">
        <w:rPr>
          <w:rFonts w:ascii="Segoe UI" w:hAnsi="Segoe UI" w:cs="Segoe UI"/>
          <w:sz w:val="28"/>
          <w:u w:val="none"/>
        </w:rPr>
        <w:t xml:space="preserve">of the </w:t>
      </w:r>
      <w:bookmarkStart w:id="0" w:name="_GoBack"/>
      <w:bookmarkEnd w:id="0"/>
    </w:p>
    <w:p w:rsidR="002821F8" w:rsidRPr="00A80A17" w:rsidRDefault="00B50D5E">
      <w:pPr>
        <w:pStyle w:val="Heading1"/>
        <w:jc w:val="center"/>
        <w:rPr>
          <w:rFonts w:ascii="Segoe UI" w:hAnsi="Segoe UI" w:cs="Segoe UI"/>
          <w:sz w:val="28"/>
          <w:u w:val="none"/>
        </w:rPr>
      </w:pPr>
      <w:r w:rsidRPr="00A80A17">
        <w:rPr>
          <w:rFonts w:ascii="Segoe UI" w:hAnsi="Segoe UI" w:cs="Segoe UI"/>
          <w:sz w:val="28"/>
          <w:u w:val="none"/>
        </w:rPr>
        <w:t xml:space="preserve">Oxford Health NHS </w:t>
      </w:r>
      <w:r w:rsidR="002821F8" w:rsidRPr="00A80A17">
        <w:rPr>
          <w:rFonts w:ascii="Segoe UI" w:hAnsi="Segoe UI" w:cs="Segoe UI"/>
          <w:sz w:val="28"/>
          <w:u w:val="none"/>
        </w:rPr>
        <w:t xml:space="preserve">Foundation Trust </w:t>
      </w:r>
    </w:p>
    <w:p w:rsidR="005D3499" w:rsidRPr="00A80A17" w:rsidRDefault="005D3499">
      <w:pPr>
        <w:pStyle w:val="Heading1"/>
        <w:jc w:val="center"/>
        <w:rPr>
          <w:rFonts w:ascii="Segoe UI" w:hAnsi="Segoe UI" w:cs="Segoe UI"/>
          <w:sz w:val="28"/>
          <w:u w:val="none"/>
        </w:rPr>
      </w:pPr>
      <w:r w:rsidRPr="00A80A17">
        <w:rPr>
          <w:rFonts w:ascii="Segoe UI" w:hAnsi="Segoe UI" w:cs="Segoe UI"/>
          <w:sz w:val="28"/>
          <w:u w:val="none"/>
        </w:rPr>
        <w:t>Board</w:t>
      </w:r>
      <w:r w:rsidR="002821F8" w:rsidRPr="00A80A17">
        <w:rPr>
          <w:rFonts w:ascii="Segoe UI" w:hAnsi="Segoe UI" w:cs="Segoe UI"/>
          <w:sz w:val="28"/>
          <w:u w:val="none"/>
        </w:rPr>
        <w:t xml:space="preserve"> of Directors</w:t>
      </w:r>
    </w:p>
    <w:p w:rsidR="005D3499" w:rsidRPr="00A80A17" w:rsidRDefault="005D3499" w:rsidP="00A85311">
      <w:pPr>
        <w:rPr>
          <w:rFonts w:ascii="Segoe UI" w:hAnsi="Segoe UI" w:cs="Segoe UI"/>
          <w:b/>
        </w:rPr>
      </w:pPr>
    </w:p>
    <w:p w:rsidR="005D3499" w:rsidRPr="00A80A17" w:rsidRDefault="00D26C34">
      <w:pPr>
        <w:jc w:val="center"/>
        <w:rPr>
          <w:rFonts w:ascii="Segoe UI" w:hAnsi="Segoe UI" w:cs="Segoe UI"/>
          <w:b/>
        </w:rPr>
      </w:pPr>
      <w:r w:rsidRPr="00D26C34">
        <w:rPr>
          <w:rFonts w:ascii="Segoe UI" w:hAnsi="Segoe UI" w:cs="Segoe UI"/>
          <w:b/>
        </w:rPr>
        <w:t>25</w:t>
      </w:r>
      <w:r w:rsidR="006044DE" w:rsidRPr="00D26C34">
        <w:rPr>
          <w:rFonts w:ascii="Segoe UI" w:hAnsi="Segoe UI" w:cs="Segoe UI"/>
          <w:b/>
          <w:vertAlign w:val="superscript"/>
        </w:rPr>
        <w:t>th</w:t>
      </w:r>
      <w:r w:rsidR="006044DE" w:rsidRPr="00D26C34">
        <w:rPr>
          <w:rFonts w:ascii="Segoe UI" w:hAnsi="Segoe UI" w:cs="Segoe UI"/>
          <w:b/>
        </w:rPr>
        <w:t xml:space="preserve"> September 2019</w:t>
      </w:r>
    </w:p>
    <w:p w:rsidR="005D3499" w:rsidRPr="00A80A17" w:rsidRDefault="005D3499">
      <w:pPr>
        <w:jc w:val="center"/>
        <w:rPr>
          <w:rFonts w:ascii="Segoe UI" w:hAnsi="Segoe UI" w:cs="Segoe UI"/>
          <w:b/>
        </w:rPr>
      </w:pPr>
    </w:p>
    <w:p w:rsidR="005D3499" w:rsidRPr="00A80A17" w:rsidRDefault="00922966" w:rsidP="003C136E">
      <w:pPr>
        <w:jc w:val="center"/>
        <w:rPr>
          <w:rFonts w:ascii="Segoe UI" w:hAnsi="Segoe UI" w:cs="Segoe UI"/>
          <w:b/>
        </w:rPr>
      </w:pPr>
      <w:r w:rsidRPr="00A80A17">
        <w:rPr>
          <w:rFonts w:ascii="Segoe UI" w:hAnsi="Segoe UI" w:cs="Segoe UI"/>
          <w:b/>
        </w:rPr>
        <w:t>Monthly Performance Report</w:t>
      </w:r>
      <w:r w:rsidR="000B77F9" w:rsidRPr="00A80A17">
        <w:rPr>
          <w:rFonts w:ascii="Segoe UI" w:hAnsi="Segoe UI" w:cs="Segoe UI"/>
          <w:b/>
        </w:rPr>
        <w:t xml:space="preserve"> – </w:t>
      </w:r>
      <w:r w:rsidR="00BB3840">
        <w:rPr>
          <w:rFonts w:ascii="Segoe UI" w:hAnsi="Segoe UI" w:cs="Segoe UI"/>
          <w:b/>
        </w:rPr>
        <w:t>M</w:t>
      </w:r>
      <w:r w:rsidR="006044DE">
        <w:rPr>
          <w:rFonts w:ascii="Segoe UI" w:hAnsi="Segoe UI" w:cs="Segoe UI"/>
          <w:b/>
        </w:rPr>
        <w:t>5</w:t>
      </w:r>
      <w:r w:rsidR="00BB3840">
        <w:rPr>
          <w:rFonts w:ascii="Segoe UI" w:hAnsi="Segoe UI" w:cs="Segoe UI"/>
          <w:b/>
        </w:rPr>
        <w:t xml:space="preserve"> </w:t>
      </w:r>
      <w:r w:rsidR="006044DE">
        <w:rPr>
          <w:rFonts w:ascii="Segoe UI" w:hAnsi="Segoe UI" w:cs="Segoe UI"/>
          <w:b/>
        </w:rPr>
        <w:t>August</w:t>
      </w:r>
      <w:r w:rsidR="00BB3840">
        <w:rPr>
          <w:rFonts w:ascii="Segoe UI" w:hAnsi="Segoe UI" w:cs="Segoe UI"/>
          <w:b/>
        </w:rPr>
        <w:t xml:space="preserve"> 2019</w:t>
      </w:r>
    </w:p>
    <w:p w:rsidR="005D3499" w:rsidRPr="00A80A17" w:rsidRDefault="005D3499">
      <w:pPr>
        <w:rPr>
          <w:rFonts w:ascii="Segoe UI" w:hAnsi="Segoe UI" w:cs="Segoe UI"/>
          <w:b/>
        </w:rPr>
      </w:pPr>
    </w:p>
    <w:p w:rsidR="00292613" w:rsidRPr="00A80A17" w:rsidRDefault="00292613" w:rsidP="00292613">
      <w:pPr>
        <w:rPr>
          <w:rFonts w:ascii="Segoe UI" w:hAnsi="Segoe UI" w:cs="Segoe UI"/>
          <w:b/>
          <w:u w:val="single"/>
        </w:rPr>
      </w:pPr>
      <w:r w:rsidRPr="00A80A17">
        <w:rPr>
          <w:rFonts w:ascii="Segoe UI" w:hAnsi="Segoe UI" w:cs="Segoe UI"/>
          <w:b/>
          <w:u w:val="single"/>
        </w:rPr>
        <w:t xml:space="preserve">For: </w:t>
      </w:r>
      <w:r w:rsidR="00C36082" w:rsidRPr="00A80A17">
        <w:rPr>
          <w:rFonts w:ascii="Segoe UI" w:hAnsi="Segoe UI" w:cs="Segoe UI"/>
          <w:b/>
          <w:u w:val="single"/>
        </w:rPr>
        <w:t xml:space="preserve">Information </w:t>
      </w:r>
    </w:p>
    <w:p w:rsidR="00292613" w:rsidRPr="00A80A17" w:rsidRDefault="00292613">
      <w:pPr>
        <w:rPr>
          <w:rFonts w:ascii="Segoe UI" w:hAnsi="Segoe UI" w:cs="Segoe UI"/>
          <w:b/>
        </w:rPr>
      </w:pPr>
    </w:p>
    <w:p w:rsidR="007A2CF0" w:rsidRPr="00A80A17" w:rsidRDefault="007A2CF0" w:rsidP="007A2CF0">
      <w:pPr>
        <w:jc w:val="both"/>
        <w:rPr>
          <w:rFonts w:ascii="Segoe UI" w:hAnsi="Segoe UI" w:cs="Segoe UI"/>
          <w:b/>
        </w:rPr>
      </w:pPr>
      <w:r w:rsidRPr="00A80A17">
        <w:rPr>
          <w:rFonts w:ascii="Segoe UI" w:hAnsi="Segoe UI" w:cs="Segoe UI"/>
          <w:b/>
        </w:rPr>
        <w:t>Executive Summary</w:t>
      </w:r>
    </w:p>
    <w:p w:rsidR="007A2CF0" w:rsidRPr="00A80A17" w:rsidRDefault="007A2CF0" w:rsidP="007A2CF0">
      <w:pPr>
        <w:jc w:val="both"/>
        <w:rPr>
          <w:rFonts w:ascii="Segoe UI" w:hAnsi="Segoe UI" w:cs="Segoe UI"/>
          <w:b/>
          <w:sz w:val="22"/>
          <w:szCs w:val="22"/>
        </w:rPr>
      </w:pPr>
    </w:p>
    <w:p w:rsidR="00C83803" w:rsidRDefault="00E6088B" w:rsidP="006B6FE8">
      <w:pPr>
        <w:jc w:val="both"/>
        <w:rPr>
          <w:rFonts w:ascii="Segoe UI" w:hAnsi="Segoe UI" w:cs="Segoe UI"/>
          <w:sz w:val="22"/>
          <w:szCs w:val="22"/>
        </w:rPr>
      </w:pPr>
      <w:r w:rsidRPr="00A80A17">
        <w:rPr>
          <w:rFonts w:ascii="Segoe UI" w:hAnsi="Segoe UI" w:cs="Segoe UI"/>
          <w:sz w:val="22"/>
          <w:szCs w:val="22"/>
        </w:rPr>
        <w:t xml:space="preserve">This report </w:t>
      </w:r>
      <w:proofErr w:type="spellStart"/>
      <w:r w:rsidRPr="00A80A17">
        <w:rPr>
          <w:rFonts w:ascii="Segoe UI" w:hAnsi="Segoe UI" w:cs="Segoe UI"/>
          <w:sz w:val="22"/>
          <w:szCs w:val="22"/>
        </w:rPr>
        <w:t>summarises</w:t>
      </w:r>
      <w:proofErr w:type="spellEnd"/>
      <w:r w:rsidRPr="00A80A17">
        <w:rPr>
          <w:rFonts w:ascii="Segoe UI" w:hAnsi="Segoe UI" w:cs="Segoe UI"/>
          <w:sz w:val="22"/>
          <w:szCs w:val="22"/>
        </w:rPr>
        <w:t xml:space="preserve"> the Trust’s national and locally contracted </w:t>
      </w:r>
      <w:r w:rsidR="00C57113" w:rsidRPr="00A80A17">
        <w:rPr>
          <w:rFonts w:ascii="Segoe UI" w:hAnsi="Segoe UI" w:cs="Segoe UI"/>
          <w:sz w:val="22"/>
          <w:szCs w:val="22"/>
        </w:rPr>
        <w:t>key performance indicators (KPI</w:t>
      </w:r>
      <w:r w:rsidRPr="00A80A17">
        <w:rPr>
          <w:rFonts w:ascii="Segoe UI" w:hAnsi="Segoe UI" w:cs="Segoe UI"/>
          <w:sz w:val="22"/>
          <w:szCs w:val="22"/>
        </w:rPr>
        <w:t xml:space="preserve">s) for Month </w:t>
      </w:r>
      <w:r w:rsidR="006044DE">
        <w:rPr>
          <w:rFonts w:ascii="Segoe UI" w:hAnsi="Segoe UI" w:cs="Segoe UI"/>
          <w:sz w:val="22"/>
          <w:szCs w:val="22"/>
        </w:rPr>
        <w:t>5</w:t>
      </w:r>
      <w:r w:rsidRPr="00A80A17">
        <w:rPr>
          <w:rFonts w:ascii="Segoe UI" w:hAnsi="Segoe UI" w:cs="Segoe UI"/>
          <w:sz w:val="22"/>
          <w:szCs w:val="22"/>
        </w:rPr>
        <w:t xml:space="preserve"> (</w:t>
      </w:r>
      <w:r w:rsidR="006044DE">
        <w:rPr>
          <w:rFonts w:ascii="Segoe UI" w:hAnsi="Segoe UI" w:cs="Segoe UI"/>
          <w:sz w:val="22"/>
          <w:szCs w:val="22"/>
        </w:rPr>
        <w:t>August</w:t>
      </w:r>
      <w:r w:rsidR="00AF75DA" w:rsidRPr="00A80A17">
        <w:rPr>
          <w:rFonts w:ascii="Segoe UI" w:hAnsi="Segoe UI" w:cs="Segoe UI"/>
          <w:sz w:val="22"/>
          <w:szCs w:val="22"/>
        </w:rPr>
        <w:t>)</w:t>
      </w:r>
      <w:r w:rsidR="00731303" w:rsidRPr="00A80A17">
        <w:rPr>
          <w:rFonts w:ascii="Segoe UI" w:hAnsi="Segoe UI" w:cs="Segoe UI"/>
          <w:sz w:val="22"/>
          <w:szCs w:val="22"/>
        </w:rPr>
        <w:t xml:space="preserve"> 2019</w:t>
      </w:r>
      <w:r w:rsidRPr="00A80A17">
        <w:rPr>
          <w:rFonts w:ascii="Segoe UI" w:hAnsi="Segoe UI" w:cs="Segoe UI"/>
          <w:sz w:val="22"/>
          <w:szCs w:val="22"/>
        </w:rPr>
        <w:t xml:space="preserve">.  Overall, the Trust </w:t>
      </w:r>
      <w:r w:rsidRPr="00E23391">
        <w:rPr>
          <w:rFonts w:ascii="Segoe UI" w:hAnsi="Segoe UI" w:cs="Segoe UI"/>
          <w:sz w:val="22"/>
          <w:szCs w:val="22"/>
        </w:rPr>
        <w:t xml:space="preserve">achieved </w:t>
      </w:r>
      <w:r w:rsidR="00D26C34" w:rsidRPr="00D26C34">
        <w:rPr>
          <w:rFonts w:ascii="Segoe UI" w:hAnsi="Segoe UI" w:cs="Segoe UI"/>
          <w:sz w:val="22"/>
          <w:szCs w:val="22"/>
        </w:rPr>
        <w:t>275</w:t>
      </w:r>
      <w:r w:rsidR="00E23391" w:rsidRPr="00D26C34">
        <w:rPr>
          <w:rFonts w:ascii="Segoe UI" w:hAnsi="Segoe UI" w:cs="Segoe UI"/>
          <w:sz w:val="22"/>
          <w:szCs w:val="22"/>
        </w:rPr>
        <w:t xml:space="preserve"> out of </w:t>
      </w:r>
      <w:r w:rsidR="006044DE" w:rsidRPr="00D26C34">
        <w:rPr>
          <w:rFonts w:ascii="Segoe UI" w:hAnsi="Segoe UI" w:cs="Segoe UI"/>
          <w:sz w:val="22"/>
          <w:szCs w:val="22"/>
        </w:rPr>
        <w:t>37</w:t>
      </w:r>
      <w:r w:rsidR="00D26C34" w:rsidRPr="00D26C34">
        <w:rPr>
          <w:rFonts w:ascii="Segoe UI" w:hAnsi="Segoe UI" w:cs="Segoe UI"/>
          <w:sz w:val="22"/>
          <w:szCs w:val="22"/>
        </w:rPr>
        <w:t>8</w:t>
      </w:r>
      <w:r w:rsidR="00E23391" w:rsidRPr="00E23391">
        <w:rPr>
          <w:rFonts w:ascii="Segoe UI" w:hAnsi="Segoe UI" w:cs="Segoe UI"/>
          <w:sz w:val="22"/>
          <w:szCs w:val="22"/>
        </w:rPr>
        <w:t xml:space="preserve"> targeted indicators </w:t>
      </w:r>
      <w:r w:rsidR="00BB3840">
        <w:rPr>
          <w:rFonts w:ascii="Segoe UI" w:hAnsi="Segoe UI" w:cs="Segoe UI"/>
          <w:sz w:val="22"/>
          <w:szCs w:val="22"/>
        </w:rPr>
        <w:t>(7</w:t>
      </w:r>
      <w:r w:rsidR="00D26C34">
        <w:rPr>
          <w:rFonts w:ascii="Segoe UI" w:hAnsi="Segoe UI" w:cs="Segoe UI"/>
          <w:sz w:val="22"/>
          <w:szCs w:val="22"/>
        </w:rPr>
        <w:t>3</w:t>
      </w:r>
      <w:r w:rsidR="00BB3840">
        <w:rPr>
          <w:rFonts w:ascii="Segoe UI" w:hAnsi="Segoe UI" w:cs="Segoe UI"/>
          <w:sz w:val="22"/>
          <w:szCs w:val="22"/>
        </w:rPr>
        <w:t>%)</w:t>
      </w:r>
    </w:p>
    <w:p w:rsidR="00AF75DA" w:rsidRPr="00A80A17" w:rsidRDefault="00AF75DA" w:rsidP="006B6FE8">
      <w:pPr>
        <w:jc w:val="both"/>
        <w:rPr>
          <w:rFonts w:ascii="Segoe UI" w:hAnsi="Segoe UI" w:cs="Segoe UI"/>
          <w:sz w:val="22"/>
          <w:szCs w:val="22"/>
        </w:rPr>
      </w:pPr>
    </w:p>
    <w:p w:rsidR="00274738" w:rsidRPr="00A80A17" w:rsidRDefault="00C57113" w:rsidP="00C83803">
      <w:pPr>
        <w:jc w:val="both"/>
        <w:rPr>
          <w:rFonts w:ascii="Segoe UI" w:hAnsi="Segoe UI" w:cs="Segoe UI"/>
          <w:b/>
          <w:sz w:val="22"/>
          <w:szCs w:val="22"/>
        </w:rPr>
      </w:pPr>
      <w:r w:rsidRPr="00A80A17">
        <w:rPr>
          <w:rFonts w:ascii="Segoe UI" w:hAnsi="Segoe UI" w:cs="Segoe UI"/>
          <w:b/>
        </w:rPr>
        <w:t>Performance Trend</w:t>
      </w:r>
      <w:r w:rsidR="00C83803" w:rsidRPr="00A80A17">
        <w:rPr>
          <w:rFonts w:ascii="Segoe UI" w:hAnsi="Segoe UI" w:cs="Segoe UI"/>
          <w:b/>
          <w:sz w:val="22"/>
          <w:szCs w:val="22"/>
        </w:rPr>
        <w:t>:</w:t>
      </w:r>
    </w:p>
    <w:p w:rsidR="00AF75DA" w:rsidRPr="00A80A17" w:rsidRDefault="00AF75DA" w:rsidP="00C83803">
      <w:pPr>
        <w:jc w:val="both"/>
        <w:rPr>
          <w:rFonts w:ascii="Segoe UI" w:hAnsi="Segoe UI" w:cs="Segoe UI"/>
          <w:b/>
          <w:sz w:val="22"/>
          <w:szCs w:val="22"/>
        </w:rPr>
      </w:pPr>
    </w:p>
    <w:p w:rsidR="00274738" w:rsidRPr="00A80A17" w:rsidRDefault="006044DE" w:rsidP="00274738">
      <w:pPr>
        <w:jc w:val="center"/>
        <w:rPr>
          <w:rFonts w:ascii="Segoe UI" w:hAnsi="Segoe UI" w:cs="Segoe UI"/>
          <w:b/>
        </w:rPr>
      </w:pPr>
      <w:r>
        <w:rPr>
          <w:noProof/>
        </w:rPr>
        <w:drawing>
          <wp:inline distT="0" distB="0" distL="0" distR="0" wp14:anchorId="09B0EB02" wp14:editId="63346CC3">
            <wp:extent cx="3521226" cy="2394668"/>
            <wp:effectExtent l="0" t="0" r="3175" b="5715"/>
            <wp:docPr id="4" name="Chart 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3803" w:rsidRPr="00A80A17" w:rsidRDefault="00C83803" w:rsidP="006B6FE8">
      <w:pPr>
        <w:jc w:val="both"/>
        <w:rPr>
          <w:rFonts w:ascii="Segoe UI" w:hAnsi="Segoe UI" w:cs="Segoe UI"/>
        </w:rPr>
      </w:pPr>
    </w:p>
    <w:p w:rsidR="00FD74D2" w:rsidRPr="00A80A17" w:rsidRDefault="006044DE" w:rsidP="00294343">
      <w:pPr>
        <w:jc w:val="center"/>
        <w:rPr>
          <w:rFonts w:ascii="Segoe UI" w:hAnsi="Segoe UI" w:cs="Segoe UI"/>
          <w:noProof/>
          <w:lang w:val="en-GB" w:eastAsia="en-GB"/>
        </w:rPr>
      </w:pPr>
      <w:r>
        <w:rPr>
          <w:noProof/>
        </w:rPr>
        <w:lastRenderedPageBreak/>
        <w:drawing>
          <wp:inline distT="0" distB="0" distL="0" distR="0" wp14:anchorId="6AAEED17" wp14:editId="53CA8616">
            <wp:extent cx="3753492" cy="2415833"/>
            <wp:effectExtent l="0" t="0" r="18415" b="3810"/>
            <wp:docPr id="9" name="Chart 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74D2" w:rsidRPr="00A80A17" w:rsidRDefault="00FD74D2" w:rsidP="00294343">
      <w:pPr>
        <w:jc w:val="center"/>
        <w:rPr>
          <w:rFonts w:ascii="Segoe UI" w:hAnsi="Segoe UI" w:cs="Segoe UI"/>
          <w:noProof/>
          <w:lang w:val="en-GB" w:eastAsia="en-GB"/>
        </w:rPr>
      </w:pPr>
    </w:p>
    <w:p w:rsidR="003C19D3" w:rsidRPr="00A80A17" w:rsidRDefault="00C57113" w:rsidP="006B6FE8">
      <w:pPr>
        <w:jc w:val="both"/>
        <w:rPr>
          <w:rFonts w:ascii="Segoe UI" w:hAnsi="Segoe UI" w:cs="Segoe UI"/>
          <w:sz w:val="22"/>
          <w:szCs w:val="22"/>
        </w:rPr>
      </w:pPr>
      <w:r w:rsidRPr="00E23391">
        <w:rPr>
          <w:rFonts w:ascii="Segoe UI" w:hAnsi="Segoe UI" w:cs="Segoe UI"/>
          <w:sz w:val="22"/>
          <w:szCs w:val="22"/>
        </w:rPr>
        <w:t xml:space="preserve">The number of </w:t>
      </w:r>
      <w:r w:rsidR="00731303" w:rsidRPr="00E23391">
        <w:rPr>
          <w:rFonts w:ascii="Segoe UI" w:hAnsi="Segoe UI" w:cs="Segoe UI"/>
          <w:sz w:val="22"/>
          <w:szCs w:val="22"/>
        </w:rPr>
        <w:t xml:space="preserve">locally </w:t>
      </w:r>
      <w:r w:rsidR="00731303" w:rsidRPr="00E23391">
        <w:rPr>
          <w:rFonts w:ascii="Segoe UI" w:hAnsi="Segoe UI" w:cs="Segoe UI"/>
          <w:b/>
          <w:sz w:val="22"/>
          <w:szCs w:val="22"/>
        </w:rPr>
        <w:t>contracted</w:t>
      </w:r>
      <w:r w:rsidR="00731303" w:rsidRPr="00E23391">
        <w:rPr>
          <w:rFonts w:ascii="Segoe UI" w:hAnsi="Segoe UI" w:cs="Segoe UI"/>
          <w:sz w:val="22"/>
          <w:szCs w:val="22"/>
        </w:rPr>
        <w:t xml:space="preserve"> </w:t>
      </w:r>
      <w:r w:rsidRPr="00E23391">
        <w:rPr>
          <w:rFonts w:ascii="Segoe UI" w:hAnsi="Segoe UI" w:cs="Segoe UI"/>
          <w:sz w:val="22"/>
          <w:szCs w:val="22"/>
        </w:rPr>
        <w:t xml:space="preserve">indicators </w:t>
      </w:r>
      <w:r w:rsidR="00E23391" w:rsidRPr="00E23391">
        <w:rPr>
          <w:rFonts w:ascii="Segoe UI" w:hAnsi="Segoe UI" w:cs="Segoe UI"/>
          <w:sz w:val="22"/>
          <w:szCs w:val="22"/>
        </w:rPr>
        <w:t xml:space="preserve">(excluding JMG) </w:t>
      </w:r>
      <w:r w:rsidRPr="00E23391">
        <w:rPr>
          <w:rFonts w:ascii="Segoe UI" w:hAnsi="Segoe UI" w:cs="Segoe UI"/>
          <w:sz w:val="22"/>
          <w:szCs w:val="22"/>
        </w:rPr>
        <w:t>varie</w:t>
      </w:r>
      <w:r w:rsidR="00BB3840">
        <w:rPr>
          <w:rFonts w:ascii="Segoe UI" w:hAnsi="Segoe UI" w:cs="Segoe UI"/>
          <w:sz w:val="22"/>
          <w:szCs w:val="22"/>
        </w:rPr>
        <w:t>s</w:t>
      </w:r>
      <w:r w:rsidRPr="00E23391">
        <w:rPr>
          <w:rFonts w:ascii="Segoe UI" w:hAnsi="Segoe UI" w:cs="Segoe UI"/>
          <w:sz w:val="22"/>
          <w:szCs w:val="22"/>
        </w:rPr>
        <w:t xml:space="preserve"> throughout the year as is illustrated in the graph above</w:t>
      </w:r>
      <w:r w:rsidR="000104E4" w:rsidRPr="00E23391">
        <w:rPr>
          <w:rFonts w:ascii="Segoe UI" w:hAnsi="Segoe UI" w:cs="Segoe UI"/>
          <w:sz w:val="22"/>
          <w:szCs w:val="22"/>
        </w:rPr>
        <w:t xml:space="preserve">.  </w:t>
      </w:r>
      <w:r w:rsidRPr="00E23391">
        <w:rPr>
          <w:rFonts w:ascii="Segoe UI" w:hAnsi="Segoe UI" w:cs="Segoe UI"/>
          <w:sz w:val="22"/>
          <w:szCs w:val="22"/>
        </w:rPr>
        <w:t>This is due to some indicators only being reportable on a quarterly basis.</w:t>
      </w:r>
      <w:r w:rsidR="00731303" w:rsidRPr="00E23391">
        <w:rPr>
          <w:rFonts w:ascii="Segoe UI" w:hAnsi="Segoe UI" w:cs="Segoe UI"/>
          <w:sz w:val="22"/>
          <w:szCs w:val="22"/>
        </w:rPr>
        <w:t xml:space="preserve">  Of the </w:t>
      </w:r>
      <w:r w:rsidR="00D26C34" w:rsidRPr="00D26C34">
        <w:rPr>
          <w:rFonts w:ascii="Segoe UI" w:hAnsi="Segoe UI" w:cs="Segoe UI"/>
          <w:sz w:val="22"/>
          <w:szCs w:val="22"/>
        </w:rPr>
        <w:t>103</w:t>
      </w:r>
      <w:r w:rsidR="00BB3840">
        <w:rPr>
          <w:rFonts w:ascii="Segoe UI" w:hAnsi="Segoe UI" w:cs="Segoe UI"/>
          <w:sz w:val="22"/>
          <w:szCs w:val="22"/>
        </w:rPr>
        <w:t xml:space="preserve"> </w:t>
      </w:r>
      <w:r w:rsidR="00731303" w:rsidRPr="00E23391">
        <w:rPr>
          <w:rFonts w:ascii="Segoe UI" w:hAnsi="Segoe UI" w:cs="Segoe UI"/>
          <w:sz w:val="22"/>
          <w:szCs w:val="22"/>
        </w:rPr>
        <w:t>indicators not met</w:t>
      </w:r>
      <w:r w:rsidR="00F266F2" w:rsidRPr="00E23391">
        <w:rPr>
          <w:rFonts w:ascii="Segoe UI" w:hAnsi="Segoe UI" w:cs="Segoe UI"/>
          <w:sz w:val="22"/>
          <w:szCs w:val="22"/>
        </w:rPr>
        <w:t xml:space="preserve"> in </w:t>
      </w:r>
      <w:proofErr w:type="gramStart"/>
      <w:r w:rsidR="006044DE">
        <w:rPr>
          <w:rFonts w:ascii="Segoe UI" w:hAnsi="Segoe UI" w:cs="Segoe UI"/>
          <w:sz w:val="22"/>
          <w:szCs w:val="22"/>
        </w:rPr>
        <w:t>August</w:t>
      </w:r>
      <w:r w:rsidR="00731303" w:rsidRPr="00E23391">
        <w:rPr>
          <w:rFonts w:ascii="Segoe UI" w:hAnsi="Segoe UI" w:cs="Segoe UI"/>
          <w:sz w:val="22"/>
          <w:szCs w:val="22"/>
        </w:rPr>
        <w:t>,</w:t>
      </w:r>
      <w:proofErr w:type="gramEnd"/>
      <w:r w:rsidR="00771A63" w:rsidRPr="00E23391">
        <w:rPr>
          <w:rFonts w:ascii="Segoe UI" w:hAnsi="Segoe UI" w:cs="Segoe UI"/>
          <w:sz w:val="22"/>
          <w:szCs w:val="22"/>
        </w:rPr>
        <w:t xml:space="preserve"> </w:t>
      </w:r>
      <w:r w:rsidR="002D5B46" w:rsidRPr="00D26C34">
        <w:rPr>
          <w:rFonts w:ascii="Segoe UI" w:hAnsi="Segoe UI" w:cs="Segoe UI"/>
          <w:sz w:val="22"/>
          <w:szCs w:val="22"/>
        </w:rPr>
        <w:t>52</w:t>
      </w:r>
      <w:r w:rsidR="00731303" w:rsidRPr="00E23391">
        <w:rPr>
          <w:rFonts w:ascii="Segoe UI" w:hAnsi="Segoe UI" w:cs="Segoe UI"/>
          <w:sz w:val="22"/>
          <w:szCs w:val="22"/>
        </w:rPr>
        <w:t xml:space="preserve"> were more than 10% away from the commissioner defined target</w:t>
      </w:r>
      <w:r w:rsidR="003C136E" w:rsidRPr="00E23391">
        <w:rPr>
          <w:rFonts w:ascii="Segoe UI" w:hAnsi="Segoe UI" w:cs="Segoe UI"/>
          <w:sz w:val="22"/>
          <w:szCs w:val="22"/>
        </w:rPr>
        <w:t>s</w:t>
      </w:r>
      <w:r w:rsidR="00BB3840">
        <w:rPr>
          <w:rFonts w:ascii="Segoe UI" w:hAnsi="Segoe UI" w:cs="Segoe UI"/>
          <w:sz w:val="22"/>
          <w:szCs w:val="22"/>
        </w:rPr>
        <w:t xml:space="preserve"> (red category)</w:t>
      </w:r>
      <w:r w:rsidR="00731303" w:rsidRPr="00E23391">
        <w:rPr>
          <w:rFonts w:ascii="Segoe UI" w:hAnsi="Segoe UI" w:cs="Segoe UI"/>
          <w:sz w:val="22"/>
          <w:szCs w:val="22"/>
        </w:rPr>
        <w:t xml:space="preserve"> and </w:t>
      </w:r>
      <w:r w:rsidR="00D26C34" w:rsidRPr="00D26C34">
        <w:rPr>
          <w:rFonts w:ascii="Segoe UI" w:hAnsi="Segoe UI" w:cs="Segoe UI"/>
          <w:b/>
          <w:sz w:val="22"/>
          <w:szCs w:val="22"/>
        </w:rPr>
        <w:t>demand exceeding workforce capacity</w:t>
      </w:r>
      <w:r w:rsidR="003C136E" w:rsidRPr="00D26C34">
        <w:rPr>
          <w:rFonts w:ascii="Segoe UI" w:hAnsi="Segoe UI" w:cs="Segoe UI"/>
          <w:sz w:val="22"/>
          <w:szCs w:val="22"/>
        </w:rPr>
        <w:t xml:space="preserve"> continue</w:t>
      </w:r>
      <w:r w:rsidR="00D26C34" w:rsidRPr="00D26C34">
        <w:rPr>
          <w:rFonts w:ascii="Segoe UI" w:hAnsi="Segoe UI" w:cs="Segoe UI"/>
          <w:sz w:val="22"/>
          <w:szCs w:val="22"/>
        </w:rPr>
        <w:t>s</w:t>
      </w:r>
      <w:r w:rsidR="003C136E" w:rsidRPr="00D26C34">
        <w:rPr>
          <w:rFonts w:ascii="Segoe UI" w:hAnsi="Segoe UI" w:cs="Segoe UI"/>
          <w:sz w:val="22"/>
          <w:szCs w:val="22"/>
        </w:rPr>
        <w:t xml:space="preserve"> to have a major impact on service delivery</w:t>
      </w:r>
      <w:r w:rsidR="00731303" w:rsidRPr="00D26C34">
        <w:rPr>
          <w:rFonts w:ascii="Segoe UI" w:hAnsi="Segoe UI" w:cs="Segoe UI"/>
          <w:sz w:val="22"/>
          <w:szCs w:val="22"/>
        </w:rPr>
        <w:t>.</w:t>
      </w:r>
    </w:p>
    <w:p w:rsidR="003C19D3" w:rsidRPr="00A80A17" w:rsidRDefault="003C19D3">
      <w:pPr>
        <w:rPr>
          <w:rFonts w:ascii="Segoe UI" w:hAnsi="Segoe UI" w:cs="Segoe UI"/>
          <w:sz w:val="22"/>
          <w:szCs w:val="22"/>
        </w:rPr>
      </w:pPr>
    </w:p>
    <w:p w:rsidR="003C19D3" w:rsidRPr="00E23391" w:rsidRDefault="003C19D3">
      <w:pPr>
        <w:rPr>
          <w:rFonts w:ascii="Segoe UI" w:hAnsi="Segoe UI" w:cs="Segoe UI"/>
          <w:sz w:val="22"/>
          <w:szCs w:val="22"/>
        </w:rPr>
      </w:pPr>
      <w:r w:rsidRPr="00E23391">
        <w:rPr>
          <w:rFonts w:ascii="Segoe UI" w:hAnsi="Segoe UI" w:cs="Segoe UI"/>
          <w:b/>
        </w:rPr>
        <w:t>Areas to highlight to the Board from an overall Trust perspective</w:t>
      </w:r>
      <w:r w:rsidRPr="00E23391">
        <w:rPr>
          <w:rFonts w:ascii="Segoe UI" w:hAnsi="Segoe UI" w:cs="Segoe UI"/>
          <w:sz w:val="22"/>
          <w:szCs w:val="22"/>
        </w:rPr>
        <w:t>:</w:t>
      </w:r>
    </w:p>
    <w:p w:rsidR="003C19D3" w:rsidRPr="00E23391" w:rsidRDefault="003C19D3">
      <w:pPr>
        <w:rPr>
          <w:rFonts w:ascii="Segoe UI" w:hAnsi="Segoe UI" w:cs="Segoe UI"/>
          <w:sz w:val="22"/>
          <w:szCs w:val="22"/>
        </w:rPr>
      </w:pPr>
    </w:p>
    <w:p w:rsidR="00036D9C" w:rsidRPr="00E23391" w:rsidRDefault="0037138A" w:rsidP="00C57113">
      <w:pPr>
        <w:ind w:left="-993" w:firstLine="993"/>
        <w:jc w:val="both"/>
        <w:rPr>
          <w:rFonts w:ascii="Segoe UI" w:hAnsi="Segoe UI" w:cs="Segoe UI"/>
          <w:b/>
          <w:sz w:val="22"/>
          <w:szCs w:val="22"/>
        </w:rPr>
      </w:pPr>
      <w:r w:rsidRPr="00E23391">
        <w:rPr>
          <w:rFonts w:ascii="Segoe UI" w:hAnsi="Segoe UI" w:cs="Segoe UI"/>
          <w:b/>
          <w:sz w:val="22"/>
          <w:szCs w:val="22"/>
          <w:u w:val="single"/>
        </w:rPr>
        <w:t>National Position</w:t>
      </w:r>
      <w:r w:rsidRPr="00E23391">
        <w:rPr>
          <w:rFonts w:ascii="Segoe UI" w:hAnsi="Segoe UI" w:cs="Segoe UI"/>
          <w:b/>
          <w:sz w:val="22"/>
          <w:szCs w:val="22"/>
        </w:rPr>
        <w:t>:</w:t>
      </w:r>
    </w:p>
    <w:p w:rsidR="00C24BAC" w:rsidRPr="00E23391" w:rsidRDefault="00C24BAC" w:rsidP="007A2CF0">
      <w:pPr>
        <w:jc w:val="both"/>
        <w:rPr>
          <w:rFonts w:ascii="Segoe UI" w:hAnsi="Segoe UI" w:cs="Segoe UI"/>
          <w:b/>
          <w:sz w:val="22"/>
          <w:szCs w:val="22"/>
        </w:rPr>
      </w:pPr>
    </w:p>
    <w:p w:rsidR="00AF75DA" w:rsidRPr="00E23391" w:rsidRDefault="009804CA" w:rsidP="009804CA">
      <w:pPr>
        <w:jc w:val="both"/>
        <w:rPr>
          <w:rFonts w:ascii="Segoe UI" w:hAnsi="Segoe UI" w:cs="Segoe UI"/>
          <w:sz w:val="22"/>
          <w:szCs w:val="22"/>
        </w:rPr>
      </w:pPr>
      <w:r w:rsidRPr="00E23391">
        <w:rPr>
          <w:rFonts w:ascii="Segoe UI" w:hAnsi="Segoe UI" w:cs="Segoe UI"/>
          <w:sz w:val="22"/>
          <w:szCs w:val="22"/>
        </w:rPr>
        <w:t xml:space="preserve">The table </w:t>
      </w:r>
      <w:r w:rsidR="00AF75DA" w:rsidRPr="00E23391">
        <w:rPr>
          <w:rFonts w:ascii="Segoe UI" w:hAnsi="Segoe UI" w:cs="Segoe UI"/>
          <w:sz w:val="22"/>
          <w:szCs w:val="22"/>
        </w:rPr>
        <w:t>overleaf</w:t>
      </w:r>
      <w:r w:rsidRPr="00E23391">
        <w:rPr>
          <w:rFonts w:ascii="Segoe UI" w:hAnsi="Segoe UI" w:cs="Segoe UI"/>
          <w:sz w:val="22"/>
          <w:szCs w:val="22"/>
        </w:rPr>
        <w:t xml:space="preserve"> shows how the Trust </w:t>
      </w:r>
      <w:r w:rsidR="00F266F2" w:rsidRPr="00E23391">
        <w:rPr>
          <w:rFonts w:ascii="Segoe UI" w:hAnsi="Segoe UI" w:cs="Segoe UI"/>
          <w:sz w:val="22"/>
          <w:szCs w:val="22"/>
        </w:rPr>
        <w:t>is performing</w:t>
      </w:r>
      <w:r w:rsidRPr="00E23391">
        <w:rPr>
          <w:rFonts w:ascii="Segoe UI" w:hAnsi="Segoe UI" w:cs="Segoe UI"/>
          <w:sz w:val="22"/>
          <w:szCs w:val="22"/>
        </w:rPr>
        <w:t xml:space="preserve"> against the </w:t>
      </w:r>
      <w:r w:rsidRPr="00E23391">
        <w:rPr>
          <w:rFonts w:ascii="Segoe UI" w:hAnsi="Segoe UI" w:cs="Segoe UI"/>
          <w:b/>
          <w:sz w:val="22"/>
          <w:szCs w:val="22"/>
        </w:rPr>
        <w:t>operational performance</w:t>
      </w:r>
      <w:r w:rsidRPr="00E23391">
        <w:rPr>
          <w:rFonts w:ascii="Segoe UI" w:hAnsi="Segoe UI" w:cs="Segoe UI"/>
          <w:sz w:val="22"/>
          <w:szCs w:val="22"/>
        </w:rPr>
        <w:t xml:space="preserve"> indicators within the NHSI Single Oversight Framework</w:t>
      </w:r>
      <w:r w:rsidR="000A1AF7">
        <w:rPr>
          <w:rFonts w:ascii="Segoe UI" w:hAnsi="Segoe UI" w:cs="Segoe UI"/>
          <w:sz w:val="22"/>
          <w:szCs w:val="22"/>
        </w:rPr>
        <w:t xml:space="preserve"> (SOF)</w:t>
      </w:r>
      <w:r w:rsidRPr="00E23391">
        <w:rPr>
          <w:rFonts w:ascii="Segoe UI" w:hAnsi="Segoe UI" w:cs="Segoe UI"/>
          <w:sz w:val="22"/>
          <w:szCs w:val="22"/>
        </w:rPr>
        <w:t xml:space="preserve"> (as at the latest available position) and how performance also compares to the national average.  </w:t>
      </w:r>
    </w:p>
    <w:p w:rsidR="00105532" w:rsidRPr="00E23391" w:rsidRDefault="00105532" w:rsidP="00105532">
      <w:pPr>
        <w:jc w:val="both"/>
        <w:rPr>
          <w:rFonts w:ascii="Segoe UI" w:hAnsi="Segoe UI" w:cs="Segoe UI"/>
          <w:sz w:val="22"/>
          <w:szCs w:val="22"/>
        </w:rPr>
      </w:pPr>
    </w:p>
    <w:p w:rsidR="000A1AF7" w:rsidRDefault="006F03C1" w:rsidP="009804CA">
      <w:pPr>
        <w:jc w:val="both"/>
        <w:rPr>
          <w:rFonts w:ascii="Segoe UI" w:hAnsi="Segoe UI" w:cs="Segoe UI"/>
          <w:sz w:val="22"/>
          <w:szCs w:val="22"/>
        </w:rPr>
      </w:pPr>
      <w:r>
        <w:rPr>
          <w:rFonts w:ascii="Segoe UI" w:hAnsi="Segoe UI" w:cs="Segoe UI"/>
          <w:sz w:val="22"/>
          <w:szCs w:val="22"/>
        </w:rPr>
        <w:t>Highlights include;</w:t>
      </w:r>
    </w:p>
    <w:p w:rsidR="000A1AF7" w:rsidRDefault="000A1AF7" w:rsidP="009804CA">
      <w:pPr>
        <w:jc w:val="both"/>
        <w:rPr>
          <w:rFonts w:ascii="Segoe UI" w:hAnsi="Segoe UI" w:cs="Segoe UI"/>
          <w:sz w:val="22"/>
          <w:szCs w:val="22"/>
        </w:rPr>
      </w:pPr>
    </w:p>
    <w:p w:rsidR="006F03C1" w:rsidRDefault="00D26C34" w:rsidP="000A1AF7">
      <w:pPr>
        <w:pStyle w:val="ListParagraph"/>
        <w:numPr>
          <w:ilvl w:val="0"/>
          <w:numId w:val="26"/>
        </w:numPr>
        <w:jc w:val="both"/>
        <w:rPr>
          <w:rFonts w:ascii="Segoe UI" w:hAnsi="Segoe UI" w:cs="Segoe UI"/>
          <w:sz w:val="22"/>
          <w:szCs w:val="22"/>
        </w:rPr>
      </w:pPr>
      <w:r w:rsidRPr="000A1AF7">
        <w:rPr>
          <w:rFonts w:ascii="Segoe UI" w:hAnsi="Segoe UI" w:cs="Segoe UI"/>
          <w:sz w:val="22"/>
          <w:szCs w:val="22"/>
        </w:rPr>
        <w:t xml:space="preserve">The </w:t>
      </w:r>
      <w:r w:rsidR="00105532" w:rsidRPr="000A1AF7">
        <w:rPr>
          <w:rFonts w:ascii="Segoe UI" w:hAnsi="Segoe UI" w:cs="Segoe UI"/>
          <w:sz w:val="22"/>
          <w:szCs w:val="22"/>
        </w:rPr>
        <w:t>M</w:t>
      </w:r>
      <w:r w:rsidRPr="000A1AF7">
        <w:rPr>
          <w:rFonts w:ascii="Segoe UI" w:hAnsi="Segoe UI" w:cs="Segoe UI"/>
          <w:sz w:val="22"/>
          <w:szCs w:val="22"/>
        </w:rPr>
        <w:t>inor Injuries Unit p</w:t>
      </w:r>
      <w:r w:rsidR="00105532" w:rsidRPr="000A1AF7">
        <w:rPr>
          <w:rFonts w:ascii="Segoe UI" w:hAnsi="Segoe UI" w:cs="Segoe UI"/>
          <w:sz w:val="22"/>
          <w:szCs w:val="22"/>
        </w:rPr>
        <w:t xml:space="preserve">erformance </w:t>
      </w:r>
      <w:r w:rsidRPr="000A1AF7">
        <w:rPr>
          <w:rFonts w:ascii="Segoe UI" w:hAnsi="Segoe UI" w:cs="Segoe UI"/>
          <w:sz w:val="22"/>
          <w:szCs w:val="22"/>
        </w:rPr>
        <w:t xml:space="preserve">was </w:t>
      </w:r>
      <w:r w:rsidR="006F03C1" w:rsidRPr="000A1AF7">
        <w:rPr>
          <w:rFonts w:ascii="Segoe UI" w:hAnsi="Segoe UI" w:cs="Segoe UI"/>
          <w:sz w:val="22"/>
          <w:szCs w:val="22"/>
        </w:rPr>
        <w:t>at</w:t>
      </w:r>
      <w:r w:rsidR="00105532" w:rsidRPr="000A1AF7">
        <w:rPr>
          <w:rFonts w:ascii="Segoe UI" w:hAnsi="Segoe UI" w:cs="Segoe UI"/>
          <w:sz w:val="22"/>
          <w:szCs w:val="22"/>
        </w:rPr>
        <w:t xml:space="preserve"> </w:t>
      </w:r>
      <w:r w:rsidR="006044DE" w:rsidRPr="000A1AF7">
        <w:rPr>
          <w:rFonts w:ascii="Segoe UI" w:hAnsi="Segoe UI" w:cs="Segoe UI"/>
          <w:sz w:val="22"/>
          <w:szCs w:val="22"/>
        </w:rPr>
        <w:t>97</w:t>
      </w:r>
      <w:r w:rsidR="00105532" w:rsidRPr="000A1AF7">
        <w:rPr>
          <w:rFonts w:ascii="Segoe UI" w:hAnsi="Segoe UI" w:cs="Segoe UI"/>
          <w:sz w:val="22"/>
          <w:szCs w:val="22"/>
        </w:rPr>
        <w:t xml:space="preserve">% </w:t>
      </w:r>
      <w:r w:rsidRPr="000A1AF7">
        <w:rPr>
          <w:rFonts w:ascii="Segoe UI" w:hAnsi="Segoe UI" w:cs="Segoe UI"/>
          <w:sz w:val="22"/>
          <w:szCs w:val="22"/>
        </w:rPr>
        <w:t>in</w:t>
      </w:r>
      <w:r w:rsidR="00105532" w:rsidRPr="000A1AF7">
        <w:rPr>
          <w:rFonts w:ascii="Segoe UI" w:hAnsi="Segoe UI" w:cs="Segoe UI"/>
          <w:sz w:val="22"/>
          <w:szCs w:val="22"/>
        </w:rPr>
        <w:t xml:space="preserve"> </w:t>
      </w:r>
      <w:r w:rsidR="006044DE" w:rsidRPr="000A1AF7">
        <w:rPr>
          <w:rFonts w:ascii="Segoe UI" w:hAnsi="Segoe UI" w:cs="Segoe UI"/>
          <w:sz w:val="22"/>
          <w:szCs w:val="22"/>
        </w:rPr>
        <w:t>Augus</w:t>
      </w:r>
      <w:r w:rsidRPr="000A1AF7">
        <w:rPr>
          <w:rFonts w:ascii="Segoe UI" w:hAnsi="Segoe UI" w:cs="Segoe UI"/>
          <w:sz w:val="22"/>
          <w:szCs w:val="22"/>
        </w:rPr>
        <w:t>t</w:t>
      </w:r>
      <w:r w:rsidR="006F03C1" w:rsidRPr="000A1AF7">
        <w:rPr>
          <w:rFonts w:ascii="Segoe UI" w:hAnsi="Segoe UI" w:cs="Segoe UI"/>
          <w:sz w:val="22"/>
          <w:szCs w:val="22"/>
        </w:rPr>
        <w:t>.</w:t>
      </w:r>
      <w:r w:rsidRPr="000A1AF7">
        <w:rPr>
          <w:rFonts w:ascii="Segoe UI" w:hAnsi="Segoe UI" w:cs="Segoe UI"/>
          <w:sz w:val="22"/>
          <w:szCs w:val="22"/>
        </w:rPr>
        <w:t xml:space="preserve">  This is above the 95% national target and an improvement over the last 6 months where performance was just below target.</w:t>
      </w:r>
      <w:r w:rsidR="006F03C1" w:rsidRPr="000A1AF7">
        <w:rPr>
          <w:rFonts w:ascii="Segoe UI" w:hAnsi="Segoe UI" w:cs="Segoe UI"/>
          <w:sz w:val="22"/>
          <w:szCs w:val="22"/>
        </w:rPr>
        <w:t xml:space="preserve"> </w:t>
      </w:r>
    </w:p>
    <w:p w:rsidR="000A1AF7" w:rsidRDefault="000A1AF7" w:rsidP="000A1AF7">
      <w:pPr>
        <w:pStyle w:val="ListParagraph"/>
        <w:jc w:val="both"/>
        <w:rPr>
          <w:rFonts w:ascii="Segoe UI" w:hAnsi="Segoe UI" w:cs="Segoe UI"/>
          <w:sz w:val="22"/>
          <w:szCs w:val="22"/>
        </w:rPr>
      </w:pPr>
    </w:p>
    <w:p w:rsidR="000A1AF7" w:rsidRDefault="00105532" w:rsidP="0056611F">
      <w:pPr>
        <w:pStyle w:val="ListParagraph"/>
        <w:numPr>
          <w:ilvl w:val="0"/>
          <w:numId w:val="26"/>
        </w:numPr>
        <w:jc w:val="both"/>
        <w:rPr>
          <w:rFonts w:ascii="Segoe UI" w:hAnsi="Segoe UI" w:cs="Segoe UI"/>
          <w:sz w:val="22"/>
          <w:szCs w:val="22"/>
        </w:rPr>
      </w:pPr>
      <w:r w:rsidRPr="000A1AF7">
        <w:rPr>
          <w:rFonts w:ascii="Segoe UI" w:hAnsi="Segoe UI" w:cs="Segoe UI"/>
          <w:sz w:val="22"/>
          <w:szCs w:val="22"/>
        </w:rPr>
        <w:t>O</w:t>
      </w:r>
      <w:r w:rsidR="000A1AF7" w:rsidRPr="000A1AF7">
        <w:rPr>
          <w:rFonts w:ascii="Segoe UI" w:hAnsi="Segoe UI" w:cs="Segoe UI"/>
          <w:sz w:val="22"/>
          <w:szCs w:val="22"/>
        </w:rPr>
        <w:t>ut of Area Placements (O</w:t>
      </w:r>
      <w:r w:rsidRPr="000A1AF7">
        <w:rPr>
          <w:rFonts w:ascii="Segoe UI" w:hAnsi="Segoe UI" w:cs="Segoe UI"/>
          <w:sz w:val="22"/>
          <w:szCs w:val="22"/>
        </w:rPr>
        <w:t>APs</w:t>
      </w:r>
      <w:r w:rsidR="000A1AF7" w:rsidRPr="000A1AF7">
        <w:rPr>
          <w:rFonts w:ascii="Segoe UI" w:hAnsi="Segoe UI" w:cs="Segoe UI"/>
          <w:sz w:val="22"/>
          <w:szCs w:val="22"/>
        </w:rPr>
        <w:t>)</w:t>
      </w:r>
      <w:r w:rsidRPr="000A1AF7">
        <w:rPr>
          <w:rFonts w:ascii="Segoe UI" w:hAnsi="Segoe UI" w:cs="Segoe UI"/>
          <w:sz w:val="22"/>
          <w:szCs w:val="22"/>
        </w:rPr>
        <w:t xml:space="preserve"> </w:t>
      </w:r>
      <w:r w:rsidR="004214F7" w:rsidRPr="000A1AF7">
        <w:rPr>
          <w:rFonts w:ascii="Segoe UI" w:hAnsi="Segoe UI" w:cs="Segoe UI"/>
          <w:sz w:val="22"/>
          <w:szCs w:val="22"/>
        </w:rPr>
        <w:t xml:space="preserve">is monitored </w:t>
      </w:r>
      <w:r w:rsidR="000A1AF7" w:rsidRPr="000A1AF7">
        <w:rPr>
          <w:rFonts w:ascii="Segoe UI" w:hAnsi="Segoe UI" w:cs="Segoe UI"/>
          <w:sz w:val="22"/>
          <w:szCs w:val="22"/>
        </w:rPr>
        <w:t>on a quarterly basis within the SOF</w:t>
      </w:r>
      <w:r w:rsidR="004214F7" w:rsidRPr="000A1AF7">
        <w:rPr>
          <w:rFonts w:ascii="Segoe UI" w:hAnsi="Segoe UI" w:cs="Segoe UI"/>
          <w:sz w:val="22"/>
          <w:szCs w:val="22"/>
        </w:rPr>
        <w:t xml:space="preserve"> and</w:t>
      </w:r>
      <w:r w:rsidR="000A1AF7" w:rsidRPr="000A1AF7">
        <w:rPr>
          <w:rFonts w:ascii="Segoe UI" w:hAnsi="Segoe UI" w:cs="Segoe UI"/>
          <w:sz w:val="22"/>
          <w:szCs w:val="22"/>
        </w:rPr>
        <w:t xml:space="preserve"> the Trust has substantially improved</w:t>
      </w:r>
      <w:r w:rsidR="000A1AF7">
        <w:rPr>
          <w:rFonts w:ascii="Segoe UI" w:hAnsi="Segoe UI" w:cs="Segoe UI"/>
          <w:sz w:val="22"/>
          <w:szCs w:val="22"/>
        </w:rPr>
        <w:t xml:space="preserve"> its performance over the past 6 months.  There has been a significant reduction in the number of patients sent out of area due to a shortage of available beds.  The Trust is on track to achieve the planned improvement and progress against plan is shown in the table below.</w:t>
      </w:r>
    </w:p>
    <w:p w:rsidR="00274738" w:rsidRPr="000A1AF7" w:rsidRDefault="00274738" w:rsidP="000A1AF7">
      <w:pPr>
        <w:pStyle w:val="ListParagraph"/>
        <w:jc w:val="both"/>
        <w:rPr>
          <w:rFonts w:ascii="Segoe UI" w:hAnsi="Segoe UI" w:cs="Segoe UI"/>
          <w:sz w:val="22"/>
          <w:szCs w:val="22"/>
        </w:rPr>
      </w:pPr>
    </w:p>
    <w:p w:rsidR="006F03C1" w:rsidRDefault="004214F7" w:rsidP="006F03C1">
      <w:pPr>
        <w:jc w:val="both"/>
        <w:rPr>
          <w:rFonts w:ascii="Segoe UI" w:hAnsi="Segoe UI" w:cs="Segoe UI"/>
        </w:rPr>
      </w:pPr>
      <w:r>
        <w:rPr>
          <w:rFonts w:ascii="Segoe UI" w:hAnsi="Segoe UI" w:cs="Segoe UI"/>
          <w:noProof/>
        </w:rPr>
        <w:lastRenderedPageBreak/>
        <w:drawing>
          <wp:inline distT="0" distB="0" distL="0" distR="0" wp14:anchorId="650DE82F" wp14:editId="40851350">
            <wp:extent cx="5990362"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7370" cy="2391986"/>
                    </a:xfrm>
                    <a:prstGeom prst="rect">
                      <a:avLst/>
                    </a:prstGeom>
                    <a:noFill/>
                  </pic:spPr>
                </pic:pic>
              </a:graphicData>
            </a:graphic>
          </wp:inline>
        </w:drawing>
      </w:r>
    </w:p>
    <w:p w:rsidR="004214F7" w:rsidRPr="00E23391" w:rsidRDefault="004214F7" w:rsidP="006F03C1">
      <w:pPr>
        <w:jc w:val="both"/>
        <w:rPr>
          <w:rFonts w:ascii="Segoe UI" w:hAnsi="Segoe UI" w:cs="Segoe UI"/>
        </w:rPr>
      </w:pPr>
    </w:p>
    <w:p w:rsidR="00274738" w:rsidRPr="00E23391" w:rsidRDefault="004214F7" w:rsidP="00CC2CF9">
      <w:pPr>
        <w:ind w:left="-851"/>
        <w:jc w:val="both"/>
        <w:rPr>
          <w:rFonts w:ascii="Segoe UI" w:hAnsi="Segoe UI" w:cs="Segoe UI"/>
        </w:rPr>
      </w:pPr>
      <w:r w:rsidRPr="004214F7">
        <w:rPr>
          <w:noProof/>
        </w:rPr>
        <w:drawing>
          <wp:inline distT="0" distB="0" distL="0" distR="0" wp14:anchorId="34DBAE42" wp14:editId="51230BAF">
            <wp:extent cx="6696075" cy="3353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0636" cy="3355883"/>
                    </a:xfrm>
                    <a:prstGeom prst="rect">
                      <a:avLst/>
                    </a:prstGeom>
                    <a:noFill/>
                    <a:ln>
                      <a:noFill/>
                    </a:ln>
                  </pic:spPr>
                </pic:pic>
              </a:graphicData>
            </a:graphic>
          </wp:inline>
        </w:drawing>
      </w:r>
    </w:p>
    <w:p w:rsidR="002D4CCA" w:rsidRPr="00E23391" w:rsidRDefault="002D4CCA" w:rsidP="009804CA">
      <w:pPr>
        <w:jc w:val="both"/>
        <w:rPr>
          <w:rFonts w:ascii="Segoe UI" w:hAnsi="Segoe UI" w:cs="Segoe UI"/>
        </w:rPr>
      </w:pPr>
    </w:p>
    <w:p w:rsidR="009804CA" w:rsidRPr="00E23391" w:rsidRDefault="009804CA" w:rsidP="006662C3">
      <w:pPr>
        <w:jc w:val="both"/>
        <w:rPr>
          <w:rFonts w:ascii="Segoe UI" w:hAnsi="Segoe UI" w:cs="Segoe UI"/>
          <w:b/>
        </w:rPr>
      </w:pPr>
      <w:r w:rsidRPr="00E23391">
        <w:rPr>
          <w:rFonts w:ascii="Segoe UI" w:hAnsi="Segoe UI" w:cs="Segoe UI"/>
          <w:b/>
          <w:u w:val="single"/>
        </w:rPr>
        <w:t>Local Position</w:t>
      </w:r>
      <w:r w:rsidRPr="00E23391">
        <w:rPr>
          <w:rFonts w:ascii="Segoe UI" w:hAnsi="Segoe UI" w:cs="Segoe UI"/>
          <w:b/>
        </w:rPr>
        <w:t xml:space="preserve">: </w:t>
      </w:r>
    </w:p>
    <w:p w:rsidR="009804CA" w:rsidRPr="00E23391" w:rsidRDefault="009804CA" w:rsidP="009804CA">
      <w:pPr>
        <w:ind w:left="-993" w:firstLine="993"/>
        <w:jc w:val="both"/>
        <w:rPr>
          <w:rFonts w:ascii="Segoe UI" w:hAnsi="Segoe UI" w:cs="Segoe UI"/>
          <w:b/>
          <w:sz w:val="22"/>
          <w:szCs w:val="22"/>
        </w:rPr>
      </w:pPr>
    </w:p>
    <w:p w:rsidR="009804CA" w:rsidRPr="009F6D6A" w:rsidRDefault="009804CA" w:rsidP="009804CA">
      <w:pPr>
        <w:ind w:left="-993" w:firstLine="993"/>
        <w:jc w:val="both"/>
        <w:rPr>
          <w:rFonts w:ascii="Segoe UI" w:hAnsi="Segoe UI" w:cs="Segoe UI"/>
          <w:b/>
          <w:sz w:val="22"/>
          <w:szCs w:val="22"/>
        </w:rPr>
      </w:pPr>
      <w:r w:rsidRPr="009F6D6A">
        <w:rPr>
          <w:rFonts w:ascii="Segoe UI" w:hAnsi="Segoe UI" w:cs="Segoe UI"/>
          <w:b/>
          <w:sz w:val="22"/>
          <w:szCs w:val="22"/>
        </w:rPr>
        <w:t>Patient Access and Patient Flow</w:t>
      </w:r>
    </w:p>
    <w:p w:rsidR="009804CA" w:rsidRPr="009F6D6A" w:rsidRDefault="009804CA" w:rsidP="009804CA">
      <w:pPr>
        <w:ind w:left="-993"/>
        <w:jc w:val="both"/>
        <w:rPr>
          <w:rFonts w:ascii="Segoe UI" w:hAnsi="Segoe UI" w:cs="Segoe UI"/>
          <w:b/>
          <w:sz w:val="22"/>
          <w:szCs w:val="22"/>
        </w:rPr>
      </w:pPr>
    </w:p>
    <w:p w:rsidR="009804CA" w:rsidRPr="009F6D6A" w:rsidRDefault="009804CA" w:rsidP="009804CA">
      <w:pPr>
        <w:jc w:val="both"/>
        <w:rPr>
          <w:rFonts w:ascii="Segoe UI" w:hAnsi="Segoe UI" w:cs="Segoe UI"/>
          <w:sz w:val="22"/>
          <w:szCs w:val="22"/>
        </w:rPr>
      </w:pPr>
      <w:r w:rsidRPr="009F6D6A">
        <w:rPr>
          <w:rFonts w:ascii="Segoe UI" w:hAnsi="Segoe UI" w:cs="Segoe UI"/>
          <w:sz w:val="22"/>
          <w:szCs w:val="22"/>
        </w:rPr>
        <w:t xml:space="preserve">The table </w:t>
      </w:r>
      <w:r w:rsidR="00DC14C4">
        <w:rPr>
          <w:rFonts w:ascii="Segoe UI" w:hAnsi="Segoe UI" w:cs="Segoe UI"/>
          <w:sz w:val="22"/>
          <w:szCs w:val="22"/>
        </w:rPr>
        <w:t>in Appendix 1</w:t>
      </w:r>
      <w:r w:rsidR="00897AC8" w:rsidRPr="009F6D6A">
        <w:rPr>
          <w:rFonts w:ascii="Segoe UI" w:hAnsi="Segoe UI" w:cs="Segoe UI"/>
          <w:sz w:val="22"/>
          <w:szCs w:val="22"/>
        </w:rPr>
        <w:t xml:space="preserve"> </w:t>
      </w:r>
      <w:r w:rsidRPr="009F6D6A">
        <w:rPr>
          <w:rFonts w:ascii="Segoe UI" w:hAnsi="Segoe UI" w:cs="Segoe UI"/>
          <w:sz w:val="22"/>
          <w:szCs w:val="22"/>
        </w:rPr>
        <w:t>shows performance in relation to the Trust’s core mental health community services concerning demand, patient access and patient flow.  Key headlines;</w:t>
      </w:r>
    </w:p>
    <w:p w:rsidR="009804CA" w:rsidRPr="009F6D6A" w:rsidRDefault="009804CA" w:rsidP="009804CA">
      <w:pPr>
        <w:jc w:val="both"/>
        <w:rPr>
          <w:rFonts w:ascii="Segoe UI" w:hAnsi="Segoe UI" w:cs="Segoe UI"/>
          <w:sz w:val="22"/>
          <w:szCs w:val="22"/>
        </w:rPr>
      </w:pPr>
    </w:p>
    <w:p w:rsidR="009804CA" w:rsidRPr="009F6D6A" w:rsidRDefault="009804CA" w:rsidP="009804CA">
      <w:pPr>
        <w:pStyle w:val="ListParagraph"/>
        <w:numPr>
          <w:ilvl w:val="0"/>
          <w:numId w:val="23"/>
        </w:numPr>
        <w:ind w:left="426"/>
        <w:jc w:val="both"/>
        <w:rPr>
          <w:rFonts w:ascii="Segoe UI" w:hAnsi="Segoe UI" w:cs="Segoe UI"/>
          <w:b/>
        </w:rPr>
      </w:pPr>
      <w:r w:rsidRPr="009F6D6A">
        <w:rPr>
          <w:rFonts w:ascii="Segoe UI" w:hAnsi="Segoe UI" w:cs="Segoe UI"/>
          <w:b/>
        </w:rPr>
        <w:t>Demand</w:t>
      </w:r>
    </w:p>
    <w:p w:rsidR="009804CA" w:rsidRPr="009F6D6A" w:rsidRDefault="00B63BFE" w:rsidP="009804CA">
      <w:pPr>
        <w:pStyle w:val="ListParagraph"/>
        <w:ind w:left="426"/>
        <w:jc w:val="both"/>
        <w:rPr>
          <w:rFonts w:ascii="Segoe UI" w:hAnsi="Segoe UI" w:cs="Segoe UI"/>
          <w:sz w:val="22"/>
          <w:szCs w:val="22"/>
        </w:rPr>
      </w:pPr>
      <w:r w:rsidRPr="009F6D6A">
        <w:rPr>
          <w:rFonts w:ascii="Segoe UI" w:hAnsi="Segoe UI" w:cs="Segoe UI"/>
          <w:sz w:val="22"/>
          <w:szCs w:val="22"/>
        </w:rPr>
        <w:t>Despite comparable population sizes, t</w:t>
      </w:r>
      <w:r w:rsidR="009804CA" w:rsidRPr="009F6D6A">
        <w:rPr>
          <w:rFonts w:ascii="Segoe UI" w:hAnsi="Segoe UI" w:cs="Segoe UI"/>
          <w:sz w:val="22"/>
          <w:szCs w:val="22"/>
        </w:rPr>
        <w:t xml:space="preserve">he number of Adult Mental Health referrals received in Oxfordshire </w:t>
      </w:r>
      <w:r w:rsidR="00092197" w:rsidRPr="009F6D6A">
        <w:rPr>
          <w:rFonts w:ascii="Segoe UI" w:hAnsi="Segoe UI" w:cs="Segoe UI"/>
          <w:sz w:val="22"/>
          <w:szCs w:val="22"/>
        </w:rPr>
        <w:t>continues to be</w:t>
      </w:r>
      <w:r w:rsidR="009804CA" w:rsidRPr="009F6D6A">
        <w:rPr>
          <w:rFonts w:ascii="Segoe UI" w:hAnsi="Segoe UI" w:cs="Segoe UI"/>
          <w:sz w:val="22"/>
          <w:szCs w:val="22"/>
        </w:rPr>
        <w:t xml:space="preserve"> higher than</w:t>
      </w:r>
      <w:r w:rsidRPr="009F6D6A">
        <w:rPr>
          <w:rFonts w:ascii="Segoe UI" w:hAnsi="Segoe UI" w:cs="Segoe UI"/>
          <w:sz w:val="22"/>
          <w:szCs w:val="22"/>
        </w:rPr>
        <w:t xml:space="preserve"> in</w:t>
      </w:r>
      <w:r w:rsidR="009804CA" w:rsidRPr="009F6D6A">
        <w:rPr>
          <w:rFonts w:ascii="Segoe UI" w:hAnsi="Segoe UI" w:cs="Segoe UI"/>
          <w:sz w:val="22"/>
          <w:szCs w:val="22"/>
        </w:rPr>
        <w:t xml:space="preserve"> Buckinghamshire (</w:t>
      </w:r>
      <w:r w:rsidR="005A2F78" w:rsidRPr="001F2148">
        <w:rPr>
          <w:rFonts w:ascii="Segoe UI" w:hAnsi="Segoe UI" w:cs="Segoe UI"/>
          <w:sz w:val="22"/>
          <w:szCs w:val="22"/>
        </w:rPr>
        <w:t>35.5</w:t>
      </w:r>
      <w:r w:rsidR="009804CA" w:rsidRPr="001F2148">
        <w:rPr>
          <w:rFonts w:ascii="Segoe UI" w:hAnsi="Segoe UI" w:cs="Segoe UI"/>
          <w:sz w:val="22"/>
          <w:szCs w:val="22"/>
        </w:rPr>
        <w:t xml:space="preserve">% </w:t>
      </w:r>
      <w:r w:rsidR="00105532" w:rsidRPr="009F6D6A">
        <w:rPr>
          <w:rFonts w:ascii="Segoe UI" w:hAnsi="Segoe UI" w:cs="Segoe UI"/>
          <w:sz w:val="22"/>
          <w:szCs w:val="22"/>
        </w:rPr>
        <w:t>higher in</w:t>
      </w:r>
      <w:r w:rsidR="009804CA" w:rsidRPr="009F6D6A">
        <w:rPr>
          <w:rFonts w:ascii="Segoe UI" w:hAnsi="Segoe UI" w:cs="Segoe UI"/>
          <w:sz w:val="22"/>
          <w:szCs w:val="22"/>
        </w:rPr>
        <w:t xml:space="preserve"> </w:t>
      </w:r>
      <w:r w:rsidR="00AE72AC">
        <w:rPr>
          <w:rFonts w:ascii="Segoe UI" w:hAnsi="Segoe UI" w:cs="Segoe UI"/>
          <w:sz w:val="22"/>
          <w:szCs w:val="22"/>
        </w:rPr>
        <w:t>August</w:t>
      </w:r>
      <w:r w:rsidR="009804CA" w:rsidRPr="009F6D6A">
        <w:rPr>
          <w:rFonts w:ascii="Segoe UI" w:hAnsi="Segoe UI" w:cs="Segoe UI"/>
          <w:sz w:val="22"/>
          <w:szCs w:val="22"/>
        </w:rPr>
        <w:t>)</w:t>
      </w:r>
      <w:r w:rsidRPr="009F6D6A">
        <w:rPr>
          <w:rFonts w:ascii="Segoe UI" w:hAnsi="Segoe UI" w:cs="Segoe UI"/>
          <w:sz w:val="22"/>
          <w:szCs w:val="22"/>
        </w:rPr>
        <w:t>.</w:t>
      </w:r>
      <w:r w:rsidR="009804CA" w:rsidRPr="009F6D6A">
        <w:rPr>
          <w:rFonts w:ascii="Segoe UI" w:hAnsi="Segoe UI" w:cs="Segoe UI"/>
          <w:sz w:val="22"/>
          <w:szCs w:val="22"/>
        </w:rPr>
        <w:t xml:space="preserve"> </w:t>
      </w:r>
    </w:p>
    <w:p w:rsidR="009804CA" w:rsidRPr="009F6D6A" w:rsidRDefault="009804CA" w:rsidP="009804CA">
      <w:pPr>
        <w:pStyle w:val="ListParagraph"/>
        <w:ind w:left="426"/>
        <w:jc w:val="both"/>
        <w:rPr>
          <w:rFonts w:ascii="Segoe UI" w:hAnsi="Segoe UI" w:cs="Segoe UI"/>
          <w:sz w:val="22"/>
          <w:szCs w:val="22"/>
        </w:rPr>
      </w:pPr>
    </w:p>
    <w:p w:rsidR="009804CA" w:rsidRPr="009F6D6A" w:rsidRDefault="009804CA" w:rsidP="009804CA">
      <w:pPr>
        <w:pStyle w:val="ListParagraph"/>
        <w:ind w:left="426"/>
        <w:jc w:val="both"/>
        <w:rPr>
          <w:rFonts w:ascii="Segoe UI" w:hAnsi="Segoe UI" w:cs="Segoe UI"/>
          <w:sz w:val="22"/>
          <w:szCs w:val="22"/>
        </w:rPr>
      </w:pPr>
      <w:r w:rsidRPr="009F6D6A">
        <w:rPr>
          <w:rFonts w:ascii="Segoe UI" w:hAnsi="Segoe UI" w:cs="Segoe UI"/>
          <w:sz w:val="22"/>
          <w:szCs w:val="22"/>
        </w:rPr>
        <w:t xml:space="preserve">The number of referrals received </w:t>
      </w:r>
      <w:r w:rsidR="00092197" w:rsidRPr="009F6D6A">
        <w:rPr>
          <w:rFonts w:ascii="Segoe UI" w:hAnsi="Segoe UI" w:cs="Segoe UI"/>
          <w:sz w:val="22"/>
          <w:szCs w:val="22"/>
        </w:rPr>
        <w:t xml:space="preserve">by CAMH services </w:t>
      </w:r>
      <w:r w:rsidR="00D60B04" w:rsidRPr="009F6D6A">
        <w:rPr>
          <w:rFonts w:ascii="Segoe UI" w:hAnsi="Segoe UI" w:cs="Segoe UI"/>
          <w:sz w:val="22"/>
          <w:szCs w:val="22"/>
        </w:rPr>
        <w:t xml:space="preserve">has </w:t>
      </w:r>
      <w:r w:rsidR="00AE72AC" w:rsidRPr="001F2148">
        <w:rPr>
          <w:rFonts w:ascii="Segoe UI" w:hAnsi="Segoe UI" w:cs="Segoe UI"/>
          <w:sz w:val="22"/>
          <w:szCs w:val="22"/>
        </w:rPr>
        <w:t>de</w:t>
      </w:r>
      <w:r w:rsidR="00D60B04" w:rsidRPr="001F2148">
        <w:rPr>
          <w:rFonts w:ascii="Segoe UI" w:hAnsi="Segoe UI" w:cs="Segoe UI"/>
          <w:sz w:val="22"/>
          <w:szCs w:val="22"/>
        </w:rPr>
        <w:t>creased</w:t>
      </w:r>
      <w:r w:rsidR="00D60B04" w:rsidRPr="009F6D6A">
        <w:rPr>
          <w:rFonts w:ascii="Segoe UI" w:hAnsi="Segoe UI" w:cs="Segoe UI"/>
          <w:sz w:val="22"/>
          <w:szCs w:val="22"/>
        </w:rPr>
        <w:t xml:space="preserve"> in </w:t>
      </w:r>
      <w:r w:rsidR="00AE72AC">
        <w:rPr>
          <w:rFonts w:ascii="Segoe UI" w:hAnsi="Segoe UI" w:cs="Segoe UI"/>
          <w:sz w:val="22"/>
          <w:szCs w:val="22"/>
        </w:rPr>
        <w:t>August</w:t>
      </w:r>
      <w:r w:rsidR="00D60B04" w:rsidRPr="009F6D6A">
        <w:rPr>
          <w:rFonts w:ascii="Segoe UI" w:hAnsi="Segoe UI" w:cs="Segoe UI"/>
          <w:sz w:val="22"/>
          <w:szCs w:val="22"/>
        </w:rPr>
        <w:t xml:space="preserve"> </w:t>
      </w:r>
      <w:r w:rsidR="001F2148">
        <w:rPr>
          <w:rFonts w:ascii="Segoe UI" w:hAnsi="Segoe UI" w:cs="Segoe UI"/>
          <w:sz w:val="22"/>
          <w:szCs w:val="22"/>
        </w:rPr>
        <w:t>which is consistent with</w:t>
      </w:r>
      <w:r w:rsidR="00AE72AC">
        <w:rPr>
          <w:rFonts w:ascii="Segoe UI" w:hAnsi="Segoe UI" w:cs="Segoe UI"/>
          <w:sz w:val="22"/>
          <w:szCs w:val="22"/>
        </w:rPr>
        <w:t xml:space="preserve"> </w:t>
      </w:r>
      <w:r w:rsidR="00AE72AC" w:rsidRPr="001F2148">
        <w:rPr>
          <w:rFonts w:ascii="Segoe UI" w:hAnsi="Segoe UI" w:cs="Segoe UI"/>
          <w:sz w:val="22"/>
          <w:szCs w:val="22"/>
        </w:rPr>
        <w:t>seasonal variation</w:t>
      </w:r>
      <w:r w:rsidR="00D60B04" w:rsidRPr="009F6D6A">
        <w:rPr>
          <w:rFonts w:ascii="Segoe UI" w:hAnsi="Segoe UI" w:cs="Segoe UI"/>
          <w:sz w:val="22"/>
          <w:szCs w:val="22"/>
        </w:rPr>
        <w:t>.</w:t>
      </w:r>
      <w:r w:rsidR="00092197" w:rsidRPr="009F6D6A">
        <w:rPr>
          <w:rFonts w:ascii="Segoe UI" w:hAnsi="Segoe UI" w:cs="Segoe UI"/>
          <w:sz w:val="22"/>
          <w:szCs w:val="22"/>
        </w:rPr>
        <w:t xml:space="preserve"> </w:t>
      </w:r>
      <w:r w:rsidRPr="009F6D6A">
        <w:rPr>
          <w:rFonts w:ascii="Segoe UI" w:hAnsi="Segoe UI" w:cs="Segoe UI"/>
          <w:sz w:val="22"/>
          <w:szCs w:val="22"/>
        </w:rPr>
        <w:t>Overall referrals to the Trust’s CAMH services across Oxon, Bucks</w:t>
      </w:r>
      <w:r w:rsidR="00B63BFE" w:rsidRPr="009F6D6A">
        <w:rPr>
          <w:rFonts w:ascii="Segoe UI" w:hAnsi="Segoe UI" w:cs="Segoe UI"/>
          <w:sz w:val="22"/>
          <w:szCs w:val="22"/>
        </w:rPr>
        <w:t>,</w:t>
      </w:r>
      <w:r w:rsidRPr="009F6D6A">
        <w:rPr>
          <w:rFonts w:ascii="Segoe UI" w:hAnsi="Segoe UI" w:cs="Segoe UI"/>
          <w:sz w:val="22"/>
          <w:szCs w:val="22"/>
        </w:rPr>
        <w:t xml:space="preserve"> and BSW were </w:t>
      </w:r>
      <w:r w:rsidR="00AE72AC" w:rsidRPr="001F2148">
        <w:rPr>
          <w:rFonts w:ascii="Segoe UI" w:hAnsi="Segoe UI" w:cs="Segoe UI"/>
          <w:sz w:val="22"/>
          <w:szCs w:val="22"/>
        </w:rPr>
        <w:t>1276</w:t>
      </w:r>
      <w:r w:rsidR="00D60B04" w:rsidRPr="009F6D6A">
        <w:rPr>
          <w:rFonts w:ascii="Segoe UI" w:hAnsi="Segoe UI" w:cs="Segoe UI"/>
          <w:sz w:val="22"/>
          <w:szCs w:val="22"/>
        </w:rPr>
        <w:t xml:space="preserve"> in </w:t>
      </w:r>
      <w:r w:rsidR="00AE72AC">
        <w:rPr>
          <w:rFonts w:ascii="Segoe UI" w:hAnsi="Segoe UI" w:cs="Segoe UI"/>
          <w:sz w:val="22"/>
          <w:szCs w:val="22"/>
        </w:rPr>
        <w:t>August</w:t>
      </w:r>
      <w:r w:rsidR="00D60B04" w:rsidRPr="009F6D6A">
        <w:rPr>
          <w:rFonts w:ascii="Segoe UI" w:hAnsi="Segoe UI" w:cs="Segoe UI"/>
          <w:sz w:val="22"/>
          <w:szCs w:val="22"/>
        </w:rPr>
        <w:t xml:space="preserve"> </w:t>
      </w:r>
      <w:r w:rsidR="00105532" w:rsidRPr="009F6D6A">
        <w:rPr>
          <w:rFonts w:ascii="Segoe UI" w:hAnsi="Segoe UI" w:cs="Segoe UI"/>
          <w:sz w:val="22"/>
          <w:szCs w:val="22"/>
        </w:rPr>
        <w:t xml:space="preserve">which is </w:t>
      </w:r>
      <w:r w:rsidR="00AE72AC" w:rsidRPr="001F2148">
        <w:rPr>
          <w:rFonts w:ascii="Segoe UI" w:hAnsi="Segoe UI" w:cs="Segoe UI"/>
          <w:sz w:val="22"/>
          <w:szCs w:val="22"/>
        </w:rPr>
        <w:t>1</w:t>
      </w:r>
      <w:r w:rsidR="005A2F78" w:rsidRPr="001F2148">
        <w:rPr>
          <w:rFonts w:ascii="Segoe UI" w:hAnsi="Segoe UI" w:cs="Segoe UI"/>
          <w:sz w:val="22"/>
          <w:szCs w:val="22"/>
        </w:rPr>
        <w:t>4</w:t>
      </w:r>
      <w:r w:rsidR="00AE72AC" w:rsidRPr="001F2148">
        <w:rPr>
          <w:rFonts w:ascii="Segoe UI" w:hAnsi="Segoe UI" w:cs="Segoe UI"/>
          <w:sz w:val="22"/>
          <w:szCs w:val="22"/>
        </w:rPr>
        <w:t>% lower</w:t>
      </w:r>
      <w:r w:rsidR="00105532" w:rsidRPr="009F6D6A">
        <w:rPr>
          <w:rFonts w:ascii="Segoe UI" w:hAnsi="Segoe UI" w:cs="Segoe UI"/>
          <w:sz w:val="22"/>
          <w:szCs w:val="22"/>
        </w:rPr>
        <w:t xml:space="preserve"> than this time last year. </w:t>
      </w:r>
      <w:r w:rsidR="00092197" w:rsidRPr="009F6D6A">
        <w:rPr>
          <w:rFonts w:ascii="Segoe UI" w:hAnsi="Segoe UI" w:cs="Segoe UI"/>
          <w:sz w:val="22"/>
          <w:szCs w:val="22"/>
        </w:rPr>
        <w:t xml:space="preserve"> The average number of </w:t>
      </w:r>
      <w:r w:rsidR="00D60B04" w:rsidRPr="009F6D6A">
        <w:rPr>
          <w:rFonts w:ascii="Segoe UI" w:hAnsi="Segoe UI" w:cs="Segoe UI"/>
          <w:sz w:val="22"/>
          <w:szCs w:val="22"/>
        </w:rPr>
        <w:t>monthly</w:t>
      </w:r>
      <w:r w:rsidR="00120A2A" w:rsidRPr="009F6D6A">
        <w:rPr>
          <w:rFonts w:ascii="Segoe UI" w:hAnsi="Segoe UI" w:cs="Segoe UI"/>
          <w:sz w:val="22"/>
          <w:szCs w:val="22"/>
        </w:rPr>
        <w:t xml:space="preserve"> </w:t>
      </w:r>
      <w:r w:rsidR="00092197" w:rsidRPr="009F6D6A">
        <w:rPr>
          <w:rFonts w:ascii="Segoe UI" w:hAnsi="Segoe UI" w:cs="Segoe UI"/>
          <w:sz w:val="22"/>
          <w:szCs w:val="22"/>
        </w:rPr>
        <w:t xml:space="preserve">referrals between </w:t>
      </w:r>
      <w:r w:rsidR="00AE72AC">
        <w:rPr>
          <w:rFonts w:ascii="Segoe UI" w:hAnsi="Segoe UI" w:cs="Segoe UI"/>
          <w:sz w:val="22"/>
          <w:szCs w:val="22"/>
        </w:rPr>
        <w:t>September</w:t>
      </w:r>
      <w:r w:rsidR="00092197" w:rsidRPr="009F6D6A">
        <w:rPr>
          <w:rFonts w:ascii="Segoe UI" w:hAnsi="Segoe UI" w:cs="Segoe UI"/>
          <w:sz w:val="22"/>
          <w:szCs w:val="22"/>
        </w:rPr>
        <w:t xml:space="preserve"> 2018 and </w:t>
      </w:r>
      <w:r w:rsidR="00AE72AC">
        <w:rPr>
          <w:rFonts w:ascii="Segoe UI" w:hAnsi="Segoe UI" w:cs="Segoe UI"/>
          <w:sz w:val="22"/>
          <w:szCs w:val="22"/>
        </w:rPr>
        <w:t>August</w:t>
      </w:r>
      <w:r w:rsidR="00092197" w:rsidRPr="009F6D6A">
        <w:rPr>
          <w:rFonts w:ascii="Segoe UI" w:hAnsi="Segoe UI" w:cs="Segoe UI"/>
          <w:sz w:val="22"/>
          <w:szCs w:val="22"/>
        </w:rPr>
        <w:t xml:space="preserve"> 2019 was</w:t>
      </w:r>
      <w:r w:rsidR="001F32AC" w:rsidRPr="009F6D6A">
        <w:rPr>
          <w:rFonts w:ascii="Segoe UI" w:hAnsi="Segoe UI" w:cs="Segoe UI"/>
          <w:sz w:val="22"/>
          <w:szCs w:val="22"/>
        </w:rPr>
        <w:t xml:space="preserve"> </w:t>
      </w:r>
      <w:r w:rsidR="00D60B04" w:rsidRPr="001F2148">
        <w:rPr>
          <w:rFonts w:ascii="Segoe UI" w:hAnsi="Segoe UI" w:cs="Segoe UI"/>
          <w:sz w:val="22"/>
          <w:szCs w:val="22"/>
        </w:rPr>
        <w:t>21</w:t>
      </w:r>
      <w:r w:rsidR="00AE72AC" w:rsidRPr="001F2148">
        <w:rPr>
          <w:rFonts w:ascii="Segoe UI" w:hAnsi="Segoe UI" w:cs="Segoe UI"/>
          <w:sz w:val="22"/>
          <w:szCs w:val="22"/>
        </w:rPr>
        <w:t>64</w:t>
      </w:r>
      <w:r w:rsidR="00092197" w:rsidRPr="001F2148">
        <w:rPr>
          <w:rFonts w:ascii="Segoe UI" w:hAnsi="Segoe UI" w:cs="Segoe UI"/>
          <w:sz w:val="22"/>
          <w:szCs w:val="22"/>
        </w:rPr>
        <w:t>.</w:t>
      </w:r>
      <w:r w:rsidR="00120A2A" w:rsidRPr="009F6D6A">
        <w:rPr>
          <w:rFonts w:ascii="Segoe UI" w:hAnsi="Segoe UI" w:cs="Segoe UI"/>
          <w:sz w:val="22"/>
          <w:szCs w:val="22"/>
        </w:rPr>
        <w:t xml:space="preserve">  </w:t>
      </w:r>
    </w:p>
    <w:p w:rsidR="009804CA" w:rsidRPr="009F6D6A" w:rsidRDefault="009804CA" w:rsidP="009804CA">
      <w:pPr>
        <w:pStyle w:val="ListParagraph"/>
        <w:ind w:left="426"/>
        <w:jc w:val="both"/>
        <w:rPr>
          <w:rFonts w:ascii="Segoe UI" w:hAnsi="Segoe UI" w:cs="Segoe UI"/>
          <w:sz w:val="22"/>
          <w:szCs w:val="22"/>
        </w:rPr>
      </w:pPr>
    </w:p>
    <w:p w:rsidR="009804CA" w:rsidRPr="009F6D6A" w:rsidRDefault="009804CA" w:rsidP="009804CA">
      <w:pPr>
        <w:pStyle w:val="ListParagraph"/>
        <w:numPr>
          <w:ilvl w:val="0"/>
          <w:numId w:val="23"/>
        </w:numPr>
        <w:ind w:left="426"/>
        <w:jc w:val="both"/>
        <w:rPr>
          <w:rFonts w:ascii="Segoe UI" w:hAnsi="Segoe UI" w:cs="Segoe UI"/>
          <w:b/>
        </w:rPr>
      </w:pPr>
      <w:r w:rsidRPr="009F6D6A">
        <w:rPr>
          <w:rFonts w:ascii="Segoe UI" w:hAnsi="Segoe UI" w:cs="Segoe UI"/>
          <w:b/>
        </w:rPr>
        <w:t>Access/Waits</w:t>
      </w:r>
    </w:p>
    <w:p w:rsidR="008A0CDA" w:rsidRDefault="008A0CDA" w:rsidP="008A0CDA">
      <w:pPr>
        <w:rPr>
          <w:rFonts w:ascii="Segoe UI" w:hAnsi="Segoe UI" w:cs="Segoe UI"/>
          <w:b/>
          <w:bCs/>
        </w:rPr>
      </w:pPr>
    </w:p>
    <w:p w:rsidR="008A0CDA" w:rsidRPr="008A0CDA" w:rsidRDefault="008A0CDA" w:rsidP="008A0CDA">
      <w:pPr>
        <w:ind w:left="426"/>
        <w:rPr>
          <w:rFonts w:ascii="Segoe UI" w:eastAsia="Calibri" w:hAnsi="Segoe UI" w:cs="Segoe UI"/>
          <w:sz w:val="22"/>
          <w:szCs w:val="22"/>
        </w:rPr>
      </w:pPr>
      <w:r w:rsidRPr="008A0CDA">
        <w:rPr>
          <w:rFonts w:ascii="Segoe UI" w:hAnsi="Segoe UI" w:cs="Segoe UI"/>
          <w:b/>
          <w:bCs/>
          <w:sz w:val="22"/>
          <w:szCs w:val="22"/>
        </w:rPr>
        <w:t>Adult Mental Health</w:t>
      </w:r>
      <w:r>
        <w:rPr>
          <w:rFonts w:ascii="Segoe UI" w:hAnsi="Segoe UI" w:cs="Segoe UI"/>
          <w:b/>
          <w:bCs/>
          <w:sz w:val="22"/>
          <w:szCs w:val="22"/>
        </w:rPr>
        <w:t xml:space="preserve"> </w:t>
      </w:r>
      <w:r w:rsidRPr="008A0CDA">
        <w:rPr>
          <w:rFonts w:ascii="Segoe UI" w:hAnsi="Segoe UI" w:cs="Segoe UI"/>
          <w:sz w:val="22"/>
          <w:szCs w:val="22"/>
        </w:rPr>
        <w:t>–</w:t>
      </w:r>
      <w:r w:rsidRPr="008A0CDA">
        <w:rPr>
          <w:rFonts w:ascii="Arial" w:hAnsi="Arial" w:cs="Arial"/>
        </w:rPr>
        <w:t xml:space="preserve"> </w:t>
      </w:r>
      <w:r w:rsidRPr="00312FC7">
        <w:rPr>
          <w:rFonts w:ascii="Segoe UI" w:hAnsi="Segoe UI" w:cs="Segoe UI"/>
          <w:sz w:val="22"/>
          <w:szCs w:val="22"/>
        </w:rPr>
        <w:t xml:space="preserve">A significant </w:t>
      </w:r>
      <w:r w:rsidR="00312FC7">
        <w:rPr>
          <w:rFonts w:ascii="Segoe UI" w:hAnsi="Segoe UI" w:cs="Segoe UI"/>
          <w:sz w:val="22"/>
          <w:szCs w:val="22"/>
        </w:rPr>
        <w:t xml:space="preserve">long-term </w:t>
      </w:r>
      <w:r w:rsidRPr="00312FC7">
        <w:rPr>
          <w:rFonts w:ascii="Segoe UI" w:hAnsi="Segoe UI" w:cs="Segoe UI"/>
          <w:sz w:val="22"/>
          <w:szCs w:val="22"/>
        </w:rPr>
        <w:t xml:space="preserve">underfunding of mental health in Oxfordshire has resulted in considerable pressure building up for mental health services.  </w:t>
      </w:r>
      <w:r w:rsidRPr="00312FC7">
        <w:rPr>
          <w:rFonts w:ascii="Segoe UI" w:hAnsi="Segoe UI" w:cs="Segoe UI"/>
          <w:bCs/>
          <w:sz w:val="22"/>
          <w:szCs w:val="22"/>
        </w:rPr>
        <w:t>Although the waiting time</w:t>
      </w:r>
      <w:r w:rsidR="00312FC7">
        <w:rPr>
          <w:rFonts w:ascii="Segoe UI" w:hAnsi="Segoe UI" w:cs="Segoe UI"/>
          <w:bCs/>
          <w:sz w:val="22"/>
          <w:szCs w:val="22"/>
        </w:rPr>
        <w:t xml:space="preserve"> target w</w:t>
      </w:r>
      <w:r w:rsidRPr="00312FC7">
        <w:rPr>
          <w:rFonts w:ascii="Segoe UI" w:hAnsi="Segoe UI" w:cs="Segoe UI"/>
          <w:bCs/>
          <w:sz w:val="22"/>
          <w:szCs w:val="22"/>
        </w:rPr>
        <w:t xml:space="preserve">as changed to 8 weeks, </w:t>
      </w:r>
      <w:r w:rsidRPr="00312FC7">
        <w:rPr>
          <w:rFonts w:ascii="Segoe UI" w:hAnsi="Segoe UI" w:cs="Segoe UI"/>
          <w:sz w:val="22"/>
          <w:szCs w:val="22"/>
        </w:rPr>
        <w:t>with the current levels of resources available, this position remains challenging. In August 52% of routine referrals were seen within 28 days.</w:t>
      </w:r>
    </w:p>
    <w:p w:rsidR="008A0CDA" w:rsidRDefault="008A0CDA" w:rsidP="009804CA">
      <w:pPr>
        <w:pStyle w:val="ListParagraph"/>
        <w:ind w:left="426"/>
        <w:jc w:val="both"/>
        <w:rPr>
          <w:rFonts w:ascii="Segoe UI" w:hAnsi="Segoe UI" w:cs="Segoe UI"/>
          <w:sz w:val="22"/>
          <w:szCs w:val="22"/>
        </w:rPr>
      </w:pPr>
    </w:p>
    <w:p w:rsidR="00446638" w:rsidRDefault="008A0CDA" w:rsidP="009804CA">
      <w:pPr>
        <w:pStyle w:val="ListParagraph"/>
        <w:ind w:left="426"/>
        <w:jc w:val="both"/>
        <w:rPr>
          <w:rFonts w:ascii="Segoe UI" w:hAnsi="Segoe UI" w:cs="Segoe UI"/>
          <w:sz w:val="22"/>
          <w:szCs w:val="22"/>
        </w:rPr>
      </w:pPr>
      <w:r w:rsidRPr="008A0CDA">
        <w:rPr>
          <w:rFonts w:ascii="Segoe UI" w:hAnsi="Segoe UI" w:cs="Segoe UI"/>
          <w:b/>
          <w:sz w:val="22"/>
          <w:szCs w:val="22"/>
        </w:rPr>
        <w:t>Child &amp; Adolescent Mental Health (CAMH)</w:t>
      </w:r>
      <w:r>
        <w:rPr>
          <w:rFonts w:ascii="Segoe UI" w:hAnsi="Segoe UI" w:cs="Segoe UI"/>
          <w:sz w:val="22"/>
          <w:szCs w:val="22"/>
        </w:rPr>
        <w:t xml:space="preserve"> </w:t>
      </w:r>
      <w:r w:rsidR="00120A2A" w:rsidRPr="009F6D6A">
        <w:rPr>
          <w:rFonts w:ascii="Segoe UI" w:hAnsi="Segoe UI" w:cs="Segoe UI"/>
          <w:sz w:val="22"/>
          <w:szCs w:val="22"/>
        </w:rPr>
        <w:t xml:space="preserve">During </w:t>
      </w:r>
      <w:r w:rsidR="00AE72AC">
        <w:rPr>
          <w:rFonts w:ascii="Segoe UI" w:hAnsi="Segoe UI" w:cs="Segoe UI"/>
          <w:sz w:val="22"/>
          <w:szCs w:val="22"/>
        </w:rPr>
        <w:t>August</w:t>
      </w:r>
      <w:r w:rsidR="00B63BFE" w:rsidRPr="009F6D6A">
        <w:rPr>
          <w:rFonts w:ascii="Segoe UI" w:hAnsi="Segoe UI" w:cs="Segoe UI"/>
          <w:sz w:val="22"/>
          <w:szCs w:val="22"/>
        </w:rPr>
        <w:t xml:space="preserve"> a</w:t>
      </w:r>
      <w:r w:rsidR="009804CA" w:rsidRPr="009F6D6A">
        <w:rPr>
          <w:rFonts w:ascii="Segoe UI" w:hAnsi="Segoe UI" w:cs="Segoe UI"/>
          <w:sz w:val="22"/>
          <w:szCs w:val="22"/>
        </w:rPr>
        <w:t xml:space="preserve">ccess to the Oxfordshire </w:t>
      </w:r>
      <w:r w:rsidR="00092197" w:rsidRPr="009F6D6A">
        <w:rPr>
          <w:rFonts w:ascii="Segoe UI" w:hAnsi="Segoe UI" w:cs="Segoe UI"/>
          <w:sz w:val="22"/>
          <w:szCs w:val="22"/>
        </w:rPr>
        <w:t xml:space="preserve">and Buckinghamshire </w:t>
      </w:r>
      <w:r w:rsidR="009804CA" w:rsidRPr="009F6D6A">
        <w:rPr>
          <w:rFonts w:ascii="Segoe UI" w:hAnsi="Segoe UI" w:cs="Segoe UI"/>
          <w:sz w:val="22"/>
          <w:szCs w:val="22"/>
        </w:rPr>
        <w:t>CAMH service</w:t>
      </w:r>
      <w:r w:rsidR="00092197" w:rsidRPr="009F6D6A">
        <w:rPr>
          <w:rFonts w:ascii="Segoe UI" w:hAnsi="Segoe UI" w:cs="Segoe UI"/>
          <w:sz w:val="22"/>
          <w:szCs w:val="22"/>
        </w:rPr>
        <w:t>s</w:t>
      </w:r>
      <w:r w:rsidR="009804CA" w:rsidRPr="009F6D6A">
        <w:rPr>
          <w:rFonts w:ascii="Segoe UI" w:hAnsi="Segoe UI" w:cs="Segoe UI"/>
          <w:sz w:val="22"/>
          <w:szCs w:val="22"/>
        </w:rPr>
        <w:t xml:space="preserve"> continue</w:t>
      </w:r>
      <w:r w:rsidR="00120A2A" w:rsidRPr="009F6D6A">
        <w:rPr>
          <w:rFonts w:ascii="Segoe UI" w:hAnsi="Segoe UI" w:cs="Segoe UI"/>
          <w:sz w:val="22"/>
          <w:szCs w:val="22"/>
        </w:rPr>
        <w:t>d</w:t>
      </w:r>
      <w:r w:rsidR="009804CA" w:rsidRPr="009F6D6A">
        <w:rPr>
          <w:rFonts w:ascii="Segoe UI" w:hAnsi="Segoe UI" w:cs="Segoe UI"/>
          <w:sz w:val="22"/>
          <w:szCs w:val="22"/>
        </w:rPr>
        <w:t xml:space="preserve"> to be challenging, with only </w:t>
      </w:r>
      <w:r w:rsidR="00AE72AC" w:rsidRPr="001F2148">
        <w:rPr>
          <w:rFonts w:ascii="Segoe UI" w:hAnsi="Segoe UI" w:cs="Segoe UI"/>
          <w:sz w:val="22"/>
          <w:szCs w:val="22"/>
        </w:rPr>
        <w:t>29</w:t>
      </w:r>
      <w:r w:rsidR="009804CA" w:rsidRPr="001F2148">
        <w:rPr>
          <w:rFonts w:ascii="Segoe UI" w:hAnsi="Segoe UI" w:cs="Segoe UI"/>
          <w:sz w:val="22"/>
          <w:szCs w:val="22"/>
        </w:rPr>
        <w:t>%</w:t>
      </w:r>
      <w:r w:rsidR="00105532" w:rsidRPr="009F6D6A">
        <w:rPr>
          <w:rFonts w:ascii="Segoe UI" w:hAnsi="Segoe UI" w:cs="Segoe UI"/>
          <w:sz w:val="22"/>
          <w:szCs w:val="22"/>
        </w:rPr>
        <w:t xml:space="preserve"> of patients</w:t>
      </w:r>
      <w:r w:rsidR="002A694A">
        <w:rPr>
          <w:rFonts w:ascii="Segoe UI" w:hAnsi="Segoe UI" w:cs="Segoe UI"/>
          <w:sz w:val="22"/>
          <w:szCs w:val="22"/>
        </w:rPr>
        <w:t xml:space="preserve"> referred to routine pathways</w:t>
      </w:r>
      <w:r w:rsidR="00105532" w:rsidRPr="009F6D6A">
        <w:rPr>
          <w:rFonts w:ascii="Segoe UI" w:hAnsi="Segoe UI" w:cs="Segoe UI"/>
          <w:sz w:val="22"/>
          <w:szCs w:val="22"/>
        </w:rPr>
        <w:t xml:space="preserve"> seen</w:t>
      </w:r>
      <w:r w:rsidR="009804CA" w:rsidRPr="009F6D6A">
        <w:rPr>
          <w:rFonts w:ascii="Segoe UI" w:hAnsi="Segoe UI" w:cs="Segoe UI"/>
          <w:sz w:val="22"/>
          <w:szCs w:val="22"/>
        </w:rPr>
        <w:t xml:space="preserve"> </w:t>
      </w:r>
      <w:r w:rsidR="00446638" w:rsidRPr="009F6D6A">
        <w:rPr>
          <w:rFonts w:ascii="Segoe UI" w:hAnsi="Segoe UI" w:cs="Segoe UI"/>
          <w:sz w:val="22"/>
          <w:szCs w:val="22"/>
        </w:rPr>
        <w:t>within 12 weeks</w:t>
      </w:r>
      <w:r w:rsidR="000459D5" w:rsidRPr="009F6D6A">
        <w:rPr>
          <w:rFonts w:ascii="Segoe UI" w:hAnsi="Segoe UI" w:cs="Segoe UI"/>
          <w:sz w:val="22"/>
          <w:szCs w:val="22"/>
        </w:rPr>
        <w:t xml:space="preserve"> in Oxon</w:t>
      </w:r>
      <w:r w:rsidR="00446638" w:rsidRPr="009F6D6A">
        <w:rPr>
          <w:rFonts w:ascii="Segoe UI" w:hAnsi="Segoe UI" w:cs="Segoe UI"/>
          <w:sz w:val="22"/>
          <w:szCs w:val="22"/>
        </w:rPr>
        <w:t xml:space="preserve"> </w:t>
      </w:r>
      <w:r w:rsidR="00092197" w:rsidRPr="009F6D6A">
        <w:rPr>
          <w:rFonts w:ascii="Segoe UI" w:hAnsi="Segoe UI" w:cs="Segoe UI"/>
          <w:sz w:val="22"/>
          <w:szCs w:val="22"/>
        </w:rPr>
        <w:t xml:space="preserve">and </w:t>
      </w:r>
      <w:r w:rsidR="00AE72AC" w:rsidRPr="001F2148">
        <w:rPr>
          <w:rFonts w:ascii="Segoe UI" w:hAnsi="Segoe UI" w:cs="Segoe UI"/>
          <w:sz w:val="22"/>
          <w:szCs w:val="22"/>
        </w:rPr>
        <w:t>64</w:t>
      </w:r>
      <w:r w:rsidR="00092197" w:rsidRPr="001F2148">
        <w:rPr>
          <w:rFonts w:ascii="Segoe UI" w:hAnsi="Segoe UI" w:cs="Segoe UI"/>
          <w:sz w:val="22"/>
          <w:szCs w:val="22"/>
        </w:rPr>
        <w:t>%</w:t>
      </w:r>
      <w:r w:rsidR="00092197" w:rsidRPr="009F6D6A">
        <w:rPr>
          <w:rFonts w:ascii="Segoe UI" w:hAnsi="Segoe UI" w:cs="Segoe UI"/>
          <w:sz w:val="22"/>
          <w:szCs w:val="22"/>
        </w:rPr>
        <w:t xml:space="preserve"> </w:t>
      </w:r>
      <w:r w:rsidR="000459D5" w:rsidRPr="009F6D6A">
        <w:rPr>
          <w:rFonts w:ascii="Segoe UI" w:hAnsi="Segoe UI" w:cs="Segoe UI"/>
          <w:sz w:val="22"/>
          <w:szCs w:val="22"/>
        </w:rPr>
        <w:t xml:space="preserve">of patients seen </w:t>
      </w:r>
      <w:r w:rsidR="00446638" w:rsidRPr="009F6D6A">
        <w:rPr>
          <w:rFonts w:ascii="Segoe UI" w:hAnsi="Segoe UI" w:cs="Segoe UI"/>
          <w:sz w:val="22"/>
          <w:szCs w:val="22"/>
        </w:rPr>
        <w:t xml:space="preserve">within 4 weeks </w:t>
      </w:r>
      <w:r w:rsidR="000459D5" w:rsidRPr="009F6D6A">
        <w:rPr>
          <w:rFonts w:ascii="Segoe UI" w:hAnsi="Segoe UI" w:cs="Segoe UI"/>
          <w:sz w:val="22"/>
          <w:szCs w:val="22"/>
        </w:rPr>
        <w:t xml:space="preserve">in </w:t>
      </w:r>
      <w:proofErr w:type="spellStart"/>
      <w:r w:rsidR="000459D5" w:rsidRPr="009F6D6A">
        <w:rPr>
          <w:rFonts w:ascii="Segoe UI" w:hAnsi="Segoe UI" w:cs="Segoe UI"/>
          <w:sz w:val="22"/>
          <w:szCs w:val="22"/>
        </w:rPr>
        <w:t>Bucks</w:t>
      </w:r>
      <w:r w:rsidR="001F2148">
        <w:rPr>
          <w:rFonts w:ascii="Segoe UI" w:hAnsi="Segoe UI" w:cs="Segoe UI"/>
          <w:sz w:val="22"/>
          <w:szCs w:val="22"/>
        </w:rPr>
        <w:t>.</w:t>
      </w:r>
      <w:proofErr w:type="spellEnd"/>
      <w:r w:rsidR="001F2148">
        <w:rPr>
          <w:rFonts w:ascii="Segoe UI" w:hAnsi="Segoe UI" w:cs="Segoe UI"/>
          <w:sz w:val="22"/>
          <w:szCs w:val="22"/>
        </w:rPr>
        <w:t xml:space="preserve"> </w:t>
      </w:r>
      <w:r w:rsidR="002A694A">
        <w:rPr>
          <w:rFonts w:ascii="Segoe UI" w:hAnsi="Segoe UI" w:cs="Segoe UI"/>
          <w:sz w:val="22"/>
          <w:szCs w:val="22"/>
        </w:rPr>
        <w:t xml:space="preserve"> In Oxfordshire specifically, this decrease in performance was expected as the longest waiters are now being </w:t>
      </w:r>
      <w:proofErr w:type="spellStart"/>
      <w:r w:rsidR="002A694A">
        <w:rPr>
          <w:rFonts w:ascii="Segoe UI" w:hAnsi="Segoe UI" w:cs="Segoe UI"/>
          <w:sz w:val="22"/>
          <w:szCs w:val="22"/>
        </w:rPr>
        <w:t>prioritised</w:t>
      </w:r>
      <w:proofErr w:type="spellEnd"/>
      <w:r w:rsidR="002A694A">
        <w:rPr>
          <w:rFonts w:ascii="Segoe UI" w:hAnsi="Segoe UI" w:cs="Segoe UI"/>
          <w:sz w:val="22"/>
          <w:szCs w:val="22"/>
        </w:rPr>
        <w:t xml:space="preserve"> as part of an improvement plan agreed with Commissioners. </w:t>
      </w:r>
      <w:r w:rsidR="001F2148">
        <w:rPr>
          <w:rFonts w:ascii="Segoe UI" w:hAnsi="Segoe UI" w:cs="Segoe UI"/>
          <w:sz w:val="22"/>
          <w:szCs w:val="22"/>
        </w:rPr>
        <w:t xml:space="preserve"> </w:t>
      </w:r>
      <w:r w:rsidR="00B63BFE" w:rsidRPr="009F6D6A">
        <w:rPr>
          <w:rFonts w:ascii="Segoe UI" w:hAnsi="Segoe UI" w:cs="Segoe UI"/>
          <w:sz w:val="22"/>
          <w:szCs w:val="22"/>
        </w:rPr>
        <w:t xml:space="preserve"> </w:t>
      </w:r>
    </w:p>
    <w:p w:rsidR="001F2148" w:rsidRPr="009F6D6A" w:rsidRDefault="001F2148" w:rsidP="009804CA">
      <w:pPr>
        <w:pStyle w:val="ListParagraph"/>
        <w:ind w:left="426"/>
        <w:jc w:val="both"/>
        <w:rPr>
          <w:rFonts w:ascii="Segoe UI" w:hAnsi="Segoe UI" w:cs="Segoe UI"/>
          <w:sz w:val="22"/>
          <w:szCs w:val="22"/>
        </w:rPr>
      </w:pPr>
    </w:p>
    <w:p w:rsidR="009804CA" w:rsidRPr="009F6D6A" w:rsidRDefault="009804CA" w:rsidP="009804CA">
      <w:pPr>
        <w:pStyle w:val="ListParagraph"/>
        <w:ind w:left="426"/>
        <w:jc w:val="both"/>
        <w:rPr>
          <w:rFonts w:ascii="Segoe UI" w:hAnsi="Segoe UI" w:cs="Segoe UI"/>
          <w:sz w:val="22"/>
          <w:szCs w:val="22"/>
        </w:rPr>
      </w:pPr>
      <w:r w:rsidRPr="009F6D6A">
        <w:rPr>
          <w:rFonts w:ascii="Segoe UI" w:hAnsi="Segoe UI" w:cs="Segoe UI"/>
          <w:sz w:val="22"/>
          <w:szCs w:val="22"/>
        </w:rPr>
        <w:t xml:space="preserve">Emergency referrals </w:t>
      </w:r>
      <w:r w:rsidR="002A694A">
        <w:rPr>
          <w:rFonts w:ascii="Segoe UI" w:hAnsi="Segoe UI" w:cs="Segoe UI"/>
          <w:sz w:val="22"/>
          <w:szCs w:val="22"/>
        </w:rPr>
        <w:t>continue to be</w:t>
      </w:r>
      <w:r w:rsidRPr="009F6D6A">
        <w:rPr>
          <w:rFonts w:ascii="Segoe UI" w:hAnsi="Segoe UI" w:cs="Segoe UI"/>
          <w:sz w:val="22"/>
          <w:szCs w:val="22"/>
        </w:rPr>
        <w:t xml:space="preserve"> </w:t>
      </w:r>
      <w:proofErr w:type="spellStart"/>
      <w:r w:rsidRPr="009F6D6A">
        <w:rPr>
          <w:rFonts w:ascii="Segoe UI" w:hAnsi="Segoe UI" w:cs="Segoe UI"/>
          <w:sz w:val="22"/>
          <w:szCs w:val="22"/>
        </w:rPr>
        <w:t>prioritised</w:t>
      </w:r>
      <w:proofErr w:type="spellEnd"/>
      <w:r w:rsidRPr="009F6D6A">
        <w:rPr>
          <w:rFonts w:ascii="Segoe UI" w:hAnsi="Segoe UI" w:cs="Segoe UI"/>
          <w:sz w:val="22"/>
          <w:szCs w:val="22"/>
        </w:rPr>
        <w:t xml:space="preserve"> within available resources and </w:t>
      </w:r>
      <w:r w:rsidR="008D2EA8" w:rsidRPr="009F6D6A">
        <w:rPr>
          <w:rFonts w:ascii="Segoe UI" w:hAnsi="Segoe UI" w:cs="Segoe UI"/>
          <w:sz w:val="22"/>
          <w:szCs w:val="22"/>
        </w:rPr>
        <w:t xml:space="preserve">all patients </w:t>
      </w:r>
      <w:r w:rsidR="006662C3" w:rsidRPr="009F6D6A">
        <w:rPr>
          <w:rFonts w:ascii="Segoe UI" w:hAnsi="Segoe UI" w:cs="Segoe UI"/>
          <w:sz w:val="22"/>
          <w:szCs w:val="22"/>
        </w:rPr>
        <w:t xml:space="preserve">since </w:t>
      </w:r>
      <w:r w:rsidR="002A694A">
        <w:rPr>
          <w:rFonts w:ascii="Segoe UI" w:hAnsi="Segoe UI" w:cs="Segoe UI"/>
          <w:sz w:val="22"/>
          <w:szCs w:val="22"/>
        </w:rPr>
        <w:t xml:space="preserve">last </w:t>
      </w:r>
      <w:r w:rsidR="006662C3" w:rsidRPr="009F6D6A">
        <w:rPr>
          <w:rFonts w:ascii="Segoe UI" w:hAnsi="Segoe UI" w:cs="Segoe UI"/>
          <w:sz w:val="22"/>
          <w:szCs w:val="22"/>
        </w:rPr>
        <w:t xml:space="preserve">October have been </w:t>
      </w:r>
      <w:r w:rsidR="008D2EA8" w:rsidRPr="009F6D6A">
        <w:rPr>
          <w:rFonts w:ascii="Segoe UI" w:hAnsi="Segoe UI" w:cs="Segoe UI"/>
          <w:sz w:val="22"/>
          <w:szCs w:val="22"/>
        </w:rPr>
        <w:t xml:space="preserve">seen within the </w:t>
      </w:r>
      <w:r w:rsidR="00706A13" w:rsidRPr="009F6D6A">
        <w:rPr>
          <w:rFonts w:ascii="Segoe UI" w:hAnsi="Segoe UI" w:cs="Segoe UI"/>
          <w:sz w:val="22"/>
          <w:szCs w:val="22"/>
        </w:rPr>
        <w:t>4-hour</w:t>
      </w:r>
      <w:r w:rsidR="008D2EA8" w:rsidRPr="009F6D6A">
        <w:rPr>
          <w:rFonts w:ascii="Segoe UI" w:hAnsi="Segoe UI" w:cs="Segoe UI"/>
          <w:sz w:val="22"/>
          <w:szCs w:val="22"/>
        </w:rPr>
        <w:t xml:space="preserve"> target.</w:t>
      </w:r>
    </w:p>
    <w:p w:rsidR="00EC74BA" w:rsidRPr="009F6D6A" w:rsidRDefault="00EC74BA" w:rsidP="009804CA">
      <w:pPr>
        <w:pStyle w:val="ListParagraph"/>
        <w:ind w:left="426"/>
        <w:jc w:val="both"/>
        <w:rPr>
          <w:rFonts w:ascii="Segoe UI" w:hAnsi="Segoe UI" w:cs="Segoe UI"/>
          <w:sz w:val="22"/>
          <w:szCs w:val="22"/>
        </w:rPr>
      </w:pPr>
    </w:p>
    <w:p w:rsidR="00EC74BA" w:rsidRPr="009F6D6A" w:rsidRDefault="00771B7F" w:rsidP="009804CA">
      <w:pPr>
        <w:pStyle w:val="ListParagraph"/>
        <w:ind w:left="426"/>
        <w:jc w:val="both"/>
        <w:rPr>
          <w:rFonts w:ascii="Segoe UI" w:hAnsi="Segoe UI" w:cs="Segoe UI"/>
          <w:sz w:val="22"/>
          <w:szCs w:val="22"/>
        </w:rPr>
      </w:pPr>
      <w:r w:rsidRPr="009F6D6A">
        <w:rPr>
          <w:rFonts w:ascii="Segoe UI" w:hAnsi="Segoe UI" w:cs="Segoe UI"/>
          <w:sz w:val="22"/>
          <w:szCs w:val="22"/>
        </w:rPr>
        <w:t>An action plan is in place with Buckinghamshire CCG in relation to Bucks CAMHS waits.  A review of the waiting times report rules is in progress as part of this plan.</w:t>
      </w:r>
    </w:p>
    <w:p w:rsidR="009804CA" w:rsidRPr="009F6D6A" w:rsidRDefault="009804CA" w:rsidP="009804CA">
      <w:pPr>
        <w:pStyle w:val="ListParagraph"/>
        <w:ind w:left="426"/>
        <w:jc w:val="both"/>
        <w:rPr>
          <w:rFonts w:ascii="Segoe UI" w:hAnsi="Segoe UI" w:cs="Segoe UI"/>
        </w:rPr>
      </w:pPr>
    </w:p>
    <w:p w:rsidR="009804CA" w:rsidRPr="009F6D6A" w:rsidRDefault="009804CA" w:rsidP="009804CA">
      <w:pPr>
        <w:pStyle w:val="ListParagraph"/>
        <w:numPr>
          <w:ilvl w:val="0"/>
          <w:numId w:val="23"/>
        </w:numPr>
        <w:ind w:left="426"/>
        <w:jc w:val="both"/>
        <w:rPr>
          <w:rFonts w:ascii="Segoe UI" w:hAnsi="Segoe UI" w:cs="Segoe UI"/>
          <w:b/>
        </w:rPr>
      </w:pPr>
      <w:r w:rsidRPr="009F6D6A">
        <w:rPr>
          <w:rFonts w:ascii="Segoe UI" w:hAnsi="Segoe UI" w:cs="Segoe UI"/>
          <w:b/>
        </w:rPr>
        <w:t>Delayed Transfers of Care (DTOC)</w:t>
      </w:r>
    </w:p>
    <w:p w:rsidR="00761A13" w:rsidRPr="009F6D6A" w:rsidRDefault="000459D5" w:rsidP="00761A13">
      <w:pPr>
        <w:pStyle w:val="ListParagraph"/>
        <w:ind w:left="426"/>
        <w:jc w:val="both"/>
        <w:rPr>
          <w:rFonts w:ascii="Segoe UI" w:hAnsi="Segoe UI" w:cs="Segoe UI"/>
          <w:sz w:val="22"/>
          <w:szCs w:val="22"/>
        </w:rPr>
      </w:pPr>
      <w:r w:rsidRPr="009F6D6A">
        <w:rPr>
          <w:rFonts w:ascii="Segoe UI" w:hAnsi="Segoe UI" w:cs="Segoe UI"/>
          <w:sz w:val="22"/>
          <w:szCs w:val="22"/>
        </w:rPr>
        <w:t xml:space="preserve">In </w:t>
      </w:r>
      <w:r w:rsidR="00AE72AC">
        <w:rPr>
          <w:rFonts w:ascii="Segoe UI" w:hAnsi="Segoe UI" w:cs="Segoe UI"/>
          <w:sz w:val="22"/>
          <w:szCs w:val="22"/>
        </w:rPr>
        <w:t>August</w:t>
      </w:r>
      <w:r w:rsidRPr="009F6D6A">
        <w:rPr>
          <w:rFonts w:ascii="Segoe UI" w:hAnsi="Segoe UI" w:cs="Segoe UI"/>
          <w:sz w:val="22"/>
          <w:szCs w:val="22"/>
        </w:rPr>
        <w:t xml:space="preserve">, bed days lost to DTOC in mental health </w:t>
      </w:r>
      <w:r w:rsidR="00E9528B" w:rsidRPr="009F6D6A">
        <w:rPr>
          <w:rFonts w:ascii="Segoe UI" w:hAnsi="Segoe UI" w:cs="Segoe UI"/>
          <w:sz w:val="22"/>
          <w:szCs w:val="22"/>
        </w:rPr>
        <w:t xml:space="preserve">has reduced from last month at 170 </w:t>
      </w:r>
      <w:r w:rsidRPr="009F6D6A">
        <w:rPr>
          <w:rFonts w:ascii="Segoe UI" w:hAnsi="Segoe UI" w:cs="Segoe UI"/>
          <w:sz w:val="22"/>
          <w:szCs w:val="22"/>
        </w:rPr>
        <w:t xml:space="preserve">(equivalent to </w:t>
      </w:r>
      <w:r w:rsidR="00E9528B" w:rsidRPr="009F6D6A">
        <w:rPr>
          <w:rFonts w:ascii="Segoe UI" w:hAnsi="Segoe UI" w:cs="Segoe UI"/>
          <w:sz w:val="22"/>
          <w:szCs w:val="22"/>
        </w:rPr>
        <w:t>6</w:t>
      </w:r>
      <w:r w:rsidR="00761A13" w:rsidRPr="009F6D6A">
        <w:rPr>
          <w:rFonts w:ascii="Segoe UI" w:hAnsi="Segoe UI" w:cs="Segoe UI"/>
          <w:sz w:val="22"/>
          <w:szCs w:val="22"/>
        </w:rPr>
        <w:t xml:space="preserve"> beds)</w:t>
      </w:r>
      <w:r w:rsidRPr="009F6D6A">
        <w:rPr>
          <w:rFonts w:ascii="Segoe UI" w:hAnsi="Segoe UI" w:cs="Segoe UI"/>
          <w:sz w:val="22"/>
          <w:szCs w:val="22"/>
        </w:rPr>
        <w:t xml:space="preserve">, compared with a rolling </w:t>
      </w:r>
      <w:proofErr w:type="gramStart"/>
      <w:r w:rsidRPr="009F6D6A">
        <w:rPr>
          <w:rFonts w:ascii="Segoe UI" w:hAnsi="Segoe UI" w:cs="Segoe UI"/>
          <w:sz w:val="22"/>
          <w:szCs w:val="22"/>
        </w:rPr>
        <w:t>12 month</w:t>
      </w:r>
      <w:proofErr w:type="gramEnd"/>
      <w:r w:rsidRPr="009F6D6A">
        <w:rPr>
          <w:rFonts w:ascii="Segoe UI" w:hAnsi="Segoe UI" w:cs="Segoe UI"/>
          <w:sz w:val="22"/>
          <w:szCs w:val="22"/>
        </w:rPr>
        <w:t xml:space="preserve"> average of </w:t>
      </w:r>
      <w:r w:rsidR="00F83B22" w:rsidRPr="002A694A">
        <w:rPr>
          <w:rFonts w:ascii="Segoe UI" w:hAnsi="Segoe UI" w:cs="Segoe UI"/>
          <w:sz w:val="22"/>
          <w:szCs w:val="22"/>
        </w:rPr>
        <w:t>192</w:t>
      </w:r>
      <w:r w:rsidR="00761A13" w:rsidRPr="002A694A">
        <w:rPr>
          <w:rFonts w:ascii="Segoe UI" w:hAnsi="Segoe UI" w:cs="Segoe UI"/>
          <w:sz w:val="22"/>
          <w:szCs w:val="22"/>
        </w:rPr>
        <w:t xml:space="preserve"> </w:t>
      </w:r>
      <w:r w:rsidR="002A694A">
        <w:rPr>
          <w:rFonts w:ascii="Segoe UI" w:hAnsi="Segoe UI" w:cs="Segoe UI"/>
          <w:sz w:val="22"/>
          <w:szCs w:val="22"/>
        </w:rPr>
        <w:t>(</w:t>
      </w:r>
      <w:r w:rsidR="00761A13" w:rsidRPr="002A694A">
        <w:rPr>
          <w:rFonts w:ascii="Segoe UI" w:hAnsi="Segoe UI" w:cs="Segoe UI"/>
          <w:sz w:val="22"/>
          <w:szCs w:val="22"/>
        </w:rPr>
        <w:t>7</w:t>
      </w:r>
      <w:r w:rsidR="00761A13" w:rsidRPr="009F6D6A">
        <w:rPr>
          <w:rFonts w:ascii="Segoe UI" w:hAnsi="Segoe UI" w:cs="Segoe UI"/>
          <w:sz w:val="22"/>
          <w:szCs w:val="22"/>
        </w:rPr>
        <w:t xml:space="preserve"> beds</w:t>
      </w:r>
      <w:r w:rsidR="002A694A">
        <w:rPr>
          <w:rFonts w:ascii="Segoe UI" w:hAnsi="Segoe UI" w:cs="Segoe UI"/>
          <w:sz w:val="22"/>
          <w:szCs w:val="22"/>
        </w:rPr>
        <w:t>)</w:t>
      </w:r>
      <w:r w:rsidR="00761A13" w:rsidRPr="009F6D6A">
        <w:rPr>
          <w:rFonts w:ascii="Segoe UI" w:hAnsi="Segoe UI" w:cs="Segoe UI"/>
          <w:sz w:val="22"/>
          <w:szCs w:val="22"/>
        </w:rPr>
        <w:t xml:space="preserve">.    Community DTOC </w:t>
      </w:r>
      <w:r w:rsidR="00F83B22" w:rsidRPr="002A694A">
        <w:rPr>
          <w:rFonts w:ascii="Segoe UI" w:hAnsi="Segoe UI" w:cs="Segoe UI"/>
          <w:sz w:val="22"/>
          <w:szCs w:val="22"/>
        </w:rPr>
        <w:t>in</w:t>
      </w:r>
      <w:r w:rsidR="00761A13" w:rsidRPr="002A694A">
        <w:rPr>
          <w:rFonts w:ascii="Segoe UI" w:hAnsi="Segoe UI" w:cs="Segoe UI"/>
          <w:sz w:val="22"/>
          <w:szCs w:val="22"/>
        </w:rPr>
        <w:t xml:space="preserve">creased by </w:t>
      </w:r>
      <w:r w:rsidR="00F83B22" w:rsidRPr="002A694A">
        <w:rPr>
          <w:rFonts w:ascii="Segoe UI" w:hAnsi="Segoe UI" w:cs="Segoe UI"/>
          <w:sz w:val="22"/>
          <w:szCs w:val="22"/>
        </w:rPr>
        <w:t>129</w:t>
      </w:r>
      <w:r w:rsidR="00761A13" w:rsidRPr="009F6D6A">
        <w:rPr>
          <w:rFonts w:ascii="Segoe UI" w:hAnsi="Segoe UI" w:cs="Segoe UI"/>
          <w:sz w:val="22"/>
          <w:szCs w:val="22"/>
        </w:rPr>
        <w:t xml:space="preserve"> days in </w:t>
      </w:r>
      <w:r w:rsidR="00F83B22">
        <w:rPr>
          <w:rFonts w:ascii="Segoe UI" w:hAnsi="Segoe UI" w:cs="Segoe UI"/>
          <w:sz w:val="22"/>
          <w:szCs w:val="22"/>
        </w:rPr>
        <w:t>August</w:t>
      </w:r>
      <w:r w:rsidR="00761A13" w:rsidRPr="009F6D6A">
        <w:rPr>
          <w:rFonts w:ascii="Segoe UI" w:hAnsi="Segoe UI" w:cs="Segoe UI"/>
          <w:sz w:val="22"/>
          <w:szCs w:val="22"/>
        </w:rPr>
        <w:t xml:space="preserve"> to </w:t>
      </w:r>
      <w:r w:rsidR="00E9528B" w:rsidRPr="002A694A">
        <w:rPr>
          <w:rFonts w:ascii="Segoe UI" w:hAnsi="Segoe UI" w:cs="Segoe UI"/>
          <w:sz w:val="22"/>
          <w:szCs w:val="22"/>
        </w:rPr>
        <w:t>1</w:t>
      </w:r>
      <w:r w:rsidR="00F83B22" w:rsidRPr="002A694A">
        <w:rPr>
          <w:rFonts w:ascii="Segoe UI" w:hAnsi="Segoe UI" w:cs="Segoe UI"/>
          <w:sz w:val="22"/>
          <w:szCs w:val="22"/>
        </w:rPr>
        <w:t>406</w:t>
      </w:r>
      <w:r w:rsidR="00761A13" w:rsidRPr="009F6D6A">
        <w:rPr>
          <w:rFonts w:ascii="Segoe UI" w:hAnsi="Segoe UI" w:cs="Segoe UI"/>
          <w:sz w:val="22"/>
          <w:szCs w:val="22"/>
        </w:rPr>
        <w:t xml:space="preserve"> bed days lost (equivalent to </w:t>
      </w:r>
      <w:r w:rsidR="00F83B22" w:rsidRPr="002A694A">
        <w:rPr>
          <w:rFonts w:ascii="Segoe UI" w:hAnsi="Segoe UI" w:cs="Segoe UI"/>
          <w:sz w:val="22"/>
          <w:szCs w:val="22"/>
        </w:rPr>
        <w:t>48</w:t>
      </w:r>
      <w:r w:rsidR="00761A13" w:rsidRPr="009F6D6A">
        <w:rPr>
          <w:rFonts w:ascii="Segoe UI" w:hAnsi="Segoe UI" w:cs="Segoe UI"/>
          <w:sz w:val="22"/>
          <w:szCs w:val="22"/>
        </w:rPr>
        <w:t xml:space="preserve"> beds), with a rolling </w:t>
      </w:r>
      <w:proofErr w:type="gramStart"/>
      <w:r w:rsidR="00761A13" w:rsidRPr="009F6D6A">
        <w:rPr>
          <w:rFonts w:ascii="Segoe UI" w:hAnsi="Segoe UI" w:cs="Segoe UI"/>
          <w:sz w:val="22"/>
          <w:szCs w:val="22"/>
        </w:rPr>
        <w:t>12 month</w:t>
      </w:r>
      <w:proofErr w:type="gramEnd"/>
      <w:r w:rsidR="00761A13" w:rsidRPr="009F6D6A">
        <w:rPr>
          <w:rFonts w:ascii="Segoe UI" w:hAnsi="Segoe UI" w:cs="Segoe UI"/>
          <w:sz w:val="22"/>
          <w:szCs w:val="22"/>
        </w:rPr>
        <w:t xml:space="preserve"> average of </w:t>
      </w:r>
      <w:r w:rsidR="00E9528B" w:rsidRPr="002A694A">
        <w:rPr>
          <w:rFonts w:ascii="Segoe UI" w:hAnsi="Segoe UI" w:cs="Segoe UI"/>
          <w:sz w:val="22"/>
          <w:szCs w:val="22"/>
        </w:rPr>
        <w:t>1</w:t>
      </w:r>
      <w:r w:rsidR="00F83B22" w:rsidRPr="002A694A">
        <w:rPr>
          <w:rFonts w:ascii="Segoe UI" w:hAnsi="Segoe UI" w:cs="Segoe UI"/>
          <w:sz w:val="22"/>
          <w:szCs w:val="22"/>
        </w:rPr>
        <w:t>301</w:t>
      </w:r>
      <w:r w:rsidR="00761A13" w:rsidRPr="009F6D6A">
        <w:rPr>
          <w:rFonts w:ascii="Segoe UI" w:hAnsi="Segoe UI" w:cs="Segoe UI"/>
          <w:sz w:val="22"/>
          <w:szCs w:val="22"/>
        </w:rPr>
        <w:t xml:space="preserve"> days per month </w:t>
      </w:r>
      <w:r w:rsidR="002A694A">
        <w:rPr>
          <w:rFonts w:ascii="Segoe UI" w:hAnsi="Segoe UI" w:cs="Segoe UI"/>
          <w:sz w:val="22"/>
          <w:szCs w:val="22"/>
        </w:rPr>
        <w:t>(</w:t>
      </w:r>
      <w:r w:rsidR="00761A13" w:rsidRPr="002A694A">
        <w:rPr>
          <w:rFonts w:ascii="Segoe UI" w:hAnsi="Segoe UI" w:cs="Segoe UI"/>
          <w:sz w:val="22"/>
          <w:szCs w:val="22"/>
        </w:rPr>
        <w:t>42</w:t>
      </w:r>
      <w:r w:rsidR="00761A13" w:rsidRPr="009F6D6A">
        <w:rPr>
          <w:rFonts w:ascii="Segoe UI" w:hAnsi="Segoe UI" w:cs="Segoe UI"/>
          <w:sz w:val="22"/>
          <w:szCs w:val="22"/>
        </w:rPr>
        <w:t xml:space="preserve"> beds</w:t>
      </w:r>
      <w:r w:rsidR="002A694A">
        <w:rPr>
          <w:rFonts w:ascii="Segoe UI" w:hAnsi="Segoe UI" w:cs="Segoe UI"/>
          <w:sz w:val="22"/>
          <w:szCs w:val="22"/>
        </w:rPr>
        <w:t>)</w:t>
      </w:r>
      <w:r w:rsidR="00761A13" w:rsidRPr="009F6D6A">
        <w:rPr>
          <w:rFonts w:ascii="Segoe UI" w:hAnsi="Segoe UI" w:cs="Segoe UI"/>
          <w:sz w:val="22"/>
          <w:szCs w:val="22"/>
        </w:rPr>
        <w:t>.</w:t>
      </w:r>
    </w:p>
    <w:p w:rsidR="006662C3" w:rsidRPr="009F6D6A" w:rsidRDefault="00761A13" w:rsidP="009804CA">
      <w:pPr>
        <w:pStyle w:val="ListParagraph"/>
        <w:ind w:left="426"/>
        <w:jc w:val="both"/>
        <w:rPr>
          <w:rFonts w:ascii="Segoe UI" w:hAnsi="Segoe UI" w:cs="Segoe UI"/>
          <w:sz w:val="22"/>
          <w:szCs w:val="22"/>
        </w:rPr>
      </w:pPr>
      <w:r w:rsidRPr="009F6D6A">
        <w:rPr>
          <w:rFonts w:ascii="Segoe UI" w:hAnsi="Segoe UI" w:cs="Segoe UI"/>
          <w:sz w:val="22"/>
          <w:szCs w:val="22"/>
        </w:rPr>
        <w:t xml:space="preserve"> </w:t>
      </w:r>
    </w:p>
    <w:p w:rsidR="00D17EDF" w:rsidRPr="009F6D6A" w:rsidRDefault="006662C3" w:rsidP="008D7FFE">
      <w:pPr>
        <w:pStyle w:val="ListParagraph"/>
        <w:numPr>
          <w:ilvl w:val="0"/>
          <w:numId w:val="23"/>
        </w:numPr>
        <w:ind w:left="494"/>
        <w:jc w:val="both"/>
        <w:rPr>
          <w:rFonts w:ascii="Segoe UI" w:hAnsi="Segoe UI" w:cs="Segoe UI"/>
          <w:b/>
        </w:rPr>
      </w:pPr>
      <w:r w:rsidRPr="009F6D6A">
        <w:rPr>
          <w:rFonts w:ascii="Segoe UI" w:hAnsi="Segoe UI" w:cs="Segoe UI"/>
          <w:b/>
        </w:rPr>
        <w:t>Out of Area Placements (OAPs)</w:t>
      </w:r>
      <w:r w:rsidR="00D17EDF" w:rsidRPr="009F6D6A">
        <w:rPr>
          <w:rFonts w:ascii="Segoe UI" w:hAnsi="Segoe UI" w:cs="Segoe UI"/>
        </w:rPr>
        <w:t xml:space="preserve"> </w:t>
      </w:r>
    </w:p>
    <w:p w:rsidR="00761A13" w:rsidRDefault="00F83B22" w:rsidP="00761A13">
      <w:pPr>
        <w:ind w:left="426"/>
        <w:jc w:val="both"/>
        <w:rPr>
          <w:rFonts w:ascii="Segoe UI" w:hAnsi="Segoe UI" w:cs="Segoe UI"/>
          <w:sz w:val="22"/>
          <w:szCs w:val="22"/>
        </w:rPr>
      </w:pPr>
      <w:r w:rsidRPr="002A694A">
        <w:rPr>
          <w:rFonts w:ascii="Segoe UI" w:hAnsi="Segoe UI" w:cs="Segoe UI"/>
          <w:sz w:val="22"/>
          <w:szCs w:val="22"/>
        </w:rPr>
        <w:t>2</w:t>
      </w:r>
      <w:r w:rsidR="00991DE2" w:rsidRPr="009F6D6A">
        <w:rPr>
          <w:rFonts w:ascii="Segoe UI" w:hAnsi="Segoe UI" w:cs="Segoe UI"/>
          <w:sz w:val="22"/>
          <w:szCs w:val="22"/>
        </w:rPr>
        <w:t xml:space="preserve"> new</w:t>
      </w:r>
      <w:r w:rsidR="00761A13" w:rsidRPr="009F6D6A">
        <w:rPr>
          <w:rFonts w:ascii="Segoe UI" w:hAnsi="Segoe UI" w:cs="Segoe UI"/>
          <w:sz w:val="22"/>
          <w:szCs w:val="22"/>
        </w:rPr>
        <w:t xml:space="preserve"> patients were placed out of area in </w:t>
      </w:r>
      <w:r>
        <w:rPr>
          <w:rFonts w:ascii="Segoe UI" w:hAnsi="Segoe UI" w:cs="Segoe UI"/>
          <w:sz w:val="22"/>
          <w:szCs w:val="22"/>
        </w:rPr>
        <w:t>August</w:t>
      </w:r>
      <w:r w:rsidR="00761A13" w:rsidRPr="009F6D6A">
        <w:rPr>
          <w:rFonts w:ascii="Segoe UI" w:hAnsi="Segoe UI" w:cs="Segoe UI"/>
          <w:sz w:val="22"/>
          <w:szCs w:val="22"/>
        </w:rPr>
        <w:t xml:space="preserve">.  </w:t>
      </w:r>
      <w:r w:rsidRPr="002A694A">
        <w:rPr>
          <w:rFonts w:ascii="Segoe UI" w:hAnsi="Segoe UI" w:cs="Segoe UI"/>
          <w:sz w:val="22"/>
          <w:szCs w:val="22"/>
        </w:rPr>
        <w:t>4</w:t>
      </w:r>
      <w:r w:rsidR="00761A13" w:rsidRPr="009F6D6A">
        <w:rPr>
          <w:rFonts w:ascii="Segoe UI" w:hAnsi="Segoe UI" w:cs="Segoe UI"/>
          <w:sz w:val="22"/>
          <w:szCs w:val="22"/>
        </w:rPr>
        <w:t xml:space="preserve"> patients in total </w:t>
      </w:r>
      <w:r w:rsidR="00991DE2" w:rsidRPr="009F6D6A">
        <w:rPr>
          <w:rFonts w:ascii="Segoe UI" w:hAnsi="Segoe UI" w:cs="Segoe UI"/>
          <w:sz w:val="22"/>
          <w:szCs w:val="22"/>
        </w:rPr>
        <w:t>were</w:t>
      </w:r>
      <w:r w:rsidR="002A694A">
        <w:rPr>
          <w:rFonts w:ascii="Segoe UI" w:hAnsi="Segoe UI" w:cs="Segoe UI"/>
          <w:sz w:val="22"/>
          <w:szCs w:val="22"/>
        </w:rPr>
        <w:t xml:space="preserve"> in</w:t>
      </w:r>
      <w:r w:rsidR="00991DE2" w:rsidRPr="009F6D6A">
        <w:rPr>
          <w:rFonts w:ascii="Segoe UI" w:hAnsi="Segoe UI" w:cs="Segoe UI"/>
          <w:sz w:val="22"/>
          <w:szCs w:val="22"/>
        </w:rPr>
        <w:t xml:space="preserve"> </w:t>
      </w:r>
      <w:r w:rsidR="00761A13" w:rsidRPr="009F6D6A">
        <w:rPr>
          <w:rFonts w:ascii="Segoe UI" w:hAnsi="Segoe UI" w:cs="Segoe UI"/>
          <w:sz w:val="22"/>
          <w:szCs w:val="22"/>
        </w:rPr>
        <w:t xml:space="preserve">out of area placements </w:t>
      </w:r>
      <w:r w:rsidR="00991DE2" w:rsidRPr="009F6D6A">
        <w:rPr>
          <w:rFonts w:ascii="Segoe UI" w:hAnsi="Segoe UI" w:cs="Segoe UI"/>
          <w:sz w:val="22"/>
          <w:szCs w:val="22"/>
        </w:rPr>
        <w:t>during the</w:t>
      </w:r>
      <w:r w:rsidR="00761A13" w:rsidRPr="009F6D6A">
        <w:rPr>
          <w:rFonts w:ascii="Segoe UI" w:hAnsi="Segoe UI" w:cs="Segoe UI"/>
          <w:sz w:val="22"/>
          <w:szCs w:val="22"/>
        </w:rPr>
        <w:t xml:space="preserve"> month </w:t>
      </w:r>
      <w:proofErr w:type="spellStart"/>
      <w:r w:rsidR="00761A13" w:rsidRPr="009F6D6A">
        <w:rPr>
          <w:rFonts w:ascii="Segoe UI" w:hAnsi="Segoe UI" w:cs="Segoe UI"/>
          <w:sz w:val="22"/>
          <w:szCs w:val="22"/>
        </w:rPr>
        <w:t>utilising</w:t>
      </w:r>
      <w:proofErr w:type="spellEnd"/>
      <w:r w:rsidR="00761A13" w:rsidRPr="009F6D6A">
        <w:rPr>
          <w:rFonts w:ascii="Segoe UI" w:hAnsi="Segoe UI" w:cs="Segoe UI"/>
          <w:sz w:val="22"/>
          <w:szCs w:val="22"/>
        </w:rPr>
        <w:t xml:space="preserve"> a total of </w:t>
      </w:r>
      <w:r w:rsidRPr="002A694A">
        <w:rPr>
          <w:rFonts w:ascii="Segoe UI" w:hAnsi="Segoe UI" w:cs="Segoe UI"/>
          <w:sz w:val="22"/>
          <w:szCs w:val="22"/>
        </w:rPr>
        <w:t>40</w:t>
      </w:r>
      <w:r w:rsidR="00761A13" w:rsidRPr="009F6D6A">
        <w:rPr>
          <w:rFonts w:ascii="Segoe UI" w:hAnsi="Segoe UI" w:cs="Segoe UI"/>
          <w:sz w:val="22"/>
          <w:szCs w:val="22"/>
        </w:rPr>
        <w:t xml:space="preserve"> bed days in the month.  The distance from patients’ home to placements ranged </w:t>
      </w:r>
      <w:r w:rsidR="00761A13" w:rsidRPr="002A694A">
        <w:rPr>
          <w:rFonts w:ascii="Segoe UI" w:hAnsi="Segoe UI" w:cs="Segoe UI"/>
          <w:sz w:val="22"/>
          <w:szCs w:val="22"/>
        </w:rPr>
        <w:t xml:space="preserve">from </w:t>
      </w:r>
      <w:r w:rsidRPr="002A694A">
        <w:rPr>
          <w:rFonts w:ascii="Segoe UI" w:hAnsi="Segoe UI" w:cs="Segoe UI"/>
          <w:sz w:val="22"/>
          <w:szCs w:val="22"/>
        </w:rPr>
        <w:t>71</w:t>
      </w:r>
      <w:r w:rsidR="00761A13" w:rsidRPr="002A694A">
        <w:rPr>
          <w:rFonts w:ascii="Segoe UI" w:hAnsi="Segoe UI" w:cs="Segoe UI"/>
          <w:sz w:val="22"/>
          <w:szCs w:val="22"/>
        </w:rPr>
        <w:t xml:space="preserve"> to </w:t>
      </w:r>
      <w:r w:rsidRPr="002A694A">
        <w:rPr>
          <w:rFonts w:ascii="Segoe UI" w:hAnsi="Segoe UI" w:cs="Segoe UI"/>
          <w:sz w:val="22"/>
          <w:szCs w:val="22"/>
        </w:rPr>
        <w:t>244</w:t>
      </w:r>
      <w:r w:rsidR="00761A13" w:rsidRPr="002A694A">
        <w:rPr>
          <w:rFonts w:ascii="Segoe UI" w:hAnsi="Segoe UI" w:cs="Segoe UI"/>
          <w:sz w:val="22"/>
          <w:szCs w:val="22"/>
        </w:rPr>
        <w:t xml:space="preserve"> miles, with the average distance being </w:t>
      </w:r>
      <w:r w:rsidRPr="002A694A">
        <w:rPr>
          <w:rFonts w:ascii="Segoe UI" w:hAnsi="Segoe UI" w:cs="Segoe UI"/>
          <w:sz w:val="22"/>
          <w:szCs w:val="22"/>
        </w:rPr>
        <w:t>150</w:t>
      </w:r>
      <w:r w:rsidR="00991DE2" w:rsidRPr="002A694A">
        <w:rPr>
          <w:rFonts w:ascii="Segoe UI" w:hAnsi="Segoe UI" w:cs="Segoe UI"/>
          <w:sz w:val="22"/>
          <w:szCs w:val="22"/>
        </w:rPr>
        <w:t xml:space="preserve"> </w:t>
      </w:r>
      <w:r w:rsidR="00761A13" w:rsidRPr="002A694A">
        <w:rPr>
          <w:rFonts w:ascii="Segoe UI" w:hAnsi="Segoe UI" w:cs="Segoe UI"/>
          <w:sz w:val="22"/>
          <w:szCs w:val="22"/>
        </w:rPr>
        <w:t>miles.</w:t>
      </w:r>
    </w:p>
    <w:p w:rsidR="00761A13" w:rsidRPr="00E23391" w:rsidRDefault="00761A13" w:rsidP="00F83B22">
      <w:pPr>
        <w:jc w:val="both"/>
        <w:rPr>
          <w:rFonts w:ascii="Segoe UI" w:hAnsi="Segoe UI" w:cs="Segoe UI"/>
          <w:sz w:val="22"/>
          <w:szCs w:val="22"/>
        </w:rPr>
      </w:pPr>
    </w:p>
    <w:p w:rsidR="00EA34EB" w:rsidRPr="00E23391" w:rsidRDefault="00EA34EB" w:rsidP="00E515DE">
      <w:pPr>
        <w:jc w:val="both"/>
        <w:rPr>
          <w:rFonts w:ascii="Segoe UI" w:hAnsi="Segoe UI" w:cs="Segoe UI"/>
          <w:b/>
        </w:rPr>
      </w:pPr>
      <w:r w:rsidRPr="00E23391">
        <w:rPr>
          <w:rFonts w:ascii="Segoe UI" w:hAnsi="Segoe UI" w:cs="Segoe UI"/>
          <w:b/>
        </w:rPr>
        <w:t xml:space="preserve">Performance by Directorate in </w:t>
      </w:r>
      <w:r w:rsidR="00F83B22">
        <w:rPr>
          <w:rFonts w:ascii="Segoe UI" w:hAnsi="Segoe UI" w:cs="Segoe UI"/>
          <w:b/>
        </w:rPr>
        <w:t>August</w:t>
      </w:r>
      <w:r w:rsidR="008D36D2" w:rsidRPr="00E23391">
        <w:rPr>
          <w:rFonts w:ascii="Segoe UI" w:hAnsi="Segoe UI" w:cs="Segoe UI"/>
          <w:b/>
        </w:rPr>
        <w:t xml:space="preserve"> 2019</w:t>
      </w:r>
      <w:r w:rsidRPr="00E23391">
        <w:rPr>
          <w:rFonts w:ascii="Segoe UI" w:hAnsi="Segoe UI" w:cs="Segoe UI"/>
          <w:b/>
        </w:rPr>
        <w:t>:</w:t>
      </w:r>
    </w:p>
    <w:p w:rsidR="00EA34EB" w:rsidRPr="00E23391" w:rsidRDefault="00EA34EB" w:rsidP="00E515DE">
      <w:pPr>
        <w:jc w:val="both"/>
        <w:rPr>
          <w:rFonts w:ascii="Segoe UI" w:hAnsi="Segoe UI" w:cs="Segoe UI"/>
          <w:b/>
        </w:rPr>
      </w:pPr>
    </w:p>
    <w:p w:rsidR="00761A13" w:rsidRPr="00E23391" w:rsidRDefault="00761A13" w:rsidP="00A80A17">
      <w:pPr>
        <w:jc w:val="both"/>
        <w:rPr>
          <w:rFonts w:ascii="Segoe UI" w:eastAsia="Calibri" w:hAnsi="Segoe UI" w:cs="Segoe UI"/>
        </w:rPr>
      </w:pPr>
      <w:r w:rsidRPr="00E23391">
        <w:rPr>
          <w:rFonts w:ascii="Segoe UI" w:eastAsia="Calibri" w:hAnsi="Segoe UI" w:cs="Segoe UI"/>
          <w:b/>
          <w:bCs/>
        </w:rPr>
        <w:t xml:space="preserve">Oxfordshire, Swindon, Wiltshire &amp; </w:t>
      </w:r>
      <w:proofErr w:type="spellStart"/>
      <w:r w:rsidRPr="00E23391">
        <w:rPr>
          <w:rFonts w:ascii="Segoe UI" w:eastAsia="Calibri" w:hAnsi="Segoe UI" w:cs="Segoe UI"/>
          <w:b/>
          <w:bCs/>
        </w:rPr>
        <w:t>BaNES</w:t>
      </w:r>
      <w:proofErr w:type="spellEnd"/>
      <w:r w:rsidRPr="00E23391">
        <w:rPr>
          <w:rFonts w:ascii="Segoe UI" w:eastAsia="Calibri" w:hAnsi="Segoe UI" w:cs="Segoe UI"/>
          <w:b/>
          <w:bCs/>
        </w:rPr>
        <w:t xml:space="preserve"> – All Ages Mental Health </w:t>
      </w:r>
      <w:r w:rsidRPr="00E23391">
        <w:rPr>
          <w:rFonts w:ascii="Segoe UI" w:eastAsia="Calibri" w:hAnsi="Segoe UI" w:cs="Segoe UI"/>
        </w:rPr>
        <w:t xml:space="preserve">achieved </w:t>
      </w:r>
      <w:r w:rsidR="00F83B22" w:rsidRPr="00966DA2">
        <w:rPr>
          <w:rFonts w:ascii="Segoe UI" w:eastAsia="Calibri" w:hAnsi="Segoe UI" w:cs="Segoe UI"/>
        </w:rPr>
        <w:t>79</w:t>
      </w:r>
      <w:r w:rsidRPr="00966DA2">
        <w:rPr>
          <w:rFonts w:ascii="Segoe UI" w:eastAsia="Calibri" w:hAnsi="Segoe UI" w:cs="Segoe UI"/>
        </w:rPr>
        <w:t xml:space="preserve"> of the </w:t>
      </w:r>
      <w:r w:rsidR="00F83B22" w:rsidRPr="00966DA2">
        <w:rPr>
          <w:rFonts w:ascii="Segoe UI" w:eastAsia="Calibri" w:hAnsi="Segoe UI" w:cs="Segoe UI"/>
        </w:rPr>
        <w:t>126</w:t>
      </w:r>
      <w:r w:rsidRPr="00966DA2">
        <w:rPr>
          <w:rFonts w:ascii="Segoe UI" w:eastAsia="Calibri" w:hAnsi="Segoe UI" w:cs="Segoe UI"/>
        </w:rPr>
        <w:t xml:space="preserve"> targeted indicators (</w:t>
      </w:r>
      <w:r w:rsidR="00AD3212" w:rsidRPr="00966DA2">
        <w:rPr>
          <w:rFonts w:ascii="Segoe UI" w:eastAsia="Calibri" w:hAnsi="Segoe UI" w:cs="Segoe UI"/>
        </w:rPr>
        <w:t>6</w:t>
      </w:r>
      <w:r w:rsidR="00F83B22" w:rsidRPr="00966DA2">
        <w:rPr>
          <w:rFonts w:ascii="Segoe UI" w:eastAsia="Calibri" w:hAnsi="Segoe UI" w:cs="Segoe UI"/>
        </w:rPr>
        <w:t>3</w:t>
      </w:r>
      <w:r w:rsidRPr="00966DA2">
        <w:rPr>
          <w:rFonts w:ascii="Segoe UI" w:eastAsia="Calibri" w:hAnsi="Segoe UI" w:cs="Segoe UI"/>
        </w:rPr>
        <w:t>%</w:t>
      </w:r>
      <w:r w:rsidR="00361816" w:rsidRPr="00966DA2">
        <w:rPr>
          <w:rFonts w:ascii="Segoe UI" w:eastAsia="Calibri" w:hAnsi="Segoe UI" w:cs="Segoe UI"/>
        </w:rPr>
        <w:t>)</w:t>
      </w:r>
      <w:r w:rsidR="00361816" w:rsidRPr="00E23391">
        <w:rPr>
          <w:rFonts w:ascii="Segoe UI" w:eastAsia="Calibri" w:hAnsi="Segoe UI" w:cs="Segoe UI"/>
        </w:rPr>
        <w:t xml:space="preserve"> </w:t>
      </w:r>
    </w:p>
    <w:p w:rsidR="00761A13" w:rsidRPr="00761A13" w:rsidRDefault="00761A13" w:rsidP="00761A13">
      <w:pPr>
        <w:jc w:val="both"/>
        <w:rPr>
          <w:rFonts w:ascii="Segoe UI" w:eastAsia="Calibri" w:hAnsi="Segoe UI" w:cs="Segoe UI"/>
        </w:rPr>
      </w:pPr>
    </w:p>
    <w:p w:rsidR="00761A13" w:rsidRPr="00966DA2" w:rsidRDefault="00761A13" w:rsidP="00761A13">
      <w:pPr>
        <w:jc w:val="both"/>
        <w:rPr>
          <w:rFonts w:ascii="Segoe UI" w:eastAsia="Calibri" w:hAnsi="Segoe UI" w:cs="Segoe UI"/>
          <w:b/>
          <w:bCs/>
        </w:rPr>
      </w:pPr>
      <w:r w:rsidRPr="00966DA2">
        <w:rPr>
          <w:rFonts w:ascii="Segoe UI" w:eastAsia="Calibri" w:hAnsi="Segoe UI" w:cs="Segoe UI"/>
          <w:b/>
          <w:bCs/>
        </w:rPr>
        <w:t>Highlights for the Board:</w:t>
      </w:r>
    </w:p>
    <w:p w:rsidR="00761A13" w:rsidRPr="008A0CDA" w:rsidRDefault="00761A13" w:rsidP="00761A13">
      <w:pPr>
        <w:jc w:val="both"/>
        <w:rPr>
          <w:rFonts w:ascii="Segoe UI" w:eastAsia="Calibri" w:hAnsi="Segoe UI" w:cs="Segoe UI"/>
        </w:rPr>
      </w:pPr>
    </w:p>
    <w:p w:rsidR="00761A13" w:rsidRPr="008A0CDA" w:rsidRDefault="00761A13" w:rsidP="00761A13">
      <w:pPr>
        <w:numPr>
          <w:ilvl w:val="0"/>
          <w:numId w:val="24"/>
        </w:numPr>
        <w:jc w:val="both"/>
        <w:rPr>
          <w:rFonts w:ascii="Segoe UI" w:hAnsi="Segoe UI" w:cs="Segoe UI"/>
          <w:b/>
          <w:bCs/>
        </w:rPr>
      </w:pPr>
      <w:r w:rsidRPr="008A0CDA">
        <w:rPr>
          <w:rFonts w:ascii="Segoe UI" w:hAnsi="Segoe UI" w:cs="Segoe UI"/>
          <w:b/>
          <w:bCs/>
        </w:rPr>
        <w:t>Emergency Department Psychiatric Service (EDPS)</w:t>
      </w:r>
      <w:r w:rsidR="00361816" w:rsidRPr="008A0CDA">
        <w:rPr>
          <w:rFonts w:ascii="Segoe UI" w:hAnsi="Segoe UI" w:cs="Segoe UI"/>
          <w:b/>
          <w:bCs/>
        </w:rPr>
        <w:t xml:space="preserve">. </w:t>
      </w:r>
      <w:r w:rsidR="00966DA2" w:rsidRPr="008A0CDA">
        <w:rPr>
          <w:rFonts w:ascii="Segoe UI" w:hAnsi="Segoe UI" w:cs="Segoe UI"/>
          <w:bCs/>
        </w:rPr>
        <w:t xml:space="preserve">Although the EDPS service at the John Radcliffe </w:t>
      </w:r>
      <w:r w:rsidR="008A0CDA" w:rsidRPr="008A0CDA">
        <w:rPr>
          <w:rFonts w:ascii="Segoe UI" w:hAnsi="Segoe UI" w:cs="Segoe UI"/>
          <w:bCs/>
        </w:rPr>
        <w:t xml:space="preserve">Hospital </w:t>
      </w:r>
      <w:r w:rsidR="00966DA2" w:rsidRPr="008A0CDA">
        <w:rPr>
          <w:rFonts w:ascii="Segoe UI" w:hAnsi="Segoe UI" w:cs="Segoe UI"/>
          <w:bCs/>
        </w:rPr>
        <w:t>saw all patients within the 90 min waiting time target in August, s</w:t>
      </w:r>
      <w:r w:rsidRPr="008A0CDA">
        <w:rPr>
          <w:rFonts w:ascii="Segoe UI" w:hAnsi="Segoe UI" w:cs="Segoe UI"/>
        </w:rPr>
        <w:t xml:space="preserve">taffing pressures continue to affect performance </w:t>
      </w:r>
      <w:r w:rsidR="008A0CDA" w:rsidRPr="008A0CDA">
        <w:rPr>
          <w:rFonts w:ascii="Segoe UI" w:hAnsi="Segoe UI" w:cs="Segoe UI"/>
        </w:rPr>
        <w:t>at both the John Radcliffe and Horton General Hospitals</w:t>
      </w:r>
      <w:r w:rsidR="00361816" w:rsidRPr="008A0CDA">
        <w:rPr>
          <w:rFonts w:ascii="Segoe UI" w:hAnsi="Segoe UI" w:cs="Segoe UI"/>
        </w:rPr>
        <w:t>.</w:t>
      </w:r>
      <w:r w:rsidRPr="008A0CDA">
        <w:rPr>
          <w:rFonts w:ascii="Segoe UI" w:hAnsi="Segoe UI" w:cs="Segoe UI"/>
        </w:rPr>
        <w:t>  The pressures have been reported to the Quality Review Meeting (Oxfordshire CCG) so that any identified risks to patients can be understood and mitigated.</w:t>
      </w:r>
      <w:r w:rsidR="008A0CDA" w:rsidRPr="008A0CDA">
        <w:rPr>
          <w:rFonts w:ascii="Segoe UI" w:hAnsi="Segoe UI" w:cs="Segoe UI"/>
        </w:rPr>
        <w:t xml:space="preserve"> Until workforce shortages are resolved (through additional investment), the service will not be able to achieve the commissioner defined targets</w:t>
      </w:r>
      <w:r w:rsidR="00C03E5C" w:rsidRPr="008A0CDA">
        <w:rPr>
          <w:rFonts w:ascii="Segoe UI" w:hAnsi="Segoe UI" w:cs="Segoe UI"/>
        </w:rPr>
        <w:t xml:space="preserve">. </w:t>
      </w:r>
    </w:p>
    <w:p w:rsidR="00161CD3" w:rsidRPr="00312FC7" w:rsidRDefault="00161CD3" w:rsidP="00161CD3">
      <w:pPr>
        <w:ind w:left="720"/>
        <w:jc w:val="both"/>
        <w:rPr>
          <w:rFonts w:ascii="Segoe UI" w:hAnsi="Segoe UI" w:cs="Segoe UI"/>
          <w:b/>
          <w:bCs/>
        </w:rPr>
      </w:pPr>
    </w:p>
    <w:p w:rsidR="00161CD3" w:rsidRPr="00312FC7" w:rsidRDefault="00161CD3" w:rsidP="00163074">
      <w:pPr>
        <w:numPr>
          <w:ilvl w:val="0"/>
          <w:numId w:val="24"/>
        </w:numPr>
        <w:jc w:val="both"/>
        <w:rPr>
          <w:rFonts w:ascii="Segoe UI" w:hAnsi="Segoe UI" w:cs="Segoe UI"/>
          <w:b/>
          <w:bCs/>
        </w:rPr>
      </w:pPr>
      <w:r w:rsidRPr="00312FC7">
        <w:rPr>
          <w:rFonts w:ascii="Segoe UI" w:hAnsi="Segoe UI" w:cs="Segoe UI"/>
          <w:b/>
          <w:bCs/>
        </w:rPr>
        <w:t xml:space="preserve">CAMHS (Swindon, Wiltshire, Bath and North East Somerset) </w:t>
      </w:r>
      <w:r w:rsidR="008D4F4B" w:rsidRPr="00312FC7">
        <w:rPr>
          <w:rFonts w:ascii="Segoe UI" w:hAnsi="Segoe UI" w:cs="Segoe UI"/>
          <w:b/>
          <w:bCs/>
        </w:rPr>
        <w:t>–</w:t>
      </w:r>
      <w:r w:rsidRPr="00312FC7">
        <w:rPr>
          <w:rFonts w:ascii="Segoe UI" w:hAnsi="Segoe UI" w:cs="Segoe UI"/>
          <w:b/>
          <w:bCs/>
        </w:rPr>
        <w:t xml:space="preserve"> </w:t>
      </w:r>
      <w:r w:rsidR="00AC55D0" w:rsidRPr="00312FC7">
        <w:rPr>
          <w:rFonts w:ascii="Segoe UI" w:hAnsi="Segoe UI" w:cs="Segoe UI"/>
          <w:bCs/>
        </w:rPr>
        <w:t xml:space="preserve">A comprehensive waiting time improvement plan has been put in place by the service and shared with the commissioners (from April 2019). Implementation is being overseen by a new Outcomes Performance and Improvement Group chaired by the Head of Service. Regular updates on performance are provided to commissioners at bi-monthly Contract Review Meetings. The plan is beginning to have a positive impact on waits with improvements </w:t>
      </w:r>
      <w:r w:rsidR="00312FC7">
        <w:rPr>
          <w:rFonts w:ascii="Segoe UI" w:hAnsi="Segoe UI" w:cs="Segoe UI"/>
          <w:bCs/>
        </w:rPr>
        <w:t xml:space="preserve">seen throughout </w:t>
      </w:r>
      <w:r w:rsidR="00AC55D0" w:rsidRPr="00312FC7">
        <w:rPr>
          <w:rFonts w:ascii="Segoe UI" w:hAnsi="Segoe UI" w:cs="Segoe UI"/>
          <w:bCs/>
        </w:rPr>
        <w:t>July</w:t>
      </w:r>
      <w:r w:rsidR="00312FC7">
        <w:rPr>
          <w:rFonts w:ascii="Segoe UI" w:hAnsi="Segoe UI" w:cs="Segoe UI"/>
          <w:bCs/>
        </w:rPr>
        <w:t xml:space="preserve"> and </w:t>
      </w:r>
      <w:r w:rsidR="00AC55D0" w:rsidRPr="00312FC7">
        <w:rPr>
          <w:rFonts w:ascii="Segoe UI" w:hAnsi="Segoe UI" w:cs="Segoe UI"/>
          <w:bCs/>
        </w:rPr>
        <w:t>August</w:t>
      </w:r>
      <w:r w:rsidR="000A2B61" w:rsidRPr="00312FC7">
        <w:rPr>
          <w:rFonts w:ascii="Segoe UI" w:hAnsi="Segoe UI" w:cs="Segoe UI"/>
          <w:bCs/>
        </w:rPr>
        <w:t xml:space="preserve">. </w:t>
      </w:r>
    </w:p>
    <w:p w:rsidR="00C03E5C" w:rsidRPr="00312FC7" w:rsidRDefault="00C03E5C" w:rsidP="00C03E5C">
      <w:pPr>
        <w:pStyle w:val="ListParagraph"/>
        <w:rPr>
          <w:rFonts w:ascii="Segoe UI" w:eastAsia="Calibri" w:hAnsi="Segoe UI" w:cs="Segoe UI"/>
        </w:rPr>
      </w:pPr>
    </w:p>
    <w:p w:rsidR="00EA34EB" w:rsidRPr="00EF01D9" w:rsidRDefault="00EA34EB" w:rsidP="00A80A17">
      <w:pPr>
        <w:jc w:val="both"/>
        <w:rPr>
          <w:rFonts w:ascii="Segoe UI" w:hAnsi="Segoe UI" w:cs="Segoe UI"/>
        </w:rPr>
      </w:pPr>
      <w:r w:rsidRPr="00EF01D9">
        <w:rPr>
          <w:rFonts w:ascii="Segoe UI" w:hAnsi="Segoe UI" w:cs="Segoe UI"/>
          <w:b/>
        </w:rPr>
        <w:t xml:space="preserve">Buckinghamshire – All Ages Mental Health </w:t>
      </w:r>
      <w:r w:rsidRPr="00EF01D9">
        <w:rPr>
          <w:rFonts w:ascii="Segoe UI" w:hAnsi="Segoe UI" w:cs="Segoe UI"/>
        </w:rPr>
        <w:t xml:space="preserve">achieved </w:t>
      </w:r>
      <w:r w:rsidR="00F83B22" w:rsidRPr="00EF01D9">
        <w:rPr>
          <w:rFonts w:ascii="Segoe UI" w:hAnsi="Segoe UI" w:cs="Segoe UI"/>
        </w:rPr>
        <w:t>29</w:t>
      </w:r>
      <w:r w:rsidR="00DB3604" w:rsidRPr="00EF01D9">
        <w:rPr>
          <w:rFonts w:ascii="Segoe UI" w:hAnsi="Segoe UI" w:cs="Segoe UI"/>
        </w:rPr>
        <w:t xml:space="preserve"> of the </w:t>
      </w:r>
      <w:r w:rsidR="00F83B22" w:rsidRPr="00EF01D9">
        <w:rPr>
          <w:rFonts w:ascii="Segoe UI" w:hAnsi="Segoe UI" w:cs="Segoe UI"/>
        </w:rPr>
        <w:t>46</w:t>
      </w:r>
      <w:r w:rsidR="009F78D3" w:rsidRPr="00EF01D9">
        <w:rPr>
          <w:rFonts w:ascii="Segoe UI" w:hAnsi="Segoe UI" w:cs="Segoe UI"/>
        </w:rPr>
        <w:t xml:space="preserve"> commissioner</w:t>
      </w:r>
      <w:r w:rsidR="0037248C" w:rsidRPr="00EF01D9">
        <w:rPr>
          <w:rFonts w:ascii="Segoe UI" w:hAnsi="Segoe UI" w:cs="Segoe UI"/>
        </w:rPr>
        <w:t xml:space="preserve"> </w:t>
      </w:r>
      <w:r w:rsidRPr="00EF01D9">
        <w:rPr>
          <w:rFonts w:ascii="Segoe UI" w:hAnsi="Segoe UI" w:cs="Segoe UI"/>
        </w:rPr>
        <w:t>targeted indicators</w:t>
      </w:r>
      <w:r w:rsidR="00DB3604" w:rsidRPr="00EF01D9">
        <w:rPr>
          <w:rFonts w:ascii="Segoe UI" w:hAnsi="Segoe UI" w:cs="Segoe UI"/>
        </w:rPr>
        <w:t xml:space="preserve"> (</w:t>
      </w:r>
      <w:r w:rsidR="00475D23" w:rsidRPr="00EF01D9">
        <w:rPr>
          <w:rFonts w:ascii="Segoe UI" w:hAnsi="Segoe UI" w:cs="Segoe UI"/>
        </w:rPr>
        <w:t>6</w:t>
      </w:r>
      <w:r w:rsidR="00F83B22" w:rsidRPr="00EF01D9">
        <w:rPr>
          <w:rFonts w:ascii="Segoe UI" w:hAnsi="Segoe UI" w:cs="Segoe UI"/>
        </w:rPr>
        <w:t>3</w:t>
      </w:r>
      <w:r w:rsidR="00DB3604" w:rsidRPr="00EF01D9">
        <w:rPr>
          <w:rFonts w:ascii="Segoe UI" w:hAnsi="Segoe UI" w:cs="Segoe UI"/>
        </w:rPr>
        <w:t>%)</w:t>
      </w:r>
      <w:r w:rsidRPr="00EF01D9">
        <w:rPr>
          <w:rFonts w:ascii="Segoe UI" w:hAnsi="Segoe UI" w:cs="Segoe UI"/>
        </w:rPr>
        <w:t xml:space="preserve">.  </w:t>
      </w:r>
    </w:p>
    <w:p w:rsidR="00132863" w:rsidRPr="00EF01D9" w:rsidRDefault="00132863" w:rsidP="00E515DE">
      <w:pPr>
        <w:jc w:val="both"/>
        <w:rPr>
          <w:rFonts w:ascii="Segoe UI" w:hAnsi="Segoe UI" w:cs="Segoe UI"/>
          <w:b/>
        </w:rPr>
      </w:pPr>
    </w:p>
    <w:p w:rsidR="00132863" w:rsidRPr="00EF01D9" w:rsidRDefault="00132863" w:rsidP="00B83953">
      <w:pPr>
        <w:jc w:val="both"/>
        <w:rPr>
          <w:rFonts w:ascii="Segoe UI" w:hAnsi="Segoe UI" w:cs="Segoe UI"/>
          <w:b/>
        </w:rPr>
      </w:pPr>
      <w:r w:rsidRPr="00EF01D9">
        <w:rPr>
          <w:rFonts w:ascii="Segoe UI" w:hAnsi="Segoe UI" w:cs="Segoe UI"/>
          <w:b/>
        </w:rPr>
        <w:t>Highlights for the Board:</w:t>
      </w:r>
    </w:p>
    <w:p w:rsidR="00132863" w:rsidRPr="00EF01D9" w:rsidRDefault="00132863" w:rsidP="00E515DE">
      <w:pPr>
        <w:jc w:val="both"/>
        <w:rPr>
          <w:rFonts w:ascii="Segoe UI" w:hAnsi="Segoe UI" w:cs="Segoe UI"/>
          <w:b/>
        </w:rPr>
      </w:pPr>
    </w:p>
    <w:p w:rsidR="00C1197D" w:rsidRPr="00EF01D9" w:rsidRDefault="00B83953" w:rsidP="00FC201E">
      <w:pPr>
        <w:pStyle w:val="ListParagraph"/>
        <w:numPr>
          <w:ilvl w:val="0"/>
          <w:numId w:val="19"/>
        </w:numPr>
        <w:jc w:val="both"/>
        <w:rPr>
          <w:rFonts w:ascii="Segoe UI" w:hAnsi="Segoe UI" w:cs="Segoe UI"/>
        </w:rPr>
      </w:pPr>
      <w:r w:rsidRPr="00EF01D9">
        <w:rPr>
          <w:rFonts w:ascii="Segoe UI" w:hAnsi="Segoe UI" w:cs="Segoe UI"/>
          <w:b/>
        </w:rPr>
        <w:t xml:space="preserve">Bucks </w:t>
      </w:r>
      <w:r w:rsidR="009F78D3" w:rsidRPr="00EF01D9">
        <w:rPr>
          <w:rFonts w:ascii="Segoe UI" w:hAnsi="Segoe UI" w:cs="Segoe UI"/>
          <w:b/>
        </w:rPr>
        <w:t>Care Reviews</w:t>
      </w:r>
      <w:r w:rsidRPr="00EF01D9">
        <w:rPr>
          <w:rFonts w:ascii="Segoe UI" w:hAnsi="Segoe UI" w:cs="Segoe UI"/>
        </w:rPr>
        <w:t xml:space="preserve"> – </w:t>
      </w:r>
      <w:r w:rsidR="009F78D3" w:rsidRPr="00EF01D9">
        <w:rPr>
          <w:rFonts w:ascii="Segoe UI" w:hAnsi="Segoe UI" w:cs="Segoe UI"/>
        </w:rPr>
        <w:t xml:space="preserve">Ensuring that Care Reviews are carried out within the timeframes set out in the clusters continue to be an area of underperformance for the Directorate.  This issue also affects performance in Oxfordshire.  </w:t>
      </w:r>
      <w:r w:rsidR="00DE1CB0" w:rsidRPr="00EF01D9">
        <w:rPr>
          <w:rFonts w:ascii="Segoe UI" w:hAnsi="Segoe UI" w:cs="Segoe UI"/>
        </w:rPr>
        <w:t>A</w:t>
      </w:r>
      <w:r w:rsidR="009F78D3" w:rsidRPr="00EF01D9">
        <w:rPr>
          <w:rFonts w:ascii="Segoe UI" w:hAnsi="Segoe UI" w:cs="Segoe UI"/>
        </w:rPr>
        <w:t xml:space="preserve"> new</w:t>
      </w:r>
      <w:r w:rsidR="00DE1CB0" w:rsidRPr="00EF01D9">
        <w:rPr>
          <w:rFonts w:ascii="Segoe UI" w:hAnsi="Segoe UI" w:cs="Segoe UI"/>
        </w:rPr>
        <w:t xml:space="preserve"> </w:t>
      </w:r>
      <w:proofErr w:type="spellStart"/>
      <w:r w:rsidR="00312FC7" w:rsidRPr="00EF01D9">
        <w:rPr>
          <w:rFonts w:ascii="Segoe UI" w:hAnsi="Segoe UI" w:cs="Segoe UI"/>
        </w:rPr>
        <w:t>C</w:t>
      </w:r>
      <w:r w:rsidR="00DE1CB0" w:rsidRPr="00EF01D9">
        <w:rPr>
          <w:rFonts w:ascii="Segoe UI" w:hAnsi="Segoe UI" w:cs="Segoe UI"/>
        </w:rPr>
        <w:t>arenotes</w:t>
      </w:r>
      <w:proofErr w:type="spellEnd"/>
      <w:r w:rsidR="009F78D3" w:rsidRPr="00EF01D9">
        <w:rPr>
          <w:rFonts w:ascii="Segoe UI" w:hAnsi="Segoe UI" w:cs="Segoe UI"/>
        </w:rPr>
        <w:t xml:space="preserve"> dashboard has </w:t>
      </w:r>
      <w:r w:rsidR="00DE1CB0" w:rsidRPr="00EF01D9">
        <w:rPr>
          <w:rFonts w:ascii="Segoe UI" w:hAnsi="Segoe UI" w:cs="Segoe UI"/>
        </w:rPr>
        <w:t>gone live in September</w:t>
      </w:r>
      <w:r w:rsidR="009F78D3" w:rsidRPr="00EF01D9">
        <w:rPr>
          <w:rFonts w:ascii="Segoe UI" w:hAnsi="Segoe UI" w:cs="Segoe UI"/>
        </w:rPr>
        <w:t xml:space="preserve"> that will give clinicians greater visibility of their caseload which will include early warning of when care reviews are required.  </w:t>
      </w:r>
      <w:r w:rsidR="00DE1CB0" w:rsidRPr="00EF01D9">
        <w:rPr>
          <w:rFonts w:ascii="Segoe UI" w:hAnsi="Segoe UI" w:cs="Segoe UI"/>
        </w:rPr>
        <w:t>As at August 60% had their review within time.</w:t>
      </w:r>
      <w:r w:rsidR="00312FC7" w:rsidRPr="00EF01D9">
        <w:rPr>
          <w:rFonts w:ascii="Segoe UI" w:hAnsi="Segoe UI" w:cs="Segoe UI"/>
        </w:rPr>
        <w:t xml:space="preserve">  Now that the new dashboard is operational, performance against this </w:t>
      </w:r>
      <w:proofErr w:type="gramStart"/>
      <w:r w:rsidR="00312FC7" w:rsidRPr="00EF01D9">
        <w:rPr>
          <w:rFonts w:ascii="Segoe UI" w:hAnsi="Segoe UI" w:cs="Segoe UI"/>
        </w:rPr>
        <w:t>particular indicator</w:t>
      </w:r>
      <w:proofErr w:type="gramEnd"/>
      <w:r w:rsidR="00312FC7" w:rsidRPr="00EF01D9">
        <w:rPr>
          <w:rFonts w:ascii="Segoe UI" w:hAnsi="Segoe UI" w:cs="Segoe UI"/>
        </w:rPr>
        <w:t xml:space="preserve"> is expected to improve.</w:t>
      </w:r>
    </w:p>
    <w:p w:rsidR="00DE1CB0" w:rsidRPr="00EF01D9" w:rsidRDefault="00DE1CB0" w:rsidP="00DE1CB0">
      <w:pPr>
        <w:pStyle w:val="ListParagraph"/>
        <w:jc w:val="both"/>
        <w:rPr>
          <w:rFonts w:ascii="Segoe UI" w:hAnsi="Segoe UI" w:cs="Segoe UI"/>
          <w:highlight w:val="green"/>
        </w:rPr>
      </w:pPr>
    </w:p>
    <w:p w:rsidR="00C2270E" w:rsidRPr="00EF01D9" w:rsidRDefault="00C1197D" w:rsidP="00664CCD">
      <w:pPr>
        <w:pStyle w:val="ListParagraph"/>
        <w:numPr>
          <w:ilvl w:val="0"/>
          <w:numId w:val="19"/>
        </w:numPr>
        <w:jc w:val="both"/>
        <w:rPr>
          <w:rFonts w:ascii="Segoe UI" w:hAnsi="Segoe UI" w:cs="Segoe UI"/>
        </w:rPr>
      </w:pPr>
      <w:r w:rsidRPr="00EF01D9">
        <w:rPr>
          <w:rFonts w:ascii="Segoe UI" w:hAnsi="Segoe UI" w:cs="Segoe UI"/>
          <w:b/>
        </w:rPr>
        <w:t xml:space="preserve">Bucks CAMHS </w:t>
      </w:r>
      <w:r w:rsidRPr="00EF01D9">
        <w:rPr>
          <w:rFonts w:ascii="Segoe UI" w:hAnsi="Segoe UI" w:cs="Segoe UI"/>
        </w:rPr>
        <w:t xml:space="preserve">– The </w:t>
      </w:r>
      <w:r w:rsidR="001C4ED8" w:rsidRPr="00EF01D9">
        <w:rPr>
          <w:rFonts w:ascii="Segoe UI" w:hAnsi="Segoe UI" w:cs="Segoe UI"/>
        </w:rPr>
        <w:t xml:space="preserve">percentage of routine referrals assessed within 4 weeks continues to be below target at 65% for August. Performance is impacted by Patient choice. The service is requesting a change to the measure with commissioners, currently it is “The count of routine referrals seen within 4 weeks” the service is proposing that the measure should be </w:t>
      </w:r>
      <w:r w:rsidR="001C4ED8" w:rsidRPr="00EF01D9">
        <w:rPr>
          <w:rFonts w:ascii="Segoe UI" w:hAnsi="Segoe UI" w:cs="Segoe UI"/>
        </w:rPr>
        <w:lastRenderedPageBreak/>
        <w:t xml:space="preserve">“The count of routine referrals offered within 4 weeks” as patient choice is not within </w:t>
      </w:r>
      <w:r w:rsidR="00E34AE4">
        <w:rPr>
          <w:rFonts w:ascii="Segoe UI" w:hAnsi="Segoe UI" w:cs="Segoe UI"/>
        </w:rPr>
        <w:t>the Trust’s</w:t>
      </w:r>
      <w:r w:rsidR="001C4ED8" w:rsidRPr="00EF01D9">
        <w:rPr>
          <w:rFonts w:ascii="Segoe UI" w:hAnsi="Segoe UI" w:cs="Segoe UI"/>
        </w:rPr>
        <w:t xml:space="preserve"> control. They will also be conducting a deep dive around all August breaches to ensure they have a robust process for reporting and recording for the new rules for this </w:t>
      </w:r>
      <w:proofErr w:type="spellStart"/>
      <w:r w:rsidR="001C4ED8" w:rsidRPr="00EF01D9">
        <w:rPr>
          <w:rFonts w:ascii="Segoe UI" w:hAnsi="Segoe UI" w:cs="Segoe UI"/>
        </w:rPr>
        <w:t>incentivised</w:t>
      </w:r>
      <w:proofErr w:type="spellEnd"/>
      <w:r w:rsidR="001C4ED8" w:rsidRPr="00EF01D9">
        <w:rPr>
          <w:rFonts w:ascii="Segoe UI" w:hAnsi="Segoe UI" w:cs="Segoe UI"/>
        </w:rPr>
        <w:t xml:space="preserve"> measure. </w:t>
      </w:r>
    </w:p>
    <w:p w:rsidR="001C4ED8" w:rsidRPr="00EF01D9" w:rsidRDefault="001C4ED8" w:rsidP="001C4ED8">
      <w:pPr>
        <w:pStyle w:val="ListParagraph"/>
        <w:rPr>
          <w:rFonts w:ascii="Segoe UI" w:hAnsi="Segoe UI" w:cs="Segoe UI"/>
        </w:rPr>
      </w:pPr>
    </w:p>
    <w:p w:rsidR="00361816" w:rsidRPr="00EF01D9" w:rsidRDefault="00361816" w:rsidP="00A80A17">
      <w:pPr>
        <w:jc w:val="both"/>
        <w:rPr>
          <w:rFonts w:ascii="Segoe UI" w:eastAsia="Calibri" w:hAnsi="Segoe UI" w:cs="Segoe UI"/>
        </w:rPr>
      </w:pPr>
      <w:r w:rsidRPr="00EF01D9">
        <w:rPr>
          <w:rFonts w:ascii="Segoe UI" w:eastAsia="Calibri" w:hAnsi="Segoe UI" w:cs="Segoe UI"/>
          <w:b/>
          <w:bCs/>
        </w:rPr>
        <w:t xml:space="preserve">Oxfordshire Community Services Directorate </w:t>
      </w:r>
      <w:r w:rsidRPr="00EF01D9">
        <w:rPr>
          <w:rFonts w:ascii="Segoe UI" w:eastAsia="Calibri" w:hAnsi="Segoe UI" w:cs="Segoe UI"/>
        </w:rPr>
        <w:t xml:space="preserve">achieved </w:t>
      </w:r>
      <w:r w:rsidR="000B3EA8" w:rsidRPr="00EF01D9">
        <w:rPr>
          <w:rFonts w:ascii="Segoe UI" w:eastAsia="Calibri" w:hAnsi="Segoe UI" w:cs="Segoe UI"/>
        </w:rPr>
        <w:t>6</w:t>
      </w:r>
      <w:r w:rsidR="00F83B22" w:rsidRPr="00EF01D9">
        <w:rPr>
          <w:rFonts w:ascii="Segoe UI" w:eastAsia="Calibri" w:hAnsi="Segoe UI" w:cs="Segoe UI"/>
        </w:rPr>
        <w:t>0</w:t>
      </w:r>
      <w:r w:rsidRPr="00EF01D9">
        <w:rPr>
          <w:rFonts w:ascii="Segoe UI" w:eastAsia="Calibri" w:hAnsi="Segoe UI" w:cs="Segoe UI"/>
        </w:rPr>
        <w:t xml:space="preserve"> of the </w:t>
      </w:r>
      <w:r w:rsidR="00F83B22" w:rsidRPr="00EF01D9">
        <w:rPr>
          <w:rFonts w:ascii="Segoe UI" w:eastAsia="Calibri" w:hAnsi="Segoe UI" w:cs="Segoe UI"/>
        </w:rPr>
        <w:t>75</w:t>
      </w:r>
      <w:r w:rsidR="000B3EA8" w:rsidRPr="00EF01D9">
        <w:rPr>
          <w:rFonts w:ascii="Segoe UI" w:eastAsia="Calibri" w:hAnsi="Segoe UI" w:cs="Segoe UI"/>
        </w:rPr>
        <w:t xml:space="preserve"> commissioner</w:t>
      </w:r>
      <w:r w:rsidRPr="00EF01D9">
        <w:rPr>
          <w:rFonts w:ascii="Segoe UI" w:eastAsia="Calibri" w:hAnsi="Segoe UI" w:cs="Segoe UI"/>
        </w:rPr>
        <w:t xml:space="preserve"> targeted indicators (</w:t>
      </w:r>
      <w:r w:rsidR="00F83B22" w:rsidRPr="00EF01D9">
        <w:rPr>
          <w:rFonts w:ascii="Segoe UI" w:eastAsia="Calibri" w:hAnsi="Segoe UI" w:cs="Segoe UI"/>
        </w:rPr>
        <w:t>80</w:t>
      </w:r>
      <w:r w:rsidRPr="00EF01D9">
        <w:rPr>
          <w:rFonts w:ascii="Segoe UI" w:eastAsia="Calibri" w:hAnsi="Segoe UI" w:cs="Segoe UI"/>
        </w:rPr>
        <w:t>%</w:t>
      </w:r>
      <w:r w:rsidR="00A80A17" w:rsidRPr="00EF01D9">
        <w:rPr>
          <w:rFonts w:ascii="Segoe UI" w:eastAsia="Calibri" w:hAnsi="Segoe UI" w:cs="Segoe UI"/>
        </w:rPr>
        <w:t>)</w:t>
      </w:r>
      <w:r w:rsidRPr="00EF01D9">
        <w:rPr>
          <w:rFonts w:ascii="Segoe UI" w:eastAsia="Calibri" w:hAnsi="Segoe UI" w:cs="Segoe UI"/>
        </w:rPr>
        <w:t xml:space="preserve"> </w:t>
      </w:r>
    </w:p>
    <w:p w:rsidR="00361816" w:rsidRPr="00EF01D9" w:rsidRDefault="00361816" w:rsidP="00361816">
      <w:pPr>
        <w:jc w:val="both"/>
        <w:rPr>
          <w:rFonts w:ascii="Segoe UI" w:eastAsia="Calibri" w:hAnsi="Segoe UI" w:cs="Segoe UI"/>
        </w:rPr>
      </w:pPr>
    </w:p>
    <w:p w:rsidR="00361816" w:rsidRPr="00EF01D9" w:rsidRDefault="00361816" w:rsidP="00361816">
      <w:pPr>
        <w:jc w:val="both"/>
        <w:rPr>
          <w:rFonts w:ascii="Segoe UI" w:eastAsia="Calibri" w:hAnsi="Segoe UI" w:cs="Segoe UI"/>
          <w:b/>
          <w:bCs/>
        </w:rPr>
      </w:pPr>
      <w:r w:rsidRPr="00EF01D9">
        <w:rPr>
          <w:rFonts w:ascii="Segoe UI" w:eastAsia="Calibri" w:hAnsi="Segoe UI" w:cs="Segoe UI"/>
          <w:b/>
          <w:bCs/>
        </w:rPr>
        <w:t>Highlights for the Board:</w:t>
      </w:r>
    </w:p>
    <w:p w:rsidR="00EF01D9" w:rsidRPr="00EF01D9" w:rsidRDefault="00EF01D9" w:rsidP="00EF01D9">
      <w:pPr>
        <w:ind w:left="720"/>
        <w:jc w:val="both"/>
        <w:rPr>
          <w:rFonts w:ascii="Segoe UI" w:hAnsi="Segoe UI" w:cs="Segoe UI"/>
          <w:b/>
          <w:bCs/>
        </w:rPr>
      </w:pPr>
    </w:p>
    <w:p w:rsidR="00A913A8" w:rsidRPr="00EF01D9" w:rsidRDefault="00A913A8" w:rsidP="005F33A8">
      <w:pPr>
        <w:numPr>
          <w:ilvl w:val="0"/>
          <w:numId w:val="25"/>
        </w:numPr>
        <w:jc w:val="both"/>
        <w:rPr>
          <w:rFonts w:ascii="Segoe UI" w:hAnsi="Segoe UI" w:cs="Segoe UI"/>
          <w:b/>
          <w:bCs/>
        </w:rPr>
      </w:pPr>
      <w:r w:rsidRPr="00EF01D9">
        <w:rPr>
          <w:rFonts w:ascii="Segoe UI" w:hAnsi="Segoe UI" w:cs="Segoe UI"/>
          <w:b/>
        </w:rPr>
        <w:t>Community Hospitals</w:t>
      </w:r>
      <w:r w:rsidRPr="00EF01D9">
        <w:rPr>
          <w:rFonts w:ascii="Segoe UI" w:hAnsi="Segoe UI" w:cs="Segoe UI"/>
        </w:rPr>
        <w:t xml:space="preserve"> - The percentage of interim inpatient discharge letters (MDT letter for Community Hospitals) that are sent back to GPs within 24 hours of discharge has shown a period of </w:t>
      </w:r>
      <w:r w:rsidRPr="0095527B">
        <w:rPr>
          <w:rFonts w:ascii="Segoe UI" w:hAnsi="Segoe UI" w:cs="Segoe UI"/>
        </w:rPr>
        <w:t>continuous improvement</w:t>
      </w:r>
      <w:r w:rsidRPr="00EF01D9">
        <w:rPr>
          <w:rFonts w:ascii="Segoe UI" w:hAnsi="Segoe UI" w:cs="Segoe UI"/>
        </w:rPr>
        <w:t>: M1 73%, M2 62%, M3 83%, M4 89% M5 91% - no longer on the Board report.  A better IT solution combined with local efforts by staff has delivered the improved performance.</w:t>
      </w:r>
    </w:p>
    <w:p w:rsidR="00A913A8" w:rsidRPr="00EF01D9" w:rsidRDefault="00A913A8" w:rsidP="00A913A8">
      <w:pPr>
        <w:pStyle w:val="ListParagraph"/>
        <w:rPr>
          <w:rFonts w:ascii="Segoe UI" w:hAnsi="Segoe UI" w:cs="Segoe UI"/>
          <w:b/>
          <w:bCs/>
          <w:highlight w:val="green"/>
        </w:rPr>
      </w:pPr>
    </w:p>
    <w:p w:rsidR="00A913A8" w:rsidRPr="00EF01D9" w:rsidRDefault="00A913A8" w:rsidP="00A913A8">
      <w:pPr>
        <w:pStyle w:val="ListParagraph"/>
        <w:numPr>
          <w:ilvl w:val="0"/>
          <w:numId w:val="25"/>
        </w:numPr>
        <w:rPr>
          <w:rFonts w:ascii="Segoe UI" w:hAnsi="Segoe UI" w:cs="Segoe UI"/>
        </w:rPr>
      </w:pPr>
      <w:r w:rsidRPr="00EF01D9">
        <w:rPr>
          <w:rFonts w:ascii="Segoe UI" w:hAnsi="Segoe UI" w:cs="Segoe UI"/>
          <w:b/>
        </w:rPr>
        <w:t>Buckinghamshire CHC</w:t>
      </w:r>
      <w:r w:rsidRPr="00EF01D9">
        <w:rPr>
          <w:rFonts w:ascii="Segoe UI" w:hAnsi="Segoe UI" w:cs="Segoe UI"/>
        </w:rPr>
        <w:t xml:space="preserve"> – The Trust continues to underperform against the referrals completed within 28 days target.   However continuous improvement has been shown since May 2019.   </w:t>
      </w:r>
    </w:p>
    <w:p w:rsidR="00A913A8" w:rsidRPr="00EF01D9" w:rsidRDefault="00A913A8" w:rsidP="00A913A8">
      <w:pPr>
        <w:pStyle w:val="ListParagraph"/>
        <w:rPr>
          <w:rFonts w:ascii="Segoe UI" w:hAnsi="Segoe UI" w:cs="Segoe UI"/>
          <w:b/>
          <w:bCs/>
        </w:rPr>
      </w:pPr>
    </w:p>
    <w:p w:rsidR="00A913A8" w:rsidRPr="00EF01D9" w:rsidRDefault="00A913A8" w:rsidP="00A913A8">
      <w:pPr>
        <w:pStyle w:val="ListParagraph"/>
        <w:numPr>
          <w:ilvl w:val="0"/>
          <w:numId w:val="25"/>
        </w:numPr>
        <w:rPr>
          <w:rFonts w:ascii="Segoe UI" w:hAnsi="Segoe UI" w:cs="Segoe UI"/>
        </w:rPr>
      </w:pPr>
      <w:r w:rsidRPr="00EF01D9">
        <w:rPr>
          <w:rFonts w:ascii="Segoe UI" w:hAnsi="Segoe UI" w:cs="Segoe UI"/>
          <w:b/>
          <w:bCs/>
        </w:rPr>
        <w:t xml:space="preserve">Oxfordshire CHC – </w:t>
      </w:r>
      <w:r w:rsidRPr="00EF01D9">
        <w:rPr>
          <w:rFonts w:ascii="Segoe UI" w:hAnsi="Segoe UI" w:cs="Segoe UI"/>
          <w:bCs/>
        </w:rPr>
        <w:t>The</w:t>
      </w:r>
      <w:r w:rsidRPr="00EF01D9">
        <w:rPr>
          <w:rFonts w:ascii="Segoe UI" w:hAnsi="Segoe UI" w:cs="Segoe UI"/>
          <w:b/>
          <w:bCs/>
        </w:rPr>
        <w:t xml:space="preserve"> </w:t>
      </w:r>
      <w:r w:rsidRPr="00EF01D9">
        <w:rPr>
          <w:rFonts w:ascii="Segoe UI" w:hAnsi="Segoe UI" w:cs="Segoe UI"/>
        </w:rPr>
        <w:t xml:space="preserve">Oxfordshire CCG has </w:t>
      </w:r>
      <w:proofErr w:type="spellStart"/>
      <w:r w:rsidRPr="00EF01D9">
        <w:rPr>
          <w:rFonts w:ascii="Segoe UI" w:hAnsi="Segoe UI" w:cs="Segoe UI"/>
        </w:rPr>
        <w:t>recogni</w:t>
      </w:r>
      <w:r w:rsidR="00EF01D9" w:rsidRPr="00EF01D9">
        <w:rPr>
          <w:rFonts w:ascii="Segoe UI" w:hAnsi="Segoe UI" w:cs="Segoe UI"/>
        </w:rPr>
        <w:t>s</w:t>
      </w:r>
      <w:r w:rsidRPr="00EF01D9">
        <w:rPr>
          <w:rFonts w:ascii="Segoe UI" w:hAnsi="Segoe UI" w:cs="Segoe UI"/>
        </w:rPr>
        <w:t>ed</w:t>
      </w:r>
      <w:proofErr w:type="spellEnd"/>
      <w:r w:rsidRPr="00EF01D9">
        <w:rPr>
          <w:rFonts w:ascii="Segoe UI" w:hAnsi="Segoe UI" w:cs="Segoe UI"/>
        </w:rPr>
        <w:t xml:space="preserve"> the challenges </w:t>
      </w:r>
      <w:r w:rsidR="0095527B">
        <w:rPr>
          <w:rFonts w:ascii="Segoe UI" w:hAnsi="Segoe UI" w:cs="Segoe UI"/>
        </w:rPr>
        <w:t>of</w:t>
      </w:r>
      <w:r w:rsidRPr="00EF01D9">
        <w:rPr>
          <w:rFonts w:ascii="Segoe UI" w:hAnsi="Segoe UI" w:cs="Segoe UI"/>
        </w:rPr>
        <w:t xml:space="preserve"> the </w:t>
      </w:r>
      <w:proofErr w:type="gramStart"/>
      <w:r w:rsidRPr="00EF01D9">
        <w:rPr>
          <w:rFonts w:ascii="Segoe UI" w:hAnsi="Segoe UI" w:cs="Segoe UI"/>
        </w:rPr>
        <w:t>28 day</w:t>
      </w:r>
      <w:proofErr w:type="gramEnd"/>
      <w:r w:rsidRPr="00EF01D9">
        <w:rPr>
          <w:rFonts w:ascii="Segoe UI" w:hAnsi="Segoe UI" w:cs="Segoe UI"/>
        </w:rPr>
        <w:t xml:space="preserve"> target and is now </w:t>
      </w:r>
      <w:proofErr w:type="spellStart"/>
      <w:r w:rsidRPr="00EF01D9">
        <w:rPr>
          <w:rFonts w:ascii="Segoe UI" w:hAnsi="Segoe UI" w:cs="Segoe UI"/>
        </w:rPr>
        <w:t>organising</w:t>
      </w:r>
      <w:proofErr w:type="spellEnd"/>
      <w:r w:rsidRPr="00EF01D9">
        <w:rPr>
          <w:rFonts w:ascii="Segoe UI" w:hAnsi="Segoe UI" w:cs="Segoe UI"/>
        </w:rPr>
        <w:t xml:space="preserve"> a system-wide Task &amp; Finish group that will have oversight of 4 different workstreams:</w:t>
      </w:r>
    </w:p>
    <w:p w:rsidR="00A913A8" w:rsidRPr="00EF01D9" w:rsidRDefault="00A913A8" w:rsidP="00A913A8">
      <w:pPr>
        <w:pStyle w:val="ListParagraph"/>
        <w:numPr>
          <w:ilvl w:val="0"/>
          <w:numId w:val="28"/>
        </w:numPr>
        <w:rPr>
          <w:rFonts w:ascii="Segoe UI" w:hAnsi="Segoe UI" w:cs="Segoe UI"/>
        </w:rPr>
      </w:pPr>
      <w:r w:rsidRPr="00EF01D9">
        <w:rPr>
          <w:rFonts w:ascii="Segoe UI" w:hAnsi="Segoe UI" w:cs="Segoe UI"/>
        </w:rPr>
        <w:t>Reducing potentially unwarranted variation in CHC;</w:t>
      </w:r>
    </w:p>
    <w:p w:rsidR="00A913A8" w:rsidRPr="00EF01D9" w:rsidRDefault="00A913A8" w:rsidP="00A913A8">
      <w:pPr>
        <w:pStyle w:val="ListParagraph"/>
        <w:numPr>
          <w:ilvl w:val="0"/>
          <w:numId w:val="28"/>
        </w:numPr>
        <w:rPr>
          <w:rFonts w:ascii="Segoe UI" w:hAnsi="Segoe UI" w:cs="Segoe UI"/>
        </w:rPr>
      </w:pPr>
      <w:r w:rsidRPr="00EF01D9">
        <w:rPr>
          <w:rFonts w:ascii="Segoe UI" w:hAnsi="Segoe UI" w:cs="Segoe UI"/>
        </w:rPr>
        <w:t>Improving commissioning and procurement;</w:t>
      </w:r>
    </w:p>
    <w:p w:rsidR="00A913A8" w:rsidRPr="00EF01D9" w:rsidRDefault="00A913A8" w:rsidP="00A913A8">
      <w:pPr>
        <w:pStyle w:val="ListParagraph"/>
        <w:numPr>
          <w:ilvl w:val="0"/>
          <w:numId w:val="28"/>
        </w:numPr>
        <w:rPr>
          <w:rFonts w:ascii="Segoe UI" w:hAnsi="Segoe UI" w:cs="Segoe UI"/>
        </w:rPr>
      </w:pPr>
      <w:proofErr w:type="spellStart"/>
      <w:r w:rsidRPr="00EF01D9">
        <w:rPr>
          <w:rFonts w:ascii="Segoe UI" w:hAnsi="Segoe UI" w:cs="Segoe UI"/>
        </w:rPr>
        <w:t>Personalisation</w:t>
      </w:r>
      <w:proofErr w:type="spellEnd"/>
      <w:r w:rsidRPr="00EF01D9">
        <w:rPr>
          <w:rFonts w:ascii="Segoe UI" w:hAnsi="Segoe UI" w:cs="Segoe UI"/>
        </w:rPr>
        <w:t>;</w:t>
      </w:r>
    </w:p>
    <w:p w:rsidR="00A913A8" w:rsidRPr="00EF01D9" w:rsidRDefault="00A913A8" w:rsidP="00A913A8">
      <w:pPr>
        <w:pStyle w:val="ListParagraph"/>
        <w:numPr>
          <w:ilvl w:val="0"/>
          <w:numId w:val="28"/>
        </w:numPr>
        <w:rPr>
          <w:rFonts w:ascii="Segoe UI" w:hAnsi="Segoe UI" w:cs="Segoe UI"/>
        </w:rPr>
      </w:pPr>
      <w:r w:rsidRPr="00EF01D9">
        <w:rPr>
          <w:rFonts w:ascii="Segoe UI" w:hAnsi="Segoe UI" w:cs="Segoe UI"/>
        </w:rPr>
        <w:t>Sustaining and improving quality.</w:t>
      </w:r>
    </w:p>
    <w:p w:rsidR="00A913A8" w:rsidRPr="00EF01D9" w:rsidRDefault="00A913A8" w:rsidP="00EF01D9">
      <w:pPr>
        <w:ind w:left="720"/>
        <w:rPr>
          <w:rFonts w:ascii="Segoe UI" w:eastAsiaTheme="minorHAnsi" w:hAnsi="Segoe UI" w:cs="Segoe UI"/>
        </w:rPr>
      </w:pPr>
      <w:r w:rsidRPr="00EF01D9">
        <w:rPr>
          <w:rFonts w:ascii="Segoe UI" w:hAnsi="Segoe UI" w:cs="Segoe UI"/>
        </w:rPr>
        <w:t>The latter workstream will be addressing performance against</w:t>
      </w:r>
      <w:r w:rsidR="00EF01D9" w:rsidRPr="00EF01D9">
        <w:rPr>
          <w:rFonts w:ascii="Segoe UI" w:hAnsi="Segoe UI" w:cs="Segoe UI"/>
        </w:rPr>
        <w:t xml:space="preserve"> the contracted</w:t>
      </w:r>
      <w:r w:rsidRPr="00EF01D9">
        <w:rPr>
          <w:rFonts w:ascii="Segoe UI" w:hAnsi="Segoe UI" w:cs="Segoe UI"/>
        </w:rPr>
        <w:t xml:space="preserve"> KPIs. </w:t>
      </w:r>
      <w:r w:rsidR="00EF01D9" w:rsidRPr="00EF01D9">
        <w:rPr>
          <w:rFonts w:ascii="Segoe UI" w:hAnsi="Segoe UI" w:cs="Segoe UI"/>
        </w:rPr>
        <w:t xml:space="preserve">The </w:t>
      </w:r>
      <w:r w:rsidRPr="00EF01D9">
        <w:rPr>
          <w:rFonts w:ascii="Segoe UI" w:hAnsi="Segoe UI" w:cs="Segoe UI"/>
        </w:rPr>
        <w:t>CCG</w:t>
      </w:r>
      <w:r w:rsidR="00EF01D9" w:rsidRPr="00EF01D9">
        <w:rPr>
          <w:rFonts w:ascii="Segoe UI" w:hAnsi="Segoe UI" w:cs="Segoe UI"/>
        </w:rPr>
        <w:t xml:space="preserve"> has acknowledged </w:t>
      </w:r>
      <w:r w:rsidRPr="00EF01D9">
        <w:rPr>
          <w:rFonts w:ascii="Segoe UI" w:hAnsi="Segoe UI" w:cs="Segoe UI"/>
        </w:rPr>
        <w:t xml:space="preserve">that some of the contributing factors are external and </w:t>
      </w:r>
      <w:r w:rsidR="0095527B">
        <w:rPr>
          <w:rFonts w:ascii="Segoe UI" w:hAnsi="Segoe UI" w:cs="Segoe UI"/>
        </w:rPr>
        <w:t xml:space="preserve">that </w:t>
      </w:r>
      <w:r w:rsidR="00EF01D9" w:rsidRPr="00EF01D9">
        <w:rPr>
          <w:rFonts w:ascii="Segoe UI" w:hAnsi="Segoe UI" w:cs="Segoe UI"/>
        </w:rPr>
        <w:t>a collaborative approach is required to achieve a system wide improvement</w:t>
      </w:r>
      <w:r w:rsidRPr="00EF01D9">
        <w:rPr>
          <w:rFonts w:ascii="Segoe UI" w:hAnsi="Segoe UI" w:cs="Segoe UI"/>
        </w:rPr>
        <w:t>.</w:t>
      </w:r>
    </w:p>
    <w:p w:rsidR="00361816" w:rsidRPr="00EF01D9" w:rsidRDefault="00361816" w:rsidP="00361816">
      <w:pPr>
        <w:rPr>
          <w:rFonts w:ascii="Segoe UI" w:eastAsia="Calibri" w:hAnsi="Segoe UI" w:cs="Segoe UI"/>
          <w:lang w:val="en-GB"/>
        </w:rPr>
      </w:pPr>
    </w:p>
    <w:p w:rsidR="000B3EA8" w:rsidRPr="00EF01D9" w:rsidRDefault="00EA34EB" w:rsidP="0053411B">
      <w:pPr>
        <w:pStyle w:val="ListParagraph"/>
        <w:numPr>
          <w:ilvl w:val="0"/>
          <w:numId w:val="23"/>
        </w:numPr>
        <w:jc w:val="both"/>
        <w:rPr>
          <w:rFonts w:ascii="Segoe UI" w:hAnsi="Segoe UI" w:cs="Segoe UI"/>
          <w:b/>
        </w:rPr>
      </w:pPr>
      <w:r w:rsidRPr="00EF01D9">
        <w:rPr>
          <w:rFonts w:ascii="Segoe UI" w:hAnsi="Segoe UI" w:cs="Segoe UI"/>
          <w:b/>
        </w:rPr>
        <w:t>Speciali</w:t>
      </w:r>
      <w:r w:rsidR="000974F2" w:rsidRPr="00EF01D9">
        <w:rPr>
          <w:rFonts w:ascii="Segoe UI" w:hAnsi="Segoe UI" w:cs="Segoe UI"/>
          <w:b/>
        </w:rPr>
        <w:t>sed</w:t>
      </w:r>
      <w:r w:rsidR="00C37643" w:rsidRPr="00EF01D9">
        <w:rPr>
          <w:rFonts w:ascii="Segoe UI" w:hAnsi="Segoe UI" w:cs="Segoe UI"/>
          <w:b/>
        </w:rPr>
        <w:t xml:space="preserve"> Services</w:t>
      </w:r>
      <w:r w:rsidRPr="00EF01D9">
        <w:rPr>
          <w:rFonts w:ascii="Segoe UI" w:hAnsi="Segoe UI" w:cs="Segoe UI"/>
          <w:b/>
        </w:rPr>
        <w:t xml:space="preserve"> </w:t>
      </w:r>
      <w:r w:rsidRPr="00EF01D9">
        <w:rPr>
          <w:rFonts w:ascii="Segoe UI" w:hAnsi="Segoe UI" w:cs="Segoe UI"/>
        </w:rPr>
        <w:t xml:space="preserve">achieved </w:t>
      </w:r>
      <w:r w:rsidR="00F83B22" w:rsidRPr="00EF01D9">
        <w:rPr>
          <w:rFonts w:ascii="Segoe UI" w:hAnsi="Segoe UI" w:cs="Segoe UI"/>
        </w:rPr>
        <w:t>100</w:t>
      </w:r>
      <w:r w:rsidR="00E23391" w:rsidRPr="00EF01D9">
        <w:rPr>
          <w:rFonts w:ascii="Segoe UI" w:hAnsi="Segoe UI" w:cs="Segoe UI"/>
        </w:rPr>
        <w:t xml:space="preserve"> out of 1</w:t>
      </w:r>
      <w:r w:rsidR="00F83B22" w:rsidRPr="00EF01D9">
        <w:rPr>
          <w:rFonts w:ascii="Segoe UI" w:hAnsi="Segoe UI" w:cs="Segoe UI"/>
        </w:rPr>
        <w:t>23</w:t>
      </w:r>
      <w:r w:rsidR="009750DE" w:rsidRPr="00EF01D9">
        <w:rPr>
          <w:rFonts w:ascii="Segoe UI" w:hAnsi="Segoe UI" w:cs="Segoe UI"/>
        </w:rPr>
        <w:t xml:space="preserve"> </w:t>
      </w:r>
      <w:r w:rsidRPr="00EF01D9">
        <w:rPr>
          <w:rFonts w:ascii="Segoe UI" w:hAnsi="Segoe UI" w:cs="Segoe UI"/>
        </w:rPr>
        <w:t>targeted indicators</w:t>
      </w:r>
      <w:r w:rsidR="00DB3604" w:rsidRPr="00EF01D9">
        <w:rPr>
          <w:rFonts w:ascii="Segoe UI" w:hAnsi="Segoe UI" w:cs="Segoe UI"/>
        </w:rPr>
        <w:t xml:space="preserve"> (</w:t>
      </w:r>
      <w:r w:rsidR="000B3EA8" w:rsidRPr="00EF01D9">
        <w:rPr>
          <w:rFonts w:ascii="Segoe UI" w:hAnsi="Segoe UI" w:cs="Segoe UI"/>
        </w:rPr>
        <w:t>8</w:t>
      </w:r>
      <w:r w:rsidR="00F83B22" w:rsidRPr="00EF01D9">
        <w:rPr>
          <w:rFonts w:ascii="Segoe UI" w:hAnsi="Segoe UI" w:cs="Segoe UI"/>
        </w:rPr>
        <w:t>1</w:t>
      </w:r>
      <w:r w:rsidR="00965FBF" w:rsidRPr="00EF01D9">
        <w:rPr>
          <w:rFonts w:ascii="Segoe UI" w:hAnsi="Segoe UI" w:cs="Segoe UI"/>
        </w:rPr>
        <w:t>%)</w:t>
      </w:r>
    </w:p>
    <w:p w:rsidR="00132863" w:rsidRPr="00EF01D9" w:rsidRDefault="00E23391" w:rsidP="000B3EA8">
      <w:pPr>
        <w:pStyle w:val="ListParagraph"/>
        <w:ind w:left="502"/>
        <w:jc w:val="both"/>
        <w:rPr>
          <w:rFonts w:ascii="Segoe UI" w:hAnsi="Segoe UI" w:cs="Segoe UI"/>
          <w:b/>
          <w:highlight w:val="yellow"/>
        </w:rPr>
      </w:pPr>
      <w:r w:rsidRPr="00EF01D9">
        <w:rPr>
          <w:rFonts w:ascii="Segoe UI" w:hAnsi="Segoe UI" w:cs="Segoe UI"/>
          <w:b/>
          <w:highlight w:val="yellow"/>
        </w:rPr>
        <w:t xml:space="preserve"> </w:t>
      </w:r>
    </w:p>
    <w:p w:rsidR="00132863" w:rsidRPr="00EF01D9" w:rsidRDefault="00132863" w:rsidP="00101A21">
      <w:pPr>
        <w:ind w:left="502"/>
        <w:rPr>
          <w:rFonts w:ascii="Segoe UI" w:hAnsi="Segoe UI" w:cs="Segoe UI"/>
          <w:b/>
        </w:rPr>
      </w:pPr>
      <w:r w:rsidRPr="00EF01D9">
        <w:rPr>
          <w:rFonts w:ascii="Segoe UI" w:hAnsi="Segoe UI" w:cs="Segoe UI"/>
          <w:b/>
        </w:rPr>
        <w:t>Highlights for the Board:</w:t>
      </w:r>
    </w:p>
    <w:p w:rsidR="00405D2D" w:rsidRPr="00EF01D9" w:rsidRDefault="00405D2D" w:rsidP="001E3511">
      <w:pPr>
        <w:jc w:val="both"/>
        <w:rPr>
          <w:rFonts w:ascii="Segoe UI" w:hAnsi="Segoe UI" w:cs="Segoe UI"/>
          <w:highlight w:val="green"/>
        </w:rPr>
      </w:pPr>
    </w:p>
    <w:p w:rsidR="00180EDB" w:rsidRPr="00EF01D9" w:rsidRDefault="00012059" w:rsidP="00635F6B">
      <w:pPr>
        <w:pStyle w:val="ListParagraph"/>
        <w:numPr>
          <w:ilvl w:val="0"/>
          <w:numId w:val="22"/>
        </w:numPr>
        <w:jc w:val="both"/>
        <w:rPr>
          <w:rFonts w:ascii="Segoe UI" w:hAnsi="Segoe UI" w:cs="Segoe UI"/>
          <w:b/>
        </w:rPr>
      </w:pPr>
      <w:r w:rsidRPr="00EF01D9">
        <w:rPr>
          <w:rFonts w:ascii="Segoe UI" w:hAnsi="Segoe UI" w:cs="Segoe UI"/>
          <w:b/>
        </w:rPr>
        <w:t xml:space="preserve">Eating Disorders (Bed Occupancy) </w:t>
      </w:r>
      <w:r w:rsidRPr="00EF01D9">
        <w:rPr>
          <w:rFonts w:ascii="Segoe UI" w:hAnsi="Segoe UI" w:cs="Segoe UI"/>
        </w:rPr>
        <w:t xml:space="preserve">– </w:t>
      </w:r>
      <w:r w:rsidR="00125A85" w:rsidRPr="00EF01D9">
        <w:rPr>
          <w:rFonts w:ascii="Segoe UI" w:hAnsi="Segoe UI" w:cs="Segoe UI"/>
        </w:rPr>
        <w:t>The service has implemented a Single Point of Access (SPA) as part of the New Care Model</w:t>
      </w:r>
      <w:r w:rsidR="00EF01D9" w:rsidRPr="00EF01D9">
        <w:rPr>
          <w:rFonts w:ascii="Segoe UI" w:hAnsi="Segoe UI" w:cs="Segoe UI"/>
        </w:rPr>
        <w:t>s improvement work</w:t>
      </w:r>
      <w:r w:rsidR="00125A85" w:rsidRPr="00EF01D9">
        <w:rPr>
          <w:rFonts w:ascii="Segoe UI" w:hAnsi="Segoe UI" w:cs="Segoe UI"/>
        </w:rPr>
        <w:t xml:space="preserve"> and expect bed status to improve as patient flow becomes established </w:t>
      </w:r>
      <w:r w:rsidR="00125A85" w:rsidRPr="00EF01D9">
        <w:rPr>
          <w:rFonts w:ascii="Segoe UI" w:hAnsi="Segoe UI" w:cs="Segoe UI"/>
        </w:rPr>
        <w:lastRenderedPageBreak/>
        <w:t>across the network.  There is a monitoring mechanism in place</w:t>
      </w:r>
      <w:r w:rsidR="00EF01D9" w:rsidRPr="00EF01D9">
        <w:rPr>
          <w:rFonts w:ascii="Segoe UI" w:hAnsi="Segoe UI" w:cs="Segoe UI"/>
        </w:rPr>
        <w:t xml:space="preserve"> that is overseen by t</w:t>
      </w:r>
      <w:r w:rsidR="00125A85" w:rsidRPr="00EF01D9">
        <w:rPr>
          <w:rFonts w:ascii="Segoe UI" w:hAnsi="Segoe UI" w:cs="Segoe UI"/>
        </w:rPr>
        <w:t>he Forensic Senior group.</w:t>
      </w:r>
    </w:p>
    <w:p w:rsidR="00EF01D9" w:rsidRPr="00EF01D9" w:rsidRDefault="00EF01D9" w:rsidP="0073522A">
      <w:pPr>
        <w:jc w:val="both"/>
        <w:rPr>
          <w:rFonts w:ascii="Segoe UI" w:hAnsi="Segoe UI" w:cs="Segoe UI"/>
          <w:b/>
        </w:rPr>
      </w:pPr>
    </w:p>
    <w:p w:rsidR="0073522A" w:rsidRPr="00EF01D9" w:rsidRDefault="0073522A" w:rsidP="0073522A">
      <w:pPr>
        <w:jc w:val="both"/>
        <w:rPr>
          <w:rFonts w:ascii="Segoe UI" w:hAnsi="Segoe UI" w:cs="Segoe UI"/>
        </w:rPr>
      </w:pPr>
      <w:r w:rsidRPr="00EF01D9">
        <w:rPr>
          <w:rFonts w:ascii="Segoe UI" w:hAnsi="Segoe UI" w:cs="Segoe UI"/>
          <w:b/>
        </w:rPr>
        <w:t>Recommendation</w:t>
      </w:r>
    </w:p>
    <w:p w:rsidR="005D3499" w:rsidRPr="00EF01D9" w:rsidRDefault="00F95454">
      <w:pPr>
        <w:jc w:val="both"/>
        <w:rPr>
          <w:rFonts w:ascii="Segoe UI" w:hAnsi="Segoe UI" w:cs="Segoe UI"/>
        </w:rPr>
      </w:pPr>
      <w:r w:rsidRPr="00EF01D9">
        <w:rPr>
          <w:rFonts w:ascii="Segoe UI" w:hAnsi="Segoe UI" w:cs="Segoe UI"/>
        </w:rPr>
        <w:t>The Board of Directors is</w:t>
      </w:r>
      <w:r w:rsidR="00C62464" w:rsidRPr="00EF01D9">
        <w:rPr>
          <w:rFonts w:ascii="Segoe UI" w:hAnsi="Segoe UI" w:cs="Segoe UI"/>
        </w:rPr>
        <w:t xml:space="preserve"> asked to review </w:t>
      </w:r>
      <w:r w:rsidR="00982842" w:rsidRPr="00EF01D9">
        <w:rPr>
          <w:rFonts w:ascii="Segoe UI" w:hAnsi="Segoe UI" w:cs="Segoe UI"/>
        </w:rPr>
        <w:t xml:space="preserve">and note </w:t>
      </w:r>
      <w:r w:rsidR="00C62464" w:rsidRPr="00EF01D9">
        <w:rPr>
          <w:rFonts w:ascii="Segoe UI" w:hAnsi="Segoe UI" w:cs="Segoe UI"/>
        </w:rPr>
        <w:t xml:space="preserve">the </w:t>
      </w:r>
      <w:r w:rsidR="00982842" w:rsidRPr="00EF01D9">
        <w:rPr>
          <w:rFonts w:ascii="Segoe UI" w:hAnsi="Segoe UI" w:cs="Segoe UI"/>
        </w:rPr>
        <w:t xml:space="preserve">Board </w:t>
      </w:r>
      <w:r w:rsidR="00EF01D9" w:rsidRPr="00EF01D9">
        <w:rPr>
          <w:rFonts w:ascii="Segoe UI" w:hAnsi="Segoe UI" w:cs="Segoe UI"/>
        </w:rPr>
        <w:t>P</w:t>
      </w:r>
      <w:r w:rsidR="00982842" w:rsidRPr="00EF01D9">
        <w:rPr>
          <w:rFonts w:ascii="Segoe UI" w:hAnsi="Segoe UI" w:cs="Segoe UI"/>
        </w:rPr>
        <w:t xml:space="preserve">erformance </w:t>
      </w:r>
      <w:r w:rsidR="00EF01D9" w:rsidRPr="00EF01D9">
        <w:rPr>
          <w:rFonts w:ascii="Segoe UI" w:hAnsi="Segoe UI" w:cs="Segoe UI"/>
        </w:rPr>
        <w:t>R</w:t>
      </w:r>
      <w:r w:rsidR="00982842" w:rsidRPr="00EF01D9">
        <w:rPr>
          <w:rFonts w:ascii="Segoe UI" w:hAnsi="Segoe UI" w:cs="Segoe UI"/>
        </w:rPr>
        <w:t>eport.</w:t>
      </w:r>
    </w:p>
    <w:p w:rsidR="00982842" w:rsidRPr="00EF01D9" w:rsidRDefault="00982842">
      <w:pPr>
        <w:jc w:val="both"/>
        <w:rPr>
          <w:rFonts w:ascii="Segoe UI" w:hAnsi="Segoe UI" w:cs="Segoe UI"/>
          <w:b/>
        </w:rPr>
      </w:pPr>
    </w:p>
    <w:p w:rsidR="009F78D3" w:rsidRDefault="002619EF" w:rsidP="00EF01D9">
      <w:pPr>
        <w:ind w:left="1440" w:hanging="1440"/>
        <w:jc w:val="both"/>
        <w:rPr>
          <w:rFonts w:ascii="Segoe UI" w:hAnsi="Segoe UI" w:cs="Segoe UI"/>
          <w:sz w:val="20"/>
          <w:szCs w:val="20"/>
        </w:rPr>
      </w:pPr>
      <w:r w:rsidRPr="00EF01D9">
        <w:rPr>
          <w:rFonts w:ascii="Segoe UI" w:hAnsi="Segoe UI" w:cs="Segoe UI"/>
          <w:b/>
        </w:rPr>
        <w:t>Author and T</w:t>
      </w:r>
      <w:r w:rsidR="0073522A" w:rsidRPr="00EF01D9">
        <w:rPr>
          <w:rFonts w:ascii="Segoe UI" w:hAnsi="Segoe UI" w:cs="Segoe UI"/>
          <w:b/>
        </w:rPr>
        <w:t>itle:</w:t>
      </w:r>
      <w:r w:rsidR="0073522A" w:rsidRPr="00EF01D9">
        <w:rPr>
          <w:rFonts w:ascii="Segoe UI" w:hAnsi="Segoe UI" w:cs="Segoe UI"/>
        </w:rPr>
        <w:t xml:space="preserve"> </w:t>
      </w:r>
      <w:r w:rsidR="00B129F4" w:rsidRPr="00EF01D9">
        <w:rPr>
          <w:rFonts w:ascii="Segoe UI" w:hAnsi="Segoe UI" w:cs="Segoe UI"/>
        </w:rPr>
        <w:t xml:space="preserve"> </w:t>
      </w:r>
      <w:r w:rsidR="00C36082" w:rsidRPr="00EF01D9">
        <w:rPr>
          <w:rFonts w:ascii="Segoe UI" w:hAnsi="Segoe UI" w:cs="Segoe UI"/>
        </w:rPr>
        <w:t xml:space="preserve">Martyn Ward – </w:t>
      </w:r>
      <w:r w:rsidR="00BF72AE" w:rsidRPr="00EF01D9">
        <w:rPr>
          <w:rFonts w:ascii="Segoe UI" w:hAnsi="Segoe UI" w:cs="Segoe UI"/>
        </w:rPr>
        <w:t xml:space="preserve">Director of </w:t>
      </w:r>
      <w:r w:rsidR="00C77CF2" w:rsidRPr="00EF01D9">
        <w:rPr>
          <w:rFonts w:ascii="Segoe UI" w:hAnsi="Segoe UI" w:cs="Segoe UI"/>
        </w:rPr>
        <w:t xml:space="preserve">Strategy &amp; </w:t>
      </w:r>
      <w:r w:rsidR="00C24259" w:rsidRPr="00EF01D9">
        <w:rPr>
          <w:rFonts w:ascii="Segoe UI" w:hAnsi="Segoe UI" w:cs="Segoe UI"/>
        </w:rPr>
        <w:t xml:space="preserve">Chief Information </w:t>
      </w:r>
      <w:r w:rsidR="00B129F4" w:rsidRPr="00EF01D9">
        <w:rPr>
          <w:rFonts w:ascii="Segoe UI" w:hAnsi="Segoe UI" w:cs="Segoe UI"/>
        </w:rPr>
        <w:t>O</w:t>
      </w:r>
      <w:r w:rsidR="00C24259" w:rsidRPr="00EF01D9">
        <w:rPr>
          <w:rFonts w:ascii="Segoe UI" w:hAnsi="Segoe UI" w:cs="Segoe UI"/>
        </w:rPr>
        <w:t>fficer</w:t>
      </w:r>
      <w:r w:rsidR="009F78D3">
        <w:rPr>
          <w:rFonts w:ascii="Segoe UI" w:hAnsi="Segoe UI" w:cs="Segoe UI"/>
          <w:sz w:val="20"/>
          <w:szCs w:val="20"/>
        </w:rPr>
        <w:br w:type="page"/>
      </w:r>
    </w:p>
    <w:p w:rsidR="00AF0562" w:rsidRPr="009F78D3" w:rsidRDefault="009F78D3" w:rsidP="00BE48C0">
      <w:pPr>
        <w:jc w:val="both"/>
        <w:rPr>
          <w:rFonts w:ascii="Segoe UI" w:hAnsi="Segoe UI" w:cs="Segoe UI"/>
          <w:b/>
          <w:sz w:val="20"/>
          <w:szCs w:val="20"/>
        </w:rPr>
      </w:pPr>
      <w:r w:rsidRPr="009F78D3">
        <w:rPr>
          <w:rFonts w:ascii="Segoe UI" w:hAnsi="Segoe UI" w:cs="Segoe UI"/>
          <w:b/>
          <w:sz w:val="20"/>
          <w:szCs w:val="20"/>
        </w:rPr>
        <w:lastRenderedPageBreak/>
        <w:t>Appendix 1 – Patient Access and Flow</w:t>
      </w:r>
    </w:p>
    <w:p w:rsidR="009F78D3" w:rsidRDefault="009F78D3" w:rsidP="00BE48C0">
      <w:pPr>
        <w:jc w:val="both"/>
        <w:rPr>
          <w:rFonts w:ascii="Segoe UI" w:hAnsi="Segoe UI" w:cs="Segoe UI"/>
          <w:sz w:val="20"/>
          <w:szCs w:val="20"/>
        </w:rPr>
      </w:pPr>
    </w:p>
    <w:p w:rsidR="009F78D3" w:rsidRPr="00706A13" w:rsidRDefault="00F83B22" w:rsidP="009F78D3">
      <w:pPr>
        <w:ind w:left="-1276" w:firstLine="283"/>
        <w:jc w:val="both"/>
        <w:rPr>
          <w:rFonts w:ascii="Segoe UI" w:hAnsi="Segoe UI" w:cs="Segoe UI"/>
          <w:sz w:val="20"/>
          <w:szCs w:val="20"/>
        </w:rPr>
      </w:pPr>
      <w:r>
        <w:rPr>
          <w:noProof/>
        </w:rPr>
        <w:drawing>
          <wp:inline distT="0" distB="0" distL="0" distR="0" wp14:anchorId="6E95227C" wp14:editId="7C14AD78">
            <wp:extent cx="6927494" cy="5966144"/>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34074" cy="5971811"/>
                    </a:xfrm>
                    <a:prstGeom prst="rect">
                      <a:avLst/>
                    </a:prstGeom>
                  </pic:spPr>
                </pic:pic>
              </a:graphicData>
            </a:graphic>
          </wp:inline>
        </w:drawing>
      </w:r>
    </w:p>
    <w:sectPr w:rsidR="009F78D3" w:rsidRPr="00706A13" w:rsidSect="009227B8">
      <w:headerReference w:type="default" r:id="rId14"/>
      <w:footerReference w:type="default" r:id="rId15"/>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A75" w:rsidRDefault="00930A75" w:rsidP="005B3E3C">
      <w:r>
        <w:separator/>
      </w:r>
    </w:p>
  </w:endnote>
  <w:endnote w:type="continuationSeparator" w:id="0">
    <w:p w:rsidR="00930A75" w:rsidRDefault="00930A7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51279"/>
      <w:docPartObj>
        <w:docPartGallery w:val="Page Numbers (Bottom of Page)"/>
        <w:docPartUnique/>
      </w:docPartObj>
    </w:sdtPr>
    <w:sdtEndPr>
      <w:rPr>
        <w:noProof/>
      </w:rPr>
    </w:sdtEndPr>
    <w:sdtContent>
      <w:p w:rsidR="00B418F5" w:rsidRDefault="00B41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418F5" w:rsidRDefault="00B4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A75" w:rsidRDefault="00930A75" w:rsidP="005B3E3C">
      <w:r>
        <w:separator/>
      </w:r>
    </w:p>
  </w:footnote>
  <w:footnote w:type="continuationSeparator" w:id="0">
    <w:p w:rsidR="00930A75" w:rsidRDefault="00930A75"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B68"/>
    <w:multiLevelType w:val="hybridMultilevel"/>
    <w:tmpl w:val="CBF2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70688"/>
    <w:multiLevelType w:val="hybridMultilevel"/>
    <w:tmpl w:val="74F43184"/>
    <w:lvl w:ilvl="0" w:tplc="FFFAC730">
      <w:start w:val="1"/>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D76DD"/>
    <w:multiLevelType w:val="hybridMultilevel"/>
    <w:tmpl w:val="8B9AF612"/>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E3839"/>
    <w:multiLevelType w:val="hybridMultilevel"/>
    <w:tmpl w:val="7336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C6656"/>
    <w:multiLevelType w:val="hybridMultilevel"/>
    <w:tmpl w:val="155A5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8614C"/>
    <w:multiLevelType w:val="hybridMultilevel"/>
    <w:tmpl w:val="1EA2B8BC"/>
    <w:lvl w:ilvl="0" w:tplc="3CE447E8">
      <w:numFmt w:val="bullet"/>
      <w:lvlText w:val=""/>
      <w:lvlJc w:val="left"/>
      <w:pPr>
        <w:ind w:left="720" w:hanging="360"/>
      </w:pPr>
      <w:rPr>
        <w:rFonts w:ascii="Wingdings" w:eastAsia="Times New Roman"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01369"/>
    <w:multiLevelType w:val="hybridMultilevel"/>
    <w:tmpl w:val="8946AF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5" w15:restartNumberingAfterBreak="0">
    <w:nsid w:val="44081F66"/>
    <w:multiLevelType w:val="hybridMultilevel"/>
    <w:tmpl w:val="FCF4E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1F25AD"/>
    <w:multiLevelType w:val="hybridMultilevel"/>
    <w:tmpl w:val="22E28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2D20DC"/>
    <w:multiLevelType w:val="hybridMultilevel"/>
    <w:tmpl w:val="F4502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1E7606"/>
    <w:multiLevelType w:val="hybridMultilevel"/>
    <w:tmpl w:val="8B4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954DD5"/>
    <w:multiLevelType w:val="hybridMultilevel"/>
    <w:tmpl w:val="3160A908"/>
    <w:lvl w:ilvl="0" w:tplc="48CC0D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9"/>
  </w:num>
  <w:num w:numId="4">
    <w:abstractNumId w:val="11"/>
  </w:num>
  <w:num w:numId="5">
    <w:abstractNumId w:val="18"/>
  </w:num>
  <w:num w:numId="6">
    <w:abstractNumId w:val="2"/>
  </w:num>
  <w:num w:numId="7">
    <w:abstractNumId w:val="13"/>
  </w:num>
  <w:num w:numId="8">
    <w:abstractNumId w:val="10"/>
  </w:num>
  <w:num w:numId="9">
    <w:abstractNumId w:val="4"/>
  </w:num>
  <w:num w:numId="10">
    <w:abstractNumId w:val="12"/>
  </w:num>
  <w:num w:numId="11">
    <w:abstractNumId w:val="21"/>
  </w:num>
  <w:num w:numId="12">
    <w:abstractNumId w:val="6"/>
  </w:num>
  <w:num w:numId="13">
    <w:abstractNumId w:val="7"/>
  </w:num>
  <w:num w:numId="14">
    <w:abstractNumId w:val="23"/>
  </w:num>
  <w:num w:numId="15">
    <w:abstractNumId w:val="0"/>
  </w:num>
  <w:num w:numId="16">
    <w:abstractNumId w:val="17"/>
  </w:num>
  <w:num w:numId="17">
    <w:abstractNumId w:val="24"/>
  </w:num>
  <w:num w:numId="18">
    <w:abstractNumId w:val="25"/>
  </w:num>
  <w:num w:numId="19">
    <w:abstractNumId w:val="20"/>
  </w:num>
  <w:num w:numId="20">
    <w:abstractNumId w:val="15"/>
  </w:num>
  <w:num w:numId="21">
    <w:abstractNumId w:val="8"/>
  </w:num>
  <w:num w:numId="22">
    <w:abstractNumId w:val="5"/>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7830"/>
    <w:rsid w:val="000104E4"/>
    <w:rsid w:val="0001134C"/>
    <w:rsid w:val="00012059"/>
    <w:rsid w:val="00013A7D"/>
    <w:rsid w:val="00014845"/>
    <w:rsid w:val="000161D5"/>
    <w:rsid w:val="00016B35"/>
    <w:rsid w:val="00023074"/>
    <w:rsid w:val="00024D76"/>
    <w:rsid w:val="00026260"/>
    <w:rsid w:val="000302E0"/>
    <w:rsid w:val="00031871"/>
    <w:rsid w:val="0003209B"/>
    <w:rsid w:val="000344E6"/>
    <w:rsid w:val="00036D9C"/>
    <w:rsid w:val="00041960"/>
    <w:rsid w:val="00045966"/>
    <w:rsid w:val="000459D5"/>
    <w:rsid w:val="00047911"/>
    <w:rsid w:val="00050037"/>
    <w:rsid w:val="0005194A"/>
    <w:rsid w:val="00053FB7"/>
    <w:rsid w:val="00057F0B"/>
    <w:rsid w:val="0006115B"/>
    <w:rsid w:val="00063499"/>
    <w:rsid w:val="00071531"/>
    <w:rsid w:val="000726FF"/>
    <w:rsid w:val="0007305A"/>
    <w:rsid w:val="00080E72"/>
    <w:rsid w:val="00092197"/>
    <w:rsid w:val="00095F98"/>
    <w:rsid w:val="000974F2"/>
    <w:rsid w:val="000A0020"/>
    <w:rsid w:val="000A1AF7"/>
    <w:rsid w:val="000A2B61"/>
    <w:rsid w:val="000A3319"/>
    <w:rsid w:val="000A3DB3"/>
    <w:rsid w:val="000A47D9"/>
    <w:rsid w:val="000B3EA8"/>
    <w:rsid w:val="000B77F9"/>
    <w:rsid w:val="000C0988"/>
    <w:rsid w:val="000D24FB"/>
    <w:rsid w:val="000E28AF"/>
    <w:rsid w:val="000E317C"/>
    <w:rsid w:val="000E49A0"/>
    <w:rsid w:val="000E5986"/>
    <w:rsid w:val="000E7059"/>
    <w:rsid w:val="000F2610"/>
    <w:rsid w:val="000F47AD"/>
    <w:rsid w:val="000F4C46"/>
    <w:rsid w:val="000F77BF"/>
    <w:rsid w:val="00101A21"/>
    <w:rsid w:val="00102E4F"/>
    <w:rsid w:val="00103519"/>
    <w:rsid w:val="00105532"/>
    <w:rsid w:val="0010685F"/>
    <w:rsid w:val="00107AAC"/>
    <w:rsid w:val="00110E24"/>
    <w:rsid w:val="001123A3"/>
    <w:rsid w:val="00113C22"/>
    <w:rsid w:val="001141A1"/>
    <w:rsid w:val="00120A2A"/>
    <w:rsid w:val="00125A85"/>
    <w:rsid w:val="00130D9D"/>
    <w:rsid w:val="00130E60"/>
    <w:rsid w:val="00132863"/>
    <w:rsid w:val="00132BED"/>
    <w:rsid w:val="00136461"/>
    <w:rsid w:val="00141763"/>
    <w:rsid w:val="00142BB1"/>
    <w:rsid w:val="0014509D"/>
    <w:rsid w:val="0014622C"/>
    <w:rsid w:val="00146C68"/>
    <w:rsid w:val="001513D5"/>
    <w:rsid w:val="00152B4C"/>
    <w:rsid w:val="0015532C"/>
    <w:rsid w:val="001604E3"/>
    <w:rsid w:val="00161CD3"/>
    <w:rsid w:val="00165EEF"/>
    <w:rsid w:val="00172D01"/>
    <w:rsid w:val="00180EDB"/>
    <w:rsid w:val="001944AC"/>
    <w:rsid w:val="001963F3"/>
    <w:rsid w:val="0019785F"/>
    <w:rsid w:val="001A00AA"/>
    <w:rsid w:val="001A170F"/>
    <w:rsid w:val="001A2F3F"/>
    <w:rsid w:val="001A49DD"/>
    <w:rsid w:val="001A7443"/>
    <w:rsid w:val="001B3AEB"/>
    <w:rsid w:val="001B4833"/>
    <w:rsid w:val="001B4B9D"/>
    <w:rsid w:val="001B6EEE"/>
    <w:rsid w:val="001C295C"/>
    <w:rsid w:val="001C4ED8"/>
    <w:rsid w:val="001D03E1"/>
    <w:rsid w:val="001D3728"/>
    <w:rsid w:val="001D48E6"/>
    <w:rsid w:val="001D65AB"/>
    <w:rsid w:val="001E12EB"/>
    <w:rsid w:val="001E1C83"/>
    <w:rsid w:val="001E1E6B"/>
    <w:rsid w:val="001E3511"/>
    <w:rsid w:val="001E48F5"/>
    <w:rsid w:val="001E6DBC"/>
    <w:rsid w:val="001E7831"/>
    <w:rsid w:val="001F2148"/>
    <w:rsid w:val="001F23B3"/>
    <w:rsid w:val="001F2541"/>
    <w:rsid w:val="001F32AC"/>
    <w:rsid w:val="001F76ED"/>
    <w:rsid w:val="00200556"/>
    <w:rsid w:val="00213006"/>
    <w:rsid w:val="0021416A"/>
    <w:rsid w:val="0022050F"/>
    <w:rsid w:val="0022314F"/>
    <w:rsid w:val="00225CD4"/>
    <w:rsid w:val="00227BA7"/>
    <w:rsid w:val="00227FCE"/>
    <w:rsid w:val="002306E2"/>
    <w:rsid w:val="00232D98"/>
    <w:rsid w:val="00233516"/>
    <w:rsid w:val="002407F8"/>
    <w:rsid w:val="00252E51"/>
    <w:rsid w:val="0025508D"/>
    <w:rsid w:val="00256F43"/>
    <w:rsid w:val="00260A9C"/>
    <w:rsid w:val="002619EF"/>
    <w:rsid w:val="002710D7"/>
    <w:rsid w:val="00274738"/>
    <w:rsid w:val="00280D19"/>
    <w:rsid w:val="002821F8"/>
    <w:rsid w:val="002875D9"/>
    <w:rsid w:val="00290581"/>
    <w:rsid w:val="00291E9E"/>
    <w:rsid w:val="00292613"/>
    <w:rsid w:val="00294343"/>
    <w:rsid w:val="002A0F36"/>
    <w:rsid w:val="002A694A"/>
    <w:rsid w:val="002A73E8"/>
    <w:rsid w:val="002B1020"/>
    <w:rsid w:val="002B55A4"/>
    <w:rsid w:val="002B6E44"/>
    <w:rsid w:val="002C2F97"/>
    <w:rsid w:val="002C3D1A"/>
    <w:rsid w:val="002C5F95"/>
    <w:rsid w:val="002C7C79"/>
    <w:rsid w:val="002D3AAD"/>
    <w:rsid w:val="002D4CCA"/>
    <w:rsid w:val="002D575D"/>
    <w:rsid w:val="002D5B46"/>
    <w:rsid w:val="002E3C80"/>
    <w:rsid w:val="002E4CF9"/>
    <w:rsid w:val="002E6FC6"/>
    <w:rsid w:val="002F0C3A"/>
    <w:rsid w:val="002F1E5B"/>
    <w:rsid w:val="002F3C92"/>
    <w:rsid w:val="002F73C3"/>
    <w:rsid w:val="0030031A"/>
    <w:rsid w:val="00302535"/>
    <w:rsid w:val="003066A9"/>
    <w:rsid w:val="00312FC7"/>
    <w:rsid w:val="003208EA"/>
    <w:rsid w:val="00323FC2"/>
    <w:rsid w:val="00325CB3"/>
    <w:rsid w:val="00330275"/>
    <w:rsid w:val="00330845"/>
    <w:rsid w:val="00330886"/>
    <w:rsid w:val="00333EFF"/>
    <w:rsid w:val="003518BC"/>
    <w:rsid w:val="00352ACA"/>
    <w:rsid w:val="00353DB4"/>
    <w:rsid w:val="00361816"/>
    <w:rsid w:val="003623C4"/>
    <w:rsid w:val="003633C8"/>
    <w:rsid w:val="003640F0"/>
    <w:rsid w:val="0037124A"/>
    <w:rsid w:val="0037138A"/>
    <w:rsid w:val="0037248C"/>
    <w:rsid w:val="00375478"/>
    <w:rsid w:val="0037692B"/>
    <w:rsid w:val="00381949"/>
    <w:rsid w:val="00382967"/>
    <w:rsid w:val="00384B87"/>
    <w:rsid w:val="00384BF2"/>
    <w:rsid w:val="00384DB2"/>
    <w:rsid w:val="00385BF1"/>
    <w:rsid w:val="00386090"/>
    <w:rsid w:val="00386B91"/>
    <w:rsid w:val="00391668"/>
    <w:rsid w:val="00396317"/>
    <w:rsid w:val="003965D7"/>
    <w:rsid w:val="003971F6"/>
    <w:rsid w:val="003A1BA3"/>
    <w:rsid w:val="003A413B"/>
    <w:rsid w:val="003C136E"/>
    <w:rsid w:val="003C19D3"/>
    <w:rsid w:val="003C2222"/>
    <w:rsid w:val="003D0B91"/>
    <w:rsid w:val="003D66C3"/>
    <w:rsid w:val="003D7F7F"/>
    <w:rsid w:val="003E47E9"/>
    <w:rsid w:val="003E4910"/>
    <w:rsid w:val="003F226B"/>
    <w:rsid w:val="003F3BD5"/>
    <w:rsid w:val="003F7366"/>
    <w:rsid w:val="004015FF"/>
    <w:rsid w:val="0040186B"/>
    <w:rsid w:val="00401AC7"/>
    <w:rsid w:val="004021C5"/>
    <w:rsid w:val="00405D2D"/>
    <w:rsid w:val="0040722B"/>
    <w:rsid w:val="00410244"/>
    <w:rsid w:val="004104C7"/>
    <w:rsid w:val="00413D9F"/>
    <w:rsid w:val="00414A70"/>
    <w:rsid w:val="00415ACB"/>
    <w:rsid w:val="004214F7"/>
    <w:rsid w:val="00421734"/>
    <w:rsid w:val="00423058"/>
    <w:rsid w:val="00431649"/>
    <w:rsid w:val="004326BB"/>
    <w:rsid w:val="00436775"/>
    <w:rsid w:val="0043718B"/>
    <w:rsid w:val="00437FB4"/>
    <w:rsid w:val="00445343"/>
    <w:rsid w:val="00446638"/>
    <w:rsid w:val="00447BE4"/>
    <w:rsid w:val="0045048F"/>
    <w:rsid w:val="00450C3F"/>
    <w:rsid w:val="00451DB0"/>
    <w:rsid w:val="00465CF0"/>
    <w:rsid w:val="00472286"/>
    <w:rsid w:val="00475D23"/>
    <w:rsid w:val="004829AE"/>
    <w:rsid w:val="0048584C"/>
    <w:rsid w:val="004862BC"/>
    <w:rsid w:val="00492483"/>
    <w:rsid w:val="004A1287"/>
    <w:rsid w:val="004A4DFB"/>
    <w:rsid w:val="004A7F6B"/>
    <w:rsid w:val="004B1544"/>
    <w:rsid w:val="004B6756"/>
    <w:rsid w:val="004C5125"/>
    <w:rsid w:val="004C5897"/>
    <w:rsid w:val="004D0BB5"/>
    <w:rsid w:val="004D1192"/>
    <w:rsid w:val="004D3C66"/>
    <w:rsid w:val="004D3F55"/>
    <w:rsid w:val="004E1C4A"/>
    <w:rsid w:val="004E2219"/>
    <w:rsid w:val="004E4D94"/>
    <w:rsid w:val="004E740C"/>
    <w:rsid w:val="004F4BBA"/>
    <w:rsid w:val="004F5DE5"/>
    <w:rsid w:val="004F61D8"/>
    <w:rsid w:val="004F67F0"/>
    <w:rsid w:val="005027DB"/>
    <w:rsid w:val="005051F3"/>
    <w:rsid w:val="00513994"/>
    <w:rsid w:val="00520D02"/>
    <w:rsid w:val="005233AA"/>
    <w:rsid w:val="00527C15"/>
    <w:rsid w:val="00530D1F"/>
    <w:rsid w:val="00531625"/>
    <w:rsid w:val="0054040B"/>
    <w:rsid w:val="0054546A"/>
    <w:rsid w:val="00551B0F"/>
    <w:rsid w:val="00554AF4"/>
    <w:rsid w:val="00557CC7"/>
    <w:rsid w:val="00563E0F"/>
    <w:rsid w:val="005659FB"/>
    <w:rsid w:val="00574A97"/>
    <w:rsid w:val="0057512E"/>
    <w:rsid w:val="00584D27"/>
    <w:rsid w:val="005902B5"/>
    <w:rsid w:val="005A2F78"/>
    <w:rsid w:val="005A4A64"/>
    <w:rsid w:val="005A5ADF"/>
    <w:rsid w:val="005B01FE"/>
    <w:rsid w:val="005B3E3C"/>
    <w:rsid w:val="005B7F81"/>
    <w:rsid w:val="005C1B25"/>
    <w:rsid w:val="005C1D1C"/>
    <w:rsid w:val="005C3FC1"/>
    <w:rsid w:val="005D3499"/>
    <w:rsid w:val="005D5813"/>
    <w:rsid w:val="005E09C4"/>
    <w:rsid w:val="005E2583"/>
    <w:rsid w:val="005E2EF4"/>
    <w:rsid w:val="005E617C"/>
    <w:rsid w:val="005F270E"/>
    <w:rsid w:val="005F33A8"/>
    <w:rsid w:val="005F36B6"/>
    <w:rsid w:val="005F4BA9"/>
    <w:rsid w:val="005F6A8B"/>
    <w:rsid w:val="006044DE"/>
    <w:rsid w:val="00606B48"/>
    <w:rsid w:val="006114E4"/>
    <w:rsid w:val="00612AF0"/>
    <w:rsid w:val="006160CC"/>
    <w:rsid w:val="0061684E"/>
    <w:rsid w:val="0062376E"/>
    <w:rsid w:val="00624CC9"/>
    <w:rsid w:val="00626EFA"/>
    <w:rsid w:val="006403C3"/>
    <w:rsid w:val="0064084D"/>
    <w:rsid w:val="0064347E"/>
    <w:rsid w:val="006472D3"/>
    <w:rsid w:val="00650771"/>
    <w:rsid w:val="00654880"/>
    <w:rsid w:val="00657D10"/>
    <w:rsid w:val="00662DC5"/>
    <w:rsid w:val="00665F45"/>
    <w:rsid w:val="006662C3"/>
    <w:rsid w:val="00666651"/>
    <w:rsid w:val="00666816"/>
    <w:rsid w:val="00666E6B"/>
    <w:rsid w:val="0067461E"/>
    <w:rsid w:val="00693F68"/>
    <w:rsid w:val="00697940"/>
    <w:rsid w:val="00697AA7"/>
    <w:rsid w:val="006B33BC"/>
    <w:rsid w:val="006B6FE8"/>
    <w:rsid w:val="006C1F9B"/>
    <w:rsid w:val="006C22C2"/>
    <w:rsid w:val="006C2A9A"/>
    <w:rsid w:val="006C62F1"/>
    <w:rsid w:val="006D09AA"/>
    <w:rsid w:val="006D0B6C"/>
    <w:rsid w:val="006D2AA4"/>
    <w:rsid w:val="006E1D15"/>
    <w:rsid w:val="006E3C3E"/>
    <w:rsid w:val="006F03C1"/>
    <w:rsid w:val="006F0D59"/>
    <w:rsid w:val="006F5021"/>
    <w:rsid w:val="00700391"/>
    <w:rsid w:val="007003DD"/>
    <w:rsid w:val="00702383"/>
    <w:rsid w:val="00703044"/>
    <w:rsid w:val="00706A13"/>
    <w:rsid w:val="0072165B"/>
    <w:rsid w:val="00722032"/>
    <w:rsid w:val="00722108"/>
    <w:rsid w:val="00723EAF"/>
    <w:rsid w:val="00724AD0"/>
    <w:rsid w:val="00725AD2"/>
    <w:rsid w:val="007273B3"/>
    <w:rsid w:val="00731303"/>
    <w:rsid w:val="007319DB"/>
    <w:rsid w:val="00732301"/>
    <w:rsid w:val="00733C5D"/>
    <w:rsid w:val="0073522A"/>
    <w:rsid w:val="007359C0"/>
    <w:rsid w:val="007364D9"/>
    <w:rsid w:val="00742E7D"/>
    <w:rsid w:val="007439EC"/>
    <w:rsid w:val="0074404D"/>
    <w:rsid w:val="007441B8"/>
    <w:rsid w:val="00744D05"/>
    <w:rsid w:val="007600CA"/>
    <w:rsid w:val="007601EB"/>
    <w:rsid w:val="00761A13"/>
    <w:rsid w:val="00764D01"/>
    <w:rsid w:val="00771A63"/>
    <w:rsid w:val="00771B7F"/>
    <w:rsid w:val="0077522B"/>
    <w:rsid w:val="007769CD"/>
    <w:rsid w:val="0078032B"/>
    <w:rsid w:val="007813A6"/>
    <w:rsid w:val="00781566"/>
    <w:rsid w:val="007847D9"/>
    <w:rsid w:val="0078491E"/>
    <w:rsid w:val="00792BB1"/>
    <w:rsid w:val="007960BE"/>
    <w:rsid w:val="007972A2"/>
    <w:rsid w:val="007976E7"/>
    <w:rsid w:val="007A1640"/>
    <w:rsid w:val="007A2CF0"/>
    <w:rsid w:val="007A48D4"/>
    <w:rsid w:val="007A515B"/>
    <w:rsid w:val="007B1760"/>
    <w:rsid w:val="007B4C1E"/>
    <w:rsid w:val="007B4CA2"/>
    <w:rsid w:val="007B5005"/>
    <w:rsid w:val="007B6D77"/>
    <w:rsid w:val="007C3339"/>
    <w:rsid w:val="007C3C27"/>
    <w:rsid w:val="007C5E02"/>
    <w:rsid w:val="007C6925"/>
    <w:rsid w:val="007C7AA9"/>
    <w:rsid w:val="007D68C6"/>
    <w:rsid w:val="007D7901"/>
    <w:rsid w:val="007F19A4"/>
    <w:rsid w:val="007F6A3D"/>
    <w:rsid w:val="00801A75"/>
    <w:rsid w:val="00802701"/>
    <w:rsid w:val="008038A2"/>
    <w:rsid w:val="00804FF3"/>
    <w:rsid w:val="00810306"/>
    <w:rsid w:val="00811148"/>
    <w:rsid w:val="00811FE8"/>
    <w:rsid w:val="0081430F"/>
    <w:rsid w:val="00817DF5"/>
    <w:rsid w:val="00821F0D"/>
    <w:rsid w:val="008275B5"/>
    <w:rsid w:val="00830125"/>
    <w:rsid w:val="00830CA6"/>
    <w:rsid w:val="00837EBA"/>
    <w:rsid w:val="00841715"/>
    <w:rsid w:val="00841EB0"/>
    <w:rsid w:val="00845979"/>
    <w:rsid w:val="008477E1"/>
    <w:rsid w:val="00847BC4"/>
    <w:rsid w:val="0085366E"/>
    <w:rsid w:val="0085688C"/>
    <w:rsid w:val="008635F0"/>
    <w:rsid w:val="0086436B"/>
    <w:rsid w:val="00864ED6"/>
    <w:rsid w:val="0087047B"/>
    <w:rsid w:val="0087190C"/>
    <w:rsid w:val="00872ACD"/>
    <w:rsid w:val="0088128C"/>
    <w:rsid w:val="00887841"/>
    <w:rsid w:val="0089208D"/>
    <w:rsid w:val="00893C1C"/>
    <w:rsid w:val="00894B97"/>
    <w:rsid w:val="00895A62"/>
    <w:rsid w:val="008967B9"/>
    <w:rsid w:val="00897AC8"/>
    <w:rsid w:val="008A0CDA"/>
    <w:rsid w:val="008A6A48"/>
    <w:rsid w:val="008B72D9"/>
    <w:rsid w:val="008C1666"/>
    <w:rsid w:val="008C512E"/>
    <w:rsid w:val="008C780D"/>
    <w:rsid w:val="008D2EA8"/>
    <w:rsid w:val="008D32C4"/>
    <w:rsid w:val="008D36D2"/>
    <w:rsid w:val="008D4F4B"/>
    <w:rsid w:val="008D5C80"/>
    <w:rsid w:val="008E0BA4"/>
    <w:rsid w:val="008E1F96"/>
    <w:rsid w:val="008F77AE"/>
    <w:rsid w:val="009035FA"/>
    <w:rsid w:val="00913610"/>
    <w:rsid w:val="009142DE"/>
    <w:rsid w:val="009227B8"/>
    <w:rsid w:val="00922966"/>
    <w:rsid w:val="00927A12"/>
    <w:rsid w:val="009305CD"/>
    <w:rsid w:val="00930A75"/>
    <w:rsid w:val="00930C19"/>
    <w:rsid w:val="009320C6"/>
    <w:rsid w:val="009346F5"/>
    <w:rsid w:val="00945D93"/>
    <w:rsid w:val="00945E1F"/>
    <w:rsid w:val="0094603B"/>
    <w:rsid w:val="00946E6E"/>
    <w:rsid w:val="009478B1"/>
    <w:rsid w:val="00954068"/>
    <w:rsid w:val="00954B73"/>
    <w:rsid w:val="009551BC"/>
    <w:rsid w:val="0095527B"/>
    <w:rsid w:val="00956A0A"/>
    <w:rsid w:val="00961343"/>
    <w:rsid w:val="00961813"/>
    <w:rsid w:val="0096293E"/>
    <w:rsid w:val="00963FBC"/>
    <w:rsid w:val="00965FBF"/>
    <w:rsid w:val="00966D7B"/>
    <w:rsid w:val="00966DA2"/>
    <w:rsid w:val="009750DE"/>
    <w:rsid w:val="00975300"/>
    <w:rsid w:val="00975819"/>
    <w:rsid w:val="00976DE7"/>
    <w:rsid w:val="009804CA"/>
    <w:rsid w:val="0098250E"/>
    <w:rsid w:val="00982842"/>
    <w:rsid w:val="0098298E"/>
    <w:rsid w:val="00983EAF"/>
    <w:rsid w:val="00983ECE"/>
    <w:rsid w:val="009857D9"/>
    <w:rsid w:val="0098634D"/>
    <w:rsid w:val="009869DE"/>
    <w:rsid w:val="00991DE2"/>
    <w:rsid w:val="009922C2"/>
    <w:rsid w:val="00994695"/>
    <w:rsid w:val="009A0683"/>
    <w:rsid w:val="009A2D0F"/>
    <w:rsid w:val="009A4401"/>
    <w:rsid w:val="009A5D55"/>
    <w:rsid w:val="009B143F"/>
    <w:rsid w:val="009C1F52"/>
    <w:rsid w:val="009C223E"/>
    <w:rsid w:val="009C484B"/>
    <w:rsid w:val="009C7179"/>
    <w:rsid w:val="009C7F8D"/>
    <w:rsid w:val="009D1058"/>
    <w:rsid w:val="009D265C"/>
    <w:rsid w:val="009D5FD0"/>
    <w:rsid w:val="009D6F76"/>
    <w:rsid w:val="009E31B0"/>
    <w:rsid w:val="009F50E5"/>
    <w:rsid w:val="009F6D6A"/>
    <w:rsid w:val="009F78D3"/>
    <w:rsid w:val="00A00EDD"/>
    <w:rsid w:val="00A0211A"/>
    <w:rsid w:val="00A0284F"/>
    <w:rsid w:val="00A03230"/>
    <w:rsid w:val="00A1521F"/>
    <w:rsid w:val="00A241A3"/>
    <w:rsid w:val="00A27187"/>
    <w:rsid w:val="00A3401E"/>
    <w:rsid w:val="00A51265"/>
    <w:rsid w:val="00A674FB"/>
    <w:rsid w:val="00A72A72"/>
    <w:rsid w:val="00A752CB"/>
    <w:rsid w:val="00A766A0"/>
    <w:rsid w:val="00A80A17"/>
    <w:rsid w:val="00A81851"/>
    <w:rsid w:val="00A82952"/>
    <w:rsid w:val="00A85311"/>
    <w:rsid w:val="00A913A8"/>
    <w:rsid w:val="00A92981"/>
    <w:rsid w:val="00A940CF"/>
    <w:rsid w:val="00A97A92"/>
    <w:rsid w:val="00AA0C3F"/>
    <w:rsid w:val="00AA306E"/>
    <w:rsid w:val="00AA59FC"/>
    <w:rsid w:val="00AA61FB"/>
    <w:rsid w:val="00AA759A"/>
    <w:rsid w:val="00AC07C2"/>
    <w:rsid w:val="00AC3814"/>
    <w:rsid w:val="00AC55D0"/>
    <w:rsid w:val="00AC640D"/>
    <w:rsid w:val="00AD04D3"/>
    <w:rsid w:val="00AD0CF6"/>
    <w:rsid w:val="00AD13EF"/>
    <w:rsid w:val="00AD169B"/>
    <w:rsid w:val="00AD3212"/>
    <w:rsid w:val="00AD6DB3"/>
    <w:rsid w:val="00AD7098"/>
    <w:rsid w:val="00AE72AC"/>
    <w:rsid w:val="00AF0562"/>
    <w:rsid w:val="00AF345D"/>
    <w:rsid w:val="00AF75DA"/>
    <w:rsid w:val="00B04788"/>
    <w:rsid w:val="00B06C21"/>
    <w:rsid w:val="00B07778"/>
    <w:rsid w:val="00B10453"/>
    <w:rsid w:val="00B10E37"/>
    <w:rsid w:val="00B129F4"/>
    <w:rsid w:val="00B165F0"/>
    <w:rsid w:val="00B20CD2"/>
    <w:rsid w:val="00B21287"/>
    <w:rsid w:val="00B2259F"/>
    <w:rsid w:val="00B26E1A"/>
    <w:rsid w:val="00B26F2C"/>
    <w:rsid w:val="00B27AE5"/>
    <w:rsid w:val="00B32D55"/>
    <w:rsid w:val="00B407B7"/>
    <w:rsid w:val="00B40C2D"/>
    <w:rsid w:val="00B418F5"/>
    <w:rsid w:val="00B50D5E"/>
    <w:rsid w:val="00B57EC7"/>
    <w:rsid w:val="00B606FB"/>
    <w:rsid w:val="00B607AE"/>
    <w:rsid w:val="00B612E7"/>
    <w:rsid w:val="00B63BFE"/>
    <w:rsid w:val="00B6613C"/>
    <w:rsid w:val="00B71B2B"/>
    <w:rsid w:val="00B72B51"/>
    <w:rsid w:val="00B83953"/>
    <w:rsid w:val="00B85BEF"/>
    <w:rsid w:val="00B92B14"/>
    <w:rsid w:val="00B93287"/>
    <w:rsid w:val="00BA2E08"/>
    <w:rsid w:val="00BA3B3E"/>
    <w:rsid w:val="00BA761E"/>
    <w:rsid w:val="00BB3840"/>
    <w:rsid w:val="00BB3BD5"/>
    <w:rsid w:val="00BB7D95"/>
    <w:rsid w:val="00BD05BC"/>
    <w:rsid w:val="00BD4559"/>
    <w:rsid w:val="00BD4B96"/>
    <w:rsid w:val="00BD5C2B"/>
    <w:rsid w:val="00BD6B8C"/>
    <w:rsid w:val="00BE280A"/>
    <w:rsid w:val="00BE48C0"/>
    <w:rsid w:val="00BF482A"/>
    <w:rsid w:val="00BF5367"/>
    <w:rsid w:val="00BF6D0E"/>
    <w:rsid w:val="00BF72AE"/>
    <w:rsid w:val="00C03E5C"/>
    <w:rsid w:val="00C053BB"/>
    <w:rsid w:val="00C07817"/>
    <w:rsid w:val="00C11726"/>
    <w:rsid w:val="00C1197D"/>
    <w:rsid w:val="00C11AA2"/>
    <w:rsid w:val="00C205E5"/>
    <w:rsid w:val="00C2270E"/>
    <w:rsid w:val="00C24259"/>
    <w:rsid w:val="00C24BAC"/>
    <w:rsid w:val="00C26D06"/>
    <w:rsid w:val="00C27287"/>
    <w:rsid w:val="00C27C64"/>
    <w:rsid w:val="00C35BC1"/>
    <w:rsid w:val="00C36082"/>
    <w:rsid w:val="00C37643"/>
    <w:rsid w:val="00C41F8A"/>
    <w:rsid w:val="00C42F0B"/>
    <w:rsid w:val="00C5674D"/>
    <w:rsid w:val="00C56B87"/>
    <w:rsid w:val="00C57113"/>
    <w:rsid w:val="00C60F3E"/>
    <w:rsid w:val="00C6166D"/>
    <w:rsid w:val="00C61CC5"/>
    <w:rsid w:val="00C62464"/>
    <w:rsid w:val="00C65D84"/>
    <w:rsid w:val="00C72519"/>
    <w:rsid w:val="00C75116"/>
    <w:rsid w:val="00C76E03"/>
    <w:rsid w:val="00C77CF2"/>
    <w:rsid w:val="00C83803"/>
    <w:rsid w:val="00C907A3"/>
    <w:rsid w:val="00C91637"/>
    <w:rsid w:val="00C92A42"/>
    <w:rsid w:val="00C94AE5"/>
    <w:rsid w:val="00C97745"/>
    <w:rsid w:val="00CA0798"/>
    <w:rsid w:val="00CA0C9A"/>
    <w:rsid w:val="00CA150A"/>
    <w:rsid w:val="00CA68FE"/>
    <w:rsid w:val="00CA6F2A"/>
    <w:rsid w:val="00CB4E16"/>
    <w:rsid w:val="00CB6FA1"/>
    <w:rsid w:val="00CC2CF9"/>
    <w:rsid w:val="00CC62C4"/>
    <w:rsid w:val="00CC7855"/>
    <w:rsid w:val="00CD72A7"/>
    <w:rsid w:val="00CE0678"/>
    <w:rsid w:val="00CE10CD"/>
    <w:rsid w:val="00CE39F8"/>
    <w:rsid w:val="00CE6E6A"/>
    <w:rsid w:val="00CF2916"/>
    <w:rsid w:val="00CF3AC2"/>
    <w:rsid w:val="00CF5DCD"/>
    <w:rsid w:val="00D07064"/>
    <w:rsid w:val="00D17123"/>
    <w:rsid w:val="00D179A0"/>
    <w:rsid w:val="00D17EDF"/>
    <w:rsid w:val="00D250C8"/>
    <w:rsid w:val="00D26C34"/>
    <w:rsid w:val="00D279FC"/>
    <w:rsid w:val="00D309F6"/>
    <w:rsid w:val="00D34F5E"/>
    <w:rsid w:val="00D3587D"/>
    <w:rsid w:val="00D35A98"/>
    <w:rsid w:val="00D43903"/>
    <w:rsid w:val="00D457A2"/>
    <w:rsid w:val="00D45AD7"/>
    <w:rsid w:val="00D55ADD"/>
    <w:rsid w:val="00D60B04"/>
    <w:rsid w:val="00D64FF5"/>
    <w:rsid w:val="00D651A1"/>
    <w:rsid w:val="00D65795"/>
    <w:rsid w:val="00D67B4A"/>
    <w:rsid w:val="00D737A3"/>
    <w:rsid w:val="00D765AE"/>
    <w:rsid w:val="00D805E8"/>
    <w:rsid w:val="00D8544F"/>
    <w:rsid w:val="00D9527D"/>
    <w:rsid w:val="00D95F7A"/>
    <w:rsid w:val="00D97428"/>
    <w:rsid w:val="00DA0FA6"/>
    <w:rsid w:val="00DB3604"/>
    <w:rsid w:val="00DB4DC4"/>
    <w:rsid w:val="00DB683F"/>
    <w:rsid w:val="00DC111B"/>
    <w:rsid w:val="00DC14C4"/>
    <w:rsid w:val="00DC29F5"/>
    <w:rsid w:val="00DC5669"/>
    <w:rsid w:val="00DD04A9"/>
    <w:rsid w:val="00DD33DF"/>
    <w:rsid w:val="00DD4A27"/>
    <w:rsid w:val="00DD6C74"/>
    <w:rsid w:val="00DE0FC5"/>
    <w:rsid w:val="00DE1293"/>
    <w:rsid w:val="00DE1CB0"/>
    <w:rsid w:val="00DE47FA"/>
    <w:rsid w:val="00DE67A8"/>
    <w:rsid w:val="00DF4A53"/>
    <w:rsid w:val="00DF6116"/>
    <w:rsid w:val="00DF6E0E"/>
    <w:rsid w:val="00E00E21"/>
    <w:rsid w:val="00E01587"/>
    <w:rsid w:val="00E0208E"/>
    <w:rsid w:val="00E10D92"/>
    <w:rsid w:val="00E12DF5"/>
    <w:rsid w:val="00E12FA9"/>
    <w:rsid w:val="00E23391"/>
    <w:rsid w:val="00E2349F"/>
    <w:rsid w:val="00E2445F"/>
    <w:rsid w:val="00E2778C"/>
    <w:rsid w:val="00E27A6E"/>
    <w:rsid w:val="00E33061"/>
    <w:rsid w:val="00E3308A"/>
    <w:rsid w:val="00E334B0"/>
    <w:rsid w:val="00E34AE4"/>
    <w:rsid w:val="00E41E87"/>
    <w:rsid w:val="00E42165"/>
    <w:rsid w:val="00E45B62"/>
    <w:rsid w:val="00E515DE"/>
    <w:rsid w:val="00E51AB8"/>
    <w:rsid w:val="00E54343"/>
    <w:rsid w:val="00E6088B"/>
    <w:rsid w:val="00E64282"/>
    <w:rsid w:val="00E64C48"/>
    <w:rsid w:val="00E71F1F"/>
    <w:rsid w:val="00E722CA"/>
    <w:rsid w:val="00E73227"/>
    <w:rsid w:val="00E827C5"/>
    <w:rsid w:val="00E82DFF"/>
    <w:rsid w:val="00E83000"/>
    <w:rsid w:val="00E841B0"/>
    <w:rsid w:val="00E87D6E"/>
    <w:rsid w:val="00E93F2C"/>
    <w:rsid w:val="00E9528B"/>
    <w:rsid w:val="00E977C4"/>
    <w:rsid w:val="00E97CCE"/>
    <w:rsid w:val="00EA34EB"/>
    <w:rsid w:val="00EC09B2"/>
    <w:rsid w:val="00EC74BA"/>
    <w:rsid w:val="00ED3BCF"/>
    <w:rsid w:val="00ED4ABC"/>
    <w:rsid w:val="00ED6B7C"/>
    <w:rsid w:val="00EE1C5E"/>
    <w:rsid w:val="00EE6F42"/>
    <w:rsid w:val="00EF01D9"/>
    <w:rsid w:val="00EF1D72"/>
    <w:rsid w:val="00EF4243"/>
    <w:rsid w:val="00EF4E03"/>
    <w:rsid w:val="00EF6A4B"/>
    <w:rsid w:val="00F05DD1"/>
    <w:rsid w:val="00F14F75"/>
    <w:rsid w:val="00F150BB"/>
    <w:rsid w:val="00F22BCA"/>
    <w:rsid w:val="00F24980"/>
    <w:rsid w:val="00F24EB2"/>
    <w:rsid w:val="00F266F2"/>
    <w:rsid w:val="00F317BB"/>
    <w:rsid w:val="00F33065"/>
    <w:rsid w:val="00F3433E"/>
    <w:rsid w:val="00F36757"/>
    <w:rsid w:val="00F37300"/>
    <w:rsid w:val="00F37E0C"/>
    <w:rsid w:val="00F41A59"/>
    <w:rsid w:val="00F46AA5"/>
    <w:rsid w:val="00F50A07"/>
    <w:rsid w:val="00F553BF"/>
    <w:rsid w:val="00F57119"/>
    <w:rsid w:val="00F6367D"/>
    <w:rsid w:val="00F65ABF"/>
    <w:rsid w:val="00F65DCD"/>
    <w:rsid w:val="00F678C9"/>
    <w:rsid w:val="00F77C13"/>
    <w:rsid w:val="00F81748"/>
    <w:rsid w:val="00F8330B"/>
    <w:rsid w:val="00F83B22"/>
    <w:rsid w:val="00F83DC2"/>
    <w:rsid w:val="00F86FA3"/>
    <w:rsid w:val="00F913ED"/>
    <w:rsid w:val="00F94979"/>
    <w:rsid w:val="00F95454"/>
    <w:rsid w:val="00F95C29"/>
    <w:rsid w:val="00F95C54"/>
    <w:rsid w:val="00F979A7"/>
    <w:rsid w:val="00FA3668"/>
    <w:rsid w:val="00FA5118"/>
    <w:rsid w:val="00FA5818"/>
    <w:rsid w:val="00FA7F00"/>
    <w:rsid w:val="00FB07D8"/>
    <w:rsid w:val="00FB2022"/>
    <w:rsid w:val="00FB3980"/>
    <w:rsid w:val="00FB7008"/>
    <w:rsid w:val="00FC1FA6"/>
    <w:rsid w:val="00FC43CD"/>
    <w:rsid w:val="00FC4EF6"/>
    <w:rsid w:val="00FC6DA7"/>
    <w:rsid w:val="00FC75D3"/>
    <w:rsid w:val="00FC76CF"/>
    <w:rsid w:val="00FD2279"/>
    <w:rsid w:val="00FD6142"/>
    <w:rsid w:val="00FD74D2"/>
    <w:rsid w:val="00FE0C76"/>
    <w:rsid w:val="00FE113A"/>
    <w:rsid w:val="00FE2385"/>
    <w:rsid w:val="00FF028F"/>
    <w:rsid w:val="00F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E7541"/>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 w:type="paragraph" w:styleId="PlainText">
    <w:name w:val="Plain Text"/>
    <w:basedOn w:val="Normal"/>
    <w:link w:val="PlainTextChar"/>
    <w:uiPriority w:val="99"/>
    <w:unhideWhenUsed/>
    <w:rsid w:val="00B607AE"/>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B607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261">
      <w:bodyDiv w:val="1"/>
      <w:marLeft w:val="0"/>
      <w:marRight w:val="0"/>
      <w:marTop w:val="0"/>
      <w:marBottom w:val="0"/>
      <w:divBdr>
        <w:top w:val="none" w:sz="0" w:space="0" w:color="auto"/>
        <w:left w:val="none" w:sz="0" w:space="0" w:color="auto"/>
        <w:bottom w:val="none" w:sz="0" w:space="0" w:color="auto"/>
        <w:right w:val="none" w:sz="0" w:space="0" w:color="auto"/>
      </w:divBdr>
    </w:div>
    <w:div w:id="452674249">
      <w:bodyDiv w:val="1"/>
      <w:marLeft w:val="0"/>
      <w:marRight w:val="0"/>
      <w:marTop w:val="0"/>
      <w:marBottom w:val="0"/>
      <w:divBdr>
        <w:top w:val="none" w:sz="0" w:space="0" w:color="auto"/>
        <w:left w:val="none" w:sz="0" w:space="0" w:color="auto"/>
        <w:bottom w:val="none" w:sz="0" w:space="0" w:color="auto"/>
        <w:right w:val="none" w:sz="0" w:space="0" w:color="auto"/>
      </w:divBdr>
    </w:div>
    <w:div w:id="640304687">
      <w:bodyDiv w:val="1"/>
      <w:marLeft w:val="0"/>
      <w:marRight w:val="0"/>
      <w:marTop w:val="0"/>
      <w:marBottom w:val="0"/>
      <w:divBdr>
        <w:top w:val="none" w:sz="0" w:space="0" w:color="auto"/>
        <w:left w:val="none" w:sz="0" w:space="0" w:color="auto"/>
        <w:bottom w:val="none" w:sz="0" w:space="0" w:color="auto"/>
        <w:right w:val="none" w:sz="0" w:space="0" w:color="auto"/>
      </w:divBdr>
    </w:div>
    <w:div w:id="729885066">
      <w:bodyDiv w:val="1"/>
      <w:marLeft w:val="0"/>
      <w:marRight w:val="0"/>
      <w:marTop w:val="0"/>
      <w:marBottom w:val="0"/>
      <w:divBdr>
        <w:top w:val="none" w:sz="0" w:space="0" w:color="auto"/>
        <w:left w:val="none" w:sz="0" w:space="0" w:color="auto"/>
        <w:bottom w:val="none" w:sz="0" w:space="0" w:color="auto"/>
        <w:right w:val="none" w:sz="0" w:space="0" w:color="auto"/>
      </w:divBdr>
    </w:div>
    <w:div w:id="771173293">
      <w:bodyDiv w:val="1"/>
      <w:marLeft w:val="0"/>
      <w:marRight w:val="0"/>
      <w:marTop w:val="0"/>
      <w:marBottom w:val="0"/>
      <w:divBdr>
        <w:top w:val="none" w:sz="0" w:space="0" w:color="auto"/>
        <w:left w:val="none" w:sz="0" w:space="0" w:color="auto"/>
        <w:bottom w:val="none" w:sz="0" w:space="0" w:color="auto"/>
        <w:right w:val="none" w:sz="0" w:space="0" w:color="auto"/>
      </w:divBdr>
    </w:div>
    <w:div w:id="993141178">
      <w:bodyDiv w:val="1"/>
      <w:marLeft w:val="0"/>
      <w:marRight w:val="0"/>
      <w:marTop w:val="0"/>
      <w:marBottom w:val="0"/>
      <w:divBdr>
        <w:top w:val="none" w:sz="0" w:space="0" w:color="auto"/>
        <w:left w:val="none" w:sz="0" w:space="0" w:color="auto"/>
        <w:bottom w:val="none" w:sz="0" w:space="0" w:color="auto"/>
        <w:right w:val="none" w:sz="0" w:space="0" w:color="auto"/>
      </w:divBdr>
    </w:div>
    <w:div w:id="1260026666">
      <w:bodyDiv w:val="1"/>
      <w:marLeft w:val="0"/>
      <w:marRight w:val="0"/>
      <w:marTop w:val="0"/>
      <w:marBottom w:val="0"/>
      <w:divBdr>
        <w:top w:val="none" w:sz="0" w:space="0" w:color="auto"/>
        <w:left w:val="none" w:sz="0" w:space="0" w:color="auto"/>
        <w:bottom w:val="none" w:sz="0" w:space="0" w:color="auto"/>
        <w:right w:val="none" w:sz="0" w:space="0" w:color="auto"/>
      </w:divBdr>
    </w:div>
    <w:div w:id="1374232453">
      <w:bodyDiv w:val="1"/>
      <w:marLeft w:val="0"/>
      <w:marRight w:val="0"/>
      <w:marTop w:val="0"/>
      <w:marBottom w:val="0"/>
      <w:divBdr>
        <w:top w:val="none" w:sz="0" w:space="0" w:color="auto"/>
        <w:left w:val="none" w:sz="0" w:space="0" w:color="auto"/>
        <w:bottom w:val="none" w:sz="0" w:space="0" w:color="auto"/>
        <w:right w:val="none" w:sz="0" w:space="0" w:color="auto"/>
      </w:divBdr>
    </w:div>
    <w:div w:id="15502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OBMH\G_Data\Oxfordshire\Oxon%20and%20Bucks%20CRM\Board%20Report\2019-20\Month%205%20Report\Board%20Report%20Month%205%20-%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65009402974987"/>
          <c:y val="6.3814300694000459E-2"/>
          <c:w val="0.78764146586939787"/>
          <c:h val="0.69927513789260054"/>
        </c:manualLayout>
      </c:layout>
      <c:lineChart>
        <c:grouping val="standard"/>
        <c:varyColors val="0"/>
        <c:ser>
          <c:idx val="0"/>
          <c:order val="0"/>
          <c:tx>
            <c:strRef>
              <c:f>'Data tables for graphs'!$B$11</c:f>
              <c:strCache>
                <c:ptCount val="1"/>
                <c:pt idx="0">
                  <c:v>% achieved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'Data tables for graphs'!$C$10:$N$10</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'Data tables for graphs'!$C$11:$N$11</c:f>
              <c:numCache>
                <c:formatCode>0%</c:formatCode>
                <c:ptCount val="12"/>
                <c:pt idx="0">
                  <c:v>0.78386167146974062</c:v>
                </c:pt>
                <c:pt idx="1">
                  <c:v>0.74311926605504586</c:v>
                </c:pt>
                <c:pt idx="2">
                  <c:v>0.74873096446700504</c:v>
                </c:pt>
                <c:pt idx="3">
                  <c:v>0.77126099706744866</c:v>
                </c:pt>
                <c:pt idx="4">
                  <c:v>0.72432432432432436</c:v>
                </c:pt>
              </c:numCache>
            </c:numRef>
          </c:val>
          <c:smooth val="0"/>
          <c:extLst>
            <c:ext xmlns:c16="http://schemas.microsoft.com/office/drawing/2014/chart" uri="{C3380CC4-5D6E-409C-BE32-E72D297353CC}">
              <c16:uniqueId val="{00000000-7091-4FC9-AE52-3A7A4FB051E2}"/>
            </c:ext>
          </c:extLst>
        </c:ser>
        <c:dLbls>
          <c:showLegendKey val="0"/>
          <c:showVal val="0"/>
          <c:showCatName val="0"/>
          <c:showSerName val="0"/>
          <c:showPercent val="0"/>
          <c:showBubbleSize val="0"/>
        </c:dLbls>
        <c:marker val="1"/>
        <c:smooth val="0"/>
        <c:axId val="766126400"/>
        <c:axId val="766129352"/>
      </c:lineChart>
      <c:catAx>
        <c:axId val="7661264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a:t>Month FY19</a:t>
                </a:r>
              </a:p>
            </c:rich>
          </c:tx>
          <c:layout>
            <c:manualLayout>
              <c:xMode val="edge"/>
              <c:yMode val="edge"/>
              <c:x val="0.44727701142620324"/>
              <c:y val="0.87097845698660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766129352"/>
        <c:crosses val="autoZero"/>
        <c:auto val="1"/>
        <c:lblAlgn val="ctr"/>
        <c:lblOffset val="100"/>
        <c:noMultiLvlLbl val="0"/>
      </c:catAx>
      <c:valAx>
        <c:axId val="766129352"/>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a:t>% compliance</a:t>
                </a:r>
              </a:p>
            </c:rich>
          </c:tx>
          <c:layout>
            <c:manualLayout>
              <c:xMode val="edge"/>
              <c:yMode val="edge"/>
              <c:x val="7.2341632971554245E-3"/>
              <c:y val="0.2952640296365601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766126400"/>
        <c:crosses val="autoZero"/>
        <c:crossBetween val="between"/>
      </c:valAx>
      <c:spPr>
        <a:noFill/>
        <a:ln>
          <a:noFill/>
        </a:ln>
        <a:effectLst/>
      </c:spPr>
    </c:plotArea>
    <c:legend>
      <c:legendPos val="b"/>
      <c:layout>
        <c:manualLayout>
          <c:xMode val="edge"/>
          <c:yMode val="edge"/>
          <c:x val="0.65858551464850679"/>
          <c:y val="0.87169132922055304"/>
          <c:w val="0.29802972033036224"/>
          <c:h val="9.46678203408572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99767986609286"/>
          <c:y val="5.0925925925925923E-2"/>
          <c:w val="0.80055789337678052"/>
          <c:h val="0.71630358705161845"/>
        </c:manualLayout>
      </c:layout>
      <c:barChart>
        <c:barDir val="col"/>
        <c:grouping val="stacked"/>
        <c:varyColors val="0"/>
        <c:ser>
          <c:idx val="0"/>
          <c:order val="0"/>
          <c:tx>
            <c:strRef>
              <c:f>'Data tables for graphs'!$B$6</c:f>
              <c:strCache>
                <c:ptCount val="1"/>
                <c:pt idx="0">
                  <c:v>Met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tables for graphs'!$C$4:$N$4</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'Data tables for graphs'!$C$6:$N$6</c:f>
              <c:numCache>
                <c:formatCode>0</c:formatCode>
                <c:ptCount val="12"/>
                <c:pt idx="0">
                  <c:v>272</c:v>
                </c:pt>
                <c:pt idx="1">
                  <c:v>243</c:v>
                </c:pt>
                <c:pt idx="2">
                  <c:v>295</c:v>
                </c:pt>
                <c:pt idx="3">
                  <c:v>263</c:v>
                </c:pt>
                <c:pt idx="4">
                  <c:v>268</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927-4ABE-BAD8-C2BAA9A33EC8}"/>
            </c:ext>
          </c:extLst>
        </c:ser>
        <c:ser>
          <c:idx val="1"/>
          <c:order val="1"/>
          <c:tx>
            <c:strRef>
              <c:f>'Data tables for graphs'!$B$7</c:f>
              <c:strCache>
                <c:ptCount val="1"/>
                <c:pt idx="0">
                  <c:v>Not met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tables for graphs'!$C$4:$N$4</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'Data tables for graphs'!$C$7:$N$7</c:f>
              <c:numCache>
                <c:formatCode>0</c:formatCode>
                <c:ptCount val="12"/>
                <c:pt idx="0">
                  <c:v>75</c:v>
                </c:pt>
                <c:pt idx="1">
                  <c:v>84</c:v>
                </c:pt>
                <c:pt idx="2">
                  <c:v>107</c:v>
                </c:pt>
                <c:pt idx="3">
                  <c:v>78</c:v>
                </c:pt>
                <c:pt idx="4">
                  <c:v>102</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1-1927-4ABE-BAD8-C2BAA9A33EC8}"/>
            </c:ext>
          </c:extLst>
        </c:ser>
        <c:dLbls>
          <c:showLegendKey val="0"/>
          <c:showVal val="0"/>
          <c:showCatName val="0"/>
          <c:showSerName val="0"/>
          <c:showPercent val="0"/>
          <c:showBubbleSize val="0"/>
        </c:dLbls>
        <c:gapWidth val="150"/>
        <c:overlap val="100"/>
        <c:axId val="769910936"/>
        <c:axId val="769911920"/>
      </c:barChart>
      <c:catAx>
        <c:axId val="76991093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a:t>Month FY19</a:t>
                </a:r>
              </a:p>
            </c:rich>
          </c:tx>
          <c:layout>
            <c:manualLayout>
              <c:xMode val="edge"/>
              <c:yMode val="edge"/>
              <c:x val="0.43774868766404201"/>
              <c:y val="0.865369641294838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769911920"/>
        <c:crosses val="autoZero"/>
        <c:auto val="1"/>
        <c:lblAlgn val="ctr"/>
        <c:lblOffset val="100"/>
        <c:noMultiLvlLbl val="0"/>
      </c:catAx>
      <c:valAx>
        <c:axId val="769911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a:t>No. of indicators</a:t>
                </a:r>
              </a:p>
            </c:rich>
          </c:tx>
          <c:layout>
            <c:manualLayout>
              <c:xMode val="edge"/>
              <c:yMode val="edge"/>
              <c:x val="2.2222222222222223E-2"/>
              <c:y val="0.2418554972295129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769910936"/>
        <c:crosses val="autoZero"/>
        <c:crossBetween val="between"/>
      </c:valAx>
      <c:spPr>
        <a:noFill/>
        <a:ln>
          <a:noFill/>
        </a:ln>
        <a:effectLst/>
      </c:spPr>
    </c:plotArea>
    <c:legend>
      <c:legendPos val="b"/>
      <c:layout>
        <c:manualLayout>
          <c:xMode val="edge"/>
          <c:yMode val="edge"/>
          <c:x val="0.64330030492051449"/>
          <c:y val="0.86631889763779524"/>
          <c:w val="0.30289328259549358"/>
          <c:h val="8.26399825021872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7EFA-FFE2-42BC-ABB1-87D77AB0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1404</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7</cp:revision>
  <cp:lastPrinted>2014-03-17T14:55:00Z</cp:lastPrinted>
  <dcterms:created xsi:type="dcterms:W3CDTF">2019-09-18T17:30:00Z</dcterms:created>
  <dcterms:modified xsi:type="dcterms:W3CDTF">2019-09-18T23:46:00Z</dcterms:modified>
</cp:coreProperties>
</file>