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1F132" w14:textId="77777777" w:rsidR="005D3499" w:rsidRPr="00A02CA2" w:rsidRDefault="007B6D77" w:rsidP="0086436B">
      <w:pPr>
        <w:ind w:right="-900"/>
        <w:jc w:val="right"/>
        <w:rPr>
          <w:sz w:val="22"/>
          <w:szCs w:val="22"/>
          <w:lang w:val="en-GB"/>
        </w:rPr>
      </w:pPr>
      <w:r w:rsidRPr="00A02CA2">
        <w:rPr>
          <w:noProof/>
          <w:sz w:val="22"/>
          <w:szCs w:val="22"/>
          <w:lang w:val="en-GB" w:eastAsia="en-GB"/>
        </w:rPr>
        <w:drawing>
          <wp:inline distT="0" distB="0" distL="0" distR="0" wp14:anchorId="3D6C1F9F" wp14:editId="7805D8EC">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14:paraId="48EEF9FC" w14:textId="77777777" w:rsidR="005D3499" w:rsidRPr="00A02CA2" w:rsidRDefault="005D3499">
      <w:pPr>
        <w:rPr>
          <w:sz w:val="22"/>
          <w:szCs w:val="22"/>
        </w:rPr>
      </w:pPr>
    </w:p>
    <w:p w14:paraId="12F904E7" w14:textId="77777777" w:rsidR="005D3499" w:rsidRPr="00A02CA2" w:rsidRDefault="00C62464">
      <w:pPr>
        <w:jc w:val="center"/>
        <w:rPr>
          <w:rFonts w:ascii="Frutiger" w:hAnsi="Frutiger"/>
          <w:sz w:val="22"/>
          <w:szCs w:val="22"/>
        </w:rPr>
      </w:pPr>
      <w:r w:rsidRPr="00A02CA2">
        <w:rPr>
          <w:noProof/>
          <w:sz w:val="22"/>
          <w:szCs w:val="22"/>
          <w:lang w:val="en-GB" w:eastAsia="en-GB"/>
        </w:rPr>
        <mc:AlternateContent>
          <mc:Choice Requires="wps">
            <w:drawing>
              <wp:anchor distT="0" distB="0" distL="114300" distR="114300" simplePos="0" relativeHeight="251657728" behindDoc="0" locked="0" layoutInCell="1" allowOverlap="1" wp14:anchorId="135FBE7D" wp14:editId="5B1B727D">
                <wp:simplePos x="0" y="0"/>
                <wp:positionH relativeFrom="column">
                  <wp:posOffset>4114800</wp:posOffset>
                </wp:positionH>
                <wp:positionV relativeFrom="paragraph">
                  <wp:posOffset>51435</wp:posOffset>
                </wp:positionV>
                <wp:extent cx="1371600" cy="571500"/>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6AAACA33" w14:textId="7CDB9405" w:rsidR="00781566" w:rsidRDefault="0025508D">
                            <w:pPr>
                              <w:jc w:val="center"/>
                              <w:rPr>
                                <w:rFonts w:ascii="Arial" w:hAnsi="Arial" w:cs="Arial"/>
                              </w:rPr>
                            </w:pPr>
                            <w:r>
                              <w:rPr>
                                <w:rFonts w:ascii="Arial" w:hAnsi="Arial" w:cs="Arial"/>
                                <w:b/>
                              </w:rPr>
                              <w:t xml:space="preserve">BOD </w:t>
                            </w:r>
                            <w:r w:rsidR="008F214E">
                              <w:rPr>
                                <w:rFonts w:ascii="Arial" w:hAnsi="Arial" w:cs="Arial"/>
                                <w:b/>
                              </w:rPr>
                              <w:t>05/2020</w:t>
                            </w:r>
                          </w:p>
                          <w:p w14:paraId="351BF7D2" w14:textId="0ECA6E5E" w:rsidR="0025508D" w:rsidRPr="0025508D" w:rsidRDefault="00FC1FA6">
                            <w:pPr>
                              <w:jc w:val="center"/>
                              <w:rPr>
                                <w:rFonts w:ascii="Arial" w:hAnsi="Arial" w:cs="Arial"/>
                                <w:sz w:val="22"/>
                                <w:szCs w:val="22"/>
                              </w:rPr>
                            </w:pPr>
                            <w:r>
                              <w:rPr>
                                <w:rFonts w:ascii="Arial" w:hAnsi="Arial" w:cs="Arial"/>
                                <w:sz w:val="22"/>
                                <w:szCs w:val="22"/>
                              </w:rPr>
                              <w:t xml:space="preserve">(Agenda item: </w:t>
                            </w:r>
                            <w:r w:rsidR="008F214E">
                              <w:rPr>
                                <w:rFonts w:ascii="Arial" w:hAnsi="Arial" w:cs="Arial"/>
                                <w:sz w:val="22"/>
                                <w:szCs w:val="22"/>
                              </w:rPr>
                              <w:t>7</w:t>
                            </w:r>
                            <w:r w:rsidR="0025508D">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FBE7D"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14:paraId="6AAACA33" w14:textId="7CDB9405" w:rsidR="00781566" w:rsidRDefault="0025508D">
                      <w:pPr>
                        <w:jc w:val="center"/>
                        <w:rPr>
                          <w:rFonts w:ascii="Arial" w:hAnsi="Arial" w:cs="Arial"/>
                        </w:rPr>
                      </w:pPr>
                      <w:r>
                        <w:rPr>
                          <w:rFonts w:ascii="Arial" w:hAnsi="Arial" w:cs="Arial"/>
                          <w:b/>
                        </w:rPr>
                        <w:t xml:space="preserve">BOD </w:t>
                      </w:r>
                      <w:r w:rsidR="008F214E">
                        <w:rPr>
                          <w:rFonts w:ascii="Arial" w:hAnsi="Arial" w:cs="Arial"/>
                          <w:b/>
                        </w:rPr>
                        <w:t>05/2020</w:t>
                      </w:r>
                    </w:p>
                    <w:p w14:paraId="351BF7D2" w14:textId="0ECA6E5E" w:rsidR="0025508D" w:rsidRPr="0025508D" w:rsidRDefault="00FC1FA6">
                      <w:pPr>
                        <w:jc w:val="center"/>
                        <w:rPr>
                          <w:rFonts w:ascii="Arial" w:hAnsi="Arial" w:cs="Arial"/>
                          <w:sz w:val="22"/>
                          <w:szCs w:val="22"/>
                        </w:rPr>
                      </w:pPr>
                      <w:r>
                        <w:rPr>
                          <w:rFonts w:ascii="Arial" w:hAnsi="Arial" w:cs="Arial"/>
                          <w:sz w:val="22"/>
                          <w:szCs w:val="22"/>
                        </w:rPr>
                        <w:t xml:space="preserve">(Agenda item: </w:t>
                      </w:r>
                      <w:r w:rsidR="008F214E">
                        <w:rPr>
                          <w:rFonts w:ascii="Arial" w:hAnsi="Arial" w:cs="Arial"/>
                          <w:sz w:val="22"/>
                          <w:szCs w:val="22"/>
                        </w:rPr>
                        <w:t>7</w:t>
                      </w:r>
                      <w:r w:rsidR="0025508D">
                        <w:rPr>
                          <w:rFonts w:ascii="Arial" w:hAnsi="Arial" w:cs="Arial"/>
                          <w:sz w:val="22"/>
                          <w:szCs w:val="22"/>
                        </w:rPr>
                        <w:t>)</w:t>
                      </w:r>
                    </w:p>
                  </w:txbxContent>
                </v:textbox>
              </v:rect>
            </w:pict>
          </mc:Fallback>
        </mc:AlternateContent>
      </w:r>
    </w:p>
    <w:p w14:paraId="763DC8EA" w14:textId="77777777" w:rsidR="005D3499" w:rsidRPr="00A02CA2" w:rsidRDefault="005D3499">
      <w:pPr>
        <w:pStyle w:val="Heading1"/>
        <w:rPr>
          <w:sz w:val="22"/>
          <w:szCs w:val="22"/>
        </w:rPr>
      </w:pPr>
    </w:p>
    <w:p w14:paraId="3B519F49" w14:textId="77777777" w:rsidR="005D3499" w:rsidRPr="00A02CA2" w:rsidRDefault="005D3499">
      <w:pPr>
        <w:pStyle w:val="Heading1"/>
        <w:rPr>
          <w:sz w:val="22"/>
          <w:szCs w:val="22"/>
        </w:rPr>
      </w:pPr>
    </w:p>
    <w:p w14:paraId="45588B1C" w14:textId="77777777" w:rsidR="005D3499" w:rsidRPr="00A02CA2" w:rsidRDefault="005D3499" w:rsidP="00FA5118">
      <w:pPr>
        <w:pStyle w:val="Heading1"/>
        <w:jc w:val="center"/>
        <w:rPr>
          <w:rFonts w:ascii="Segoe UI" w:hAnsi="Segoe UI" w:cs="Segoe UI"/>
          <w:sz w:val="22"/>
          <w:szCs w:val="22"/>
        </w:rPr>
      </w:pPr>
    </w:p>
    <w:p w14:paraId="70DD97F9" w14:textId="77777777" w:rsidR="005D3499" w:rsidRPr="00A02CA2" w:rsidRDefault="005D3499">
      <w:pPr>
        <w:pStyle w:val="Heading1"/>
        <w:jc w:val="center"/>
        <w:rPr>
          <w:rFonts w:ascii="Segoe UI" w:hAnsi="Segoe UI" w:cs="Segoe UI"/>
          <w:sz w:val="22"/>
          <w:szCs w:val="22"/>
          <w:u w:val="none"/>
        </w:rPr>
      </w:pPr>
    </w:p>
    <w:p w14:paraId="001C0D64" w14:textId="77777777" w:rsidR="005E2583" w:rsidRPr="00A02CA2" w:rsidRDefault="005D3499">
      <w:pPr>
        <w:pStyle w:val="Heading1"/>
        <w:jc w:val="center"/>
        <w:rPr>
          <w:rFonts w:ascii="Segoe UI" w:hAnsi="Segoe UI" w:cs="Segoe UI"/>
          <w:sz w:val="22"/>
          <w:szCs w:val="22"/>
          <w:u w:val="none"/>
        </w:rPr>
      </w:pPr>
      <w:r w:rsidRPr="00A02CA2">
        <w:rPr>
          <w:rFonts w:ascii="Segoe UI" w:hAnsi="Segoe UI" w:cs="Segoe UI"/>
          <w:sz w:val="22"/>
          <w:szCs w:val="22"/>
          <w:u w:val="none"/>
        </w:rPr>
        <w:t xml:space="preserve">Report to the Meeting </w:t>
      </w:r>
      <w:r w:rsidR="00B50D5E" w:rsidRPr="00A02CA2">
        <w:rPr>
          <w:rFonts w:ascii="Segoe UI" w:hAnsi="Segoe UI" w:cs="Segoe UI"/>
          <w:sz w:val="22"/>
          <w:szCs w:val="22"/>
          <w:u w:val="none"/>
        </w:rPr>
        <w:t xml:space="preserve">of the </w:t>
      </w:r>
    </w:p>
    <w:p w14:paraId="4F3A7863" w14:textId="77777777" w:rsidR="002821F8" w:rsidRPr="00A02CA2" w:rsidRDefault="00B50D5E">
      <w:pPr>
        <w:pStyle w:val="Heading1"/>
        <w:jc w:val="center"/>
        <w:rPr>
          <w:rFonts w:ascii="Segoe UI" w:hAnsi="Segoe UI" w:cs="Segoe UI"/>
          <w:sz w:val="22"/>
          <w:szCs w:val="22"/>
          <w:u w:val="none"/>
        </w:rPr>
      </w:pPr>
      <w:r w:rsidRPr="00A02CA2">
        <w:rPr>
          <w:rFonts w:ascii="Segoe UI" w:hAnsi="Segoe UI" w:cs="Segoe UI"/>
          <w:sz w:val="22"/>
          <w:szCs w:val="22"/>
          <w:u w:val="none"/>
        </w:rPr>
        <w:t xml:space="preserve">Oxford Health NHS </w:t>
      </w:r>
      <w:r w:rsidR="002821F8" w:rsidRPr="00A02CA2">
        <w:rPr>
          <w:rFonts w:ascii="Segoe UI" w:hAnsi="Segoe UI" w:cs="Segoe UI"/>
          <w:sz w:val="22"/>
          <w:szCs w:val="22"/>
          <w:u w:val="none"/>
        </w:rPr>
        <w:t xml:space="preserve">Foundation Trust </w:t>
      </w:r>
    </w:p>
    <w:p w14:paraId="11295D9D" w14:textId="77777777" w:rsidR="005D3499" w:rsidRPr="00A02CA2" w:rsidRDefault="005D3499">
      <w:pPr>
        <w:pStyle w:val="Heading1"/>
        <w:jc w:val="center"/>
        <w:rPr>
          <w:rFonts w:ascii="Segoe UI" w:hAnsi="Segoe UI" w:cs="Segoe UI"/>
          <w:sz w:val="22"/>
          <w:szCs w:val="22"/>
          <w:u w:val="none"/>
        </w:rPr>
      </w:pPr>
      <w:r w:rsidRPr="00A02CA2">
        <w:rPr>
          <w:rFonts w:ascii="Segoe UI" w:hAnsi="Segoe UI" w:cs="Segoe UI"/>
          <w:sz w:val="22"/>
          <w:szCs w:val="22"/>
          <w:u w:val="none"/>
        </w:rPr>
        <w:t>Board</w:t>
      </w:r>
      <w:r w:rsidR="002821F8" w:rsidRPr="00A02CA2">
        <w:rPr>
          <w:rFonts w:ascii="Segoe UI" w:hAnsi="Segoe UI" w:cs="Segoe UI"/>
          <w:sz w:val="22"/>
          <w:szCs w:val="22"/>
          <w:u w:val="none"/>
        </w:rPr>
        <w:t xml:space="preserve"> of Directors</w:t>
      </w:r>
    </w:p>
    <w:p w14:paraId="7AF90442" w14:textId="77777777" w:rsidR="005D3499" w:rsidRPr="00A02CA2" w:rsidRDefault="005D3499" w:rsidP="00A85311">
      <w:pPr>
        <w:rPr>
          <w:rFonts w:ascii="Segoe UI" w:hAnsi="Segoe UI" w:cs="Segoe UI"/>
          <w:b/>
          <w:sz w:val="22"/>
          <w:szCs w:val="22"/>
        </w:rPr>
      </w:pPr>
      <w:bookmarkStart w:id="0" w:name="_GoBack"/>
      <w:bookmarkEnd w:id="0"/>
    </w:p>
    <w:p w14:paraId="3E2548F8" w14:textId="3128B217" w:rsidR="00BA1FC6" w:rsidRPr="00A02CA2" w:rsidRDefault="007D0488" w:rsidP="00BA1FC6">
      <w:pPr>
        <w:jc w:val="center"/>
        <w:rPr>
          <w:rFonts w:ascii="Segoe UI" w:hAnsi="Segoe UI" w:cs="Segoe UI"/>
          <w:b/>
          <w:sz w:val="22"/>
          <w:szCs w:val="22"/>
        </w:rPr>
      </w:pPr>
      <w:r w:rsidRPr="00A02CA2">
        <w:rPr>
          <w:rFonts w:ascii="Segoe UI" w:hAnsi="Segoe UI" w:cs="Segoe UI"/>
          <w:b/>
          <w:sz w:val="22"/>
          <w:szCs w:val="22"/>
        </w:rPr>
        <w:t>January 29</w:t>
      </w:r>
      <w:r w:rsidRPr="00A02CA2">
        <w:rPr>
          <w:rFonts w:ascii="Segoe UI" w:hAnsi="Segoe UI" w:cs="Segoe UI"/>
          <w:b/>
          <w:sz w:val="22"/>
          <w:szCs w:val="22"/>
          <w:vertAlign w:val="superscript"/>
        </w:rPr>
        <w:t>th</w:t>
      </w:r>
      <w:proofErr w:type="gramStart"/>
      <w:r w:rsidRPr="00A02CA2">
        <w:rPr>
          <w:rFonts w:ascii="Segoe UI" w:hAnsi="Segoe UI" w:cs="Segoe UI"/>
          <w:b/>
          <w:sz w:val="22"/>
          <w:szCs w:val="22"/>
        </w:rPr>
        <w:t xml:space="preserve"> </w:t>
      </w:r>
      <w:r w:rsidR="00BA1FC6" w:rsidRPr="00A02CA2">
        <w:rPr>
          <w:rFonts w:ascii="Segoe UI" w:hAnsi="Segoe UI" w:cs="Segoe UI"/>
          <w:b/>
          <w:sz w:val="22"/>
          <w:szCs w:val="22"/>
        </w:rPr>
        <w:t>20</w:t>
      </w:r>
      <w:r w:rsidRPr="00A02CA2">
        <w:rPr>
          <w:rFonts w:ascii="Segoe UI" w:hAnsi="Segoe UI" w:cs="Segoe UI"/>
          <w:b/>
          <w:sz w:val="22"/>
          <w:szCs w:val="22"/>
        </w:rPr>
        <w:t>20</w:t>
      </w:r>
      <w:proofErr w:type="gramEnd"/>
    </w:p>
    <w:p w14:paraId="376D28A3" w14:textId="77777777" w:rsidR="005D3499" w:rsidRPr="00A02CA2" w:rsidRDefault="005D3499">
      <w:pPr>
        <w:jc w:val="center"/>
        <w:rPr>
          <w:rFonts w:ascii="Segoe UI" w:hAnsi="Segoe UI" w:cs="Segoe UI"/>
          <w:b/>
          <w:sz w:val="22"/>
          <w:szCs w:val="22"/>
        </w:rPr>
      </w:pPr>
    </w:p>
    <w:p w14:paraId="71BCC72F" w14:textId="265F77F7" w:rsidR="005D3499" w:rsidRPr="00A02CA2" w:rsidRDefault="00922966" w:rsidP="003C136E">
      <w:pPr>
        <w:jc w:val="center"/>
        <w:rPr>
          <w:rFonts w:ascii="Segoe UI" w:hAnsi="Segoe UI" w:cs="Segoe UI"/>
          <w:b/>
          <w:sz w:val="22"/>
          <w:szCs w:val="22"/>
        </w:rPr>
      </w:pPr>
      <w:r w:rsidRPr="00A02CA2">
        <w:rPr>
          <w:rFonts w:ascii="Segoe UI" w:hAnsi="Segoe UI" w:cs="Segoe UI"/>
          <w:b/>
          <w:sz w:val="22"/>
          <w:szCs w:val="22"/>
        </w:rPr>
        <w:t>Monthly Performance Report</w:t>
      </w:r>
      <w:r w:rsidR="000B77F9" w:rsidRPr="00A02CA2">
        <w:rPr>
          <w:rFonts w:ascii="Segoe UI" w:hAnsi="Segoe UI" w:cs="Segoe UI"/>
          <w:b/>
          <w:sz w:val="22"/>
          <w:szCs w:val="22"/>
        </w:rPr>
        <w:t xml:space="preserve"> – </w:t>
      </w:r>
      <w:r w:rsidR="00BB3840" w:rsidRPr="00A02CA2">
        <w:rPr>
          <w:rFonts w:ascii="Segoe UI" w:hAnsi="Segoe UI" w:cs="Segoe UI"/>
          <w:b/>
          <w:sz w:val="22"/>
          <w:szCs w:val="22"/>
        </w:rPr>
        <w:t>M</w:t>
      </w:r>
      <w:r w:rsidR="007D0488" w:rsidRPr="00A02CA2">
        <w:rPr>
          <w:rFonts w:ascii="Segoe UI" w:hAnsi="Segoe UI" w:cs="Segoe UI"/>
          <w:b/>
          <w:sz w:val="22"/>
          <w:szCs w:val="22"/>
        </w:rPr>
        <w:t>09</w:t>
      </w:r>
      <w:r w:rsidR="00952D02" w:rsidRPr="00A02CA2">
        <w:rPr>
          <w:rFonts w:ascii="Segoe UI" w:hAnsi="Segoe UI" w:cs="Segoe UI"/>
          <w:b/>
          <w:sz w:val="22"/>
          <w:szCs w:val="22"/>
        </w:rPr>
        <w:t xml:space="preserve"> </w:t>
      </w:r>
      <w:r w:rsidR="007D0488" w:rsidRPr="00A02CA2">
        <w:rPr>
          <w:rFonts w:ascii="Segoe UI" w:hAnsi="Segoe UI" w:cs="Segoe UI"/>
          <w:b/>
          <w:sz w:val="22"/>
          <w:szCs w:val="22"/>
        </w:rPr>
        <w:t>Decem</w:t>
      </w:r>
      <w:r w:rsidR="00BA1FC6" w:rsidRPr="00A02CA2">
        <w:rPr>
          <w:rFonts w:ascii="Segoe UI" w:hAnsi="Segoe UI" w:cs="Segoe UI"/>
          <w:b/>
          <w:sz w:val="22"/>
          <w:szCs w:val="22"/>
        </w:rPr>
        <w:t>ber</w:t>
      </w:r>
      <w:r w:rsidR="00BB3840" w:rsidRPr="00A02CA2">
        <w:rPr>
          <w:rFonts w:ascii="Segoe UI" w:hAnsi="Segoe UI" w:cs="Segoe UI"/>
          <w:b/>
          <w:sz w:val="22"/>
          <w:szCs w:val="22"/>
        </w:rPr>
        <w:t xml:space="preserve"> 20</w:t>
      </w:r>
      <w:r w:rsidR="007D0488" w:rsidRPr="00A02CA2">
        <w:rPr>
          <w:rFonts w:ascii="Segoe UI" w:hAnsi="Segoe UI" w:cs="Segoe UI"/>
          <w:b/>
          <w:sz w:val="22"/>
          <w:szCs w:val="22"/>
        </w:rPr>
        <w:t>20</w:t>
      </w:r>
    </w:p>
    <w:p w14:paraId="72324B56" w14:textId="77777777" w:rsidR="005D3499" w:rsidRPr="00A02CA2" w:rsidRDefault="005D3499">
      <w:pPr>
        <w:rPr>
          <w:rFonts w:ascii="Segoe UI" w:hAnsi="Segoe UI" w:cs="Segoe UI"/>
          <w:b/>
          <w:sz w:val="22"/>
          <w:szCs w:val="22"/>
        </w:rPr>
      </w:pPr>
    </w:p>
    <w:p w14:paraId="0E81066D" w14:textId="77777777" w:rsidR="00292613" w:rsidRPr="00A02CA2" w:rsidRDefault="00292613" w:rsidP="00292613">
      <w:pPr>
        <w:rPr>
          <w:rFonts w:ascii="Segoe UI" w:hAnsi="Segoe UI" w:cs="Segoe UI"/>
          <w:b/>
          <w:sz w:val="22"/>
          <w:szCs w:val="22"/>
          <w:u w:val="single"/>
        </w:rPr>
      </w:pPr>
      <w:r w:rsidRPr="00A02CA2">
        <w:rPr>
          <w:rFonts w:ascii="Segoe UI" w:hAnsi="Segoe UI" w:cs="Segoe UI"/>
          <w:b/>
          <w:sz w:val="22"/>
          <w:szCs w:val="22"/>
          <w:u w:val="single"/>
        </w:rPr>
        <w:t xml:space="preserve">For: </w:t>
      </w:r>
      <w:r w:rsidR="00C36082" w:rsidRPr="00A02CA2">
        <w:rPr>
          <w:rFonts w:ascii="Segoe UI" w:hAnsi="Segoe UI" w:cs="Segoe UI"/>
          <w:b/>
          <w:sz w:val="22"/>
          <w:szCs w:val="22"/>
          <w:u w:val="single"/>
        </w:rPr>
        <w:t xml:space="preserve">Information </w:t>
      </w:r>
    </w:p>
    <w:p w14:paraId="06E03188" w14:textId="77777777" w:rsidR="00292613" w:rsidRPr="00A02CA2" w:rsidRDefault="00292613">
      <w:pPr>
        <w:rPr>
          <w:rFonts w:ascii="Segoe UI" w:hAnsi="Segoe UI" w:cs="Segoe UI"/>
          <w:b/>
          <w:sz w:val="22"/>
          <w:szCs w:val="22"/>
        </w:rPr>
      </w:pPr>
    </w:p>
    <w:p w14:paraId="61D8EF24" w14:textId="77777777" w:rsidR="007A2CF0" w:rsidRPr="00A02CA2" w:rsidRDefault="007A2CF0" w:rsidP="007A2CF0">
      <w:pPr>
        <w:jc w:val="both"/>
        <w:rPr>
          <w:rFonts w:ascii="Segoe UI" w:hAnsi="Segoe UI" w:cs="Segoe UI"/>
          <w:b/>
          <w:sz w:val="22"/>
          <w:szCs w:val="22"/>
        </w:rPr>
      </w:pPr>
      <w:r w:rsidRPr="00A02CA2">
        <w:rPr>
          <w:rFonts w:ascii="Segoe UI" w:hAnsi="Segoe UI" w:cs="Segoe UI"/>
          <w:b/>
          <w:sz w:val="22"/>
          <w:szCs w:val="22"/>
        </w:rPr>
        <w:t>Executive Summary</w:t>
      </w:r>
    </w:p>
    <w:p w14:paraId="5A5B35E2" w14:textId="77777777" w:rsidR="007A2CF0" w:rsidRPr="00A02CA2" w:rsidRDefault="007A2CF0" w:rsidP="007A2CF0">
      <w:pPr>
        <w:jc w:val="both"/>
        <w:rPr>
          <w:rFonts w:ascii="Segoe UI" w:hAnsi="Segoe UI" w:cs="Segoe UI"/>
          <w:b/>
          <w:sz w:val="22"/>
          <w:szCs w:val="22"/>
        </w:rPr>
      </w:pPr>
    </w:p>
    <w:p w14:paraId="782EF7F7" w14:textId="26F53E9A" w:rsidR="00C83803" w:rsidRPr="00A02CA2" w:rsidRDefault="00E6088B" w:rsidP="006B6FE8">
      <w:pPr>
        <w:jc w:val="both"/>
        <w:rPr>
          <w:rFonts w:ascii="Segoe UI" w:hAnsi="Segoe UI" w:cs="Segoe UI"/>
          <w:sz w:val="22"/>
          <w:szCs w:val="22"/>
        </w:rPr>
      </w:pPr>
      <w:r w:rsidRPr="00A02CA2">
        <w:rPr>
          <w:rFonts w:ascii="Segoe UI" w:hAnsi="Segoe UI" w:cs="Segoe UI"/>
          <w:sz w:val="22"/>
          <w:szCs w:val="22"/>
        </w:rPr>
        <w:t xml:space="preserve">This report </w:t>
      </w:r>
      <w:proofErr w:type="spellStart"/>
      <w:r w:rsidRPr="00A02CA2">
        <w:rPr>
          <w:rFonts w:ascii="Segoe UI" w:hAnsi="Segoe UI" w:cs="Segoe UI"/>
          <w:sz w:val="22"/>
          <w:szCs w:val="22"/>
        </w:rPr>
        <w:t>summarises</w:t>
      </w:r>
      <w:proofErr w:type="spellEnd"/>
      <w:r w:rsidRPr="00A02CA2">
        <w:rPr>
          <w:rFonts w:ascii="Segoe UI" w:hAnsi="Segoe UI" w:cs="Segoe UI"/>
          <w:sz w:val="22"/>
          <w:szCs w:val="22"/>
        </w:rPr>
        <w:t xml:space="preserve"> the Trust’s national and locally contracted </w:t>
      </w:r>
      <w:r w:rsidR="00C57113" w:rsidRPr="00A02CA2">
        <w:rPr>
          <w:rFonts w:ascii="Segoe UI" w:hAnsi="Segoe UI" w:cs="Segoe UI"/>
          <w:sz w:val="22"/>
          <w:szCs w:val="22"/>
        </w:rPr>
        <w:t>key performance indicators (KPI</w:t>
      </w:r>
      <w:r w:rsidRPr="00A02CA2">
        <w:rPr>
          <w:rFonts w:ascii="Segoe UI" w:hAnsi="Segoe UI" w:cs="Segoe UI"/>
          <w:sz w:val="22"/>
          <w:szCs w:val="22"/>
        </w:rPr>
        <w:t xml:space="preserve">s) for Month </w:t>
      </w:r>
      <w:r w:rsidR="00CD0C95" w:rsidRPr="00A02CA2">
        <w:rPr>
          <w:rFonts w:ascii="Segoe UI" w:hAnsi="Segoe UI" w:cs="Segoe UI"/>
          <w:sz w:val="22"/>
          <w:szCs w:val="22"/>
        </w:rPr>
        <w:t>9</w:t>
      </w:r>
      <w:r w:rsidRPr="00A02CA2">
        <w:rPr>
          <w:rFonts w:ascii="Segoe UI" w:hAnsi="Segoe UI" w:cs="Segoe UI"/>
          <w:sz w:val="22"/>
          <w:szCs w:val="22"/>
        </w:rPr>
        <w:t xml:space="preserve"> (</w:t>
      </w:r>
      <w:r w:rsidR="00CD0C95" w:rsidRPr="00A02CA2">
        <w:rPr>
          <w:rFonts w:ascii="Segoe UI" w:hAnsi="Segoe UI" w:cs="Segoe UI"/>
          <w:sz w:val="22"/>
          <w:szCs w:val="22"/>
        </w:rPr>
        <w:t>December</w:t>
      </w:r>
      <w:r w:rsidR="00AF75DA" w:rsidRPr="00A02CA2">
        <w:rPr>
          <w:rFonts w:ascii="Segoe UI" w:hAnsi="Segoe UI" w:cs="Segoe UI"/>
          <w:sz w:val="22"/>
          <w:szCs w:val="22"/>
        </w:rPr>
        <w:t>)</w:t>
      </w:r>
      <w:r w:rsidR="00731303" w:rsidRPr="00A02CA2">
        <w:rPr>
          <w:rFonts w:ascii="Segoe UI" w:hAnsi="Segoe UI" w:cs="Segoe UI"/>
          <w:sz w:val="22"/>
          <w:szCs w:val="22"/>
        </w:rPr>
        <w:t xml:space="preserve"> 2019</w:t>
      </w:r>
      <w:r w:rsidRPr="00A02CA2">
        <w:rPr>
          <w:rFonts w:ascii="Segoe UI" w:hAnsi="Segoe UI" w:cs="Segoe UI"/>
          <w:sz w:val="22"/>
          <w:szCs w:val="22"/>
        </w:rPr>
        <w:t xml:space="preserve">.  Overall, the Trust achieved </w:t>
      </w:r>
      <w:r w:rsidR="00A91A98" w:rsidRPr="00A02CA2">
        <w:rPr>
          <w:rFonts w:ascii="Segoe UI" w:hAnsi="Segoe UI" w:cs="Segoe UI"/>
          <w:sz w:val="22"/>
          <w:szCs w:val="22"/>
        </w:rPr>
        <w:t>303</w:t>
      </w:r>
      <w:r w:rsidR="00E23391" w:rsidRPr="00A02CA2">
        <w:rPr>
          <w:rFonts w:ascii="Segoe UI" w:hAnsi="Segoe UI" w:cs="Segoe UI"/>
          <w:sz w:val="22"/>
          <w:szCs w:val="22"/>
        </w:rPr>
        <w:t xml:space="preserve"> out of </w:t>
      </w:r>
      <w:r w:rsidR="00490282" w:rsidRPr="00A02CA2">
        <w:rPr>
          <w:rFonts w:ascii="Segoe UI" w:hAnsi="Segoe UI" w:cs="Segoe UI"/>
          <w:sz w:val="22"/>
          <w:szCs w:val="22"/>
        </w:rPr>
        <w:t>3</w:t>
      </w:r>
      <w:r w:rsidR="00A91A98" w:rsidRPr="00A02CA2">
        <w:rPr>
          <w:rFonts w:ascii="Segoe UI" w:hAnsi="Segoe UI" w:cs="Segoe UI"/>
          <w:sz w:val="22"/>
          <w:szCs w:val="22"/>
        </w:rPr>
        <w:t>90</w:t>
      </w:r>
      <w:r w:rsidR="00CD0C95" w:rsidRPr="00A02CA2">
        <w:rPr>
          <w:rFonts w:ascii="Segoe UI" w:hAnsi="Segoe UI" w:cs="Segoe UI"/>
          <w:sz w:val="22"/>
          <w:szCs w:val="22"/>
        </w:rPr>
        <w:t xml:space="preserve"> </w:t>
      </w:r>
      <w:r w:rsidR="00E23391" w:rsidRPr="00A02CA2">
        <w:rPr>
          <w:rFonts w:ascii="Segoe UI" w:hAnsi="Segoe UI" w:cs="Segoe UI"/>
          <w:sz w:val="22"/>
          <w:szCs w:val="22"/>
        </w:rPr>
        <w:t xml:space="preserve">targeted indicators </w:t>
      </w:r>
      <w:r w:rsidR="00BB3840" w:rsidRPr="00A02CA2">
        <w:rPr>
          <w:rFonts w:ascii="Segoe UI" w:hAnsi="Segoe UI" w:cs="Segoe UI"/>
          <w:sz w:val="22"/>
          <w:szCs w:val="22"/>
        </w:rPr>
        <w:t>(</w:t>
      </w:r>
      <w:r w:rsidR="00490282" w:rsidRPr="00A02CA2">
        <w:rPr>
          <w:rFonts w:ascii="Segoe UI" w:hAnsi="Segoe UI" w:cs="Segoe UI"/>
          <w:sz w:val="22"/>
          <w:szCs w:val="22"/>
        </w:rPr>
        <w:t>7</w:t>
      </w:r>
      <w:r w:rsidR="00A91A98" w:rsidRPr="00A02CA2">
        <w:rPr>
          <w:rFonts w:ascii="Segoe UI" w:hAnsi="Segoe UI" w:cs="Segoe UI"/>
          <w:sz w:val="22"/>
          <w:szCs w:val="22"/>
        </w:rPr>
        <w:t>8</w:t>
      </w:r>
      <w:r w:rsidR="00BA1FC6" w:rsidRPr="00A02CA2">
        <w:rPr>
          <w:rFonts w:ascii="Segoe UI" w:hAnsi="Segoe UI" w:cs="Segoe UI"/>
          <w:sz w:val="22"/>
          <w:szCs w:val="22"/>
        </w:rPr>
        <w:t>%).</w:t>
      </w:r>
    </w:p>
    <w:p w14:paraId="3CEBA8E8" w14:textId="77777777" w:rsidR="00AF75DA" w:rsidRPr="00A02CA2" w:rsidRDefault="00AF75DA" w:rsidP="006B6FE8">
      <w:pPr>
        <w:jc w:val="both"/>
        <w:rPr>
          <w:rFonts w:ascii="Segoe UI" w:hAnsi="Segoe UI" w:cs="Segoe UI"/>
          <w:sz w:val="22"/>
          <w:szCs w:val="22"/>
        </w:rPr>
      </w:pPr>
    </w:p>
    <w:p w14:paraId="37BB8E98" w14:textId="77777777" w:rsidR="00274738" w:rsidRPr="00A02CA2" w:rsidRDefault="00C57113" w:rsidP="00C83803">
      <w:pPr>
        <w:jc w:val="both"/>
        <w:rPr>
          <w:rFonts w:ascii="Segoe UI" w:hAnsi="Segoe UI" w:cs="Segoe UI"/>
          <w:b/>
          <w:sz w:val="22"/>
          <w:szCs w:val="22"/>
        </w:rPr>
      </w:pPr>
      <w:r w:rsidRPr="00A02CA2">
        <w:rPr>
          <w:rFonts w:ascii="Segoe UI" w:hAnsi="Segoe UI" w:cs="Segoe UI"/>
          <w:b/>
          <w:sz w:val="22"/>
          <w:szCs w:val="22"/>
        </w:rPr>
        <w:t>Performance Trend</w:t>
      </w:r>
      <w:r w:rsidR="00C83803" w:rsidRPr="00A02CA2">
        <w:rPr>
          <w:rFonts w:ascii="Segoe UI" w:hAnsi="Segoe UI" w:cs="Segoe UI"/>
          <w:b/>
          <w:sz w:val="22"/>
          <w:szCs w:val="22"/>
        </w:rPr>
        <w:t>:</w:t>
      </w:r>
    </w:p>
    <w:p w14:paraId="315A2D8B" w14:textId="77777777" w:rsidR="00AF75DA" w:rsidRPr="00A02CA2" w:rsidRDefault="00AF75DA" w:rsidP="00C83803">
      <w:pPr>
        <w:jc w:val="both"/>
        <w:rPr>
          <w:rFonts w:ascii="Segoe UI" w:hAnsi="Segoe UI" w:cs="Segoe UI"/>
          <w:b/>
          <w:sz w:val="22"/>
          <w:szCs w:val="22"/>
        </w:rPr>
      </w:pPr>
    </w:p>
    <w:p w14:paraId="6B91FC8B" w14:textId="4D8B2096" w:rsidR="00490282" w:rsidRPr="00A02CA2" w:rsidRDefault="004E38C0" w:rsidP="00490282">
      <w:pPr>
        <w:jc w:val="center"/>
        <w:rPr>
          <w:rFonts w:ascii="Segoe UI" w:hAnsi="Segoe UI" w:cs="Segoe UI"/>
          <w:b/>
          <w:sz w:val="22"/>
          <w:szCs w:val="22"/>
        </w:rPr>
      </w:pPr>
      <w:r w:rsidRPr="00A02CA2">
        <w:rPr>
          <w:noProof/>
          <w:sz w:val="22"/>
          <w:szCs w:val="22"/>
        </w:rPr>
        <w:drawing>
          <wp:inline distT="0" distB="0" distL="0" distR="0" wp14:anchorId="6D6DEEC9" wp14:editId="0A69B2C8">
            <wp:extent cx="4419600" cy="2619375"/>
            <wp:effectExtent l="0" t="0" r="0" b="9525"/>
            <wp:docPr id="3" name="Chart 3">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925289" w14:textId="0B8978C6" w:rsidR="00490282" w:rsidRPr="00A02CA2" w:rsidRDefault="00490282" w:rsidP="00C83803">
      <w:pPr>
        <w:jc w:val="both"/>
        <w:rPr>
          <w:rFonts w:ascii="Segoe UI" w:hAnsi="Segoe UI" w:cs="Segoe UI"/>
          <w:b/>
          <w:sz w:val="22"/>
          <w:szCs w:val="22"/>
        </w:rPr>
      </w:pPr>
    </w:p>
    <w:p w14:paraId="7B53948D" w14:textId="1D033171" w:rsidR="00490282" w:rsidRPr="00A02CA2" w:rsidRDefault="004E38C0" w:rsidP="00490282">
      <w:pPr>
        <w:jc w:val="center"/>
        <w:rPr>
          <w:rFonts w:ascii="Segoe UI" w:hAnsi="Segoe UI" w:cs="Segoe UI"/>
          <w:noProof/>
          <w:sz w:val="22"/>
          <w:szCs w:val="22"/>
          <w:lang w:val="en-GB" w:eastAsia="en-GB"/>
        </w:rPr>
      </w:pPr>
      <w:r w:rsidRPr="00A02CA2">
        <w:rPr>
          <w:noProof/>
          <w:sz w:val="22"/>
          <w:szCs w:val="22"/>
        </w:rPr>
        <w:lastRenderedPageBreak/>
        <w:drawing>
          <wp:inline distT="0" distB="0" distL="0" distR="0" wp14:anchorId="1E8C706E" wp14:editId="0CC1DE2B">
            <wp:extent cx="4565296" cy="2430775"/>
            <wp:effectExtent l="0" t="0" r="6985" b="8255"/>
            <wp:docPr id="5" name="Chart 5">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76E580" w14:textId="77777777" w:rsidR="00490282" w:rsidRPr="00A02CA2" w:rsidRDefault="00490282" w:rsidP="00294343">
      <w:pPr>
        <w:jc w:val="center"/>
        <w:rPr>
          <w:rFonts w:ascii="Segoe UI" w:hAnsi="Segoe UI" w:cs="Segoe UI"/>
          <w:noProof/>
          <w:sz w:val="22"/>
          <w:szCs w:val="22"/>
          <w:lang w:val="en-GB" w:eastAsia="en-GB"/>
        </w:rPr>
      </w:pPr>
    </w:p>
    <w:p w14:paraId="7C4F3823" w14:textId="77777777" w:rsidR="00FD74D2" w:rsidRPr="00A02CA2" w:rsidRDefault="00FD74D2" w:rsidP="00294343">
      <w:pPr>
        <w:jc w:val="center"/>
        <w:rPr>
          <w:rFonts w:ascii="Segoe UI" w:hAnsi="Segoe UI" w:cs="Segoe UI"/>
          <w:noProof/>
          <w:sz w:val="22"/>
          <w:szCs w:val="22"/>
          <w:lang w:val="en-GB" w:eastAsia="en-GB"/>
        </w:rPr>
      </w:pPr>
    </w:p>
    <w:p w14:paraId="0629925A" w14:textId="0B17B0AF" w:rsidR="003C19D3" w:rsidRPr="00A02CA2" w:rsidRDefault="00C57113" w:rsidP="006B6FE8">
      <w:pPr>
        <w:jc w:val="both"/>
        <w:rPr>
          <w:rFonts w:ascii="Segoe UI" w:hAnsi="Segoe UI" w:cs="Segoe UI"/>
          <w:sz w:val="22"/>
          <w:szCs w:val="22"/>
        </w:rPr>
      </w:pPr>
      <w:r w:rsidRPr="00A02CA2">
        <w:rPr>
          <w:rFonts w:ascii="Segoe UI" w:hAnsi="Segoe UI" w:cs="Segoe UI"/>
          <w:sz w:val="22"/>
          <w:szCs w:val="22"/>
        </w:rPr>
        <w:t xml:space="preserve">The number of </w:t>
      </w:r>
      <w:r w:rsidR="00731303" w:rsidRPr="00A02CA2">
        <w:rPr>
          <w:rFonts w:ascii="Segoe UI" w:hAnsi="Segoe UI" w:cs="Segoe UI"/>
          <w:sz w:val="22"/>
          <w:szCs w:val="22"/>
        </w:rPr>
        <w:t xml:space="preserve">locally </w:t>
      </w:r>
      <w:r w:rsidR="00731303" w:rsidRPr="00A02CA2">
        <w:rPr>
          <w:rFonts w:ascii="Segoe UI" w:hAnsi="Segoe UI" w:cs="Segoe UI"/>
          <w:b/>
          <w:sz w:val="22"/>
          <w:szCs w:val="22"/>
        </w:rPr>
        <w:t>contracted</w:t>
      </w:r>
      <w:r w:rsidR="00731303" w:rsidRPr="00A02CA2">
        <w:rPr>
          <w:rFonts w:ascii="Segoe UI" w:hAnsi="Segoe UI" w:cs="Segoe UI"/>
          <w:sz w:val="22"/>
          <w:szCs w:val="22"/>
        </w:rPr>
        <w:t xml:space="preserve"> </w:t>
      </w:r>
      <w:r w:rsidRPr="00A02CA2">
        <w:rPr>
          <w:rFonts w:ascii="Segoe UI" w:hAnsi="Segoe UI" w:cs="Segoe UI"/>
          <w:sz w:val="22"/>
          <w:szCs w:val="22"/>
        </w:rPr>
        <w:t xml:space="preserve">indicators </w:t>
      </w:r>
      <w:r w:rsidR="00E23391" w:rsidRPr="00A02CA2">
        <w:rPr>
          <w:rFonts w:ascii="Segoe UI" w:hAnsi="Segoe UI" w:cs="Segoe UI"/>
          <w:sz w:val="22"/>
          <w:szCs w:val="22"/>
        </w:rPr>
        <w:t>(excluding J</w:t>
      </w:r>
      <w:r w:rsidR="00482C9D" w:rsidRPr="00A02CA2">
        <w:rPr>
          <w:rFonts w:ascii="Segoe UI" w:hAnsi="Segoe UI" w:cs="Segoe UI"/>
          <w:sz w:val="22"/>
          <w:szCs w:val="22"/>
        </w:rPr>
        <w:t xml:space="preserve">oint </w:t>
      </w:r>
      <w:r w:rsidR="00E23391" w:rsidRPr="00A02CA2">
        <w:rPr>
          <w:rFonts w:ascii="Segoe UI" w:hAnsi="Segoe UI" w:cs="Segoe UI"/>
          <w:sz w:val="22"/>
          <w:szCs w:val="22"/>
        </w:rPr>
        <w:t>M</w:t>
      </w:r>
      <w:r w:rsidR="00482C9D" w:rsidRPr="00A02CA2">
        <w:rPr>
          <w:rFonts w:ascii="Segoe UI" w:hAnsi="Segoe UI" w:cs="Segoe UI"/>
          <w:sz w:val="22"/>
          <w:szCs w:val="22"/>
        </w:rPr>
        <w:t xml:space="preserve">anagement </w:t>
      </w:r>
      <w:r w:rsidR="00E23391" w:rsidRPr="00A02CA2">
        <w:rPr>
          <w:rFonts w:ascii="Segoe UI" w:hAnsi="Segoe UI" w:cs="Segoe UI"/>
          <w:sz w:val="22"/>
          <w:szCs w:val="22"/>
        </w:rPr>
        <w:t>G</w:t>
      </w:r>
      <w:r w:rsidR="00482C9D" w:rsidRPr="00A02CA2">
        <w:rPr>
          <w:rFonts w:ascii="Segoe UI" w:hAnsi="Segoe UI" w:cs="Segoe UI"/>
          <w:sz w:val="22"/>
          <w:szCs w:val="22"/>
        </w:rPr>
        <w:t>roup (JMG)</w:t>
      </w:r>
      <w:r w:rsidR="00E23391" w:rsidRPr="00A02CA2">
        <w:rPr>
          <w:rFonts w:ascii="Segoe UI" w:hAnsi="Segoe UI" w:cs="Segoe UI"/>
          <w:sz w:val="22"/>
          <w:szCs w:val="22"/>
        </w:rPr>
        <w:t xml:space="preserve">) </w:t>
      </w:r>
      <w:r w:rsidRPr="00A02CA2">
        <w:rPr>
          <w:rFonts w:ascii="Segoe UI" w:hAnsi="Segoe UI" w:cs="Segoe UI"/>
          <w:sz w:val="22"/>
          <w:szCs w:val="22"/>
        </w:rPr>
        <w:t>varie</w:t>
      </w:r>
      <w:r w:rsidR="00BB3840" w:rsidRPr="00A02CA2">
        <w:rPr>
          <w:rFonts w:ascii="Segoe UI" w:hAnsi="Segoe UI" w:cs="Segoe UI"/>
          <w:sz w:val="22"/>
          <w:szCs w:val="22"/>
        </w:rPr>
        <w:t>s</w:t>
      </w:r>
      <w:r w:rsidRPr="00A02CA2">
        <w:rPr>
          <w:rFonts w:ascii="Segoe UI" w:hAnsi="Segoe UI" w:cs="Segoe UI"/>
          <w:sz w:val="22"/>
          <w:szCs w:val="22"/>
        </w:rPr>
        <w:t xml:space="preserve"> throughout the year as is illustrated in the graph above</w:t>
      </w:r>
      <w:r w:rsidR="000104E4" w:rsidRPr="00A02CA2">
        <w:rPr>
          <w:rFonts w:ascii="Segoe UI" w:hAnsi="Segoe UI" w:cs="Segoe UI"/>
          <w:sz w:val="22"/>
          <w:szCs w:val="22"/>
        </w:rPr>
        <w:t xml:space="preserve">.  </w:t>
      </w:r>
      <w:r w:rsidRPr="00A02CA2">
        <w:rPr>
          <w:rFonts w:ascii="Segoe UI" w:hAnsi="Segoe UI" w:cs="Segoe UI"/>
          <w:sz w:val="22"/>
          <w:szCs w:val="22"/>
        </w:rPr>
        <w:t>This is due to some indicators only being reportable on a quarterly basis.</w:t>
      </w:r>
      <w:r w:rsidR="00731303" w:rsidRPr="00A02CA2">
        <w:rPr>
          <w:rFonts w:ascii="Segoe UI" w:hAnsi="Segoe UI" w:cs="Segoe UI"/>
          <w:sz w:val="22"/>
          <w:szCs w:val="22"/>
        </w:rPr>
        <w:t xml:space="preserve">  Of the </w:t>
      </w:r>
      <w:r w:rsidR="00490282" w:rsidRPr="00A02CA2">
        <w:rPr>
          <w:rFonts w:ascii="Segoe UI" w:hAnsi="Segoe UI" w:cs="Segoe UI"/>
          <w:sz w:val="22"/>
          <w:szCs w:val="22"/>
        </w:rPr>
        <w:t>8</w:t>
      </w:r>
      <w:r w:rsidR="00CD0C95" w:rsidRPr="00A02CA2">
        <w:rPr>
          <w:rFonts w:ascii="Segoe UI" w:hAnsi="Segoe UI" w:cs="Segoe UI"/>
          <w:sz w:val="22"/>
          <w:szCs w:val="22"/>
        </w:rPr>
        <w:t>7</w:t>
      </w:r>
      <w:r w:rsidR="00BB3840" w:rsidRPr="00A02CA2">
        <w:rPr>
          <w:rFonts w:ascii="Segoe UI" w:hAnsi="Segoe UI" w:cs="Segoe UI"/>
          <w:sz w:val="22"/>
          <w:szCs w:val="22"/>
        </w:rPr>
        <w:t xml:space="preserve"> </w:t>
      </w:r>
      <w:r w:rsidR="00731303" w:rsidRPr="00A02CA2">
        <w:rPr>
          <w:rFonts w:ascii="Segoe UI" w:hAnsi="Segoe UI" w:cs="Segoe UI"/>
          <w:sz w:val="22"/>
          <w:szCs w:val="22"/>
        </w:rPr>
        <w:t>indicators not met</w:t>
      </w:r>
      <w:r w:rsidR="00F266F2" w:rsidRPr="00A02CA2">
        <w:rPr>
          <w:rFonts w:ascii="Segoe UI" w:hAnsi="Segoe UI" w:cs="Segoe UI"/>
          <w:sz w:val="22"/>
          <w:szCs w:val="22"/>
        </w:rPr>
        <w:t xml:space="preserve"> in </w:t>
      </w:r>
      <w:r w:rsidR="00F06D8D" w:rsidRPr="00A02CA2">
        <w:rPr>
          <w:rFonts w:ascii="Segoe UI" w:hAnsi="Segoe UI" w:cs="Segoe UI"/>
          <w:sz w:val="22"/>
          <w:szCs w:val="22"/>
        </w:rPr>
        <w:t>December</w:t>
      </w:r>
      <w:r w:rsidR="007019A5">
        <w:rPr>
          <w:rFonts w:ascii="Segoe UI" w:hAnsi="Segoe UI" w:cs="Segoe UI"/>
          <w:sz w:val="22"/>
          <w:szCs w:val="22"/>
        </w:rPr>
        <w:t>,</w:t>
      </w:r>
      <w:r w:rsidR="00771A63" w:rsidRPr="00A02CA2">
        <w:rPr>
          <w:rFonts w:ascii="Segoe UI" w:hAnsi="Segoe UI" w:cs="Segoe UI"/>
          <w:sz w:val="22"/>
          <w:szCs w:val="22"/>
        </w:rPr>
        <w:t xml:space="preserve"> </w:t>
      </w:r>
      <w:r w:rsidR="00A02CA2" w:rsidRPr="00A02CA2">
        <w:rPr>
          <w:rFonts w:ascii="Segoe UI" w:hAnsi="Segoe UI" w:cs="Segoe UI"/>
          <w:sz w:val="22"/>
          <w:szCs w:val="22"/>
        </w:rPr>
        <w:t xml:space="preserve">39 contractual indicators </w:t>
      </w:r>
      <w:r w:rsidR="00731303" w:rsidRPr="00A02CA2">
        <w:rPr>
          <w:rFonts w:ascii="Segoe UI" w:hAnsi="Segoe UI" w:cs="Segoe UI"/>
          <w:sz w:val="22"/>
          <w:szCs w:val="22"/>
        </w:rPr>
        <w:t>were more than 10% away from the commissioner defined target</w:t>
      </w:r>
      <w:r w:rsidR="003C136E" w:rsidRPr="00A02CA2">
        <w:rPr>
          <w:rFonts w:ascii="Segoe UI" w:hAnsi="Segoe UI" w:cs="Segoe UI"/>
          <w:sz w:val="22"/>
          <w:szCs w:val="22"/>
        </w:rPr>
        <w:t>s</w:t>
      </w:r>
      <w:r w:rsidR="00BB3840" w:rsidRPr="00A02CA2">
        <w:rPr>
          <w:rFonts w:ascii="Segoe UI" w:hAnsi="Segoe UI" w:cs="Segoe UI"/>
          <w:sz w:val="22"/>
          <w:szCs w:val="22"/>
        </w:rPr>
        <w:t xml:space="preserve"> (red category)</w:t>
      </w:r>
      <w:r w:rsidR="00731303" w:rsidRPr="00A02CA2">
        <w:rPr>
          <w:rFonts w:ascii="Segoe UI" w:hAnsi="Segoe UI" w:cs="Segoe UI"/>
          <w:sz w:val="22"/>
          <w:szCs w:val="22"/>
        </w:rPr>
        <w:t xml:space="preserve"> and </w:t>
      </w:r>
      <w:r w:rsidR="00D26C34" w:rsidRPr="00A02CA2">
        <w:rPr>
          <w:rFonts w:ascii="Segoe UI" w:hAnsi="Segoe UI" w:cs="Segoe UI"/>
          <w:b/>
          <w:sz w:val="22"/>
          <w:szCs w:val="22"/>
        </w:rPr>
        <w:t>demand exceeding workforce capacity</w:t>
      </w:r>
      <w:r w:rsidR="003C136E" w:rsidRPr="00A02CA2">
        <w:rPr>
          <w:rFonts w:ascii="Segoe UI" w:hAnsi="Segoe UI" w:cs="Segoe UI"/>
          <w:sz w:val="22"/>
          <w:szCs w:val="22"/>
        </w:rPr>
        <w:t xml:space="preserve"> continue</w:t>
      </w:r>
      <w:r w:rsidR="00D26C34" w:rsidRPr="00A02CA2">
        <w:rPr>
          <w:rFonts w:ascii="Segoe UI" w:hAnsi="Segoe UI" w:cs="Segoe UI"/>
          <w:sz w:val="22"/>
          <w:szCs w:val="22"/>
        </w:rPr>
        <w:t>s</w:t>
      </w:r>
      <w:r w:rsidR="003C136E" w:rsidRPr="00A02CA2">
        <w:rPr>
          <w:rFonts w:ascii="Segoe UI" w:hAnsi="Segoe UI" w:cs="Segoe UI"/>
          <w:sz w:val="22"/>
          <w:szCs w:val="22"/>
        </w:rPr>
        <w:t xml:space="preserve"> to have a major impact on service delivery</w:t>
      </w:r>
      <w:r w:rsidR="00731303" w:rsidRPr="00A02CA2">
        <w:rPr>
          <w:rFonts w:ascii="Segoe UI" w:hAnsi="Segoe UI" w:cs="Segoe UI"/>
          <w:sz w:val="22"/>
          <w:szCs w:val="22"/>
        </w:rPr>
        <w:t>.</w:t>
      </w:r>
    </w:p>
    <w:p w14:paraId="03E02F16" w14:textId="77777777" w:rsidR="003C19D3" w:rsidRPr="00A02CA2" w:rsidRDefault="003C19D3">
      <w:pPr>
        <w:rPr>
          <w:rFonts w:ascii="Segoe UI" w:hAnsi="Segoe UI" w:cs="Segoe UI"/>
          <w:sz w:val="22"/>
          <w:szCs w:val="22"/>
        </w:rPr>
      </w:pPr>
    </w:p>
    <w:p w14:paraId="4A7B0ECC" w14:textId="77777777" w:rsidR="003C19D3" w:rsidRPr="00A02CA2" w:rsidRDefault="003C19D3">
      <w:pPr>
        <w:rPr>
          <w:rFonts w:ascii="Segoe UI" w:hAnsi="Segoe UI" w:cs="Segoe UI"/>
          <w:sz w:val="22"/>
          <w:szCs w:val="22"/>
        </w:rPr>
      </w:pPr>
      <w:r w:rsidRPr="00A02CA2">
        <w:rPr>
          <w:rFonts w:ascii="Segoe UI" w:hAnsi="Segoe UI" w:cs="Segoe UI"/>
          <w:b/>
          <w:sz w:val="22"/>
          <w:szCs w:val="22"/>
        </w:rPr>
        <w:t>Areas to highlight to the Board from an overall Trust perspective</w:t>
      </w:r>
      <w:r w:rsidRPr="00A02CA2">
        <w:rPr>
          <w:rFonts w:ascii="Segoe UI" w:hAnsi="Segoe UI" w:cs="Segoe UI"/>
          <w:sz w:val="22"/>
          <w:szCs w:val="22"/>
        </w:rPr>
        <w:t>:</w:t>
      </w:r>
    </w:p>
    <w:p w14:paraId="6DF37D9A" w14:textId="77777777" w:rsidR="003C19D3" w:rsidRPr="00A02CA2" w:rsidRDefault="003C19D3">
      <w:pPr>
        <w:rPr>
          <w:rFonts w:ascii="Segoe UI" w:hAnsi="Segoe UI" w:cs="Segoe UI"/>
          <w:sz w:val="22"/>
          <w:szCs w:val="22"/>
        </w:rPr>
      </w:pPr>
    </w:p>
    <w:p w14:paraId="31266074" w14:textId="77777777" w:rsidR="00036D9C" w:rsidRPr="00A02CA2" w:rsidRDefault="0037138A" w:rsidP="00C57113">
      <w:pPr>
        <w:ind w:left="-993" w:firstLine="993"/>
        <w:jc w:val="both"/>
        <w:rPr>
          <w:rFonts w:ascii="Segoe UI" w:hAnsi="Segoe UI" w:cs="Segoe UI"/>
          <w:b/>
          <w:sz w:val="22"/>
          <w:szCs w:val="22"/>
        </w:rPr>
      </w:pPr>
      <w:r w:rsidRPr="00A02CA2">
        <w:rPr>
          <w:rFonts w:ascii="Segoe UI" w:hAnsi="Segoe UI" w:cs="Segoe UI"/>
          <w:b/>
          <w:sz w:val="22"/>
          <w:szCs w:val="22"/>
          <w:u w:val="single"/>
        </w:rPr>
        <w:t>National Position</w:t>
      </w:r>
      <w:r w:rsidRPr="00A02CA2">
        <w:rPr>
          <w:rFonts w:ascii="Segoe UI" w:hAnsi="Segoe UI" w:cs="Segoe UI"/>
          <w:b/>
          <w:sz w:val="22"/>
          <w:szCs w:val="22"/>
        </w:rPr>
        <w:t>:</w:t>
      </w:r>
    </w:p>
    <w:p w14:paraId="284EFE03" w14:textId="77777777" w:rsidR="00C24BAC" w:rsidRPr="00A02CA2" w:rsidRDefault="00C24BAC" w:rsidP="007A2CF0">
      <w:pPr>
        <w:jc w:val="both"/>
        <w:rPr>
          <w:rFonts w:ascii="Segoe UI" w:hAnsi="Segoe UI" w:cs="Segoe UI"/>
          <w:b/>
          <w:sz w:val="22"/>
          <w:szCs w:val="22"/>
        </w:rPr>
      </w:pPr>
    </w:p>
    <w:p w14:paraId="79737195" w14:textId="11FB06E5" w:rsidR="00AF75DA" w:rsidRPr="00A02CA2" w:rsidRDefault="009804CA" w:rsidP="009804CA">
      <w:pPr>
        <w:jc w:val="both"/>
        <w:rPr>
          <w:rFonts w:ascii="Segoe UI" w:hAnsi="Segoe UI" w:cs="Segoe UI"/>
          <w:sz w:val="22"/>
          <w:szCs w:val="22"/>
        </w:rPr>
      </w:pPr>
      <w:r w:rsidRPr="00A02CA2">
        <w:rPr>
          <w:rFonts w:ascii="Segoe UI" w:hAnsi="Segoe UI" w:cs="Segoe UI"/>
          <w:sz w:val="22"/>
          <w:szCs w:val="22"/>
        </w:rPr>
        <w:t xml:space="preserve">The table </w:t>
      </w:r>
      <w:r w:rsidR="003B66F1" w:rsidRPr="00A02CA2">
        <w:rPr>
          <w:rFonts w:ascii="Segoe UI" w:hAnsi="Segoe UI" w:cs="Segoe UI"/>
          <w:sz w:val="22"/>
          <w:szCs w:val="22"/>
        </w:rPr>
        <w:t>below</w:t>
      </w:r>
      <w:r w:rsidRPr="00A02CA2">
        <w:rPr>
          <w:rFonts w:ascii="Segoe UI" w:hAnsi="Segoe UI" w:cs="Segoe UI"/>
          <w:sz w:val="22"/>
          <w:szCs w:val="22"/>
        </w:rPr>
        <w:t xml:space="preserve"> shows how the Trust </w:t>
      </w:r>
      <w:r w:rsidR="00F266F2" w:rsidRPr="00A02CA2">
        <w:rPr>
          <w:rFonts w:ascii="Segoe UI" w:hAnsi="Segoe UI" w:cs="Segoe UI"/>
          <w:sz w:val="22"/>
          <w:szCs w:val="22"/>
        </w:rPr>
        <w:t>is performing</w:t>
      </w:r>
      <w:r w:rsidRPr="00A02CA2">
        <w:rPr>
          <w:rFonts w:ascii="Segoe UI" w:hAnsi="Segoe UI" w:cs="Segoe UI"/>
          <w:sz w:val="22"/>
          <w:szCs w:val="22"/>
        </w:rPr>
        <w:t xml:space="preserve"> against the </w:t>
      </w:r>
      <w:r w:rsidRPr="00A02CA2">
        <w:rPr>
          <w:rFonts w:ascii="Segoe UI" w:hAnsi="Segoe UI" w:cs="Segoe UI"/>
          <w:b/>
          <w:sz w:val="22"/>
          <w:szCs w:val="22"/>
        </w:rPr>
        <w:t>operational performance</w:t>
      </w:r>
      <w:r w:rsidRPr="00A02CA2">
        <w:rPr>
          <w:rFonts w:ascii="Segoe UI" w:hAnsi="Segoe UI" w:cs="Segoe UI"/>
          <w:sz w:val="22"/>
          <w:szCs w:val="22"/>
        </w:rPr>
        <w:t xml:space="preserve"> indicators within the NHSI Single Oversight Framework</w:t>
      </w:r>
      <w:r w:rsidR="000A1AF7" w:rsidRPr="00A02CA2">
        <w:rPr>
          <w:rFonts w:ascii="Segoe UI" w:hAnsi="Segoe UI" w:cs="Segoe UI"/>
          <w:sz w:val="22"/>
          <w:szCs w:val="22"/>
        </w:rPr>
        <w:t xml:space="preserve"> (SOF)</w:t>
      </w:r>
      <w:r w:rsidRPr="00A02CA2">
        <w:rPr>
          <w:rFonts w:ascii="Segoe UI" w:hAnsi="Segoe UI" w:cs="Segoe UI"/>
          <w:sz w:val="22"/>
          <w:szCs w:val="22"/>
        </w:rPr>
        <w:t xml:space="preserve"> (as at the latest available position)</w:t>
      </w:r>
      <w:r w:rsidR="003B66F1" w:rsidRPr="00A02CA2">
        <w:rPr>
          <w:rFonts w:ascii="Segoe UI" w:hAnsi="Segoe UI" w:cs="Segoe UI"/>
          <w:sz w:val="22"/>
          <w:szCs w:val="22"/>
        </w:rPr>
        <w:t>.</w:t>
      </w:r>
    </w:p>
    <w:p w14:paraId="66442E52" w14:textId="77777777" w:rsidR="00CD0C95" w:rsidRPr="00A02CA2" w:rsidRDefault="00CD0C95" w:rsidP="009804CA">
      <w:pPr>
        <w:jc w:val="both"/>
        <w:rPr>
          <w:rFonts w:ascii="Segoe UI" w:hAnsi="Segoe UI" w:cs="Segoe UI"/>
          <w:sz w:val="22"/>
          <w:szCs w:val="22"/>
        </w:rPr>
      </w:pPr>
    </w:p>
    <w:p w14:paraId="446B3DD2" w14:textId="5577E1FA" w:rsidR="003B66F1" w:rsidRPr="00A02CA2" w:rsidRDefault="00CD0C95" w:rsidP="009804CA">
      <w:pPr>
        <w:jc w:val="both"/>
        <w:rPr>
          <w:rFonts w:ascii="Segoe UI" w:hAnsi="Segoe UI" w:cs="Segoe UI"/>
          <w:sz w:val="22"/>
          <w:szCs w:val="22"/>
        </w:rPr>
      </w:pPr>
      <w:r w:rsidRPr="00A02CA2">
        <w:rPr>
          <w:noProof/>
          <w:sz w:val="22"/>
          <w:szCs w:val="22"/>
        </w:rPr>
        <w:drawing>
          <wp:inline distT="0" distB="0" distL="0" distR="0" wp14:anchorId="73252482" wp14:editId="70536619">
            <wp:extent cx="5805377" cy="2786332"/>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4469" cy="2790696"/>
                    </a:xfrm>
                    <a:prstGeom prst="rect">
                      <a:avLst/>
                    </a:prstGeom>
                    <a:noFill/>
                    <a:ln>
                      <a:noFill/>
                    </a:ln>
                  </pic:spPr>
                </pic:pic>
              </a:graphicData>
            </a:graphic>
          </wp:inline>
        </w:drawing>
      </w:r>
    </w:p>
    <w:p w14:paraId="1A388E79" w14:textId="77777777" w:rsidR="000A1AF7" w:rsidRPr="00A02CA2" w:rsidRDefault="006F03C1" w:rsidP="009804CA">
      <w:pPr>
        <w:jc w:val="both"/>
        <w:rPr>
          <w:rFonts w:ascii="Segoe UI" w:hAnsi="Segoe UI" w:cs="Segoe UI"/>
          <w:sz w:val="22"/>
          <w:szCs w:val="22"/>
        </w:rPr>
      </w:pPr>
      <w:r w:rsidRPr="00A02CA2">
        <w:rPr>
          <w:rFonts w:ascii="Segoe UI" w:hAnsi="Segoe UI" w:cs="Segoe UI"/>
          <w:sz w:val="22"/>
          <w:szCs w:val="22"/>
        </w:rPr>
        <w:t>Highlights include;</w:t>
      </w:r>
    </w:p>
    <w:p w14:paraId="2DC30ED1" w14:textId="63298DD3" w:rsidR="00B00718" w:rsidRPr="00A02CA2" w:rsidRDefault="00B00718" w:rsidP="00B00718">
      <w:pPr>
        <w:pStyle w:val="ListParagraph"/>
        <w:numPr>
          <w:ilvl w:val="0"/>
          <w:numId w:val="26"/>
        </w:numPr>
        <w:jc w:val="both"/>
        <w:rPr>
          <w:rFonts w:ascii="Segoe UI" w:hAnsi="Segoe UI" w:cs="Segoe UI"/>
          <w:sz w:val="22"/>
          <w:szCs w:val="22"/>
        </w:rPr>
      </w:pPr>
      <w:r w:rsidRPr="00A02CA2">
        <w:rPr>
          <w:rFonts w:ascii="Segoe UI" w:hAnsi="Segoe UI" w:cs="Segoe UI"/>
          <w:sz w:val="22"/>
          <w:szCs w:val="22"/>
        </w:rPr>
        <w:lastRenderedPageBreak/>
        <w:t xml:space="preserve">The Data Quality Maturity Index (DQMI) </w:t>
      </w:r>
      <w:r w:rsidR="00226426">
        <w:rPr>
          <w:rFonts w:ascii="Segoe UI" w:hAnsi="Segoe UI" w:cs="Segoe UI"/>
          <w:sz w:val="22"/>
          <w:szCs w:val="22"/>
        </w:rPr>
        <w:t>remains</w:t>
      </w:r>
      <w:r w:rsidRPr="00A02CA2">
        <w:rPr>
          <w:rFonts w:ascii="Segoe UI" w:hAnsi="Segoe UI" w:cs="Segoe UI"/>
          <w:sz w:val="22"/>
          <w:szCs w:val="22"/>
        </w:rPr>
        <w:t xml:space="preserve"> below the 95% target with performance in September being 92%. </w:t>
      </w:r>
    </w:p>
    <w:p w14:paraId="2F1C2DE9" w14:textId="77777777" w:rsidR="00B00718" w:rsidRPr="00A02CA2" w:rsidRDefault="00B00718" w:rsidP="00B00718">
      <w:pPr>
        <w:pStyle w:val="ListParagraph"/>
        <w:jc w:val="both"/>
        <w:rPr>
          <w:rFonts w:ascii="Segoe UI" w:hAnsi="Segoe UI" w:cs="Segoe UI"/>
          <w:sz w:val="22"/>
          <w:szCs w:val="22"/>
        </w:rPr>
      </w:pPr>
    </w:p>
    <w:p w14:paraId="671A1025" w14:textId="75F4DC1C" w:rsidR="00B00718" w:rsidRPr="00A02CA2" w:rsidRDefault="00B00718" w:rsidP="00B00718">
      <w:pPr>
        <w:pStyle w:val="ListParagraph"/>
        <w:numPr>
          <w:ilvl w:val="0"/>
          <w:numId w:val="26"/>
        </w:numPr>
        <w:shd w:val="clear" w:color="auto" w:fill="FFFFFF" w:themeFill="background1"/>
        <w:jc w:val="both"/>
        <w:rPr>
          <w:rFonts w:ascii="Segoe UI" w:hAnsi="Segoe UI" w:cs="Segoe UI"/>
          <w:sz w:val="22"/>
          <w:szCs w:val="22"/>
        </w:rPr>
      </w:pPr>
      <w:r w:rsidRPr="00A02CA2">
        <w:rPr>
          <w:rFonts w:ascii="Segoe UI" w:hAnsi="Segoe UI" w:cs="Segoe UI"/>
          <w:sz w:val="22"/>
          <w:szCs w:val="22"/>
        </w:rPr>
        <w:t>Out of Area Placements (OAPs) are monitored on a quarterly basis within the SOF. There has been a</w:t>
      </w:r>
      <w:r w:rsidR="00CE65FE" w:rsidRPr="00A02CA2">
        <w:rPr>
          <w:rFonts w:ascii="Segoe UI" w:hAnsi="Segoe UI" w:cs="Segoe UI"/>
          <w:sz w:val="22"/>
          <w:szCs w:val="22"/>
        </w:rPr>
        <w:t xml:space="preserve"> further </w:t>
      </w:r>
      <w:r w:rsidRPr="00A02CA2">
        <w:rPr>
          <w:rFonts w:ascii="Segoe UI" w:hAnsi="Segoe UI" w:cs="Segoe UI"/>
          <w:sz w:val="22"/>
          <w:szCs w:val="22"/>
        </w:rPr>
        <w:t>increase in the number of OAPs during December in Buckinghamshire however this remains below the</w:t>
      </w:r>
      <w:r w:rsidR="004D7D57">
        <w:rPr>
          <w:rFonts w:ascii="Segoe UI" w:hAnsi="Segoe UI" w:cs="Segoe UI"/>
          <w:sz w:val="22"/>
          <w:szCs w:val="22"/>
        </w:rPr>
        <w:t xml:space="preserve"> Trust’s overall</w:t>
      </w:r>
      <w:r w:rsidRPr="00A02CA2">
        <w:rPr>
          <w:rFonts w:ascii="Segoe UI" w:hAnsi="Segoe UI" w:cs="Segoe UI"/>
          <w:sz w:val="22"/>
          <w:szCs w:val="22"/>
        </w:rPr>
        <w:t xml:space="preserve"> </w:t>
      </w:r>
      <w:r w:rsidR="004D7D57">
        <w:rPr>
          <w:rFonts w:ascii="Segoe UI" w:hAnsi="Segoe UI" w:cs="Segoe UI"/>
          <w:sz w:val="22"/>
          <w:szCs w:val="22"/>
        </w:rPr>
        <w:t>planned trajectory</w:t>
      </w:r>
      <w:r w:rsidRPr="00A02CA2">
        <w:rPr>
          <w:rFonts w:ascii="Segoe UI" w:hAnsi="Segoe UI" w:cs="Segoe UI"/>
          <w:sz w:val="22"/>
          <w:szCs w:val="22"/>
        </w:rPr>
        <w:t xml:space="preserve">. The </w:t>
      </w:r>
      <w:r w:rsidR="004D7D57">
        <w:rPr>
          <w:rFonts w:ascii="Segoe UI" w:hAnsi="Segoe UI" w:cs="Segoe UI"/>
          <w:sz w:val="22"/>
          <w:szCs w:val="22"/>
        </w:rPr>
        <w:t>table below</w:t>
      </w:r>
      <w:r w:rsidRPr="00A02CA2">
        <w:rPr>
          <w:rFonts w:ascii="Segoe UI" w:hAnsi="Segoe UI" w:cs="Segoe UI"/>
          <w:sz w:val="22"/>
          <w:szCs w:val="22"/>
        </w:rPr>
        <w:t xml:space="preserve"> shows the progress against plan.</w:t>
      </w:r>
    </w:p>
    <w:p w14:paraId="5DE9590E" w14:textId="2B5F2833" w:rsidR="00B00F1F" w:rsidRPr="00A02CA2" w:rsidRDefault="00B00F1F" w:rsidP="00B00F1F">
      <w:pPr>
        <w:pStyle w:val="ListParagraph"/>
        <w:rPr>
          <w:rFonts w:ascii="Segoe UI" w:hAnsi="Segoe UI" w:cs="Segoe UI"/>
          <w:sz w:val="22"/>
          <w:szCs w:val="22"/>
          <w:highlight w:val="cyan"/>
        </w:rPr>
      </w:pPr>
    </w:p>
    <w:p w14:paraId="7C9600E5" w14:textId="71C6315A" w:rsidR="00F875A6" w:rsidRPr="00A02CA2" w:rsidRDefault="00F875A6" w:rsidP="00F875A6">
      <w:pPr>
        <w:pStyle w:val="ListParagraph"/>
        <w:tabs>
          <w:tab w:val="left" w:pos="8505"/>
        </w:tabs>
        <w:ind w:left="142" w:hanging="142"/>
        <w:rPr>
          <w:rFonts w:ascii="Segoe UI" w:hAnsi="Segoe UI" w:cs="Segoe UI"/>
          <w:sz w:val="22"/>
          <w:szCs w:val="22"/>
          <w:highlight w:val="cyan"/>
        </w:rPr>
      </w:pPr>
      <w:r w:rsidRPr="00A02CA2">
        <w:rPr>
          <w:rFonts w:ascii="Segoe UI" w:hAnsi="Segoe UI" w:cs="Segoe UI"/>
          <w:noProof/>
          <w:sz w:val="22"/>
          <w:szCs w:val="22"/>
          <w:highlight w:val="cyan"/>
        </w:rPr>
        <w:drawing>
          <wp:inline distT="0" distB="0" distL="0" distR="0" wp14:anchorId="7F0C2E52" wp14:editId="6271410D">
            <wp:extent cx="5874574" cy="28187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9511" cy="2859520"/>
                    </a:xfrm>
                    <a:prstGeom prst="rect">
                      <a:avLst/>
                    </a:prstGeom>
                    <a:noFill/>
                  </pic:spPr>
                </pic:pic>
              </a:graphicData>
            </a:graphic>
          </wp:inline>
        </w:drawing>
      </w:r>
    </w:p>
    <w:p w14:paraId="0E60C0BD" w14:textId="77777777" w:rsidR="00F875A6" w:rsidRPr="00A02CA2" w:rsidRDefault="00F875A6" w:rsidP="00B00F1F">
      <w:pPr>
        <w:pStyle w:val="ListParagraph"/>
        <w:rPr>
          <w:rFonts w:ascii="Segoe UI" w:hAnsi="Segoe UI" w:cs="Segoe UI"/>
          <w:sz w:val="22"/>
          <w:szCs w:val="22"/>
          <w:highlight w:val="cyan"/>
        </w:rPr>
      </w:pPr>
    </w:p>
    <w:p w14:paraId="410BC704" w14:textId="77777777" w:rsidR="009804CA" w:rsidRPr="00A02CA2" w:rsidRDefault="009804CA" w:rsidP="006662C3">
      <w:pPr>
        <w:jc w:val="both"/>
        <w:rPr>
          <w:rFonts w:ascii="Segoe UI" w:hAnsi="Segoe UI" w:cs="Segoe UI"/>
          <w:b/>
          <w:sz w:val="22"/>
          <w:szCs w:val="22"/>
        </w:rPr>
      </w:pPr>
      <w:r w:rsidRPr="00A02CA2">
        <w:rPr>
          <w:rFonts w:ascii="Segoe UI" w:hAnsi="Segoe UI" w:cs="Segoe UI"/>
          <w:b/>
          <w:sz w:val="22"/>
          <w:szCs w:val="22"/>
          <w:u w:val="single"/>
        </w:rPr>
        <w:t>Local Position</w:t>
      </w:r>
      <w:r w:rsidRPr="00A02CA2">
        <w:rPr>
          <w:rFonts w:ascii="Segoe UI" w:hAnsi="Segoe UI" w:cs="Segoe UI"/>
          <w:b/>
          <w:sz w:val="22"/>
          <w:szCs w:val="22"/>
        </w:rPr>
        <w:t xml:space="preserve">: </w:t>
      </w:r>
    </w:p>
    <w:p w14:paraId="7BDEC316" w14:textId="77777777" w:rsidR="009804CA" w:rsidRPr="00A02CA2" w:rsidRDefault="009804CA" w:rsidP="009804CA">
      <w:pPr>
        <w:ind w:left="-993" w:firstLine="993"/>
        <w:jc w:val="both"/>
        <w:rPr>
          <w:rFonts w:ascii="Segoe UI" w:hAnsi="Segoe UI" w:cs="Segoe UI"/>
          <w:b/>
          <w:sz w:val="22"/>
          <w:szCs w:val="22"/>
        </w:rPr>
      </w:pPr>
    </w:p>
    <w:p w14:paraId="2BEF0CA5" w14:textId="77777777" w:rsidR="009804CA" w:rsidRPr="00A02CA2" w:rsidRDefault="009804CA" w:rsidP="009804CA">
      <w:pPr>
        <w:ind w:left="-993" w:firstLine="993"/>
        <w:jc w:val="both"/>
        <w:rPr>
          <w:rFonts w:ascii="Segoe UI" w:hAnsi="Segoe UI" w:cs="Segoe UI"/>
          <w:b/>
          <w:sz w:val="22"/>
          <w:szCs w:val="22"/>
        </w:rPr>
      </w:pPr>
      <w:r w:rsidRPr="00A02CA2">
        <w:rPr>
          <w:rFonts w:ascii="Segoe UI" w:hAnsi="Segoe UI" w:cs="Segoe UI"/>
          <w:b/>
          <w:sz w:val="22"/>
          <w:szCs w:val="22"/>
        </w:rPr>
        <w:t>Patient Access and Patient Flow</w:t>
      </w:r>
    </w:p>
    <w:p w14:paraId="0CC4CDEB" w14:textId="77777777" w:rsidR="009804CA" w:rsidRPr="00A02CA2" w:rsidRDefault="009804CA" w:rsidP="009804CA">
      <w:pPr>
        <w:ind w:left="-993"/>
        <w:jc w:val="both"/>
        <w:rPr>
          <w:rFonts w:ascii="Segoe UI" w:hAnsi="Segoe UI" w:cs="Segoe UI"/>
          <w:b/>
          <w:sz w:val="22"/>
          <w:szCs w:val="22"/>
        </w:rPr>
      </w:pPr>
    </w:p>
    <w:p w14:paraId="751C57C8" w14:textId="77777777" w:rsidR="009804CA" w:rsidRPr="00A02CA2" w:rsidRDefault="009804CA" w:rsidP="009804CA">
      <w:pPr>
        <w:jc w:val="both"/>
        <w:rPr>
          <w:rFonts w:ascii="Segoe UI" w:hAnsi="Segoe UI" w:cs="Segoe UI"/>
          <w:sz w:val="22"/>
          <w:szCs w:val="22"/>
        </w:rPr>
      </w:pPr>
      <w:r w:rsidRPr="00A02CA2">
        <w:rPr>
          <w:rFonts w:ascii="Segoe UI" w:hAnsi="Segoe UI" w:cs="Segoe UI"/>
          <w:sz w:val="22"/>
          <w:szCs w:val="22"/>
        </w:rPr>
        <w:t xml:space="preserve">The table </w:t>
      </w:r>
      <w:r w:rsidR="00DC14C4" w:rsidRPr="00A02CA2">
        <w:rPr>
          <w:rFonts w:ascii="Segoe UI" w:hAnsi="Segoe UI" w:cs="Segoe UI"/>
          <w:sz w:val="22"/>
          <w:szCs w:val="22"/>
        </w:rPr>
        <w:t xml:space="preserve">in </w:t>
      </w:r>
      <w:r w:rsidR="00DC14C4" w:rsidRPr="00A02CA2">
        <w:rPr>
          <w:rFonts w:ascii="Segoe UI" w:hAnsi="Segoe UI" w:cs="Segoe UI"/>
          <w:b/>
          <w:sz w:val="22"/>
          <w:szCs w:val="22"/>
        </w:rPr>
        <w:t>Appendix 1</w:t>
      </w:r>
      <w:r w:rsidR="00897AC8" w:rsidRPr="00A02CA2">
        <w:rPr>
          <w:rFonts w:ascii="Segoe UI" w:hAnsi="Segoe UI" w:cs="Segoe UI"/>
          <w:sz w:val="22"/>
          <w:szCs w:val="22"/>
        </w:rPr>
        <w:t xml:space="preserve"> </w:t>
      </w:r>
      <w:r w:rsidRPr="00A02CA2">
        <w:rPr>
          <w:rFonts w:ascii="Segoe UI" w:hAnsi="Segoe UI" w:cs="Segoe UI"/>
          <w:sz w:val="22"/>
          <w:szCs w:val="22"/>
        </w:rPr>
        <w:t>shows performance in relation to the Trust’s core mental health community services concerning demand, patient access and patient flow.  Key headlines;</w:t>
      </w:r>
    </w:p>
    <w:p w14:paraId="5B608253" w14:textId="77777777" w:rsidR="009804CA" w:rsidRPr="00A02CA2" w:rsidRDefault="009804CA" w:rsidP="009804CA">
      <w:pPr>
        <w:jc w:val="both"/>
        <w:rPr>
          <w:rFonts w:ascii="Segoe UI" w:hAnsi="Segoe UI" w:cs="Segoe UI"/>
          <w:sz w:val="22"/>
          <w:szCs w:val="22"/>
        </w:rPr>
      </w:pPr>
    </w:p>
    <w:p w14:paraId="329C2611" w14:textId="68026213" w:rsidR="009804CA" w:rsidRPr="00A02CA2" w:rsidRDefault="009804CA" w:rsidP="009804CA">
      <w:pPr>
        <w:pStyle w:val="ListParagraph"/>
        <w:numPr>
          <w:ilvl w:val="0"/>
          <w:numId w:val="23"/>
        </w:numPr>
        <w:ind w:left="426"/>
        <w:jc w:val="both"/>
        <w:rPr>
          <w:rFonts w:ascii="Segoe UI" w:hAnsi="Segoe UI" w:cs="Segoe UI"/>
          <w:b/>
          <w:sz w:val="22"/>
          <w:szCs w:val="22"/>
        </w:rPr>
      </w:pPr>
      <w:r w:rsidRPr="00A02CA2">
        <w:rPr>
          <w:rFonts w:ascii="Segoe UI" w:hAnsi="Segoe UI" w:cs="Segoe UI"/>
          <w:b/>
          <w:sz w:val="22"/>
          <w:szCs w:val="22"/>
        </w:rPr>
        <w:t>Demand</w:t>
      </w:r>
    </w:p>
    <w:p w14:paraId="2B6D1958" w14:textId="44D2D4BC" w:rsidR="009804CA" w:rsidRPr="00A02CA2" w:rsidRDefault="00B63BFE" w:rsidP="009804CA">
      <w:pPr>
        <w:pStyle w:val="ListParagraph"/>
        <w:ind w:left="426"/>
        <w:jc w:val="both"/>
        <w:rPr>
          <w:rFonts w:ascii="Segoe UI" w:hAnsi="Segoe UI" w:cs="Segoe UI"/>
          <w:sz w:val="22"/>
          <w:szCs w:val="22"/>
        </w:rPr>
      </w:pPr>
      <w:r w:rsidRPr="00A02CA2">
        <w:rPr>
          <w:rFonts w:ascii="Segoe UI" w:hAnsi="Segoe UI" w:cs="Segoe UI"/>
          <w:sz w:val="22"/>
          <w:szCs w:val="22"/>
        </w:rPr>
        <w:t>Despite comparable population sizes, t</w:t>
      </w:r>
      <w:r w:rsidR="009804CA" w:rsidRPr="00A02CA2">
        <w:rPr>
          <w:rFonts w:ascii="Segoe UI" w:hAnsi="Segoe UI" w:cs="Segoe UI"/>
          <w:sz w:val="22"/>
          <w:szCs w:val="22"/>
        </w:rPr>
        <w:t xml:space="preserve">he number of Adult Mental Health referrals received in Oxfordshire </w:t>
      </w:r>
      <w:r w:rsidR="00092197" w:rsidRPr="00A02CA2">
        <w:rPr>
          <w:rFonts w:ascii="Segoe UI" w:hAnsi="Segoe UI" w:cs="Segoe UI"/>
          <w:sz w:val="22"/>
          <w:szCs w:val="22"/>
        </w:rPr>
        <w:t>continues to be</w:t>
      </w:r>
      <w:r w:rsidR="009804CA" w:rsidRPr="00A02CA2">
        <w:rPr>
          <w:rFonts w:ascii="Segoe UI" w:hAnsi="Segoe UI" w:cs="Segoe UI"/>
          <w:sz w:val="22"/>
          <w:szCs w:val="22"/>
        </w:rPr>
        <w:t xml:space="preserve"> higher than</w:t>
      </w:r>
      <w:r w:rsidRPr="00A02CA2">
        <w:rPr>
          <w:rFonts w:ascii="Segoe UI" w:hAnsi="Segoe UI" w:cs="Segoe UI"/>
          <w:sz w:val="22"/>
          <w:szCs w:val="22"/>
        </w:rPr>
        <w:t xml:space="preserve"> in</w:t>
      </w:r>
      <w:r w:rsidR="009804CA" w:rsidRPr="00A02CA2">
        <w:rPr>
          <w:rFonts w:ascii="Segoe UI" w:hAnsi="Segoe UI" w:cs="Segoe UI"/>
          <w:sz w:val="22"/>
          <w:szCs w:val="22"/>
        </w:rPr>
        <w:t xml:space="preserve"> Buckinghamshire (</w:t>
      </w:r>
      <w:r w:rsidR="00F875A6" w:rsidRPr="00A02CA2">
        <w:rPr>
          <w:rFonts w:ascii="Segoe UI" w:hAnsi="Segoe UI" w:cs="Segoe UI"/>
          <w:sz w:val="22"/>
          <w:szCs w:val="22"/>
        </w:rPr>
        <w:t>46</w:t>
      </w:r>
      <w:r w:rsidR="009804CA" w:rsidRPr="00A02CA2">
        <w:rPr>
          <w:rFonts w:ascii="Segoe UI" w:hAnsi="Segoe UI" w:cs="Segoe UI"/>
          <w:sz w:val="22"/>
          <w:szCs w:val="22"/>
        </w:rPr>
        <w:t xml:space="preserve">% </w:t>
      </w:r>
      <w:r w:rsidR="00105532" w:rsidRPr="00A02CA2">
        <w:rPr>
          <w:rFonts w:ascii="Segoe UI" w:hAnsi="Segoe UI" w:cs="Segoe UI"/>
          <w:sz w:val="22"/>
          <w:szCs w:val="22"/>
        </w:rPr>
        <w:t>higher in</w:t>
      </w:r>
      <w:r w:rsidR="009804CA" w:rsidRPr="00A02CA2">
        <w:rPr>
          <w:rFonts w:ascii="Segoe UI" w:hAnsi="Segoe UI" w:cs="Segoe UI"/>
          <w:sz w:val="22"/>
          <w:szCs w:val="22"/>
        </w:rPr>
        <w:t xml:space="preserve"> </w:t>
      </w:r>
      <w:r w:rsidR="00F875A6" w:rsidRPr="00A02CA2">
        <w:rPr>
          <w:rFonts w:ascii="Segoe UI" w:hAnsi="Segoe UI" w:cs="Segoe UI"/>
          <w:sz w:val="22"/>
          <w:szCs w:val="22"/>
        </w:rPr>
        <w:t>December</w:t>
      </w:r>
      <w:r w:rsidR="009804CA" w:rsidRPr="00A02CA2">
        <w:rPr>
          <w:rFonts w:ascii="Segoe UI" w:hAnsi="Segoe UI" w:cs="Segoe UI"/>
          <w:sz w:val="22"/>
          <w:szCs w:val="22"/>
        </w:rPr>
        <w:t>)</w:t>
      </w:r>
      <w:r w:rsidRPr="00A02CA2">
        <w:rPr>
          <w:rFonts w:ascii="Segoe UI" w:hAnsi="Segoe UI" w:cs="Segoe UI"/>
          <w:sz w:val="22"/>
          <w:szCs w:val="22"/>
        </w:rPr>
        <w:t>.</w:t>
      </w:r>
      <w:r w:rsidR="009804CA" w:rsidRPr="00A02CA2">
        <w:rPr>
          <w:rFonts w:ascii="Segoe UI" w:hAnsi="Segoe UI" w:cs="Segoe UI"/>
          <w:sz w:val="22"/>
          <w:szCs w:val="22"/>
        </w:rPr>
        <w:t xml:space="preserve"> </w:t>
      </w:r>
    </w:p>
    <w:p w14:paraId="1371FD2B" w14:textId="77777777" w:rsidR="009804CA" w:rsidRPr="00A02CA2" w:rsidRDefault="009804CA" w:rsidP="009804CA">
      <w:pPr>
        <w:pStyle w:val="ListParagraph"/>
        <w:ind w:left="426"/>
        <w:jc w:val="both"/>
        <w:rPr>
          <w:rFonts w:ascii="Segoe UI" w:hAnsi="Segoe UI" w:cs="Segoe UI"/>
          <w:sz w:val="22"/>
          <w:szCs w:val="22"/>
          <w:highlight w:val="cyan"/>
        </w:rPr>
      </w:pPr>
    </w:p>
    <w:p w14:paraId="170A16F1" w14:textId="5EDA8784" w:rsidR="009804CA" w:rsidRPr="00A02CA2" w:rsidRDefault="009804CA" w:rsidP="009804CA">
      <w:pPr>
        <w:pStyle w:val="ListParagraph"/>
        <w:ind w:left="426"/>
        <w:jc w:val="both"/>
        <w:rPr>
          <w:rFonts w:ascii="Segoe UI" w:hAnsi="Segoe UI" w:cs="Segoe UI"/>
          <w:sz w:val="22"/>
          <w:szCs w:val="22"/>
        </w:rPr>
      </w:pPr>
      <w:r w:rsidRPr="00A02CA2">
        <w:rPr>
          <w:rFonts w:ascii="Segoe UI" w:hAnsi="Segoe UI" w:cs="Segoe UI"/>
          <w:sz w:val="22"/>
          <w:szCs w:val="22"/>
        </w:rPr>
        <w:t xml:space="preserve">The number of referrals received </w:t>
      </w:r>
      <w:r w:rsidR="00092197" w:rsidRPr="00A02CA2">
        <w:rPr>
          <w:rFonts w:ascii="Segoe UI" w:hAnsi="Segoe UI" w:cs="Segoe UI"/>
          <w:sz w:val="22"/>
          <w:szCs w:val="22"/>
        </w:rPr>
        <w:t xml:space="preserve">by CAMH services </w:t>
      </w:r>
      <w:r w:rsidR="00D60B04" w:rsidRPr="00A02CA2">
        <w:rPr>
          <w:rFonts w:ascii="Segoe UI" w:hAnsi="Segoe UI" w:cs="Segoe UI"/>
          <w:sz w:val="22"/>
          <w:szCs w:val="22"/>
        </w:rPr>
        <w:t xml:space="preserve">has </w:t>
      </w:r>
      <w:r w:rsidR="00F875A6" w:rsidRPr="00A02CA2">
        <w:rPr>
          <w:rFonts w:ascii="Segoe UI" w:hAnsi="Segoe UI" w:cs="Segoe UI"/>
          <w:sz w:val="22"/>
          <w:szCs w:val="22"/>
        </w:rPr>
        <w:t>reduced</w:t>
      </w:r>
      <w:r w:rsidR="00D60B04" w:rsidRPr="00A02CA2">
        <w:rPr>
          <w:rFonts w:ascii="Segoe UI" w:hAnsi="Segoe UI" w:cs="Segoe UI"/>
          <w:sz w:val="22"/>
          <w:szCs w:val="22"/>
        </w:rPr>
        <w:t xml:space="preserve"> in </w:t>
      </w:r>
      <w:r w:rsidR="00F875A6" w:rsidRPr="00A02CA2">
        <w:rPr>
          <w:rFonts w:ascii="Segoe UI" w:hAnsi="Segoe UI" w:cs="Segoe UI"/>
          <w:sz w:val="22"/>
          <w:szCs w:val="22"/>
        </w:rPr>
        <w:t>December</w:t>
      </w:r>
      <w:r w:rsidR="00D60B04" w:rsidRPr="00A02CA2">
        <w:rPr>
          <w:rFonts w:ascii="Segoe UI" w:hAnsi="Segoe UI" w:cs="Segoe UI"/>
          <w:sz w:val="22"/>
          <w:szCs w:val="22"/>
        </w:rPr>
        <w:t xml:space="preserve"> </w:t>
      </w:r>
      <w:r w:rsidR="001F2148" w:rsidRPr="00A02CA2">
        <w:rPr>
          <w:rFonts w:ascii="Segoe UI" w:hAnsi="Segoe UI" w:cs="Segoe UI"/>
          <w:sz w:val="22"/>
          <w:szCs w:val="22"/>
        </w:rPr>
        <w:t>which is consistent with</w:t>
      </w:r>
      <w:r w:rsidR="00AE72AC" w:rsidRPr="00A02CA2">
        <w:rPr>
          <w:rFonts w:ascii="Segoe UI" w:hAnsi="Segoe UI" w:cs="Segoe UI"/>
          <w:sz w:val="22"/>
          <w:szCs w:val="22"/>
        </w:rPr>
        <w:t xml:space="preserve"> seasonal variation</w:t>
      </w:r>
      <w:r w:rsidR="00D60B04" w:rsidRPr="00A02CA2">
        <w:rPr>
          <w:rFonts w:ascii="Segoe UI" w:hAnsi="Segoe UI" w:cs="Segoe UI"/>
          <w:sz w:val="22"/>
          <w:szCs w:val="22"/>
        </w:rPr>
        <w:t>.</w:t>
      </w:r>
      <w:r w:rsidR="00092197" w:rsidRPr="00A02CA2">
        <w:rPr>
          <w:rFonts w:ascii="Segoe UI" w:hAnsi="Segoe UI" w:cs="Segoe UI"/>
          <w:sz w:val="22"/>
          <w:szCs w:val="22"/>
        </w:rPr>
        <w:t xml:space="preserve"> </w:t>
      </w:r>
      <w:r w:rsidRPr="00A02CA2">
        <w:rPr>
          <w:rFonts w:ascii="Segoe UI" w:hAnsi="Segoe UI" w:cs="Segoe UI"/>
          <w:sz w:val="22"/>
          <w:szCs w:val="22"/>
        </w:rPr>
        <w:t>Overall referrals to the Trust’s CAMH services across Oxon, Bucks</w:t>
      </w:r>
      <w:r w:rsidR="00B63BFE" w:rsidRPr="00A02CA2">
        <w:rPr>
          <w:rFonts w:ascii="Segoe UI" w:hAnsi="Segoe UI" w:cs="Segoe UI"/>
          <w:sz w:val="22"/>
          <w:szCs w:val="22"/>
        </w:rPr>
        <w:t>,</w:t>
      </w:r>
      <w:r w:rsidRPr="00A02CA2">
        <w:rPr>
          <w:rFonts w:ascii="Segoe UI" w:hAnsi="Segoe UI" w:cs="Segoe UI"/>
          <w:sz w:val="22"/>
          <w:szCs w:val="22"/>
        </w:rPr>
        <w:t xml:space="preserve"> and BSW were </w:t>
      </w:r>
      <w:r w:rsidR="0008281A" w:rsidRPr="00A02CA2">
        <w:rPr>
          <w:rFonts w:ascii="Segoe UI" w:hAnsi="Segoe UI" w:cs="Segoe UI"/>
          <w:sz w:val="22"/>
          <w:szCs w:val="22"/>
        </w:rPr>
        <w:t>2</w:t>
      </w:r>
      <w:r w:rsidR="00F875A6" w:rsidRPr="00A02CA2">
        <w:rPr>
          <w:rFonts w:ascii="Segoe UI" w:hAnsi="Segoe UI" w:cs="Segoe UI"/>
          <w:sz w:val="22"/>
          <w:szCs w:val="22"/>
        </w:rPr>
        <w:t>039</w:t>
      </w:r>
      <w:r w:rsidR="00D60B04" w:rsidRPr="00A02CA2">
        <w:rPr>
          <w:rFonts w:ascii="Segoe UI" w:hAnsi="Segoe UI" w:cs="Segoe UI"/>
          <w:sz w:val="22"/>
          <w:szCs w:val="22"/>
        </w:rPr>
        <w:t xml:space="preserve"> in </w:t>
      </w:r>
      <w:r w:rsidR="00F875A6" w:rsidRPr="00A02CA2">
        <w:rPr>
          <w:rFonts w:ascii="Segoe UI" w:hAnsi="Segoe UI" w:cs="Segoe UI"/>
          <w:sz w:val="22"/>
          <w:szCs w:val="22"/>
        </w:rPr>
        <w:t>December</w:t>
      </w:r>
      <w:r w:rsidR="00D60B04" w:rsidRPr="00A02CA2">
        <w:rPr>
          <w:rFonts w:ascii="Segoe UI" w:hAnsi="Segoe UI" w:cs="Segoe UI"/>
          <w:sz w:val="22"/>
          <w:szCs w:val="22"/>
        </w:rPr>
        <w:t xml:space="preserve"> </w:t>
      </w:r>
      <w:r w:rsidR="00105532" w:rsidRPr="00A02CA2">
        <w:rPr>
          <w:rFonts w:ascii="Segoe UI" w:hAnsi="Segoe UI" w:cs="Segoe UI"/>
          <w:sz w:val="22"/>
          <w:szCs w:val="22"/>
        </w:rPr>
        <w:t xml:space="preserve">which is </w:t>
      </w:r>
      <w:r w:rsidR="002F6285" w:rsidRPr="00A02CA2">
        <w:rPr>
          <w:rFonts w:ascii="Segoe UI" w:hAnsi="Segoe UI" w:cs="Segoe UI"/>
          <w:sz w:val="22"/>
          <w:szCs w:val="22"/>
        </w:rPr>
        <w:t>9</w:t>
      </w:r>
      <w:r w:rsidR="00AE72AC" w:rsidRPr="00A02CA2">
        <w:rPr>
          <w:rFonts w:ascii="Segoe UI" w:hAnsi="Segoe UI" w:cs="Segoe UI"/>
          <w:sz w:val="22"/>
          <w:szCs w:val="22"/>
        </w:rPr>
        <w:t xml:space="preserve">% </w:t>
      </w:r>
      <w:r w:rsidR="00034311" w:rsidRPr="00A02CA2">
        <w:rPr>
          <w:rFonts w:ascii="Segoe UI" w:hAnsi="Segoe UI" w:cs="Segoe UI"/>
          <w:sz w:val="22"/>
          <w:szCs w:val="22"/>
        </w:rPr>
        <w:t>higher</w:t>
      </w:r>
      <w:r w:rsidR="00105532" w:rsidRPr="00A02CA2">
        <w:rPr>
          <w:rFonts w:ascii="Segoe UI" w:hAnsi="Segoe UI" w:cs="Segoe UI"/>
          <w:sz w:val="22"/>
          <w:szCs w:val="22"/>
        </w:rPr>
        <w:t xml:space="preserve"> than this time last year. </w:t>
      </w:r>
      <w:r w:rsidR="00092197" w:rsidRPr="00A02CA2">
        <w:rPr>
          <w:rFonts w:ascii="Segoe UI" w:hAnsi="Segoe UI" w:cs="Segoe UI"/>
          <w:sz w:val="22"/>
          <w:szCs w:val="22"/>
        </w:rPr>
        <w:t xml:space="preserve"> The average number of </w:t>
      </w:r>
      <w:r w:rsidR="00D60B04" w:rsidRPr="00A02CA2">
        <w:rPr>
          <w:rFonts w:ascii="Segoe UI" w:hAnsi="Segoe UI" w:cs="Segoe UI"/>
          <w:sz w:val="22"/>
          <w:szCs w:val="22"/>
        </w:rPr>
        <w:t>monthly</w:t>
      </w:r>
      <w:r w:rsidR="00120A2A" w:rsidRPr="00A02CA2">
        <w:rPr>
          <w:rFonts w:ascii="Segoe UI" w:hAnsi="Segoe UI" w:cs="Segoe UI"/>
          <w:sz w:val="22"/>
          <w:szCs w:val="22"/>
        </w:rPr>
        <w:t xml:space="preserve"> </w:t>
      </w:r>
      <w:r w:rsidR="00092197" w:rsidRPr="00A02CA2">
        <w:rPr>
          <w:rFonts w:ascii="Segoe UI" w:hAnsi="Segoe UI" w:cs="Segoe UI"/>
          <w:sz w:val="22"/>
          <w:szCs w:val="22"/>
        </w:rPr>
        <w:t xml:space="preserve">referrals between </w:t>
      </w:r>
      <w:r w:rsidR="00D23AA1" w:rsidRPr="00A02CA2">
        <w:rPr>
          <w:rFonts w:ascii="Segoe UI" w:hAnsi="Segoe UI" w:cs="Segoe UI"/>
          <w:sz w:val="22"/>
          <w:szCs w:val="22"/>
        </w:rPr>
        <w:t>January</w:t>
      </w:r>
      <w:r w:rsidR="00092197" w:rsidRPr="00A02CA2">
        <w:rPr>
          <w:rFonts w:ascii="Segoe UI" w:hAnsi="Segoe UI" w:cs="Segoe UI"/>
          <w:sz w:val="22"/>
          <w:szCs w:val="22"/>
        </w:rPr>
        <w:t xml:space="preserve"> 201</w:t>
      </w:r>
      <w:r w:rsidR="00D23AA1" w:rsidRPr="00A02CA2">
        <w:rPr>
          <w:rFonts w:ascii="Segoe UI" w:hAnsi="Segoe UI" w:cs="Segoe UI"/>
          <w:sz w:val="22"/>
          <w:szCs w:val="22"/>
        </w:rPr>
        <w:t>9</w:t>
      </w:r>
      <w:r w:rsidR="00092197" w:rsidRPr="00A02CA2">
        <w:rPr>
          <w:rFonts w:ascii="Segoe UI" w:hAnsi="Segoe UI" w:cs="Segoe UI"/>
          <w:sz w:val="22"/>
          <w:szCs w:val="22"/>
        </w:rPr>
        <w:t xml:space="preserve"> and </w:t>
      </w:r>
      <w:r w:rsidR="00D23AA1" w:rsidRPr="00A02CA2">
        <w:rPr>
          <w:rFonts w:ascii="Segoe UI" w:hAnsi="Segoe UI" w:cs="Segoe UI"/>
          <w:sz w:val="22"/>
          <w:szCs w:val="22"/>
        </w:rPr>
        <w:t>December</w:t>
      </w:r>
      <w:r w:rsidR="00092197" w:rsidRPr="00A02CA2">
        <w:rPr>
          <w:rFonts w:ascii="Segoe UI" w:hAnsi="Segoe UI" w:cs="Segoe UI"/>
          <w:sz w:val="22"/>
          <w:szCs w:val="22"/>
        </w:rPr>
        <w:t xml:space="preserve"> 2019 was</w:t>
      </w:r>
      <w:r w:rsidR="001F32AC" w:rsidRPr="00A02CA2">
        <w:rPr>
          <w:rFonts w:ascii="Segoe UI" w:hAnsi="Segoe UI" w:cs="Segoe UI"/>
          <w:sz w:val="22"/>
          <w:szCs w:val="22"/>
        </w:rPr>
        <w:t xml:space="preserve"> </w:t>
      </w:r>
      <w:r w:rsidR="00D60B04" w:rsidRPr="00A02CA2">
        <w:rPr>
          <w:rFonts w:ascii="Segoe UI" w:hAnsi="Segoe UI" w:cs="Segoe UI"/>
          <w:sz w:val="22"/>
          <w:szCs w:val="22"/>
        </w:rPr>
        <w:t>2</w:t>
      </w:r>
      <w:r w:rsidR="00D23AA1" w:rsidRPr="00A02CA2">
        <w:rPr>
          <w:rFonts w:ascii="Segoe UI" w:hAnsi="Segoe UI" w:cs="Segoe UI"/>
          <w:sz w:val="22"/>
          <w:szCs w:val="22"/>
        </w:rPr>
        <w:t>226</w:t>
      </w:r>
      <w:r w:rsidR="00092197" w:rsidRPr="00A02CA2">
        <w:rPr>
          <w:rFonts w:ascii="Segoe UI" w:hAnsi="Segoe UI" w:cs="Segoe UI"/>
          <w:sz w:val="22"/>
          <w:szCs w:val="22"/>
        </w:rPr>
        <w:t>.</w:t>
      </w:r>
      <w:r w:rsidR="00120A2A" w:rsidRPr="00A02CA2">
        <w:rPr>
          <w:rFonts w:ascii="Segoe UI" w:hAnsi="Segoe UI" w:cs="Segoe UI"/>
          <w:sz w:val="22"/>
          <w:szCs w:val="22"/>
        </w:rPr>
        <w:t xml:space="preserve">  </w:t>
      </w:r>
    </w:p>
    <w:p w14:paraId="791ED77E" w14:textId="77777777" w:rsidR="009804CA" w:rsidRPr="00A02CA2" w:rsidRDefault="009804CA" w:rsidP="009804CA">
      <w:pPr>
        <w:pStyle w:val="ListParagraph"/>
        <w:ind w:left="426"/>
        <w:jc w:val="both"/>
        <w:rPr>
          <w:rFonts w:ascii="Segoe UI" w:hAnsi="Segoe UI" w:cs="Segoe UI"/>
          <w:sz w:val="22"/>
          <w:szCs w:val="22"/>
          <w:highlight w:val="cyan"/>
        </w:rPr>
      </w:pPr>
    </w:p>
    <w:p w14:paraId="2F3DE29A" w14:textId="77777777" w:rsidR="009804CA" w:rsidRPr="00A02CA2" w:rsidRDefault="009804CA" w:rsidP="009804CA">
      <w:pPr>
        <w:pStyle w:val="ListParagraph"/>
        <w:numPr>
          <w:ilvl w:val="0"/>
          <w:numId w:val="23"/>
        </w:numPr>
        <w:ind w:left="426"/>
        <w:jc w:val="both"/>
        <w:rPr>
          <w:rFonts w:ascii="Segoe UI" w:hAnsi="Segoe UI" w:cs="Segoe UI"/>
          <w:b/>
          <w:sz w:val="22"/>
          <w:szCs w:val="22"/>
        </w:rPr>
      </w:pPr>
      <w:r w:rsidRPr="00A02CA2">
        <w:rPr>
          <w:rFonts w:ascii="Segoe UI" w:hAnsi="Segoe UI" w:cs="Segoe UI"/>
          <w:b/>
          <w:sz w:val="22"/>
          <w:szCs w:val="22"/>
        </w:rPr>
        <w:t>Access/Waits</w:t>
      </w:r>
    </w:p>
    <w:p w14:paraId="742B0216" w14:textId="77777777" w:rsidR="008A0CDA" w:rsidRPr="00A02CA2" w:rsidRDefault="008A0CDA" w:rsidP="008A0CDA">
      <w:pPr>
        <w:rPr>
          <w:rFonts w:ascii="Segoe UI" w:hAnsi="Segoe UI" w:cs="Segoe UI"/>
          <w:b/>
          <w:bCs/>
          <w:sz w:val="22"/>
          <w:szCs w:val="22"/>
        </w:rPr>
      </w:pPr>
    </w:p>
    <w:p w14:paraId="30FC0585" w14:textId="7108EF6B" w:rsidR="008A0CDA" w:rsidRPr="00A02CA2" w:rsidRDefault="008A0CDA" w:rsidP="003D4A0D">
      <w:pPr>
        <w:ind w:left="426"/>
        <w:jc w:val="both"/>
        <w:rPr>
          <w:rFonts w:ascii="Segoe UI" w:eastAsia="Calibri" w:hAnsi="Segoe UI" w:cs="Segoe UI"/>
          <w:sz w:val="22"/>
          <w:szCs w:val="22"/>
        </w:rPr>
      </w:pPr>
      <w:r w:rsidRPr="00A02CA2">
        <w:rPr>
          <w:rFonts w:ascii="Segoe UI" w:hAnsi="Segoe UI" w:cs="Segoe UI"/>
          <w:b/>
          <w:bCs/>
          <w:sz w:val="22"/>
          <w:szCs w:val="22"/>
        </w:rPr>
        <w:t xml:space="preserve">Adult Mental Health </w:t>
      </w:r>
      <w:r w:rsidRPr="00A02CA2">
        <w:rPr>
          <w:rFonts w:ascii="Segoe UI" w:hAnsi="Segoe UI" w:cs="Segoe UI"/>
          <w:sz w:val="22"/>
          <w:szCs w:val="22"/>
        </w:rPr>
        <w:t>–</w:t>
      </w:r>
      <w:r w:rsidRPr="00A02CA2">
        <w:rPr>
          <w:rFonts w:ascii="Arial" w:hAnsi="Arial" w:cs="Arial"/>
          <w:sz w:val="22"/>
          <w:szCs w:val="22"/>
        </w:rPr>
        <w:t xml:space="preserve"> </w:t>
      </w:r>
      <w:r w:rsidR="004D7D57" w:rsidRPr="00A32CCC">
        <w:rPr>
          <w:rFonts w:ascii="Segoe UI" w:hAnsi="Segoe UI" w:cs="Segoe UI"/>
          <w:sz w:val="22"/>
          <w:szCs w:val="22"/>
        </w:rPr>
        <w:t xml:space="preserve">A significant long-term underfunding of mental </w:t>
      </w:r>
      <w:proofErr w:type="gramStart"/>
      <w:r w:rsidR="004D7D57" w:rsidRPr="00A32CCC">
        <w:rPr>
          <w:rFonts w:ascii="Segoe UI" w:hAnsi="Segoe UI" w:cs="Segoe UI"/>
          <w:sz w:val="22"/>
          <w:szCs w:val="22"/>
        </w:rPr>
        <w:t>health</w:t>
      </w:r>
      <w:r w:rsidR="004D7D57">
        <w:rPr>
          <w:rFonts w:ascii="Segoe UI" w:hAnsi="Segoe UI" w:cs="Segoe UI"/>
          <w:sz w:val="22"/>
          <w:szCs w:val="22"/>
        </w:rPr>
        <w:t xml:space="preserve"> </w:t>
      </w:r>
      <w:r w:rsidR="004D7D57" w:rsidRPr="00A32CCC">
        <w:rPr>
          <w:rFonts w:ascii="Segoe UI" w:hAnsi="Segoe UI" w:cs="Segoe UI"/>
          <w:sz w:val="22"/>
          <w:szCs w:val="22"/>
        </w:rPr>
        <w:t xml:space="preserve"> in</w:t>
      </w:r>
      <w:proofErr w:type="gramEnd"/>
      <w:r w:rsidR="004D7D57" w:rsidRPr="00A32CCC">
        <w:rPr>
          <w:rFonts w:ascii="Segoe UI" w:hAnsi="Segoe UI" w:cs="Segoe UI"/>
          <w:sz w:val="22"/>
          <w:szCs w:val="22"/>
        </w:rPr>
        <w:t xml:space="preserve"> Oxfordshire has resulted in considerable pressure building up for mental health services.  </w:t>
      </w:r>
      <w:r w:rsidR="004D7D57">
        <w:rPr>
          <w:rFonts w:ascii="Segoe UI" w:hAnsi="Segoe UI" w:cs="Segoe UI"/>
          <w:bCs/>
          <w:sz w:val="22"/>
          <w:szCs w:val="22"/>
        </w:rPr>
        <w:t xml:space="preserve">The target for </w:t>
      </w:r>
      <w:r w:rsidR="004D7D57">
        <w:rPr>
          <w:rFonts w:ascii="Segoe UI" w:hAnsi="Segoe UI" w:cs="Segoe UI"/>
          <w:bCs/>
          <w:sz w:val="22"/>
          <w:szCs w:val="22"/>
        </w:rPr>
        <w:lastRenderedPageBreak/>
        <w:t>seeing patients referred on a routine basis was changed from 4 weeks to 8 weeks in 2018</w:t>
      </w:r>
      <w:r w:rsidR="004D7D57" w:rsidRPr="00A32CCC">
        <w:rPr>
          <w:rFonts w:ascii="Segoe UI" w:hAnsi="Segoe UI" w:cs="Segoe UI"/>
          <w:sz w:val="22"/>
          <w:szCs w:val="22"/>
        </w:rPr>
        <w:t xml:space="preserve">. In </w:t>
      </w:r>
      <w:r w:rsidR="004D7D57" w:rsidRPr="00CE65FE">
        <w:rPr>
          <w:rFonts w:ascii="Segoe UI" w:hAnsi="Segoe UI" w:cs="Segoe UI"/>
          <w:sz w:val="22"/>
          <w:szCs w:val="22"/>
        </w:rPr>
        <w:t>December 50%</w:t>
      </w:r>
      <w:r w:rsidR="004D7D57" w:rsidRPr="00A32CCC">
        <w:rPr>
          <w:rFonts w:ascii="Segoe UI" w:hAnsi="Segoe UI" w:cs="Segoe UI"/>
          <w:sz w:val="22"/>
          <w:szCs w:val="22"/>
        </w:rPr>
        <w:t xml:space="preserve"> of routine referrals were seen within 28 days compared to 86% in Buckinghamshire.</w:t>
      </w:r>
    </w:p>
    <w:p w14:paraId="4F6C9F26" w14:textId="77777777" w:rsidR="008A0CDA" w:rsidRPr="00A02CA2" w:rsidRDefault="008A0CDA" w:rsidP="009804CA">
      <w:pPr>
        <w:pStyle w:val="ListParagraph"/>
        <w:ind w:left="426"/>
        <w:jc w:val="both"/>
        <w:rPr>
          <w:rFonts w:ascii="Segoe UI" w:hAnsi="Segoe UI" w:cs="Segoe UI"/>
          <w:sz w:val="22"/>
          <w:szCs w:val="22"/>
          <w:highlight w:val="cyan"/>
        </w:rPr>
      </w:pPr>
    </w:p>
    <w:p w14:paraId="3843A4B4" w14:textId="185F7AD1" w:rsidR="003B66F1" w:rsidRPr="00A02CA2" w:rsidRDefault="008A0CDA" w:rsidP="009804CA">
      <w:pPr>
        <w:pStyle w:val="ListParagraph"/>
        <w:ind w:left="426"/>
        <w:jc w:val="both"/>
        <w:rPr>
          <w:rFonts w:ascii="Segoe UI" w:hAnsi="Segoe UI" w:cs="Segoe UI"/>
          <w:sz w:val="22"/>
          <w:szCs w:val="22"/>
        </w:rPr>
      </w:pPr>
      <w:r w:rsidRPr="00A02CA2">
        <w:rPr>
          <w:rFonts w:ascii="Segoe UI" w:hAnsi="Segoe UI" w:cs="Segoe UI"/>
          <w:b/>
          <w:sz w:val="22"/>
          <w:szCs w:val="22"/>
        </w:rPr>
        <w:t>Child &amp; Adolescent Mental Health</w:t>
      </w:r>
      <w:r w:rsidR="0069791E" w:rsidRPr="00A02CA2">
        <w:rPr>
          <w:rFonts w:ascii="Segoe UI" w:hAnsi="Segoe UI" w:cs="Segoe UI"/>
          <w:b/>
          <w:sz w:val="22"/>
          <w:szCs w:val="22"/>
        </w:rPr>
        <w:t xml:space="preserve"> Services </w:t>
      </w:r>
      <w:r w:rsidRPr="00A02CA2">
        <w:rPr>
          <w:rFonts w:ascii="Segoe UI" w:hAnsi="Segoe UI" w:cs="Segoe UI"/>
          <w:b/>
          <w:sz w:val="22"/>
          <w:szCs w:val="22"/>
        </w:rPr>
        <w:t>(CAMH</w:t>
      </w:r>
      <w:r w:rsidR="0069791E" w:rsidRPr="00A02CA2">
        <w:rPr>
          <w:rFonts w:ascii="Segoe UI" w:hAnsi="Segoe UI" w:cs="Segoe UI"/>
          <w:b/>
          <w:sz w:val="22"/>
          <w:szCs w:val="22"/>
        </w:rPr>
        <w:t>S</w:t>
      </w:r>
      <w:r w:rsidRPr="00A02CA2">
        <w:rPr>
          <w:rFonts w:ascii="Segoe UI" w:hAnsi="Segoe UI" w:cs="Segoe UI"/>
          <w:b/>
          <w:sz w:val="22"/>
          <w:szCs w:val="22"/>
        </w:rPr>
        <w:t>)</w:t>
      </w:r>
      <w:r w:rsidRPr="00A02CA2">
        <w:rPr>
          <w:rFonts w:ascii="Segoe UI" w:hAnsi="Segoe UI" w:cs="Segoe UI"/>
          <w:sz w:val="22"/>
          <w:szCs w:val="22"/>
        </w:rPr>
        <w:t xml:space="preserve"> </w:t>
      </w:r>
      <w:r w:rsidR="004D7D57" w:rsidRPr="0064090E">
        <w:rPr>
          <w:rFonts w:ascii="Segoe UI" w:hAnsi="Segoe UI" w:cs="Segoe UI"/>
          <w:sz w:val="22"/>
          <w:szCs w:val="22"/>
        </w:rPr>
        <w:t>During December</w:t>
      </w:r>
      <w:r w:rsidR="004D7D57">
        <w:rPr>
          <w:rFonts w:ascii="Segoe UI" w:hAnsi="Segoe UI" w:cs="Segoe UI"/>
          <w:sz w:val="22"/>
          <w:szCs w:val="22"/>
        </w:rPr>
        <w:t xml:space="preserve">, </w:t>
      </w:r>
      <w:r w:rsidR="004D7D57" w:rsidRPr="0064090E">
        <w:rPr>
          <w:rFonts w:ascii="Segoe UI" w:hAnsi="Segoe UI" w:cs="Segoe UI"/>
          <w:sz w:val="22"/>
          <w:szCs w:val="22"/>
        </w:rPr>
        <w:t>only 51% of patients referred to routine pathways</w:t>
      </w:r>
      <w:r w:rsidR="004D7D57">
        <w:rPr>
          <w:rFonts w:ascii="Segoe UI" w:hAnsi="Segoe UI" w:cs="Segoe UI"/>
          <w:sz w:val="22"/>
          <w:szCs w:val="22"/>
        </w:rPr>
        <w:t xml:space="preserve"> were</w:t>
      </w:r>
      <w:r w:rsidR="004D7D57" w:rsidRPr="0064090E">
        <w:rPr>
          <w:rFonts w:ascii="Segoe UI" w:hAnsi="Segoe UI" w:cs="Segoe UI"/>
          <w:sz w:val="22"/>
          <w:szCs w:val="22"/>
        </w:rPr>
        <w:t xml:space="preserve"> seen within 12 weeks. </w:t>
      </w:r>
      <w:r w:rsidR="004D7D57">
        <w:rPr>
          <w:rFonts w:ascii="Segoe UI" w:hAnsi="Segoe UI" w:cs="Segoe UI"/>
          <w:sz w:val="22"/>
          <w:szCs w:val="22"/>
        </w:rPr>
        <w:t xml:space="preserve">  This is primarily due to the focused effort to clear the backlog that has developed.  Although performance remains below the 75% target at the present time, this position has and will continue to improve as the longest waiters are seen and treated.</w:t>
      </w:r>
    </w:p>
    <w:p w14:paraId="59266A17" w14:textId="77777777" w:rsidR="003B66F1" w:rsidRPr="00A02CA2" w:rsidRDefault="003B66F1" w:rsidP="009804CA">
      <w:pPr>
        <w:pStyle w:val="ListParagraph"/>
        <w:ind w:left="426"/>
        <w:jc w:val="both"/>
        <w:rPr>
          <w:rFonts w:ascii="Segoe UI" w:hAnsi="Segoe UI" w:cs="Segoe UI"/>
          <w:sz w:val="22"/>
          <w:szCs w:val="22"/>
          <w:highlight w:val="cyan"/>
        </w:rPr>
      </w:pPr>
    </w:p>
    <w:p w14:paraId="15225ADC" w14:textId="6A0F6597" w:rsidR="00482C9D" w:rsidRPr="00A02CA2" w:rsidRDefault="003B66F1" w:rsidP="009804CA">
      <w:pPr>
        <w:pStyle w:val="ListParagraph"/>
        <w:ind w:left="426"/>
        <w:jc w:val="both"/>
        <w:rPr>
          <w:rFonts w:ascii="Segoe UI" w:hAnsi="Segoe UI" w:cs="Segoe UI"/>
          <w:sz w:val="22"/>
          <w:szCs w:val="22"/>
        </w:rPr>
      </w:pPr>
      <w:r w:rsidRPr="00A02CA2">
        <w:rPr>
          <w:rFonts w:ascii="Segoe UI" w:hAnsi="Segoe UI" w:cs="Segoe UI"/>
          <w:sz w:val="22"/>
          <w:szCs w:val="22"/>
        </w:rPr>
        <w:t>Across Bath &amp; North East Somerset, Swindon and Wiltshire, 4</w:t>
      </w:r>
      <w:r w:rsidR="0054783C" w:rsidRPr="00A02CA2">
        <w:rPr>
          <w:rFonts w:ascii="Segoe UI" w:hAnsi="Segoe UI" w:cs="Segoe UI"/>
          <w:sz w:val="22"/>
          <w:szCs w:val="22"/>
        </w:rPr>
        <w:t>6</w:t>
      </w:r>
      <w:r w:rsidRPr="00A02CA2">
        <w:rPr>
          <w:rFonts w:ascii="Segoe UI" w:hAnsi="Segoe UI" w:cs="Segoe UI"/>
          <w:sz w:val="22"/>
          <w:szCs w:val="22"/>
        </w:rPr>
        <w:t>% CAMH</w:t>
      </w:r>
      <w:r w:rsidR="0069791E" w:rsidRPr="00A02CA2">
        <w:rPr>
          <w:rFonts w:ascii="Segoe UI" w:hAnsi="Segoe UI" w:cs="Segoe UI"/>
          <w:sz w:val="22"/>
          <w:szCs w:val="22"/>
        </w:rPr>
        <w:t>S</w:t>
      </w:r>
      <w:r w:rsidRPr="00A02CA2">
        <w:rPr>
          <w:rFonts w:ascii="Segoe UI" w:hAnsi="Segoe UI" w:cs="Segoe UI"/>
          <w:sz w:val="22"/>
          <w:szCs w:val="22"/>
        </w:rPr>
        <w:t xml:space="preserve"> referrals were seen within 4 weeks.</w:t>
      </w:r>
      <w:r w:rsidR="001D0FE4">
        <w:rPr>
          <w:rFonts w:ascii="Segoe UI" w:hAnsi="Segoe UI" w:cs="Segoe UI"/>
          <w:sz w:val="22"/>
          <w:szCs w:val="22"/>
        </w:rPr>
        <w:t xml:space="preserve"> </w:t>
      </w:r>
      <w:r w:rsidR="00B23A68">
        <w:rPr>
          <w:rFonts w:ascii="Segoe UI" w:hAnsi="Segoe UI" w:cs="Segoe UI"/>
          <w:sz w:val="22"/>
          <w:szCs w:val="22"/>
        </w:rPr>
        <w:t xml:space="preserve">This is a 4% improvement from the previous month. </w:t>
      </w:r>
    </w:p>
    <w:p w14:paraId="62046C88" w14:textId="77777777" w:rsidR="00482C9D" w:rsidRPr="00A02CA2" w:rsidRDefault="00482C9D" w:rsidP="009804CA">
      <w:pPr>
        <w:pStyle w:val="ListParagraph"/>
        <w:ind w:left="426"/>
        <w:jc w:val="both"/>
        <w:rPr>
          <w:rFonts w:ascii="Segoe UI" w:hAnsi="Segoe UI" w:cs="Segoe UI"/>
          <w:sz w:val="22"/>
          <w:szCs w:val="22"/>
          <w:highlight w:val="cyan"/>
        </w:rPr>
      </w:pPr>
    </w:p>
    <w:p w14:paraId="5EC4899A" w14:textId="6ED360C5" w:rsidR="001F2148" w:rsidRPr="00A02CA2" w:rsidRDefault="00D34F58" w:rsidP="009804CA">
      <w:pPr>
        <w:pStyle w:val="ListParagraph"/>
        <w:ind w:left="426"/>
        <w:jc w:val="both"/>
        <w:rPr>
          <w:rFonts w:ascii="Segoe UI" w:hAnsi="Segoe UI" w:cs="Segoe UI"/>
          <w:sz w:val="22"/>
          <w:szCs w:val="22"/>
        </w:rPr>
      </w:pPr>
      <w:r w:rsidRPr="00A02CA2">
        <w:rPr>
          <w:rFonts w:ascii="Segoe UI" w:hAnsi="Segoe UI" w:cs="Segoe UI"/>
          <w:sz w:val="22"/>
          <w:szCs w:val="22"/>
        </w:rPr>
        <w:t xml:space="preserve">During </w:t>
      </w:r>
      <w:r w:rsidR="0064090E" w:rsidRPr="00A02CA2">
        <w:rPr>
          <w:rFonts w:ascii="Segoe UI" w:hAnsi="Segoe UI" w:cs="Segoe UI"/>
          <w:sz w:val="22"/>
          <w:szCs w:val="22"/>
        </w:rPr>
        <w:t>December</w:t>
      </w:r>
      <w:r w:rsidRPr="00A02CA2">
        <w:rPr>
          <w:rFonts w:ascii="Segoe UI" w:hAnsi="Segoe UI" w:cs="Segoe UI"/>
          <w:sz w:val="22"/>
          <w:szCs w:val="22"/>
        </w:rPr>
        <w:t xml:space="preserve"> access to the Buckinghamshire CAMH services improved with 9</w:t>
      </w:r>
      <w:r w:rsidR="0064090E" w:rsidRPr="00A02CA2">
        <w:rPr>
          <w:rFonts w:ascii="Segoe UI" w:hAnsi="Segoe UI" w:cs="Segoe UI"/>
          <w:sz w:val="22"/>
          <w:szCs w:val="22"/>
        </w:rPr>
        <w:t>2</w:t>
      </w:r>
      <w:r w:rsidRPr="00A02CA2">
        <w:rPr>
          <w:rFonts w:ascii="Segoe UI" w:hAnsi="Segoe UI" w:cs="Segoe UI"/>
          <w:sz w:val="22"/>
          <w:szCs w:val="22"/>
        </w:rPr>
        <w:t>%</w:t>
      </w:r>
      <w:r w:rsidR="00092197" w:rsidRPr="00A02CA2">
        <w:rPr>
          <w:rFonts w:ascii="Segoe UI" w:hAnsi="Segoe UI" w:cs="Segoe UI"/>
          <w:sz w:val="22"/>
          <w:szCs w:val="22"/>
        </w:rPr>
        <w:t xml:space="preserve"> </w:t>
      </w:r>
      <w:r w:rsidR="000459D5" w:rsidRPr="00A02CA2">
        <w:rPr>
          <w:rFonts w:ascii="Segoe UI" w:hAnsi="Segoe UI" w:cs="Segoe UI"/>
          <w:sz w:val="22"/>
          <w:szCs w:val="22"/>
        </w:rPr>
        <w:t xml:space="preserve">of patients seen </w:t>
      </w:r>
      <w:r w:rsidR="00446638" w:rsidRPr="00A02CA2">
        <w:rPr>
          <w:rFonts w:ascii="Segoe UI" w:hAnsi="Segoe UI" w:cs="Segoe UI"/>
          <w:sz w:val="22"/>
          <w:szCs w:val="22"/>
        </w:rPr>
        <w:t>within 4 weeks</w:t>
      </w:r>
      <w:r w:rsidRPr="00A02CA2">
        <w:rPr>
          <w:rFonts w:ascii="Segoe UI" w:hAnsi="Segoe UI" w:cs="Segoe UI"/>
          <w:sz w:val="22"/>
          <w:szCs w:val="22"/>
        </w:rPr>
        <w:t>.</w:t>
      </w:r>
      <w:r w:rsidR="00446638" w:rsidRPr="00A02CA2">
        <w:rPr>
          <w:rFonts w:ascii="Segoe UI" w:hAnsi="Segoe UI" w:cs="Segoe UI"/>
          <w:sz w:val="22"/>
          <w:szCs w:val="22"/>
        </w:rPr>
        <w:t xml:space="preserve"> </w:t>
      </w:r>
      <w:r w:rsidR="00482C9D" w:rsidRPr="00A02CA2">
        <w:rPr>
          <w:rFonts w:ascii="Segoe UI" w:hAnsi="Segoe UI" w:cs="Segoe UI"/>
          <w:sz w:val="22"/>
          <w:szCs w:val="22"/>
        </w:rPr>
        <w:t xml:space="preserve"> </w:t>
      </w:r>
    </w:p>
    <w:p w14:paraId="34DFBDE0" w14:textId="77777777" w:rsidR="00D34F58" w:rsidRPr="00A02CA2" w:rsidRDefault="00D34F58" w:rsidP="009804CA">
      <w:pPr>
        <w:pStyle w:val="ListParagraph"/>
        <w:ind w:left="426"/>
        <w:jc w:val="both"/>
        <w:rPr>
          <w:rFonts w:ascii="Segoe UI" w:hAnsi="Segoe UI" w:cs="Segoe UI"/>
          <w:sz w:val="22"/>
          <w:szCs w:val="22"/>
          <w:highlight w:val="cyan"/>
        </w:rPr>
      </w:pPr>
    </w:p>
    <w:p w14:paraId="0684078E" w14:textId="57CD7E0F" w:rsidR="009804CA" w:rsidRPr="00A02CA2" w:rsidRDefault="004D7D57" w:rsidP="004D7D57">
      <w:pPr>
        <w:pStyle w:val="ListParagraph"/>
        <w:numPr>
          <w:ilvl w:val="0"/>
          <w:numId w:val="23"/>
        </w:numPr>
        <w:ind w:left="426" w:hanging="284"/>
        <w:jc w:val="both"/>
        <w:rPr>
          <w:rFonts w:ascii="Segoe UI" w:hAnsi="Segoe UI" w:cs="Segoe UI"/>
          <w:b/>
          <w:sz w:val="22"/>
          <w:szCs w:val="22"/>
        </w:rPr>
      </w:pPr>
      <w:r>
        <w:rPr>
          <w:rFonts w:ascii="Segoe UI" w:hAnsi="Segoe UI" w:cs="Segoe UI"/>
          <w:b/>
          <w:sz w:val="22"/>
          <w:szCs w:val="22"/>
        </w:rPr>
        <w:t xml:space="preserve"> </w:t>
      </w:r>
      <w:r w:rsidR="009804CA" w:rsidRPr="00A02CA2">
        <w:rPr>
          <w:rFonts w:ascii="Segoe UI" w:hAnsi="Segoe UI" w:cs="Segoe UI"/>
          <w:b/>
          <w:sz w:val="22"/>
          <w:szCs w:val="22"/>
        </w:rPr>
        <w:t>Delayed Transfers of Care (DTOC)</w:t>
      </w:r>
    </w:p>
    <w:p w14:paraId="3CBF3525" w14:textId="77777777" w:rsidR="004D7D57" w:rsidRDefault="004D7D57" w:rsidP="004D7D57">
      <w:pPr>
        <w:pStyle w:val="ListParagraph"/>
        <w:ind w:left="502"/>
        <w:jc w:val="both"/>
        <w:rPr>
          <w:rFonts w:ascii="Segoe UI" w:hAnsi="Segoe UI" w:cs="Segoe UI"/>
          <w:sz w:val="22"/>
          <w:szCs w:val="22"/>
        </w:rPr>
      </w:pPr>
      <w:r w:rsidRPr="0064090E">
        <w:rPr>
          <w:rFonts w:ascii="Segoe UI" w:hAnsi="Segoe UI" w:cs="Segoe UI"/>
          <w:sz w:val="22"/>
          <w:szCs w:val="22"/>
        </w:rPr>
        <w:t xml:space="preserve">In December, bed days lost to DTOC in mental health increased from 111 to </w:t>
      </w:r>
      <w:r>
        <w:rPr>
          <w:rFonts w:ascii="Segoe UI" w:hAnsi="Segoe UI" w:cs="Segoe UI"/>
          <w:sz w:val="22"/>
          <w:szCs w:val="22"/>
        </w:rPr>
        <w:t>1</w:t>
      </w:r>
      <w:r w:rsidRPr="0064090E">
        <w:rPr>
          <w:rFonts w:ascii="Segoe UI" w:hAnsi="Segoe UI" w:cs="Segoe UI"/>
          <w:sz w:val="22"/>
          <w:szCs w:val="22"/>
        </w:rPr>
        <w:t>3</w:t>
      </w:r>
      <w:r>
        <w:rPr>
          <w:rFonts w:ascii="Segoe UI" w:hAnsi="Segoe UI" w:cs="Segoe UI"/>
          <w:sz w:val="22"/>
          <w:szCs w:val="22"/>
        </w:rPr>
        <w:t>1</w:t>
      </w:r>
      <w:r w:rsidRPr="0064090E">
        <w:rPr>
          <w:rFonts w:ascii="Segoe UI" w:hAnsi="Segoe UI" w:cs="Segoe UI"/>
          <w:sz w:val="22"/>
          <w:szCs w:val="22"/>
        </w:rPr>
        <w:t xml:space="preserve"> (equivalent to </w:t>
      </w:r>
      <w:r>
        <w:rPr>
          <w:rFonts w:ascii="Segoe UI" w:hAnsi="Segoe UI" w:cs="Segoe UI"/>
          <w:sz w:val="22"/>
          <w:szCs w:val="22"/>
        </w:rPr>
        <w:t>5</w:t>
      </w:r>
      <w:r w:rsidRPr="0064090E">
        <w:rPr>
          <w:rFonts w:ascii="Segoe UI" w:hAnsi="Segoe UI" w:cs="Segoe UI"/>
          <w:sz w:val="22"/>
          <w:szCs w:val="22"/>
        </w:rPr>
        <w:t xml:space="preserve"> beds), </w:t>
      </w:r>
      <w:r>
        <w:rPr>
          <w:rFonts w:ascii="Segoe UI" w:hAnsi="Segoe UI" w:cs="Segoe UI"/>
          <w:sz w:val="22"/>
          <w:szCs w:val="22"/>
        </w:rPr>
        <w:t xml:space="preserve">this is below the rolling 12-month average of 172 (6 </w:t>
      </w:r>
      <w:r w:rsidRPr="002A2A47">
        <w:rPr>
          <w:rFonts w:ascii="Segoe UI" w:hAnsi="Segoe UI" w:cs="Segoe UI"/>
          <w:sz w:val="22"/>
          <w:szCs w:val="22"/>
        </w:rPr>
        <w:t>beds). Community DTOC increased by 197 days in December to 1267 bed days lost (equivalent to 41 beds), with a rolling 12-month average of 1267 days per month (41 beds).</w:t>
      </w:r>
    </w:p>
    <w:p w14:paraId="14E3145D" w14:textId="77777777" w:rsidR="004D7D57" w:rsidRDefault="004D7D57" w:rsidP="004D7D57">
      <w:pPr>
        <w:pStyle w:val="ListParagraph"/>
        <w:ind w:left="502"/>
        <w:jc w:val="both"/>
        <w:rPr>
          <w:rFonts w:ascii="Segoe UI" w:hAnsi="Segoe UI" w:cs="Segoe UI"/>
          <w:sz w:val="22"/>
          <w:szCs w:val="22"/>
        </w:rPr>
      </w:pPr>
    </w:p>
    <w:p w14:paraId="3680A668" w14:textId="0E66B2B9" w:rsidR="00D17EDF" w:rsidRPr="004D7D57" w:rsidRDefault="006662C3" w:rsidP="004D7D57">
      <w:pPr>
        <w:pStyle w:val="ListParagraph"/>
        <w:numPr>
          <w:ilvl w:val="0"/>
          <w:numId w:val="23"/>
        </w:numPr>
        <w:ind w:left="426"/>
        <w:jc w:val="both"/>
        <w:rPr>
          <w:rFonts w:ascii="Segoe UI" w:hAnsi="Segoe UI" w:cs="Segoe UI"/>
          <w:sz w:val="22"/>
          <w:szCs w:val="22"/>
        </w:rPr>
      </w:pPr>
      <w:r w:rsidRPr="004D7D57">
        <w:rPr>
          <w:rFonts w:ascii="Segoe UI" w:hAnsi="Segoe UI" w:cs="Segoe UI"/>
          <w:b/>
          <w:sz w:val="22"/>
          <w:szCs w:val="22"/>
        </w:rPr>
        <w:t>Out of Area Placements (OAPs)</w:t>
      </w:r>
      <w:r w:rsidR="00D17EDF" w:rsidRPr="004D7D57">
        <w:rPr>
          <w:rFonts w:ascii="Segoe UI" w:hAnsi="Segoe UI" w:cs="Segoe UI"/>
          <w:sz w:val="22"/>
          <w:szCs w:val="22"/>
        </w:rPr>
        <w:t xml:space="preserve"> </w:t>
      </w:r>
    </w:p>
    <w:p w14:paraId="007CC33E" w14:textId="45EEFB4D" w:rsidR="00761A13" w:rsidRPr="00A02CA2" w:rsidRDefault="00E1026B" w:rsidP="00761A13">
      <w:pPr>
        <w:ind w:left="426"/>
        <w:jc w:val="both"/>
        <w:rPr>
          <w:rFonts w:ascii="Segoe UI" w:hAnsi="Segoe UI" w:cs="Segoe UI"/>
          <w:sz w:val="22"/>
          <w:szCs w:val="22"/>
        </w:rPr>
      </w:pPr>
      <w:r w:rsidRPr="00A02CA2">
        <w:rPr>
          <w:rFonts w:ascii="Segoe UI" w:hAnsi="Segoe UI" w:cs="Segoe UI"/>
          <w:sz w:val="22"/>
          <w:szCs w:val="22"/>
        </w:rPr>
        <w:t>5</w:t>
      </w:r>
      <w:r w:rsidR="00991DE2" w:rsidRPr="00A02CA2">
        <w:rPr>
          <w:rFonts w:ascii="Segoe UI" w:hAnsi="Segoe UI" w:cs="Segoe UI"/>
          <w:sz w:val="22"/>
          <w:szCs w:val="22"/>
        </w:rPr>
        <w:t xml:space="preserve"> new</w:t>
      </w:r>
      <w:r w:rsidR="00761A13" w:rsidRPr="00A02CA2">
        <w:rPr>
          <w:rFonts w:ascii="Segoe UI" w:hAnsi="Segoe UI" w:cs="Segoe UI"/>
          <w:sz w:val="22"/>
          <w:szCs w:val="22"/>
        </w:rPr>
        <w:t xml:space="preserve"> patients were placed out of area in </w:t>
      </w:r>
      <w:r w:rsidR="00115C94" w:rsidRPr="00A02CA2">
        <w:rPr>
          <w:rFonts w:ascii="Segoe UI" w:hAnsi="Segoe UI" w:cs="Segoe UI"/>
          <w:sz w:val="22"/>
          <w:szCs w:val="22"/>
        </w:rPr>
        <w:t>December</w:t>
      </w:r>
      <w:r w:rsidR="003D4A0D" w:rsidRPr="00A02CA2">
        <w:rPr>
          <w:rFonts w:ascii="Segoe UI" w:hAnsi="Segoe UI" w:cs="Segoe UI"/>
          <w:sz w:val="22"/>
          <w:szCs w:val="22"/>
        </w:rPr>
        <w:t xml:space="preserve"> (</w:t>
      </w:r>
      <w:r w:rsidRPr="00A02CA2">
        <w:rPr>
          <w:rFonts w:ascii="Segoe UI" w:hAnsi="Segoe UI" w:cs="Segoe UI"/>
          <w:sz w:val="22"/>
          <w:szCs w:val="22"/>
        </w:rPr>
        <w:t>1</w:t>
      </w:r>
      <w:r w:rsidR="003D4A0D" w:rsidRPr="00A02CA2">
        <w:rPr>
          <w:rFonts w:ascii="Segoe UI" w:hAnsi="Segoe UI" w:cs="Segoe UI"/>
          <w:sz w:val="22"/>
          <w:szCs w:val="22"/>
        </w:rPr>
        <w:t xml:space="preserve"> in Oxon and </w:t>
      </w:r>
      <w:r w:rsidRPr="00A02CA2">
        <w:rPr>
          <w:rFonts w:ascii="Segoe UI" w:hAnsi="Segoe UI" w:cs="Segoe UI"/>
          <w:sz w:val="22"/>
          <w:szCs w:val="22"/>
        </w:rPr>
        <w:t>4</w:t>
      </w:r>
      <w:r w:rsidR="003D4A0D" w:rsidRPr="00A02CA2">
        <w:rPr>
          <w:rFonts w:ascii="Segoe UI" w:hAnsi="Segoe UI" w:cs="Segoe UI"/>
          <w:sz w:val="22"/>
          <w:szCs w:val="22"/>
        </w:rPr>
        <w:t xml:space="preserve"> in Bucks)</w:t>
      </w:r>
      <w:r w:rsidR="00761A13" w:rsidRPr="00A02CA2">
        <w:rPr>
          <w:rFonts w:ascii="Segoe UI" w:hAnsi="Segoe UI" w:cs="Segoe UI"/>
          <w:sz w:val="22"/>
          <w:szCs w:val="22"/>
        </w:rPr>
        <w:t xml:space="preserve">.  </w:t>
      </w:r>
      <w:r w:rsidRPr="00A02CA2">
        <w:rPr>
          <w:rFonts w:ascii="Segoe UI" w:hAnsi="Segoe UI" w:cs="Segoe UI"/>
          <w:sz w:val="22"/>
          <w:szCs w:val="22"/>
        </w:rPr>
        <w:t>7</w:t>
      </w:r>
      <w:r w:rsidR="00761A13" w:rsidRPr="00A02CA2">
        <w:rPr>
          <w:rFonts w:ascii="Segoe UI" w:hAnsi="Segoe UI" w:cs="Segoe UI"/>
          <w:sz w:val="22"/>
          <w:szCs w:val="22"/>
        </w:rPr>
        <w:t xml:space="preserve"> patients in total </w:t>
      </w:r>
      <w:r w:rsidR="00991DE2" w:rsidRPr="00A02CA2">
        <w:rPr>
          <w:rFonts w:ascii="Segoe UI" w:hAnsi="Segoe UI" w:cs="Segoe UI"/>
          <w:sz w:val="22"/>
          <w:szCs w:val="22"/>
        </w:rPr>
        <w:t>were</w:t>
      </w:r>
      <w:r w:rsidR="002A694A" w:rsidRPr="00A02CA2">
        <w:rPr>
          <w:rFonts w:ascii="Segoe UI" w:hAnsi="Segoe UI" w:cs="Segoe UI"/>
          <w:sz w:val="22"/>
          <w:szCs w:val="22"/>
        </w:rPr>
        <w:t xml:space="preserve"> in</w:t>
      </w:r>
      <w:r w:rsidR="00991DE2" w:rsidRPr="00A02CA2">
        <w:rPr>
          <w:rFonts w:ascii="Segoe UI" w:hAnsi="Segoe UI" w:cs="Segoe UI"/>
          <w:sz w:val="22"/>
          <w:szCs w:val="22"/>
        </w:rPr>
        <w:t xml:space="preserve"> </w:t>
      </w:r>
      <w:r w:rsidR="00761A13" w:rsidRPr="00A02CA2">
        <w:rPr>
          <w:rFonts w:ascii="Segoe UI" w:hAnsi="Segoe UI" w:cs="Segoe UI"/>
          <w:sz w:val="22"/>
          <w:szCs w:val="22"/>
        </w:rPr>
        <w:t xml:space="preserve">out of area placements </w:t>
      </w:r>
      <w:r w:rsidR="00991DE2" w:rsidRPr="00A02CA2">
        <w:rPr>
          <w:rFonts w:ascii="Segoe UI" w:hAnsi="Segoe UI" w:cs="Segoe UI"/>
          <w:sz w:val="22"/>
          <w:szCs w:val="22"/>
        </w:rPr>
        <w:t>during the</w:t>
      </w:r>
      <w:r w:rsidR="00761A13" w:rsidRPr="00A02CA2">
        <w:rPr>
          <w:rFonts w:ascii="Segoe UI" w:hAnsi="Segoe UI" w:cs="Segoe UI"/>
          <w:sz w:val="22"/>
          <w:szCs w:val="22"/>
        </w:rPr>
        <w:t xml:space="preserve"> month </w:t>
      </w:r>
      <w:proofErr w:type="spellStart"/>
      <w:r w:rsidR="00761A13" w:rsidRPr="00A02CA2">
        <w:rPr>
          <w:rFonts w:ascii="Segoe UI" w:hAnsi="Segoe UI" w:cs="Segoe UI"/>
          <w:sz w:val="22"/>
          <w:szCs w:val="22"/>
        </w:rPr>
        <w:t>utilising</w:t>
      </w:r>
      <w:proofErr w:type="spellEnd"/>
      <w:r w:rsidR="00761A13" w:rsidRPr="00A02CA2">
        <w:rPr>
          <w:rFonts w:ascii="Segoe UI" w:hAnsi="Segoe UI" w:cs="Segoe UI"/>
          <w:sz w:val="22"/>
          <w:szCs w:val="22"/>
        </w:rPr>
        <w:t xml:space="preserve"> a total of </w:t>
      </w:r>
      <w:r w:rsidRPr="00A02CA2">
        <w:rPr>
          <w:rFonts w:ascii="Segoe UI" w:hAnsi="Segoe UI" w:cs="Segoe UI"/>
          <w:sz w:val="22"/>
          <w:szCs w:val="22"/>
        </w:rPr>
        <w:t>1</w:t>
      </w:r>
      <w:r w:rsidR="00EE0DA6" w:rsidRPr="00A02CA2">
        <w:rPr>
          <w:rFonts w:ascii="Segoe UI" w:hAnsi="Segoe UI" w:cs="Segoe UI"/>
          <w:sz w:val="22"/>
          <w:szCs w:val="22"/>
        </w:rPr>
        <w:t>0</w:t>
      </w:r>
      <w:r w:rsidRPr="00A02CA2">
        <w:rPr>
          <w:rFonts w:ascii="Segoe UI" w:hAnsi="Segoe UI" w:cs="Segoe UI"/>
          <w:sz w:val="22"/>
          <w:szCs w:val="22"/>
        </w:rPr>
        <w:t>5</w:t>
      </w:r>
      <w:r w:rsidR="00761A13" w:rsidRPr="00A02CA2">
        <w:rPr>
          <w:rFonts w:ascii="Segoe UI" w:hAnsi="Segoe UI" w:cs="Segoe UI"/>
          <w:sz w:val="22"/>
          <w:szCs w:val="22"/>
        </w:rPr>
        <w:t xml:space="preserve"> bed days in the month.  The distance from patients’ home to placements ranged from </w:t>
      </w:r>
      <w:r w:rsidRPr="00A02CA2">
        <w:rPr>
          <w:rFonts w:ascii="Segoe UI" w:hAnsi="Segoe UI" w:cs="Segoe UI"/>
          <w:sz w:val="22"/>
          <w:szCs w:val="22"/>
        </w:rPr>
        <w:t>28.9</w:t>
      </w:r>
      <w:r w:rsidR="00761A13" w:rsidRPr="00A02CA2">
        <w:rPr>
          <w:rFonts w:ascii="Segoe UI" w:hAnsi="Segoe UI" w:cs="Segoe UI"/>
          <w:sz w:val="22"/>
          <w:szCs w:val="22"/>
        </w:rPr>
        <w:t xml:space="preserve"> to </w:t>
      </w:r>
      <w:r w:rsidRPr="00A02CA2">
        <w:rPr>
          <w:rFonts w:ascii="Segoe UI" w:hAnsi="Segoe UI" w:cs="Segoe UI"/>
          <w:sz w:val="22"/>
          <w:szCs w:val="22"/>
        </w:rPr>
        <w:t>88.6</w:t>
      </w:r>
      <w:r w:rsidR="00761A13" w:rsidRPr="00A02CA2">
        <w:rPr>
          <w:rFonts w:ascii="Segoe UI" w:hAnsi="Segoe UI" w:cs="Segoe UI"/>
          <w:sz w:val="22"/>
          <w:szCs w:val="22"/>
        </w:rPr>
        <w:t xml:space="preserve"> miles, with the average distance being </w:t>
      </w:r>
      <w:r w:rsidR="00EE0DA6" w:rsidRPr="00A02CA2">
        <w:rPr>
          <w:rFonts w:ascii="Segoe UI" w:hAnsi="Segoe UI" w:cs="Segoe UI"/>
          <w:sz w:val="22"/>
          <w:szCs w:val="22"/>
        </w:rPr>
        <w:t>57</w:t>
      </w:r>
      <w:r w:rsidR="00991DE2" w:rsidRPr="00A02CA2">
        <w:rPr>
          <w:rFonts w:ascii="Segoe UI" w:hAnsi="Segoe UI" w:cs="Segoe UI"/>
          <w:sz w:val="22"/>
          <w:szCs w:val="22"/>
        </w:rPr>
        <w:t xml:space="preserve"> </w:t>
      </w:r>
      <w:r w:rsidR="00761A13" w:rsidRPr="00A02CA2">
        <w:rPr>
          <w:rFonts w:ascii="Segoe UI" w:hAnsi="Segoe UI" w:cs="Segoe UI"/>
          <w:sz w:val="22"/>
          <w:szCs w:val="22"/>
        </w:rPr>
        <w:t>miles.</w:t>
      </w:r>
      <w:r w:rsidR="004C22CE" w:rsidRPr="00A02CA2">
        <w:rPr>
          <w:rFonts w:ascii="Segoe UI" w:hAnsi="Segoe UI" w:cs="Segoe UI"/>
          <w:sz w:val="22"/>
          <w:szCs w:val="22"/>
        </w:rPr>
        <w:t xml:space="preserve"> </w:t>
      </w:r>
    </w:p>
    <w:p w14:paraId="353EC608" w14:textId="767484FA" w:rsidR="002C536E" w:rsidRPr="00A02CA2" w:rsidRDefault="002C536E" w:rsidP="00761A13">
      <w:pPr>
        <w:ind w:left="426"/>
        <w:jc w:val="both"/>
        <w:rPr>
          <w:rFonts w:ascii="Segoe UI" w:hAnsi="Segoe UI" w:cs="Segoe UI"/>
          <w:sz w:val="22"/>
          <w:szCs w:val="22"/>
        </w:rPr>
      </w:pPr>
    </w:p>
    <w:p w14:paraId="3AC0B27E" w14:textId="3FF38C16" w:rsidR="007D0488" w:rsidRPr="00A02CA2" w:rsidRDefault="007D0488" w:rsidP="007D0488">
      <w:pPr>
        <w:jc w:val="both"/>
        <w:rPr>
          <w:rFonts w:ascii="Segoe UI" w:hAnsi="Segoe UI" w:cs="Segoe UI"/>
          <w:b/>
          <w:sz w:val="22"/>
          <w:szCs w:val="22"/>
        </w:rPr>
      </w:pPr>
      <w:r w:rsidRPr="00A02CA2">
        <w:rPr>
          <w:rFonts w:ascii="Segoe UI" w:hAnsi="Segoe UI" w:cs="Segoe UI"/>
          <w:b/>
          <w:sz w:val="22"/>
          <w:szCs w:val="22"/>
        </w:rPr>
        <w:t xml:space="preserve">Performance by Directorate in </w:t>
      </w:r>
      <w:r w:rsidR="00CD0C95" w:rsidRPr="00A02CA2">
        <w:rPr>
          <w:rFonts w:ascii="Segoe UI" w:hAnsi="Segoe UI" w:cs="Segoe UI"/>
          <w:b/>
          <w:sz w:val="22"/>
          <w:szCs w:val="22"/>
        </w:rPr>
        <w:t>December</w:t>
      </w:r>
      <w:r w:rsidRPr="00A02CA2">
        <w:rPr>
          <w:rFonts w:ascii="Segoe UI" w:hAnsi="Segoe UI" w:cs="Segoe UI"/>
          <w:b/>
          <w:sz w:val="22"/>
          <w:szCs w:val="22"/>
        </w:rPr>
        <w:t xml:space="preserve"> 2019:</w:t>
      </w:r>
    </w:p>
    <w:p w14:paraId="0D8C5907" w14:textId="77777777" w:rsidR="007D0488" w:rsidRPr="00A02CA2" w:rsidRDefault="007D0488" w:rsidP="007D0488">
      <w:pPr>
        <w:jc w:val="both"/>
        <w:rPr>
          <w:rFonts w:ascii="Segoe UI" w:hAnsi="Segoe UI" w:cs="Segoe UI"/>
          <w:b/>
          <w:sz w:val="22"/>
          <w:szCs w:val="22"/>
        </w:rPr>
      </w:pPr>
    </w:p>
    <w:p w14:paraId="5C401F6F" w14:textId="3C4DB2AF" w:rsidR="007D0488" w:rsidRPr="00A02CA2" w:rsidRDefault="007D0488" w:rsidP="007D0488">
      <w:pPr>
        <w:jc w:val="both"/>
        <w:rPr>
          <w:rFonts w:ascii="Segoe UI" w:eastAsia="Calibri" w:hAnsi="Segoe UI" w:cs="Segoe UI"/>
          <w:sz w:val="22"/>
          <w:szCs w:val="22"/>
          <w:highlight w:val="yellow"/>
        </w:rPr>
      </w:pPr>
      <w:r w:rsidRPr="00A02CA2">
        <w:rPr>
          <w:rFonts w:ascii="Segoe UI" w:eastAsia="Calibri" w:hAnsi="Segoe UI" w:cs="Segoe UI"/>
          <w:b/>
          <w:bCs/>
          <w:sz w:val="22"/>
          <w:szCs w:val="22"/>
          <w:u w:val="single"/>
        </w:rPr>
        <w:t xml:space="preserve">Oxfordshire, Swindon, Wiltshire &amp; </w:t>
      </w:r>
      <w:proofErr w:type="spellStart"/>
      <w:r w:rsidRPr="00A02CA2">
        <w:rPr>
          <w:rFonts w:ascii="Segoe UI" w:eastAsia="Calibri" w:hAnsi="Segoe UI" w:cs="Segoe UI"/>
          <w:b/>
          <w:bCs/>
          <w:sz w:val="22"/>
          <w:szCs w:val="22"/>
          <w:u w:val="single"/>
        </w:rPr>
        <w:t>BaNES</w:t>
      </w:r>
      <w:proofErr w:type="spellEnd"/>
      <w:r w:rsidRPr="00A02CA2">
        <w:rPr>
          <w:rFonts w:ascii="Segoe UI" w:eastAsia="Calibri" w:hAnsi="Segoe UI" w:cs="Segoe UI"/>
          <w:b/>
          <w:bCs/>
          <w:sz w:val="22"/>
          <w:szCs w:val="22"/>
          <w:u w:val="single"/>
        </w:rPr>
        <w:t xml:space="preserve"> – All Ages Mental Health</w:t>
      </w:r>
      <w:r w:rsidRPr="00A02CA2">
        <w:rPr>
          <w:rFonts w:ascii="Segoe UI" w:eastAsia="Calibri" w:hAnsi="Segoe UI" w:cs="Segoe UI"/>
          <w:b/>
          <w:bCs/>
          <w:sz w:val="22"/>
          <w:szCs w:val="22"/>
        </w:rPr>
        <w:t xml:space="preserve"> </w:t>
      </w:r>
      <w:r w:rsidRPr="00A02CA2">
        <w:rPr>
          <w:rFonts w:ascii="Segoe UI" w:eastAsia="Calibri" w:hAnsi="Segoe UI" w:cs="Segoe UI"/>
          <w:sz w:val="22"/>
          <w:szCs w:val="22"/>
        </w:rPr>
        <w:t xml:space="preserve">achieved </w:t>
      </w:r>
      <w:r w:rsidR="004E38C0" w:rsidRPr="00A02CA2">
        <w:rPr>
          <w:rFonts w:ascii="Segoe UI" w:eastAsia="Calibri" w:hAnsi="Segoe UI" w:cs="Segoe UI"/>
          <w:sz w:val="22"/>
          <w:szCs w:val="22"/>
        </w:rPr>
        <w:t>11</w:t>
      </w:r>
      <w:r w:rsidR="00A02CA2" w:rsidRPr="00A02CA2">
        <w:rPr>
          <w:rFonts w:ascii="Segoe UI" w:eastAsia="Calibri" w:hAnsi="Segoe UI" w:cs="Segoe UI"/>
          <w:sz w:val="22"/>
          <w:szCs w:val="22"/>
        </w:rPr>
        <w:t>3</w:t>
      </w:r>
      <w:r w:rsidRPr="00A02CA2">
        <w:rPr>
          <w:rFonts w:ascii="Segoe UI" w:eastAsia="Calibri" w:hAnsi="Segoe UI" w:cs="Segoe UI"/>
          <w:sz w:val="22"/>
          <w:szCs w:val="22"/>
        </w:rPr>
        <w:t xml:space="preserve"> of the 1</w:t>
      </w:r>
      <w:r w:rsidR="004E38C0" w:rsidRPr="00A02CA2">
        <w:rPr>
          <w:rFonts w:ascii="Segoe UI" w:eastAsia="Calibri" w:hAnsi="Segoe UI" w:cs="Segoe UI"/>
          <w:sz w:val="22"/>
          <w:szCs w:val="22"/>
        </w:rPr>
        <w:t>4</w:t>
      </w:r>
      <w:r w:rsidR="00A02CA2" w:rsidRPr="00A02CA2">
        <w:rPr>
          <w:rFonts w:ascii="Segoe UI" w:eastAsia="Calibri" w:hAnsi="Segoe UI" w:cs="Segoe UI"/>
          <w:sz w:val="22"/>
          <w:szCs w:val="22"/>
        </w:rPr>
        <w:t>3</w:t>
      </w:r>
      <w:r w:rsidRPr="00A02CA2">
        <w:rPr>
          <w:rFonts w:ascii="Segoe UI" w:eastAsia="Calibri" w:hAnsi="Segoe UI" w:cs="Segoe UI"/>
          <w:sz w:val="22"/>
          <w:szCs w:val="22"/>
        </w:rPr>
        <w:t xml:space="preserve"> targeted indicators (</w:t>
      </w:r>
      <w:r w:rsidR="00F06D8D" w:rsidRPr="00A02CA2">
        <w:rPr>
          <w:rFonts w:ascii="Segoe UI" w:eastAsia="Calibri" w:hAnsi="Segoe UI" w:cs="Segoe UI"/>
          <w:sz w:val="22"/>
          <w:szCs w:val="22"/>
        </w:rPr>
        <w:t>7</w:t>
      </w:r>
      <w:r w:rsidR="004E38C0" w:rsidRPr="00A02CA2">
        <w:rPr>
          <w:rFonts w:ascii="Segoe UI" w:eastAsia="Calibri" w:hAnsi="Segoe UI" w:cs="Segoe UI"/>
          <w:sz w:val="22"/>
          <w:szCs w:val="22"/>
        </w:rPr>
        <w:t>9</w:t>
      </w:r>
      <w:r w:rsidRPr="00A02CA2">
        <w:rPr>
          <w:rFonts w:ascii="Segoe UI" w:eastAsia="Calibri" w:hAnsi="Segoe UI" w:cs="Segoe UI"/>
          <w:sz w:val="22"/>
          <w:szCs w:val="22"/>
        </w:rPr>
        <w:t xml:space="preserve">%) </w:t>
      </w:r>
    </w:p>
    <w:p w14:paraId="2302C084" w14:textId="77777777" w:rsidR="007D0488" w:rsidRPr="00A02CA2" w:rsidRDefault="007D0488" w:rsidP="007D0488">
      <w:pPr>
        <w:jc w:val="both"/>
        <w:rPr>
          <w:rFonts w:ascii="Segoe UI" w:eastAsia="Calibri" w:hAnsi="Segoe UI" w:cs="Segoe UI"/>
          <w:sz w:val="22"/>
          <w:szCs w:val="22"/>
          <w:highlight w:val="yellow"/>
        </w:rPr>
      </w:pPr>
    </w:p>
    <w:p w14:paraId="3BA03D9A" w14:textId="77777777" w:rsidR="007D0488" w:rsidRPr="00A02CA2" w:rsidRDefault="007D0488" w:rsidP="007D0488">
      <w:pPr>
        <w:jc w:val="both"/>
        <w:rPr>
          <w:rFonts w:ascii="Segoe UI" w:eastAsia="Calibri" w:hAnsi="Segoe UI" w:cs="Segoe UI"/>
          <w:b/>
          <w:bCs/>
          <w:sz w:val="22"/>
          <w:szCs w:val="22"/>
        </w:rPr>
      </w:pPr>
      <w:r w:rsidRPr="00A02CA2">
        <w:rPr>
          <w:rFonts w:ascii="Segoe UI" w:eastAsia="Calibri" w:hAnsi="Segoe UI" w:cs="Segoe UI"/>
          <w:b/>
          <w:bCs/>
          <w:sz w:val="22"/>
          <w:szCs w:val="22"/>
        </w:rPr>
        <w:t>Highlights for the Board:</w:t>
      </w:r>
    </w:p>
    <w:p w14:paraId="0B435CD0" w14:textId="77777777" w:rsidR="008E51D5" w:rsidRPr="00A02CA2" w:rsidRDefault="008E51D5" w:rsidP="008E51D5">
      <w:pPr>
        <w:ind w:left="720"/>
        <w:jc w:val="both"/>
        <w:rPr>
          <w:rFonts w:ascii="Segoe UI" w:eastAsiaTheme="minorHAnsi" w:hAnsi="Segoe UI" w:cs="Segoe UI"/>
          <w:b/>
          <w:bCs/>
          <w:sz w:val="22"/>
          <w:szCs w:val="22"/>
        </w:rPr>
      </w:pPr>
    </w:p>
    <w:p w14:paraId="324C5DC5" w14:textId="3274150F" w:rsidR="008E51D5" w:rsidRPr="00A02CA2" w:rsidRDefault="008E51D5" w:rsidP="008E51D5">
      <w:pPr>
        <w:numPr>
          <w:ilvl w:val="0"/>
          <w:numId w:val="24"/>
        </w:numPr>
        <w:jc w:val="both"/>
        <w:rPr>
          <w:rFonts w:ascii="Segoe UI" w:hAnsi="Segoe UI" w:cs="Segoe UI"/>
          <w:b/>
          <w:bCs/>
          <w:sz w:val="22"/>
          <w:szCs w:val="22"/>
        </w:rPr>
      </w:pPr>
      <w:r w:rsidRPr="00A02CA2">
        <w:rPr>
          <w:rFonts w:ascii="Segoe UI" w:hAnsi="Segoe UI" w:cs="Segoe UI"/>
          <w:b/>
          <w:bCs/>
          <w:sz w:val="22"/>
          <w:szCs w:val="22"/>
        </w:rPr>
        <w:t>CAMHS (Swindon, Wiltshire, Bath and North East Somerset (</w:t>
      </w:r>
      <w:proofErr w:type="spellStart"/>
      <w:r w:rsidRPr="00A02CA2">
        <w:rPr>
          <w:rFonts w:ascii="Segoe UI" w:hAnsi="Segoe UI" w:cs="Segoe UI"/>
          <w:b/>
          <w:bCs/>
          <w:sz w:val="22"/>
          <w:szCs w:val="22"/>
        </w:rPr>
        <w:t>BaNES</w:t>
      </w:r>
      <w:proofErr w:type="spellEnd"/>
      <w:r w:rsidRPr="00A02CA2">
        <w:rPr>
          <w:rFonts w:ascii="Segoe UI" w:hAnsi="Segoe UI" w:cs="Segoe UI"/>
          <w:b/>
          <w:bCs/>
          <w:sz w:val="22"/>
          <w:szCs w:val="22"/>
        </w:rPr>
        <w:t xml:space="preserve">)) – </w:t>
      </w:r>
      <w:r w:rsidRPr="00A02CA2">
        <w:rPr>
          <w:rFonts w:ascii="Segoe UI" w:hAnsi="Segoe UI" w:cs="Segoe UI"/>
          <w:sz w:val="22"/>
          <w:szCs w:val="22"/>
        </w:rPr>
        <w:t xml:space="preserve">A comprehensive waiting time improvement plan is now in progress and although commissioner targets have not yet been achieved, </w:t>
      </w:r>
      <w:r w:rsidR="007019A5">
        <w:rPr>
          <w:rFonts w:ascii="Segoe UI" w:hAnsi="Segoe UI" w:cs="Segoe UI"/>
          <w:sz w:val="22"/>
          <w:szCs w:val="22"/>
        </w:rPr>
        <w:t xml:space="preserve">continuous </w:t>
      </w:r>
      <w:r w:rsidRPr="00A02CA2">
        <w:rPr>
          <w:rFonts w:ascii="Segoe UI" w:hAnsi="Segoe UI" w:cs="Segoe UI"/>
          <w:sz w:val="22"/>
          <w:szCs w:val="22"/>
        </w:rPr>
        <w:t xml:space="preserve">improvements have been seen in 4 week waiting times in </w:t>
      </w:r>
      <w:proofErr w:type="spellStart"/>
      <w:r w:rsidRPr="00A02CA2">
        <w:rPr>
          <w:rFonts w:ascii="Segoe UI" w:hAnsi="Segoe UI" w:cs="Segoe UI"/>
          <w:sz w:val="22"/>
          <w:szCs w:val="22"/>
        </w:rPr>
        <w:t>BaNES</w:t>
      </w:r>
      <w:proofErr w:type="spellEnd"/>
      <w:r w:rsidRPr="00A02CA2">
        <w:rPr>
          <w:rFonts w:ascii="Segoe UI" w:hAnsi="Segoe UI" w:cs="Segoe UI"/>
          <w:sz w:val="22"/>
          <w:szCs w:val="22"/>
        </w:rPr>
        <w:t xml:space="preserve"> &amp; Wiltshire</w:t>
      </w:r>
      <w:r w:rsidR="007019A5">
        <w:rPr>
          <w:rFonts w:ascii="Segoe UI" w:hAnsi="Segoe UI" w:cs="Segoe UI"/>
          <w:sz w:val="22"/>
          <w:szCs w:val="22"/>
        </w:rPr>
        <w:t xml:space="preserve"> since April 2019 with a </w:t>
      </w:r>
      <w:r w:rsidR="0043075E">
        <w:rPr>
          <w:rFonts w:ascii="Segoe UI" w:hAnsi="Segoe UI" w:cs="Segoe UI"/>
          <w:sz w:val="22"/>
          <w:szCs w:val="22"/>
        </w:rPr>
        <w:t xml:space="preserve">small </w:t>
      </w:r>
      <w:r w:rsidR="00154D67">
        <w:rPr>
          <w:rFonts w:ascii="Segoe UI" w:hAnsi="Segoe UI" w:cs="Segoe UI"/>
          <w:sz w:val="22"/>
          <w:szCs w:val="22"/>
        </w:rPr>
        <w:t xml:space="preserve">exception </w:t>
      </w:r>
      <w:r w:rsidR="0043075E">
        <w:rPr>
          <w:rFonts w:ascii="Segoe UI" w:hAnsi="Segoe UI" w:cs="Segoe UI"/>
          <w:sz w:val="22"/>
          <w:szCs w:val="22"/>
        </w:rPr>
        <w:t>in November 2019.</w:t>
      </w:r>
    </w:p>
    <w:p w14:paraId="36B62FF9" w14:textId="77777777" w:rsidR="008E51D5" w:rsidRPr="00A02CA2" w:rsidRDefault="008E51D5" w:rsidP="008E51D5">
      <w:pPr>
        <w:pStyle w:val="ListParagraph"/>
        <w:rPr>
          <w:rFonts w:ascii="Segoe UI" w:eastAsiaTheme="minorHAnsi" w:hAnsi="Segoe UI" w:cs="Segoe UI"/>
          <w:b/>
          <w:bCs/>
          <w:sz w:val="22"/>
          <w:szCs w:val="22"/>
        </w:rPr>
      </w:pPr>
    </w:p>
    <w:p w14:paraId="46D80E8C" w14:textId="7020CAA3" w:rsidR="00A02CA2" w:rsidRPr="0043075E" w:rsidRDefault="00EB0913" w:rsidP="008E51D5">
      <w:pPr>
        <w:numPr>
          <w:ilvl w:val="0"/>
          <w:numId w:val="24"/>
        </w:numPr>
        <w:jc w:val="both"/>
        <w:rPr>
          <w:rFonts w:ascii="Segoe UI" w:hAnsi="Segoe UI" w:cs="Segoe UI"/>
          <w:b/>
          <w:bCs/>
          <w:sz w:val="22"/>
          <w:szCs w:val="22"/>
          <w:lang w:val="en-GB"/>
        </w:rPr>
      </w:pPr>
      <w:r>
        <w:rPr>
          <w:rFonts w:ascii="Segoe UI" w:hAnsi="Segoe UI" w:cs="Segoe UI"/>
          <w:b/>
          <w:bCs/>
          <w:sz w:val="22"/>
          <w:szCs w:val="22"/>
          <w:lang w:val="en-GB"/>
        </w:rPr>
        <w:t xml:space="preserve">Perinatal non-urgent assessments </w:t>
      </w:r>
      <w:r w:rsidR="004D7D57">
        <w:rPr>
          <w:rFonts w:ascii="Segoe UI" w:hAnsi="Segoe UI" w:cs="Segoe UI"/>
          <w:b/>
          <w:bCs/>
          <w:sz w:val="22"/>
          <w:szCs w:val="22"/>
          <w:lang w:val="en-GB"/>
        </w:rPr>
        <w:t>–</w:t>
      </w:r>
      <w:r>
        <w:rPr>
          <w:rFonts w:ascii="Segoe UI" w:hAnsi="Segoe UI" w:cs="Segoe UI"/>
          <w:b/>
          <w:bCs/>
          <w:sz w:val="22"/>
          <w:szCs w:val="22"/>
          <w:lang w:val="en-GB"/>
        </w:rPr>
        <w:t xml:space="preserve"> </w:t>
      </w:r>
      <w:r w:rsidR="004D7D57">
        <w:rPr>
          <w:rFonts w:ascii="Segoe UI" w:hAnsi="Segoe UI" w:cs="Segoe UI"/>
          <w:bCs/>
          <w:sz w:val="22"/>
          <w:szCs w:val="22"/>
          <w:lang w:val="en-GB"/>
        </w:rPr>
        <w:t>Significant improvements have been reported in December (</w:t>
      </w:r>
      <w:r>
        <w:rPr>
          <w:rFonts w:ascii="Segoe UI" w:hAnsi="Segoe UI" w:cs="Segoe UI"/>
          <w:bCs/>
          <w:sz w:val="22"/>
          <w:szCs w:val="22"/>
          <w:lang w:val="en-GB"/>
        </w:rPr>
        <w:t xml:space="preserve">28%) despite workforce shortages within the Service. </w:t>
      </w:r>
    </w:p>
    <w:p w14:paraId="1B59F251" w14:textId="77777777" w:rsidR="0043075E" w:rsidRDefault="0043075E" w:rsidP="0043075E">
      <w:pPr>
        <w:pStyle w:val="ListParagraph"/>
        <w:rPr>
          <w:rFonts w:ascii="Segoe UI" w:hAnsi="Segoe UI" w:cs="Segoe UI"/>
          <w:b/>
          <w:bCs/>
          <w:sz w:val="22"/>
          <w:szCs w:val="22"/>
          <w:lang w:val="en-GB"/>
        </w:rPr>
      </w:pPr>
    </w:p>
    <w:p w14:paraId="4ED6A3E2" w14:textId="42364B85" w:rsidR="0043075E" w:rsidRPr="00A02CA2" w:rsidRDefault="0043075E" w:rsidP="008E51D5">
      <w:pPr>
        <w:numPr>
          <w:ilvl w:val="0"/>
          <w:numId w:val="24"/>
        </w:numPr>
        <w:jc w:val="both"/>
        <w:rPr>
          <w:rFonts w:ascii="Segoe UI" w:hAnsi="Segoe UI" w:cs="Segoe UI"/>
          <w:b/>
          <w:bCs/>
          <w:sz w:val="22"/>
          <w:szCs w:val="22"/>
          <w:lang w:val="en-GB"/>
        </w:rPr>
      </w:pPr>
      <w:r>
        <w:rPr>
          <w:rFonts w:ascii="Segoe UI" w:hAnsi="Segoe UI" w:cs="Segoe UI"/>
          <w:b/>
          <w:bCs/>
          <w:sz w:val="22"/>
          <w:szCs w:val="22"/>
          <w:lang w:val="en-GB"/>
        </w:rPr>
        <w:lastRenderedPageBreak/>
        <w:t>Physical Health</w:t>
      </w:r>
      <w:r w:rsidR="004D7D57">
        <w:rPr>
          <w:rFonts w:ascii="Segoe UI" w:hAnsi="Segoe UI" w:cs="Segoe UI"/>
          <w:b/>
          <w:bCs/>
          <w:sz w:val="22"/>
          <w:szCs w:val="22"/>
          <w:lang w:val="en-GB"/>
        </w:rPr>
        <w:t xml:space="preserve"> Checks</w:t>
      </w:r>
      <w:r>
        <w:rPr>
          <w:rFonts w:ascii="Segoe UI" w:hAnsi="Segoe UI" w:cs="Segoe UI"/>
          <w:b/>
          <w:bCs/>
          <w:sz w:val="22"/>
          <w:szCs w:val="22"/>
          <w:lang w:val="en-GB"/>
        </w:rPr>
        <w:t xml:space="preserve"> </w:t>
      </w:r>
      <w:r w:rsidR="00154D67">
        <w:rPr>
          <w:rFonts w:ascii="Segoe UI" w:hAnsi="Segoe UI" w:cs="Segoe UI"/>
          <w:b/>
          <w:bCs/>
          <w:sz w:val="22"/>
          <w:szCs w:val="22"/>
          <w:lang w:val="en-GB"/>
        </w:rPr>
        <w:t>–</w:t>
      </w:r>
      <w:r>
        <w:rPr>
          <w:rFonts w:ascii="Segoe UI" w:hAnsi="Segoe UI" w:cs="Segoe UI"/>
          <w:b/>
          <w:bCs/>
          <w:sz w:val="22"/>
          <w:szCs w:val="22"/>
          <w:lang w:val="en-GB"/>
        </w:rPr>
        <w:t xml:space="preserve"> </w:t>
      </w:r>
      <w:r w:rsidR="004D7D57">
        <w:rPr>
          <w:rFonts w:ascii="Segoe UI" w:hAnsi="Segoe UI" w:cs="Segoe UI"/>
          <w:bCs/>
          <w:sz w:val="22"/>
          <w:szCs w:val="22"/>
          <w:lang w:val="en-GB"/>
        </w:rPr>
        <w:t xml:space="preserve">There has been a </w:t>
      </w:r>
      <w:r w:rsidR="00154D67">
        <w:rPr>
          <w:rFonts w:ascii="Segoe UI" w:hAnsi="Segoe UI" w:cs="Segoe UI"/>
          <w:bCs/>
          <w:sz w:val="22"/>
          <w:szCs w:val="22"/>
          <w:lang w:val="en-GB"/>
        </w:rPr>
        <w:t xml:space="preserve">sharp decline in performance </w:t>
      </w:r>
      <w:r w:rsidR="004D7D57">
        <w:rPr>
          <w:rFonts w:ascii="Segoe UI" w:hAnsi="Segoe UI" w:cs="Segoe UI"/>
          <w:bCs/>
          <w:sz w:val="22"/>
          <w:szCs w:val="22"/>
          <w:lang w:val="en-GB"/>
        </w:rPr>
        <w:t>as</w:t>
      </w:r>
      <w:r w:rsidR="00154D67">
        <w:rPr>
          <w:rFonts w:ascii="Segoe UI" w:hAnsi="Segoe UI" w:cs="Segoe UI"/>
          <w:bCs/>
          <w:sz w:val="22"/>
          <w:szCs w:val="22"/>
          <w:lang w:val="en-GB"/>
        </w:rPr>
        <w:t xml:space="preserve"> a result of changes in reporting methodology. </w:t>
      </w:r>
      <w:r w:rsidR="004D7D57">
        <w:rPr>
          <w:rFonts w:ascii="Segoe UI" w:hAnsi="Segoe UI" w:cs="Segoe UI"/>
          <w:bCs/>
          <w:sz w:val="22"/>
          <w:szCs w:val="22"/>
          <w:lang w:val="en-GB"/>
        </w:rPr>
        <w:t xml:space="preserve">Work is currently underway to understand the root cause of the issue and a further update will be provided at the next Board.  </w:t>
      </w:r>
    </w:p>
    <w:p w14:paraId="760ED57C" w14:textId="77777777" w:rsidR="008E51D5" w:rsidRPr="00A02CA2" w:rsidRDefault="008E51D5" w:rsidP="008E51D5">
      <w:pPr>
        <w:rPr>
          <w:rFonts w:ascii="Calibri" w:eastAsiaTheme="minorHAnsi" w:hAnsi="Calibri" w:cs="Calibri"/>
          <w:sz w:val="22"/>
          <w:szCs w:val="22"/>
        </w:rPr>
      </w:pPr>
    </w:p>
    <w:p w14:paraId="652B1614" w14:textId="77777777" w:rsidR="007D0488" w:rsidRPr="00A02CA2" w:rsidRDefault="007D0488" w:rsidP="007D0488">
      <w:pPr>
        <w:pStyle w:val="ListParagraph"/>
        <w:rPr>
          <w:rFonts w:ascii="Segoe UI" w:eastAsia="Calibri" w:hAnsi="Segoe UI" w:cs="Segoe UI"/>
          <w:sz w:val="22"/>
          <w:szCs w:val="22"/>
          <w:highlight w:val="yellow"/>
        </w:rPr>
      </w:pPr>
    </w:p>
    <w:p w14:paraId="40FAEA49" w14:textId="5B0F249A" w:rsidR="007D0488" w:rsidRPr="00A02CA2" w:rsidRDefault="007D0488" w:rsidP="007D0488">
      <w:pPr>
        <w:jc w:val="both"/>
        <w:rPr>
          <w:rFonts w:ascii="Segoe UI" w:hAnsi="Segoe UI" w:cs="Segoe UI"/>
          <w:sz w:val="22"/>
          <w:szCs w:val="22"/>
          <w:highlight w:val="yellow"/>
        </w:rPr>
      </w:pPr>
      <w:r w:rsidRPr="00A02CA2">
        <w:rPr>
          <w:rFonts w:ascii="Segoe UI" w:hAnsi="Segoe UI" w:cs="Segoe UI"/>
          <w:b/>
          <w:sz w:val="22"/>
          <w:szCs w:val="22"/>
          <w:u w:val="single"/>
        </w:rPr>
        <w:t>Buckinghamshire – All Ages Mental Health</w:t>
      </w:r>
      <w:r w:rsidRPr="00A02CA2">
        <w:rPr>
          <w:rFonts w:ascii="Segoe UI" w:hAnsi="Segoe UI" w:cs="Segoe UI"/>
          <w:b/>
          <w:sz w:val="22"/>
          <w:szCs w:val="22"/>
        </w:rPr>
        <w:t xml:space="preserve"> </w:t>
      </w:r>
      <w:r w:rsidRPr="00A02CA2">
        <w:rPr>
          <w:rFonts w:ascii="Segoe UI" w:hAnsi="Segoe UI" w:cs="Segoe UI"/>
          <w:sz w:val="22"/>
          <w:szCs w:val="22"/>
        </w:rPr>
        <w:t xml:space="preserve">achieved </w:t>
      </w:r>
      <w:r w:rsidR="00CD0C95" w:rsidRPr="00A02CA2">
        <w:rPr>
          <w:rFonts w:ascii="Segoe UI" w:hAnsi="Segoe UI" w:cs="Segoe UI"/>
          <w:sz w:val="22"/>
          <w:szCs w:val="22"/>
        </w:rPr>
        <w:t>3</w:t>
      </w:r>
      <w:r w:rsidR="00A02CA2" w:rsidRPr="00A02CA2">
        <w:rPr>
          <w:rFonts w:ascii="Segoe UI" w:hAnsi="Segoe UI" w:cs="Segoe UI"/>
          <w:sz w:val="22"/>
          <w:szCs w:val="22"/>
        </w:rPr>
        <w:t>6</w:t>
      </w:r>
      <w:r w:rsidRPr="00A02CA2">
        <w:rPr>
          <w:rFonts w:ascii="Segoe UI" w:hAnsi="Segoe UI" w:cs="Segoe UI"/>
          <w:sz w:val="22"/>
          <w:szCs w:val="22"/>
        </w:rPr>
        <w:t xml:space="preserve"> of the 4</w:t>
      </w:r>
      <w:r w:rsidR="00A02CA2" w:rsidRPr="00A02CA2">
        <w:rPr>
          <w:rFonts w:ascii="Segoe UI" w:hAnsi="Segoe UI" w:cs="Segoe UI"/>
          <w:sz w:val="22"/>
          <w:szCs w:val="22"/>
        </w:rPr>
        <w:t>9</w:t>
      </w:r>
      <w:r w:rsidRPr="00A02CA2">
        <w:rPr>
          <w:rFonts w:ascii="Segoe UI" w:hAnsi="Segoe UI" w:cs="Segoe UI"/>
          <w:sz w:val="22"/>
          <w:szCs w:val="22"/>
        </w:rPr>
        <w:t xml:space="preserve"> commissioner targeted indicators (7</w:t>
      </w:r>
      <w:r w:rsidR="00F06D8D" w:rsidRPr="00A02CA2">
        <w:rPr>
          <w:rFonts w:ascii="Segoe UI" w:hAnsi="Segoe UI" w:cs="Segoe UI"/>
          <w:sz w:val="22"/>
          <w:szCs w:val="22"/>
        </w:rPr>
        <w:t>3</w:t>
      </w:r>
      <w:r w:rsidRPr="00A02CA2">
        <w:rPr>
          <w:rFonts w:ascii="Segoe UI" w:hAnsi="Segoe UI" w:cs="Segoe UI"/>
          <w:sz w:val="22"/>
          <w:szCs w:val="22"/>
        </w:rPr>
        <w:t xml:space="preserve">%).  </w:t>
      </w:r>
    </w:p>
    <w:p w14:paraId="74FAD75F" w14:textId="77777777" w:rsidR="007D0488" w:rsidRPr="00A02CA2" w:rsidRDefault="007D0488" w:rsidP="007D0488">
      <w:pPr>
        <w:jc w:val="both"/>
        <w:rPr>
          <w:rFonts w:ascii="Segoe UI" w:hAnsi="Segoe UI" w:cs="Segoe UI"/>
          <w:b/>
          <w:sz w:val="22"/>
          <w:szCs w:val="22"/>
          <w:highlight w:val="yellow"/>
        </w:rPr>
      </w:pPr>
    </w:p>
    <w:p w14:paraId="56254415" w14:textId="77777777" w:rsidR="007D0488" w:rsidRPr="00A02CA2" w:rsidRDefault="007D0488" w:rsidP="007D0488">
      <w:pPr>
        <w:jc w:val="both"/>
        <w:rPr>
          <w:rFonts w:ascii="Segoe UI" w:hAnsi="Segoe UI" w:cs="Segoe UI"/>
          <w:b/>
          <w:sz w:val="22"/>
          <w:szCs w:val="22"/>
        </w:rPr>
      </w:pPr>
      <w:r w:rsidRPr="00A02CA2">
        <w:rPr>
          <w:rFonts w:ascii="Segoe UI" w:hAnsi="Segoe UI" w:cs="Segoe UI"/>
          <w:b/>
          <w:sz w:val="22"/>
          <w:szCs w:val="22"/>
        </w:rPr>
        <w:t>Highlights for the Board:</w:t>
      </w:r>
    </w:p>
    <w:p w14:paraId="6EB1BB1C" w14:textId="77777777" w:rsidR="007D0488" w:rsidRPr="00A02CA2" w:rsidRDefault="007D0488" w:rsidP="007D0488">
      <w:pPr>
        <w:jc w:val="both"/>
        <w:rPr>
          <w:rFonts w:ascii="Segoe UI" w:hAnsi="Segoe UI" w:cs="Segoe UI"/>
          <w:b/>
          <w:sz w:val="22"/>
          <w:szCs w:val="22"/>
        </w:rPr>
      </w:pPr>
    </w:p>
    <w:p w14:paraId="33640713" w14:textId="6E2D1D54" w:rsidR="007D0488" w:rsidRPr="0043075E" w:rsidRDefault="007D0488" w:rsidP="007D0488">
      <w:pPr>
        <w:pStyle w:val="ListParagraph"/>
        <w:numPr>
          <w:ilvl w:val="0"/>
          <w:numId w:val="19"/>
        </w:numPr>
        <w:jc w:val="both"/>
        <w:rPr>
          <w:rFonts w:ascii="Segoe UI" w:hAnsi="Segoe UI" w:cs="Segoe UI"/>
          <w:b/>
          <w:bCs/>
          <w:sz w:val="22"/>
          <w:szCs w:val="22"/>
        </w:rPr>
      </w:pPr>
      <w:r w:rsidRPr="00A02CA2">
        <w:rPr>
          <w:rFonts w:ascii="Segoe UI" w:hAnsi="Segoe UI" w:cs="Segoe UI"/>
          <w:b/>
          <w:bCs/>
          <w:sz w:val="22"/>
          <w:szCs w:val="22"/>
        </w:rPr>
        <w:t xml:space="preserve">Bucks Care Reviews – </w:t>
      </w:r>
      <w:r w:rsidRPr="00A02CA2">
        <w:rPr>
          <w:rFonts w:ascii="Segoe UI" w:hAnsi="Segoe UI" w:cs="Segoe UI"/>
          <w:bCs/>
          <w:sz w:val="22"/>
          <w:szCs w:val="22"/>
        </w:rPr>
        <w:t xml:space="preserve">Ensuring that Care Reviews are carried out within the timeframes set out in the clusters continue to be an area of underperformance for the Directorate.  As with Oxfordshire, the dashboard was rolled out to operational services in October.  </w:t>
      </w:r>
      <w:r w:rsidR="0043075E">
        <w:rPr>
          <w:rFonts w:ascii="Segoe UI" w:hAnsi="Segoe UI" w:cs="Segoe UI"/>
          <w:bCs/>
          <w:sz w:val="22"/>
          <w:szCs w:val="22"/>
        </w:rPr>
        <w:t>No improvement has been noted so far, p</w:t>
      </w:r>
      <w:r w:rsidR="0043075E" w:rsidRPr="00A02CA2">
        <w:rPr>
          <w:rFonts w:ascii="Segoe UI" w:hAnsi="Segoe UI" w:cs="Segoe UI"/>
          <w:bCs/>
          <w:sz w:val="22"/>
          <w:szCs w:val="22"/>
        </w:rPr>
        <w:t xml:space="preserve">erformance will continue to be monitored </w:t>
      </w:r>
      <w:r w:rsidR="0043075E">
        <w:rPr>
          <w:rFonts w:ascii="Segoe UI" w:hAnsi="Segoe UI" w:cs="Segoe UI"/>
          <w:bCs/>
          <w:sz w:val="22"/>
          <w:szCs w:val="22"/>
        </w:rPr>
        <w:t xml:space="preserve">at Performance meetings </w:t>
      </w:r>
      <w:r w:rsidR="0043075E" w:rsidRPr="00A02CA2">
        <w:rPr>
          <w:rFonts w:ascii="Segoe UI" w:hAnsi="Segoe UI" w:cs="Segoe UI"/>
          <w:bCs/>
          <w:sz w:val="22"/>
          <w:szCs w:val="22"/>
        </w:rPr>
        <w:t>and a review will be carried out in January 2020.</w:t>
      </w:r>
    </w:p>
    <w:p w14:paraId="5801D24C" w14:textId="77777777" w:rsidR="0043075E" w:rsidRPr="00A02CA2" w:rsidRDefault="0043075E" w:rsidP="0043075E">
      <w:pPr>
        <w:pStyle w:val="ListParagraph"/>
        <w:jc w:val="both"/>
        <w:rPr>
          <w:rFonts w:ascii="Segoe UI" w:hAnsi="Segoe UI" w:cs="Segoe UI"/>
          <w:b/>
          <w:bCs/>
          <w:sz w:val="22"/>
          <w:szCs w:val="22"/>
        </w:rPr>
      </w:pPr>
    </w:p>
    <w:p w14:paraId="72EBE6F2" w14:textId="23591E0E" w:rsidR="00A02CA2" w:rsidRPr="008E3E81" w:rsidRDefault="00A02CA2" w:rsidP="00A02CA2">
      <w:pPr>
        <w:pStyle w:val="ListParagraph"/>
        <w:numPr>
          <w:ilvl w:val="0"/>
          <w:numId w:val="19"/>
        </w:numPr>
        <w:jc w:val="both"/>
        <w:rPr>
          <w:rFonts w:ascii="Segoe UI" w:hAnsi="Segoe UI" w:cs="Segoe UI"/>
          <w:sz w:val="22"/>
          <w:szCs w:val="22"/>
          <w:lang w:val="en-GB"/>
        </w:rPr>
      </w:pPr>
      <w:r w:rsidRPr="00A02CA2">
        <w:rPr>
          <w:rFonts w:ascii="Segoe UI" w:hAnsi="Segoe UI" w:cs="Segoe UI"/>
          <w:b/>
          <w:bCs/>
          <w:sz w:val="22"/>
          <w:szCs w:val="22"/>
        </w:rPr>
        <w:t xml:space="preserve">Urgent referrals - </w:t>
      </w:r>
      <w:r w:rsidRPr="00A02CA2">
        <w:rPr>
          <w:rFonts w:ascii="Segoe UI" w:hAnsi="Segoe UI" w:cs="Segoe UI"/>
          <w:bCs/>
          <w:sz w:val="22"/>
          <w:szCs w:val="22"/>
        </w:rPr>
        <w:t>The service has been implementing the new Crisis model over past few months resulting in the urgent assessment team transitioning into the new crisis team at the end of January; the crisis team will be focusing on these urgent and emergency referrals. Significant improvement expected for end of March 2020.</w:t>
      </w:r>
    </w:p>
    <w:p w14:paraId="114D7FF3" w14:textId="77777777" w:rsidR="008E3E81" w:rsidRPr="008E3E81" w:rsidRDefault="008E3E81" w:rsidP="008E3E81">
      <w:pPr>
        <w:pStyle w:val="ListParagraph"/>
        <w:rPr>
          <w:rFonts w:ascii="Segoe UI" w:hAnsi="Segoe UI" w:cs="Segoe UI"/>
          <w:sz w:val="22"/>
          <w:szCs w:val="22"/>
          <w:lang w:val="en-GB"/>
        </w:rPr>
      </w:pPr>
    </w:p>
    <w:p w14:paraId="2CE2BBDB" w14:textId="00A2C5EF" w:rsidR="008E3E81" w:rsidRPr="00A02CA2" w:rsidRDefault="008E3E81" w:rsidP="00A02CA2">
      <w:pPr>
        <w:pStyle w:val="ListParagraph"/>
        <w:numPr>
          <w:ilvl w:val="0"/>
          <w:numId w:val="19"/>
        </w:numPr>
        <w:jc w:val="both"/>
        <w:rPr>
          <w:rFonts w:ascii="Segoe UI" w:hAnsi="Segoe UI" w:cs="Segoe UI"/>
          <w:sz w:val="22"/>
          <w:szCs w:val="22"/>
          <w:lang w:val="en-GB"/>
        </w:rPr>
      </w:pPr>
      <w:r w:rsidRPr="008E3E81">
        <w:rPr>
          <w:rFonts w:ascii="Segoe UI" w:hAnsi="Segoe UI" w:cs="Segoe UI"/>
          <w:b/>
          <w:sz w:val="22"/>
          <w:szCs w:val="22"/>
          <w:lang w:val="en-GB"/>
        </w:rPr>
        <w:t>CAMHS</w:t>
      </w:r>
      <w:r>
        <w:rPr>
          <w:rFonts w:ascii="Segoe UI" w:hAnsi="Segoe UI" w:cs="Segoe UI"/>
          <w:sz w:val="22"/>
          <w:szCs w:val="22"/>
          <w:lang w:val="en-GB"/>
        </w:rPr>
        <w:t xml:space="preserve"> – </w:t>
      </w:r>
      <w:r w:rsidR="004D7D57">
        <w:rPr>
          <w:rFonts w:ascii="Segoe UI" w:hAnsi="Segoe UI" w:cs="Segoe UI"/>
          <w:sz w:val="22"/>
          <w:szCs w:val="22"/>
          <w:lang w:val="en-GB"/>
        </w:rPr>
        <w:t xml:space="preserve">Performance is consistently </w:t>
      </w:r>
      <w:proofErr w:type="gramStart"/>
      <w:r w:rsidR="004D7D57">
        <w:rPr>
          <w:rFonts w:ascii="Segoe UI" w:hAnsi="Segoe UI" w:cs="Segoe UI"/>
          <w:sz w:val="22"/>
          <w:szCs w:val="22"/>
          <w:lang w:val="en-GB"/>
        </w:rPr>
        <w:t>improving</w:t>
      </w:r>
      <w:proofErr w:type="gramEnd"/>
      <w:r w:rsidR="004D7D57">
        <w:rPr>
          <w:rFonts w:ascii="Segoe UI" w:hAnsi="Segoe UI" w:cs="Segoe UI"/>
          <w:sz w:val="22"/>
          <w:szCs w:val="22"/>
          <w:lang w:val="en-GB"/>
        </w:rPr>
        <w:t xml:space="preserve"> and </w:t>
      </w:r>
      <w:r>
        <w:rPr>
          <w:rFonts w:ascii="Segoe UI" w:hAnsi="Segoe UI" w:cs="Segoe UI"/>
          <w:sz w:val="22"/>
          <w:szCs w:val="22"/>
          <w:lang w:val="en-GB"/>
        </w:rPr>
        <w:t>local incentive scheme targets</w:t>
      </w:r>
      <w:r w:rsidR="004D7D57">
        <w:rPr>
          <w:rFonts w:ascii="Segoe UI" w:hAnsi="Segoe UI" w:cs="Segoe UI"/>
          <w:sz w:val="22"/>
          <w:szCs w:val="22"/>
          <w:lang w:val="en-GB"/>
        </w:rPr>
        <w:t xml:space="preserve"> set by Commissioners are</w:t>
      </w:r>
      <w:r>
        <w:rPr>
          <w:rFonts w:ascii="Segoe UI" w:hAnsi="Segoe UI" w:cs="Segoe UI"/>
          <w:sz w:val="22"/>
          <w:szCs w:val="22"/>
          <w:lang w:val="en-GB"/>
        </w:rPr>
        <w:t xml:space="preserve"> continuously met. </w:t>
      </w:r>
      <w:r w:rsidR="004D7D57">
        <w:rPr>
          <w:rFonts w:ascii="Segoe UI" w:hAnsi="Segoe UI" w:cs="Segoe UI"/>
          <w:sz w:val="22"/>
          <w:szCs w:val="22"/>
          <w:lang w:val="en-GB"/>
        </w:rPr>
        <w:t xml:space="preserve">  </w:t>
      </w:r>
      <w:r w:rsidR="004D7D57" w:rsidRPr="00150B66">
        <w:rPr>
          <w:rFonts w:ascii="Segoe UI" w:hAnsi="Segoe UI" w:cs="Segoe UI"/>
          <w:sz w:val="22"/>
          <w:szCs w:val="22"/>
          <w:lang w:val="en-GB"/>
        </w:rPr>
        <w:t>92%</w:t>
      </w:r>
      <w:r w:rsidR="004D7D57">
        <w:rPr>
          <w:rFonts w:ascii="Segoe UI" w:hAnsi="Segoe UI" w:cs="Segoe UI"/>
          <w:sz w:val="22"/>
          <w:szCs w:val="22"/>
          <w:lang w:val="en-GB"/>
        </w:rPr>
        <w:t xml:space="preserve"> of routine referrals were seen within 4 weeks in Buckinghamshire.</w:t>
      </w:r>
    </w:p>
    <w:p w14:paraId="1E902E12" w14:textId="77777777" w:rsidR="00A02CA2" w:rsidRPr="00A02CA2" w:rsidRDefault="00A02CA2" w:rsidP="00A02CA2">
      <w:pPr>
        <w:pStyle w:val="ListParagraph"/>
        <w:jc w:val="both"/>
        <w:rPr>
          <w:rFonts w:ascii="Segoe UI" w:hAnsi="Segoe UI" w:cs="Segoe UI"/>
          <w:sz w:val="22"/>
          <w:szCs w:val="22"/>
        </w:rPr>
      </w:pPr>
    </w:p>
    <w:p w14:paraId="1F703EF1" w14:textId="77777777" w:rsidR="007D0488" w:rsidRPr="00A02CA2" w:rsidRDefault="007D0488" w:rsidP="007D0488">
      <w:pPr>
        <w:pStyle w:val="ListParagraph"/>
        <w:jc w:val="both"/>
        <w:rPr>
          <w:rFonts w:ascii="Segoe UI" w:hAnsi="Segoe UI" w:cs="Segoe UI"/>
          <w:sz w:val="22"/>
          <w:szCs w:val="22"/>
          <w:highlight w:val="yellow"/>
        </w:rPr>
      </w:pPr>
    </w:p>
    <w:p w14:paraId="1CF57246" w14:textId="110836BE" w:rsidR="007D0488" w:rsidRPr="00A02CA2" w:rsidRDefault="007D0488" w:rsidP="007D0488">
      <w:pPr>
        <w:jc w:val="both"/>
        <w:rPr>
          <w:rFonts w:ascii="Segoe UI" w:eastAsia="Calibri" w:hAnsi="Segoe UI" w:cs="Segoe UI"/>
          <w:sz w:val="22"/>
          <w:szCs w:val="22"/>
          <w:highlight w:val="yellow"/>
        </w:rPr>
      </w:pPr>
      <w:r w:rsidRPr="00A02CA2">
        <w:rPr>
          <w:rFonts w:ascii="Segoe UI" w:eastAsia="Calibri" w:hAnsi="Segoe UI" w:cs="Segoe UI"/>
          <w:b/>
          <w:bCs/>
          <w:sz w:val="22"/>
          <w:szCs w:val="22"/>
          <w:u w:val="single"/>
        </w:rPr>
        <w:t>Oxfordshire Community Services Directorate</w:t>
      </w:r>
      <w:r w:rsidRPr="00A02CA2">
        <w:rPr>
          <w:rFonts w:ascii="Segoe UI" w:eastAsia="Calibri" w:hAnsi="Segoe UI" w:cs="Segoe UI"/>
          <w:b/>
          <w:bCs/>
          <w:sz w:val="22"/>
          <w:szCs w:val="22"/>
        </w:rPr>
        <w:t xml:space="preserve"> </w:t>
      </w:r>
      <w:r w:rsidRPr="00A02CA2">
        <w:rPr>
          <w:rFonts w:ascii="Segoe UI" w:eastAsia="Calibri" w:hAnsi="Segoe UI" w:cs="Segoe UI"/>
          <w:sz w:val="22"/>
          <w:szCs w:val="22"/>
        </w:rPr>
        <w:t xml:space="preserve">achieved </w:t>
      </w:r>
      <w:r w:rsidR="00CD0C95" w:rsidRPr="00A02CA2">
        <w:rPr>
          <w:rFonts w:ascii="Segoe UI" w:eastAsia="Calibri" w:hAnsi="Segoe UI" w:cs="Segoe UI"/>
          <w:sz w:val="22"/>
          <w:szCs w:val="22"/>
        </w:rPr>
        <w:t>55</w:t>
      </w:r>
      <w:r w:rsidRPr="00A02CA2">
        <w:rPr>
          <w:rFonts w:ascii="Segoe UI" w:eastAsia="Calibri" w:hAnsi="Segoe UI" w:cs="Segoe UI"/>
          <w:sz w:val="22"/>
          <w:szCs w:val="22"/>
        </w:rPr>
        <w:t xml:space="preserve"> of the </w:t>
      </w:r>
      <w:r w:rsidR="00CD0C95" w:rsidRPr="00A02CA2">
        <w:rPr>
          <w:rFonts w:ascii="Segoe UI" w:eastAsia="Calibri" w:hAnsi="Segoe UI" w:cs="Segoe UI"/>
          <w:sz w:val="22"/>
          <w:szCs w:val="22"/>
        </w:rPr>
        <w:t>77</w:t>
      </w:r>
      <w:r w:rsidRPr="00A02CA2">
        <w:rPr>
          <w:rFonts w:ascii="Segoe UI" w:eastAsia="Calibri" w:hAnsi="Segoe UI" w:cs="Segoe UI"/>
          <w:sz w:val="22"/>
          <w:szCs w:val="22"/>
        </w:rPr>
        <w:t xml:space="preserve"> commissioner targeted indicators (7</w:t>
      </w:r>
      <w:r w:rsidR="00F06D8D" w:rsidRPr="00A02CA2">
        <w:rPr>
          <w:rFonts w:ascii="Segoe UI" w:eastAsia="Calibri" w:hAnsi="Segoe UI" w:cs="Segoe UI"/>
          <w:sz w:val="22"/>
          <w:szCs w:val="22"/>
        </w:rPr>
        <w:t>1</w:t>
      </w:r>
      <w:r w:rsidRPr="00A02CA2">
        <w:rPr>
          <w:rFonts w:ascii="Segoe UI" w:eastAsia="Calibri" w:hAnsi="Segoe UI" w:cs="Segoe UI"/>
          <w:sz w:val="22"/>
          <w:szCs w:val="22"/>
        </w:rPr>
        <w:t xml:space="preserve">%) </w:t>
      </w:r>
    </w:p>
    <w:p w14:paraId="0F2DAEC4" w14:textId="77777777" w:rsidR="007D0488" w:rsidRPr="00A02CA2" w:rsidRDefault="007D0488" w:rsidP="007D0488">
      <w:pPr>
        <w:jc w:val="both"/>
        <w:rPr>
          <w:rFonts w:ascii="Segoe UI" w:eastAsia="Calibri" w:hAnsi="Segoe UI" w:cs="Segoe UI"/>
          <w:sz w:val="22"/>
          <w:szCs w:val="22"/>
          <w:highlight w:val="yellow"/>
        </w:rPr>
      </w:pPr>
    </w:p>
    <w:p w14:paraId="669645AE" w14:textId="77777777" w:rsidR="007D0488" w:rsidRPr="00A02CA2" w:rsidRDefault="007D0488" w:rsidP="007D0488">
      <w:pPr>
        <w:jc w:val="both"/>
        <w:rPr>
          <w:rFonts w:ascii="Segoe UI" w:eastAsia="Calibri" w:hAnsi="Segoe UI" w:cs="Segoe UI"/>
          <w:b/>
          <w:bCs/>
          <w:sz w:val="22"/>
          <w:szCs w:val="22"/>
        </w:rPr>
      </w:pPr>
      <w:r w:rsidRPr="00A02CA2">
        <w:rPr>
          <w:rFonts w:ascii="Segoe UI" w:eastAsia="Calibri" w:hAnsi="Segoe UI" w:cs="Segoe UI"/>
          <w:b/>
          <w:bCs/>
          <w:sz w:val="22"/>
          <w:szCs w:val="22"/>
        </w:rPr>
        <w:t>Highlights for the Board:</w:t>
      </w:r>
    </w:p>
    <w:p w14:paraId="2DFC120F" w14:textId="77777777" w:rsidR="007D0488" w:rsidRPr="00A02CA2" w:rsidRDefault="007D0488" w:rsidP="007D0488">
      <w:pPr>
        <w:jc w:val="both"/>
        <w:rPr>
          <w:rFonts w:ascii="Segoe UI" w:eastAsia="Calibri" w:hAnsi="Segoe UI" w:cs="Segoe UI"/>
          <w:b/>
          <w:bCs/>
          <w:sz w:val="22"/>
          <w:szCs w:val="22"/>
        </w:rPr>
      </w:pPr>
    </w:p>
    <w:p w14:paraId="3A4D87DD" w14:textId="2C999FBC" w:rsidR="007D0488" w:rsidRPr="008E3E81" w:rsidRDefault="007D0488" w:rsidP="007D0488">
      <w:pPr>
        <w:pStyle w:val="ListParagraph"/>
        <w:numPr>
          <w:ilvl w:val="0"/>
          <w:numId w:val="25"/>
        </w:numPr>
        <w:jc w:val="both"/>
        <w:rPr>
          <w:rFonts w:ascii="Segoe UI" w:hAnsi="Segoe UI" w:cs="Segoe UI"/>
          <w:sz w:val="22"/>
          <w:szCs w:val="22"/>
          <w:lang w:val="en-GB"/>
        </w:rPr>
      </w:pPr>
      <w:r w:rsidRPr="00A02CA2">
        <w:rPr>
          <w:rFonts w:ascii="Segoe UI" w:hAnsi="Segoe UI" w:cs="Segoe UI"/>
          <w:b/>
          <w:bCs/>
          <w:sz w:val="22"/>
          <w:szCs w:val="22"/>
        </w:rPr>
        <w:t xml:space="preserve">Oxfordshire CHC – </w:t>
      </w:r>
      <w:r w:rsidRPr="00A02CA2">
        <w:rPr>
          <w:rFonts w:ascii="Segoe UI" w:hAnsi="Segoe UI" w:cs="Segoe UI"/>
          <w:sz w:val="22"/>
          <w:szCs w:val="22"/>
        </w:rPr>
        <w:t xml:space="preserve">The Trust continues to underperform against the referrals completed within the </w:t>
      </w:r>
      <w:proofErr w:type="gramStart"/>
      <w:r w:rsidRPr="00A02CA2">
        <w:rPr>
          <w:rFonts w:ascii="Segoe UI" w:hAnsi="Segoe UI" w:cs="Segoe UI"/>
          <w:sz w:val="22"/>
          <w:szCs w:val="22"/>
        </w:rPr>
        <w:t>28 day</w:t>
      </w:r>
      <w:proofErr w:type="gramEnd"/>
      <w:r w:rsidRPr="00A02CA2">
        <w:rPr>
          <w:rFonts w:ascii="Segoe UI" w:hAnsi="Segoe UI" w:cs="Segoe UI"/>
          <w:sz w:val="22"/>
          <w:szCs w:val="22"/>
        </w:rPr>
        <w:t xml:space="preserve"> target</w:t>
      </w:r>
      <w:r w:rsidR="005F7812">
        <w:rPr>
          <w:rFonts w:ascii="Segoe UI" w:hAnsi="Segoe UI" w:cs="Segoe UI"/>
          <w:sz w:val="22"/>
          <w:szCs w:val="22"/>
        </w:rPr>
        <w:t xml:space="preserve"> and work to improve the position continues with Commissioners and partners</w:t>
      </w:r>
      <w:r w:rsidRPr="00A02CA2">
        <w:rPr>
          <w:rFonts w:ascii="Segoe UI" w:hAnsi="Segoe UI" w:cs="Segoe UI"/>
          <w:sz w:val="22"/>
          <w:szCs w:val="22"/>
        </w:rPr>
        <w:t xml:space="preserve">. </w:t>
      </w:r>
      <w:r w:rsidR="005F7812">
        <w:rPr>
          <w:rFonts w:ascii="Segoe UI" w:hAnsi="Segoe UI" w:cs="Segoe UI"/>
          <w:sz w:val="22"/>
          <w:szCs w:val="22"/>
        </w:rPr>
        <w:t xml:space="preserve"> Improvements are being made and </w:t>
      </w:r>
      <w:r w:rsidR="008E3E81">
        <w:rPr>
          <w:rFonts w:ascii="Segoe UI" w:hAnsi="Segoe UI" w:cs="Segoe UI"/>
          <w:sz w:val="22"/>
          <w:szCs w:val="22"/>
        </w:rPr>
        <w:t xml:space="preserve">Oxfordshire CHC has cleared the backlog of </w:t>
      </w:r>
      <w:proofErr w:type="gramStart"/>
      <w:r w:rsidR="008E3E81">
        <w:rPr>
          <w:rFonts w:ascii="Segoe UI" w:hAnsi="Segoe UI" w:cs="Segoe UI"/>
          <w:sz w:val="22"/>
          <w:szCs w:val="22"/>
        </w:rPr>
        <w:t>3 and 12 month</w:t>
      </w:r>
      <w:proofErr w:type="gramEnd"/>
      <w:r w:rsidR="008E3E81">
        <w:rPr>
          <w:rFonts w:ascii="Segoe UI" w:hAnsi="Segoe UI" w:cs="Segoe UI"/>
          <w:sz w:val="22"/>
          <w:szCs w:val="22"/>
        </w:rPr>
        <w:t xml:space="preserve"> reviews </w:t>
      </w:r>
      <w:r w:rsidR="005F7812">
        <w:rPr>
          <w:rFonts w:ascii="Segoe UI" w:hAnsi="Segoe UI" w:cs="Segoe UI"/>
          <w:sz w:val="22"/>
          <w:szCs w:val="22"/>
        </w:rPr>
        <w:t>with</w:t>
      </w:r>
      <w:r w:rsidR="008E3E81">
        <w:rPr>
          <w:rFonts w:ascii="Segoe UI" w:hAnsi="Segoe UI" w:cs="Segoe UI"/>
          <w:sz w:val="22"/>
          <w:szCs w:val="22"/>
        </w:rPr>
        <w:t xml:space="preserve"> both targets </w:t>
      </w:r>
      <w:r w:rsidR="005F7812">
        <w:rPr>
          <w:rFonts w:ascii="Segoe UI" w:hAnsi="Segoe UI" w:cs="Segoe UI"/>
          <w:sz w:val="22"/>
          <w:szCs w:val="22"/>
        </w:rPr>
        <w:t>now being</w:t>
      </w:r>
      <w:r w:rsidR="008E3E81">
        <w:rPr>
          <w:rFonts w:ascii="Segoe UI" w:hAnsi="Segoe UI" w:cs="Segoe UI"/>
          <w:sz w:val="22"/>
          <w:szCs w:val="22"/>
        </w:rPr>
        <w:t xml:space="preserve"> achieved.</w:t>
      </w:r>
      <w:r w:rsidR="008E3E81">
        <w:rPr>
          <w:rFonts w:ascii="Segoe UI" w:hAnsi="Segoe UI" w:cs="Segoe UI"/>
          <w:sz w:val="22"/>
          <w:szCs w:val="22"/>
          <w:lang w:val="en-GB"/>
        </w:rPr>
        <w:t xml:space="preserve"> </w:t>
      </w:r>
    </w:p>
    <w:p w14:paraId="7F5FDACB" w14:textId="77777777" w:rsidR="008E3E81" w:rsidRPr="008E3E81" w:rsidRDefault="008E3E81" w:rsidP="008E3E81">
      <w:pPr>
        <w:ind w:left="360"/>
        <w:jc w:val="both"/>
        <w:rPr>
          <w:rFonts w:ascii="Segoe UI" w:hAnsi="Segoe UI" w:cs="Segoe UI"/>
          <w:sz w:val="22"/>
          <w:szCs w:val="22"/>
          <w:lang w:val="en-GB"/>
        </w:rPr>
      </w:pPr>
    </w:p>
    <w:p w14:paraId="6EBC17AD" w14:textId="750430AE" w:rsidR="00587E52" w:rsidRPr="00A02CA2" w:rsidRDefault="00587E52" w:rsidP="00587E52">
      <w:pPr>
        <w:pStyle w:val="ListParagraph"/>
        <w:numPr>
          <w:ilvl w:val="0"/>
          <w:numId w:val="25"/>
        </w:numPr>
        <w:jc w:val="both"/>
        <w:rPr>
          <w:rFonts w:ascii="Segoe UI" w:hAnsi="Segoe UI" w:cs="Segoe UI"/>
          <w:sz w:val="22"/>
          <w:szCs w:val="22"/>
        </w:rPr>
      </w:pPr>
      <w:r w:rsidRPr="00A02CA2">
        <w:rPr>
          <w:rFonts w:ascii="Segoe UI" w:hAnsi="Segoe UI" w:cs="Segoe UI"/>
          <w:b/>
          <w:bCs/>
          <w:sz w:val="22"/>
          <w:szCs w:val="22"/>
        </w:rPr>
        <w:t xml:space="preserve">Falls Prevention Service – </w:t>
      </w:r>
      <w:r w:rsidRPr="00A02CA2">
        <w:rPr>
          <w:rFonts w:ascii="Segoe UI" w:hAnsi="Segoe UI" w:cs="Segoe UI"/>
          <w:sz w:val="22"/>
          <w:szCs w:val="22"/>
        </w:rPr>
        <w:t>The Trust has been underperforming against referrals</w:t>
      </w:r>
      <w:r w:rsidR="005F7812">
        <w:rPr>
          <w:rFonts w:ascii="Segoe UI" w:hAnsi="Segoe UI" w:cs="Segoe UI"/>
          <w:sz w:val="22"/>
          <w:szCs w:val="22"/>
        </w:rPr>
        <w:t xml:space="preserve"> </w:t>
      </w:r>
      <w:r w:rsidRPr="00A02CA2">
        <w:rPr>
          <w:rFonts w:ascii="Segoe UI" w:hAnsi="Segoe UI" w:cs="Segoe UI"/>
          <w:sz w:val="22"/>
          <w:szCs w:val="22"/>
        </w:rPr>
        <w:t>offered</w:t>
      </w:r>
      <w:r w:rsidR="005F7812">
        <w:rPr>
          <w:rFonts w:ascii="Segoe UI" w:hAnsi="Segoe UI" w:cs="Segoe UI"/>
          <w:sz w:val="22"/>
          <w:szCs w:val="22"/>
        </w:rPr>
        <w:t xml:space="preserve"> an appointment</w:t>
      </w:r>
      <w:r w:rsidRPr="00A02CA2">
        <w:rPr>
          <w:rFonts w:ascii="Segoe UI" w:hAnsi="Segoe UI" w:cs="Segoe UI"/>
          <w:sz w:val="22"/>
          <w:szCs w:val="22"/>
        </w:rPr>
        <w:t xml:space="preserve"> within 8 weeks</w:t>
      </w:r>
      <w:r w:rsidR="005F7812">
        <w:rPr>
          <w:rFonts w:ascii="Segoe UI" w:hAnsi="Segoe UI" w:cs="Segoe UI"/>
          <w:sz w:val="22"/>
          <w:szCs w:val="22"/>
        </w:rPr>
        <w:t xml:space="preserve">.  This is due to a combination of issues that include </w:t>
      </w:r>
      <w:r w:rsidRPr="00A02CA2">
        <w:rPr>
          <w:rFonts w:ascii="Segoe UI" w:hAnsi="Segoe UI" w:cs="Segoe UI"/>
          <w:sz w:val="22"/>
          <w:szCs w:val="22"/>
        </w:rPr>
        <w:t>reporting, staffing shortages</w:t>
      </w:r>
      <w:r w:rsidR="005F7812">
        <w:rPr>
          <w:rFonts w:ascii="Segoe UI" w:hAnsi="Segoe UI" w:cs="Segoe UI"/>
          <w:sz w:val="22"/>
          <w:szCs w:val="22"/>
        </w:rPr>
        <w:t xml:space="preserve"> and an </w:t>
      </w:r>
      <w:r w:rsidRPr="00A02CA2">
        <w:rPr>
          <w:rFonts w:ascii="Segoe UI" w:hAnsi="Segoe UI" w:cs="Segoe UI"/>
          <w:sz w:val="22"/>
          <w:szCs w:val="22"/>
        </w:rPr>
        <w:t>increase in demand. The Trust is monitoring the performance through Service Review Meetings and will be initiating a root cause analysis to provide recommendations for improvement and inform the review of the Falls prevention pathway.</w:t>
      </w:r>
    </w:p>
    <w:p w14:paraId="3F304B15" w14:textId="77777777" w:rsidR="004E38C0" w:rsidRPr="00A02CA2" w:rsidRDefault="004E38C0" w:rsidP="004E38C0">
      <w:pPr>
        <w:pStyle w:val="ListParagraph"/>
        <w:rPr>
          <w:rFonts w:ascii="Segoe UI" w:hAnsi="Segoe UI" w:cs="Segoe UI"/>
          <w:sz w:val="22"/>
          <w:szCs w:val="22"/>
        </w:rPr>
      </w:pPr>
    </w:p>
    <w:p w14:paraId="04152E73" w14:textId="77777777" w:rsidR="004E38C0" w:rsidRPr="00A02CA2" w:rsidRDefault="004E38C0" w:rsidP="004E38C0">
      <w:pPr>
        <w:jc w:val="both"/>
        <w:rPr>
          <w:rFonts w:ascii="Segoe UI" w:hAnsi="Segoe UI" w:cs="Segoe UI"/>
          <w:sz w:val="22"/>
          <w:szCs w:val="22"/>
        </w:rPr>
      </w:pPr>
    </w:p>
    <w:p w14:paraId="782691D4" w14:textId="4EBF643E" w:rsidR="007D0488" w:rsidRPr="00A02CA2" w:rsidRDefault="007D0488" w:rsidP="007D0488">
      <w:pPr>
        <w:jc w:val="both"/>
        <w:rPr>
          <w:rFonts w:ascii="Segoe UI" w:hAnsi="Segoe UI" w:cs="Segoe UI"/>
          <w:b/>
          <w:sz w:val="22"/>
          <w:szCs w:val="22"/>
        </w:rPr>
      </w:pPr>
      <w:proofErr w:type="spellStart"/>
      <w:r w:rsidRPr="00A02CA2">
        <w:rPr>
          <w:rFonts w:ascii="Segoe UI" w:hAnsi="Segoe UI" w:cs="Segoe UI"/>
          <w:b/>
          <w:sz w:val="22"/>
          <w:szCs w:val="22"/>
          <w:u w:val="single"/>
        </w:rPr>
        <w:lastRenderedPageBreak/>
        <w:t>Specialised</w:t>
      </w:r>
      <w:proofErr w:type="spellEnd"/>
      <w:r w:rsidRPr="00A02CA2">
        <w:rPr>
          <w:rFonts w:ascii="Segoe UI" w:hAnsi="Segoe UI" w:cs="Segoe UI"/>
          <w:b/>
          <w:sz w:val="22"/>
          <w:szCs w:val="22"/>
          <w:u w:val="single"/>
        </w:rPr>
        <w:t xml:space="preserve"> Services</w:t>
      </w:r>
      <w:r w:rsidRPr="00A02CA2">
        <w:rPr>
          <w:rFonts w:ascii="Segoe UI" w:hAnsi="Segoe UI" w:cs="Segoe UI"/>
          <w:b/>
          <w:sz w:val="22"/>
          <w:szCs w:val="22"/>
        </w:rPr>
        <w:t xml:space="preserve"> </w:t>
      </w:r>
      <w:r w:rsidRPr="00A02CA2">
        <w:rPr>
          <w:rFonts w:ascii="Segoe UI" w:hAnsi="Segoe UI" w:cs="Segoe UI"/>
          <w:sz w:val="22"/>
          <w:szCs w:val="22"/>
        </w:rPr>
        <w:t xml:space="preserve">achieved </w:t>
      </w:r>
      <w:r w:rsidR="00F06D8D" w:rsidRPr="00A02CA2">
        <w:rPr>
          <w:rFonts w:ascii="Segoe UI" w:hAnsi="Segoe UI" w:cs="Segoe UI"/>
          <w:sz w:val="22"/>
          <w:szCs w:val="22"/>
        </w:rPr>
        <w:t>99</w:t>
      </w:r>
      <w:r w:rsidRPr="00A02CA2">
        <w:rPr>
          <w:rFonts w:ascii="Segoe UI" w:hAnsi="Segoe UI" w:cs="Segoe UI"/>
          <w:sz w:val="22"/>
          <w:szCs w:val="22"/>
        </w:rPr>
        <w:t xml:space="preserve"> out of 1</w:t>
      </w:r>
      <w:r w:rsidR="00F06D8D" w:rsidRPr="00A02CA2">
        <w:rPr>
          <w:rFonts w:ascii="Segoe UI" w:hAnsi="Segoe UI" w:cs="Segoe UI"/>
          <w:sz w:val="22"/>
          <w:szCs w:val="22"/>
        </w:rPr>
        <w:t>21</w:t>
      </w:r>
      <w:r w:rsidRPr="00A02CA2">
        <w:rPr>
          <w:rFonts w:ascii="Segoe UI" w:hAnsi="Segoe UI" w:cs="Segoe UI"/>
          <w:sz w:val="22"/>
          <w:szCs w:val="22"/>
        </w:rPr>
        <w:t xml:space="preserve"> targeted indicators (8</w:t>
      </w:r>
      <w:r w:rsidR="00F06D8D" w:rsidRPr="00A02CA2">
        <w:rPr>
          <w:rFonts w:ascii="Segoe UI" w:hAnsi="Segoe UI" w:cs="Segoe UI"/>
          <w:sz w:val="22"/>
          <w:szCs w:val="22"/>
        </w:rPr>
        <w:t>2</w:t>
      </w:r>
      <w:r w:rsidRPr="00A02CA2">
        <w:rPr>
          <w:rFonts w:ascii="Segoe UI" w:hAnsi="Segoe UI" w:cs="Segoe UI"/>
          <w:sz w:val="22"/>
          <w:szCs w:val="22"/>
        </w:rPr>
        <w:t>%)</w:t>
      </w:r>
    </w:p>
    <w:p w14:paraId="7AB57B0E" w14:textId="77777777" w:rsidR="007D0488" w:rsidRPr="00A02CA2" w:rsidRDefault="007D0488" w:rsidP="007D0488">
      <w:pPr>
        <w:pStyle w:val="ListParagraph"/>
        <w:ind w:left="502"/>
        <w:jc w:val="both"/>
        <w:rPr>
          <w:rFonts w:ascii="Segoe UI" w:hAnsi="Segoe UI" w:cs="Segoe UI"/>
          <w:b/>
          <w:sz w:val="22"/>
          <w:szCs w:val="22"/>
        </w:rPr>
      </w:pPr>
      <w:r w:rsidRPr="00A02CA2">
        <w:rPr>
          <w:rFonts w:ascii="Segoe UI" w:hAnsi="Segoe UI" w:cs="Segoe UI"/>
          <w:b/>
          <w:sz w:val="22"/>
          <w:szCs w:val="22"/>
        </w:rPr>
        <w:t xml:space="preserve"> </w:t>
      </w:r>
    </w:p>
    <w:p w14:paraId="1F3ED0D5" w14:textId="77777777" w:rsidR="007D0488" w:rsidRPr="00A02CA2" w:rsidRDefault="007D0488" w:rsidP="007D0488">
      <w:pPr>
        <w:jc w:val="both"/>
        <w:rPr>
          <w:rFonts w:ascii="Segoe UI" w:hAnsi="Segoe UI" w:cs="Segoe UI"/>
          <w:b/>
          <w:sz w:val="22"/>
          <w:szCs w:val="22"/>
        </w:rPr>
      </w:pPr>
      <w:r w:rsidRPr="00A02CA2">
        <w:rPr>
          <w:rFonts w:ascii="Segoe UI" w:hAnsi="Segoe UI" w:cs="Segoe UI"/>
          <w:b/>
          <w:sz w:val="22"/>
          <w:szCs w:val="22"/>
        </w:rPr>
        <w:t>Highlights for the Board:</w:t>
      </w:r>
    </w:p>
    <w:p w14:paraId="47DE41E3" w14:textId="77777777" w:rsidR="007D0488" w:rsidRPr="00A02CA2" w:rsidRDefault="007D0488" w:rsidP="007D0488">
      <w:pPr>
        <w:jc w:val="both"/>
        <w:rPr>
          <w:rFonts w:ascii="Segoe UI" w:hAnsi="Segoe UI" w:cs="Segoe UI"/>
          <w:sz w:val="22"/>
          <w:szCs w:val="22"/>
        </w:rPr>
      </w:pPr>
    </w:p>
    <w:p w14:paraId="34927862" w14:textId="23DBAC58" w:rsidR="007D0488" w:rsidRPr="00A02CA2" w:rsidRDefault="007D0488" w:rsidP="007D0488">
      <w:pPr>
        <w:pStyle w:val="ListParagraph"/>
        <w:numPr>
          <w:ilvl w:val="0"/>
          <w:numId w:val="22"/>
        </w:numPr>
        <w:jc w:val="both"/>
        <w:rPr>
          <w:rFonts w:ascii="Segoe UI" w:hAnsi="Segoe UI" w:cs="Segoe UI"/>
          <w:b/>
          <w:sz w:val="22"/>
          <w:szCs w:val="22"/>
        </w:rPr>
      </w:pPr>
      <w:r w:rsidRPr="00A02CA2">
        <w:rPr>
          <w:rFonts w:ascii="Segoe UI" w:hAnsi="Segoe UI" w:cs="Segoe UI"/>
          <w:b/>
          <w:sz w:val="22"/>
          <w:szCs w:val="22"/>
        </w:rPr>
        <w:t xml:space="preserve">Eating Disorders (Bed Occupancy) </w:t>
      </w:r>
      <w:r w:rsidRPr="00A02CA2">
        <w:rPr>
          <w:rFonts w:ascii="Segoe UI" w:hAnsi="Segoe UI" w:cs="Segoe UI"/>
          <w:sz w:val="22"/>
          <w:szCs w:val="22"/>
        </w:rPr>
        <w:t xml:space="preserve">– There have been ongoing difficulties in providing beds due to high dependency patients and a shortage of workforce. This has impacted negatively on the Cumulative bed occupancy target. The service has implemented a new Single Point of Access (SPA) as part of the New Care Models improvement work and the implementation of this is already seeing an improvement in patient flow and bed occupancy levels, with </w:t>
      </w:r>
      <w:r w:rsidR="00587E52" w:rsidRPr="00A02CA2">
        <w:rPr>
          <w:rFonts w:ascii="Segoe UI" w:hAnsi="Segoe UI" w:cs="Segoe UI"/>
          <w:sz w:val="22"/>
          <w:szCs w:val="22"/>
        </w:rPr>
        <w:t xml:space="preserve">both </w:t>
      </w:r>
      <w:r w:rsidRPr="00A02CA2">
        <w:rPr>
          <w:rFonts w:ascii="Segoe UI" w:hAnsi="Segoe UI" w:cs="Segoe UI"/>
          <w:sz w:val="22"/>
          <w:szCs w:val="22"/>
        </w:rPr>
        <w:t xml:space="preserve">M08 </w:t>
      </w:r>
      <w:r w:rsidR="00587E52" w:rsidRPr="00A02CA2">
        <w:rPr>
          <w:rFonts w:ascii="Segoe UI" w:hAnsi="Segoe UI" w:cs="Segoe UI"/>
          <w:sz w:val="22"/>
          <w:szCs w:val="22"/>
        </w:rPr>
        <w:t xml:space="preserve">and M09 </w:t>
      </w:r>
      <w:r w:rsidRPr="00A02CA2">
        <w:rPr>
          <w:rFonts w:ascii="Segoe UI" w:hAnsi="Segoe UI" w:cs="Segoe UI"/>
          <w:sz w:val="22"/>
          <w:szCs w:val="22"/>
        </w:rPr>
        <w:t>Ward occupancy being 100%.</w:t>
      </w:r>
    </w:p>
    <w:p w14:paraId="7221160C" w14:textId="77777777" w:rsidR="007D0488" w:rsidRPr="00A02CA2" w:rsidRDefault="007D0488" w:rsidP="007D0488">
      <w:pPr>
        <w:jc w:val="both"/>
        <w:rPr>
          <w:rFonts w:ascii="Segoe UI" w:hAnsi="Segoe UI" w:cs="Segoe UI"/>
          <w:b/>
          <w:sz w:val="22"/>
          <w:szCs w:val="22"/>
        </w:rPr>
      </w:pPr>
    </w:p>
    <w:p w14:paraId="10771081" w14:textId="77777777" w:rsidR="0073522A" w:rsidRPr="00A02CA2" w:rsidRDefault="0073522A" w:rsidP="0073522A">
      <w:pPr>
        <w:jc w:val="both"/>
        <w:rPr>
          <w:rFonts w:ascii="Segoe UI" w:hAnsi="Segoe UI" w:cs="Segoe UI"/>
          <w:sz w:val="22"/>
          <w:szCs w:val="22"/>
        </w:rPr>
      </w:pPr>
      <w:r w:rsidRPr="00A02CA2">
        <w:rPr>
          <w:rFonts w:ascii="Segoe UI" w:hAnsi="Segoe UI" w:cs="Segoe UI"/>
          <w:b/>
          <w:sz w:val="22"/>
          <w:szCs w:val="22"/>
        </w:rPr>
        <w:t>Recommendation</w:t>
      </w:r>
    </w:p>
    <w:p w14:paraId="42C0DCAF" w14:textId="77777777" w:rsidR="005D3499" w:rsidRPr="00A02CA2" w:rsidRDefault="00F95454">
      <w:pPr>
        <w:jc w:val="both"/>
        <w:rPr>
          <w:rFonts w:ascii="Segoe UI" w:hAnsi="Segoe UI" w:cs="Segoe UI"/>
          <w:sz w:val="22"/>
          <w:szCs w:val="22"/>
        </w:rPr>
      </w:pPr>
      <w:r w:rsidRPr="00A02CA2">
        <w:rPr>
          <w:rFonts w:ascii="Segoe UI" w:hAnsi="Segoe UI" w:cs="Segoe UI"/>
          <w:sz w:val="22"/>
          <w:szCs w:val="22"/>
        </w:rPr>
        <w:t>The Board of Directors is</w:t>
      </w:r>
      <w:r w:rsidR="00C62464" w:rsidRPr="00A02CA2">
        <w:rPr>
          <w:rFonts w:ascii="Segoe UI" w:hAnsi="Segoe UI" w:cs="Segoe UI"/>
          <w:sz w:val="22"/>
          <w:szCs w:val="22"/>
        </w:rPr>
        <w:t xml:space="preserve"> asked to review </w:t>
      </w:r>
      <w:r w:rsidR="00982842" w:rsidRPr="00A02CA2">
        <w:rPr>
          <w:rFonts w:ascii="Segoe UI" w:hAnsi="Segoe UI" w:cs="Segoe UI"/>
          <w:sz w:val="22"/>
          <w:szCs w:val="22"/>
        </w:rPr>
        <w:t xml:space="preserve">and note </w:t>
      </w:r>
      <w:r w:rsidR="00C62464" w:rsidRPr="00A02CA2">
        <w:rPr>
          <w:rFonts w:ascii="Segoe UI" w:hAnsi="Segoe UI" w:cs="Segoe UI"/>
          <w:sz w:val="22"/>
          <w:szCs w:val="22"/>
        </w:rPr>
        <w:t xml:space="preserve">the </w:t>
      </w:r>
      <w:r w:rsidR="00982842" w:rsidRPr="00A02CA2">
        <w:rPr>
          <w:rFonts w:ascii="Segoe UI" w:hAnsi="Segoe UI" w:cs="Segoe UI"/>
          <w:sz w:val="22"/>
          <w:szCs w:val="22"/>
        </w:rPr>
        <w:t xml:space="preserve">Board </w:t>
      </w:r>
      <w:r w:rsidR="00EF01D9" w:rsidRPr="00A02CA2">
        <w:rPr>
          <w:rFonts w:ascii="Segoe UI" w:hAnsi="Segoe UI" w:cs="Segoe UI"/>
          <w:sz w:val="22"/>
          <w:szCs w:val="22"/>
        </w:rPr>
        <w:t>P</w:t>
      </w:r>
      <w:r w:rsidR="00982842" w:rsidRPr="00A02CA2">
        <w:rPr>
          <w:rFonts w:ascii="Segoe UI" w:hAnsi="Segoe UI" w:cs="Segoe UI"/>
          <w:sz w:val="22"/>
          <w:szCs w:val="22"/>
        </w:rPr>
        <w:t xml:space="preserve">erformance </w:t>
      </w:r>
      <w:r w:rsidR="00EF01D9" w:rsidRPr="00A02CA2">
        <w:rPr>
          <w:rFonts w:ascii="Segoe UI" w:hAnsi="Segoe UI" w:cs="Segoe UI"/>
          <w:sz w:val="22"/>
          <w:szCs w:val="22"/>
        </w:rPr>
        <w:t>R</w:t>
      </w:r>
      <w:r w:rsidR="00982842" w:rsidRPr="00A02CA2">
        <w:rPr>
          <w:rFonts w:ascii="Segoe UI" w:hAnsi="Segoe UI" w:cs="Segoe UI"/>
          <w:sz w:val="22"/>
          <w:szCs w:val="22"/>
        </w:rPr>
        <w:t>eport.</w:t>
      </w:r>
    </w:p>
    <w:p w14:paraId="7BDF0BC6" w14:textId="77777777" w:rsidR="00982842" w:rsidRPr="00A02CA2" w:rsidRDefault="00982842">
      <w:pPr>
        <w:jc w:val="both"/>
        <w:rPr>
          <w:rFonts w:ascii="Segoe UI" w:hAnsi="Segoe UI" w:cs="Segoe UI"/>
          <w:b/>
          <w:sz w:val="22"/>
          <w:szCs w:val="22"/>
        </w:rPr>
      </w:pPr>
    </w:p>
    <w:p w14:paraId="36D3A1D7" w14:textId="77777777" w:rsidR="00C14C3B" w:rsidRPr="00A02CA2" w:rsidRDefault="002619EF" w:rsidP="00EF01D9">
      <w:pPr>
        <w:ind w:left="1440" w:hanging="1440"/>
        <w:jc w:val="both"/>
        <w:rPr>
          <w:rFonts w:ascii="Segoe UI" w:hAnsi="Segoe UI" w:cs="Segoe UI"/>
          <w:sz w:val="22"/>
          <w:szCs w:val="22"/>
        </w:rPr>
      </w:pPr>
      <w:r w:rsidRPr="00A02CA2">
        <w:rPr>
          <w:rFonts w:ascii="Segoe UI" w:hAnsi="Segoe UI" w:cs="Segoe UI"/>
          <w:b/>
          <w:sz w:val="22"/>
          <w:szCs w:val="22"/>
        </w:rPr>
        <w:t>Author and T</w:t>
      </w:r>
      <w:r w:rsidR="0073522A" w:rsidRPr="00A02CA2">
        <w:rPr>
          <w:rFonts w:ascii="Segoe UI" w:hAnsi="Segoe UI" w:cs="Segoe UI"/>
          <w:b/>
          <w:sz w:val="22"/>
          <w:szCs w:val="22"/>
        </w:rPr>
        <w:t>itle:</w:t>
      </w:r>
      <w:r w:rsidR="0073522A" w:rsidRPr="00A02CA2">
        <w:rPr>
          <w:rFonts w:ascii="Segoe UI" w:hAnsi="Segoe UI" w:cs="Segoe UI"/>
          <w:sz w:val="22"/>
          <w:szCs w:val="22"/>
        </w:rPr>
        <w:t xml:space="preserve"> </w:t>
      </w:r>
      <w:r w:rsidR="00B129F4" w:rsidRPr="00A02CA2">
        <w:rPr>
          <w:rFonts w:ascii="Segoe UI" w:hAnsi="Segoe UI" w:cs="Segoe UI"/>
          <w:sz w:val="22"/>
          <w:szCs w:val="22"/>
        </w:rPr>
        <w:t xml:space="preserve"> </w:t>
      </w:r>
      <w:r w:rsidR="00C36082" w:rsidRPr="00A02CA2">
        <w:rPr>
          <w:rFonts w:ascii="Segoe UI" w:hAnsi="Segoe UI" w:cs="Segoe UI"/>
          <w:sz w:val="22"/>
          <w:szCs w:val="22"/>
        </w:rPr>
        <w:t xml:space="preserve">Martyn Ward – </w:t>
      </w:r>
      <w:r w:rsidR="00BF72AE" w:rsidRPr="00A02CA2">
        <w:rPr>
          <w:rFonts w:ascii="Segoe UI" w:hAnsi="Segoe UI" w:cs="Segoe UI"/>
          <w:sz w:val="22"/>
          <w:szCs w:val="22"/>
        </w:rPr>
        <w:t xml:space="preserve">Director of </w:t>
      </w:r>
      <w:r w:rsidR="00C77CF2" w:rsidRPr="00A02CA2">
        <w:rPr>
          <w:rFonts w:ascii="Segoe UI" w:hAnsi="Segoe UI" w:cs="Segoe UI"/>
          <w:sz w:val="22"/>
          <w:szCs w:val="22"/>
        </w:rPr>
        <w:t xml:space="preserve">Strategy &amp; </w:t>
      </w:r>
      <w:r w:rsidR="00C24259" w:rsidRPr="00A02CA2">
        <w:rPr>
          <w:rFonts w:ascii="Segoe UI" w:hAnsi="Segoe UI" w:cs="Segoe UI"/>
          <w:sz w:val="22"/>
          <w:szCs w:val="22"/>
        </w:rPr>
        <w:t xml:space="preserve">Chief Information </w:t>
      </w:r>
      <w:r w:rsidR="00B129F4" w:rsidRPr="00A02CA2">
        <w:rPr>
          <w:rFonts w:ascii="Segoe UI" w:hAnsi="Segoe UI" w:cs="Segoe UI"/>
          <w:sz w:val="22"/>
          <w:szCs w:val="22"/>
        </w:rPr>
        <w:t>O</w:t>
      </w:r>
      <w:r w:rsidR="00C24259" w:rsidRPr="00A02CA2">
        <w:rPr>
          <w:rFonts w:ascii="Segoe UI" w:hAnsi="Segoe UI" w:cs="Segoe UI"/>
          <w:sz w:val="22"/>
          <w:szCs w:val="22"/>
        </w:rPr>
        <w:t>fficer</w:t>
      </w:r>
    </w:p>
    <w:p w14:paraId="6FF49922" w14:textId="77777777" w:rsidR="00C14C3B" w:rsidRPr="00A02CA2" w:rsidRDefault="00C14C3B" w:rsidP="00EF01D9">
      <w:pPr>
        <w:ind w:left="1440" w:hanging="1440"/>
        <w:jc w:val="both"/>
        <w:rPr>
          <w:rFonts w:ascii="Segoe UI" w:hAnsi="Segoe UI" w:cs="Segoe UI"/>
          <w:sz w:val="22"/>
          <w:szCs w:val="22"/>
        </w:rPr>
      </w:pPr>
    </w:p>
    <w:p w14:paraId="15A39A00" w14:textId="77777777" w:rsidR="00C14C3B" w:rsidRPr="00A02CA2" w:rsidRDefault="00C14C3B" w:rsidP="00C14C3B">
      <w:pPr>
        <w:jc w:val="both"/>
        <w:rPr>
          <w:rFonts w:ascii="Segoe UI" w:hAnsi="Segoe UI" w:cs="Segoe UI"/>
          <w:b/>
          <w:sz w:val="22"/>
          <w:szCs w:val="22"/>
        </w:rPr>
      </w:pPr>
    </w:p>
    <w:p w14:paraId="4057B429" w14:textId="77777777" w:rsidR="00C14C3B" w:rsidRPr="00A02CA2" w:rsidRDefault="00C14C3B" w:rsidP="00C14C3B">
      <w:pPr>
        <w:jc w:val="both"/>
        <w:rPr>
          <w:rFonts w:ascii="Segoe UI" w:hAnsi="Segoe UI" w:cs="Segoe UI"/>
          <w:b/>
          <w:sz w:val="22"/>
          <w:szCs w:val="22"/>
        </w:rPr>
      </w:pPr>
    </w:p>
    <w:p w14:paraId="7FA771A4" w14:textId="77777777" w:rsidR="00C14C3B" w:rsidRPr="00A02CA2" w:rsidRDefault="00C14C3B" w:rsidP="00C14C3B">
      <w:pPr>
        <w:jc w:val="both"/>
        <w:rPr>
          <w:rFonts w:ascii="Segoe UI" w:hAnsi="Segoe UI" w:cs="Segoe UI"/>
          <w:b/>
          <w:sz w:val="22"/>
          <w:szCs w:val="22"/>
        </w:rPr>
      </w:pPr>
    </w:p>
    <w:p w14:paraId="55BF9E3B" w14:textId="77777777" w:rsidR="00C14C3B" w:rsidRPr="00A02CA2" w:rsidRDefault="00C14C3B" w:rsidP="00C14C3B">
      <w:pPr>
        <w:jc w:val="both"/>
        <w:rPr>
          <w:rFonts w:ascii="Segoe UI" w:hAnsi="Segoe UI" w:cs="Segoe UI"/>
          <w:b/>
          <w:sz w:val="22"/>
          <w:szCs w:val="22"/>
        </w:rPr>
      </w:pPr>
    </w:p>
    <w:p w14:paraId="33262ECD" w14:textId="77777777" w:rsidR="00C14C3B" w:rsidRPr="00A02CA2" w:rsidRDefault="00C14C3B" w:rsidP="00C14C3B">
      <w:pPr>
        <w:jc w:val="both"/>
        <w:rPr>
          <w:rFonts w:ascii="Segoe UI" w:hAnsi="Segoe UI" w:cs="Segoe UI"/>
          <w:b/>
          <w:sz w:val="22"/>
          <w:szCs w:val="22"/>
        </w:rPr>
      </w:pPr>
    </w:p>
    <w:p w14:paraId="5ADE417E" w14:textId="77777777" w:rsidR="003D4A0D" w:rsidRPr="00A02CA2" w:rsidRDefault="003D4A0D" w:rsidP="00C14C3B">
      <w:pPr>
        <w:jc w:val="both"/>
        <w:rPr>
          <w:rFonts w:ascii="Segoe UI" w:hAnsi="Segoe UI" w:cs="Segoe UI"/>
          <w:b/>
          <w:sz w:val="22"/>
          <w:szCs w:val="22"/>
        </w:rPr>
      </w:pPr>
    </w:p>
    <w:p w14:paraId="1B836281" w14:textId="77777777" w:rsidR="003D4A0D" w:rsidRPr="00A02CA2" w:rsidRDefault="003D4A0D" w:rsidP="00C14C3B">
      <w:pPr>
        <w:jc w:val="both"/>
        <w:rPr>
          <w:rFonts w:ascii="Segoe UI" w:hAnsi="Segoe UI" w:cs="Segoe UI"/>
          <w:b/>
          <w:sz w:val="22"/>
          <w:szCs w:val="22"/>
        </w:rPr>
      </w:pPr>
    </w:p>
    <w:p w14:paraId="1A66BFA3" w14:textId="77777777" w:rsidR="003D4A0D" w:rsidRPr="00A02CA2" w:rsidRDefault="003D4A0D" w:rsidP="00C14C3B">
      <w:pPr>
        <w:jc w:val="both"/>
        <w:rPr>
          <w:rFonts w:ascii="Segoe UI" w:hAnsi="Segoe UI" w:cs="Segoe UI"/>
          <w:b/>
          <w:sz w:val="22"/>
          <w:szCs w:val="22"/>
        </w:rPr>
      </w:pPr>
    </w:p>
    <w:p w14:paraId="72D2A2B5" w14:textId="77777777" w:rsidR="003D4A0D" w:rsidRPr="00A02CA2" w:rsidRDefault="003D4A0D" w:rsidP="00C14C3B">
      <w:pPr>
        <w:jc w:val="both"/>
        <w:rPr>
          <w:rFonts w:ascii="Segoe UI" w:hAnsi="Segoe UI" w:cs="Segoe UI"/>
          <w:b/>
          <w:sz w:val="22"/>
          <w:szCs w:val="22"/>
        </w:rPr>
      </w:pPr>
    </w:p>
    <w:p w14:paraId="15B8F96F" w14:textId="77777777" w:rsidR="003D4A0D" w:rsidRPr="00A02CA2" w:rsidRDefault="003D4A0D" w:rsidP="00C14C3B">
      <w:pPr>
        <w:jc w:val="both"/>
        <w:rPr>
          <w:rFonts w:ascii="Segoe UI" w:hAnsi="Segoe UI" w:cs="Segoe UI"/>
          <w:b/>
          <w:sz w:val="22"/>
          <w:szCs w:val="22"/>
        </w:rPr>
      </w:pPr>
    </w:p>
    <w:p w14:paraId="7445DE94" w14:textId="77777777" w:rsidR="003D4A0D" w:rsidRPr="00A02CA2" w:rsidRDefault="003D4A0D" w:rsidP="00C14C3B">
      <w:pPr>
        <w:jc w:val="both"/>
        <w:rPr>
          <w:rFonts w:ascii="Segoe UI" w:hAnsi="Segoe UI" w:cs="Segoe UI"/>
          <w:b/>
          <w:sz w:val="22"/>
          <w:szCs w:val="22"/>
        </w:rPr>
      </w:pPr>
    </w:p>
    <w:p w14:paraId="3778CA01" w14:textId="77777777" w:rsidR="003D4A0D" w:rsidRPr="00A02CA2" w:rsidRDefault="003D4A0D" w:rsidP="00C14C3B">
      <w:pPr>
        <w:jc w:val="both"/>
        <w:rPr>
          <w:rFonts w:ascii="Segoe UI" w:hAnsi="Segoe UI" w:cs="Segoe UI"/>
          <w:b/>
          <w:sz w:val="22"/>
          <w:szCs w:val="22"/>
        </w:rPr>
      </w:pPr>
    </w:p>
    <w:p w14:paraId="2FEA541E" w14:textId="77777777" w:rsidR="003D4A0D" w:rsidRPr="00A02CA2" w:rsidRDefault="003D4A0D" w:rsidP="00C14C3B">
      <w:pPr>
        <w:jc w:val="both"/>
        <w:rPr>
          <w:rFonts w:ascii="Segoe UI" w:hAnsi="Segoe UI" w:cs="Segoe UI"/>
          <w:b/>
          <w:sz w:val="22"/>
          <w:szCs w:val="22"/>
        </w:rPr>
      </w:pPr>
    </w:p>
    <w:p w14:paraId="4BA9CEE0" w14:textId="77777777" w:rsidR="00C14C3B" w:rsidRPr="00A02CA2" w:rsidRDefault="00C14C3B" w:rsidP="00C14C3B">
      <w:pPr>
        <w:jc w:val="both"/>
        <w:rPr>
          <w:rFonts w:ascii="Segoe UI" w:hAnsi="Segoe UI" w:cs="Segoe UI"/>
          <w:b/>
          <w:sz w:val="22"/>
          <w:szCs w:val="22"/>
        </w:rPr>
      </w:pPr>
    </w:p>
    <w:p w14:paraId="4C724842" w14:textId="3E8C3723" w:rsidR="00C14C3B" w:rsidRPr="00A02CA2" w:rsidRDefault="00C14C3B" w:rsidP="00C14C3B">
      <w:pPr>
        <w:jc w:val="both"/>
        <w:rPr>
          <w:rFonts w:ascii="Segoe UI" w:hAnsi="Segoe UI" w:cs="Segoe UI"/>
          <w:b/>
          <w:sz w:val="22"/>
          <w:szCs w:val="22"/>
        </w:rPr>
      </w:pPr>
    </w:p>
    <w:p w14:paraId="242C03BF" w14:textId="47987B8C" w:rsidR="007D0488" w:rsidRPr="00A02CA2" w:rsidRDefault="007D0488" w:rsidP="00C14C3B">
      <w:pPr>
        <w:jc w:val="both"/>
        <w:rPr>
          <w:rFonts w:ascii="Segoe UI" w:hAnsi="Segoe UI" w:cs="Segoe UI"/>
          <w:b/>
          <w:sz w:val="22"/>
          <w:szCs w:val="22"/>
        </w:rPr>
      </w:pPr>
    </w:p>
    <w:p w14:paraId="3FC87670" w14:textId="17FCF8E8" w:rsidR="007D0488" w:rsidRPr="00A02CA2" w:rsidRDefault="007D0488" w:rsidP="00C14C3B">
      <w:pPr>
        <w:jc w:val="both"/>
        <w:rPr>
          <w:rFonts w:ascii="Segoe UI" w:hAnsi="Segoe UI" w:cs="Segoe UI"/>
          <w:b/>
          <w:sz w:val="22"/>
          <w:szCs w:val="22"/>
        </w:rPr>
      </w:pPr>
    </w:p>
    <w:p w14:paraId="5EE59526" w14:textId="2897CDD7" w:rsidR="007D0488" w:rsidRPr="00A02CA2" w:rsidRDefault="007D0488" w:rsidP="00C14C3B">
      <w:pPr>
        <w:jc w:val="both"/>
        <w:rPr>
          <w:rFonts w:ascii="Segoe UI" w:hAnsi="Segoe UI" w:cs="Segoe UI"/>
          <w:b/>
          <w:sz w:val="22"/>
          <w:szCs w:val="22"/>
        </w:rPr>
      </w:pPr>
    </w:p>
    <w:p w14:paraId="62C06E52" w14:textId="0B5528FE" w:rsidR="007D0488" w:rsidRPr="00A02CA2" w:rsidRDefault="007D0488" w:rsidP="00C14C3B">
      <w:pPr>
        <w:jc w:val="both"/>
        <w:rPr>
          <w:rFonts w:ascii="Segoe UI" w:hAnsi="Segoe UI" w:cs="Segoe UI"/>
          <w:b/>
          <w:sz w:val="22"/>
          <w:szCs w:val="22"/>
        </w:rPr>
      </w:pPr>
    </w:p>
    <w:p w14:paraId="5D124CA6" w14:textId="221354DF" w:rsidR="007D0488" w:rsidRPr="00A02CA2" w:rsidRDefault="007D0488" w:rsidP="00C14C3B">
      <w:pPr>
        <w:jc w:val="both"/>
        <w:rPr>
          <w:rFonts w:ascii="Segoe UI" w:hAnsi="Segoe UI" w:cs="Segoe UI"/>
          <w:b/>
          <w:sz w:val="22"/>
          <w:szCs w:val="22"/>
        </w:rPr>
      </w:pPr>
    </w:p>
    <w:p w14:paraId="5AABBD4F" w14:textId="098A78C9" w:rsidR="007D0488" w:rsidRPr="00A02CA2" w:rsidRDefault="007D0488" w:rsidP="00C14C3B">
      <w:pPr>
        <w:jc w:val="both"/>
        <w:rPr>
          <w:rFonts w:ascii="Segoe UI" w:hAnsi="Segoe UI" w:cs="Segoe UI"/>
          <w:b/>
          <w:sz w:val="22"/>
          <w:szCs w:val="22"/>
        </w:rPr>
      </w:pPr>
    </w:p>
    <w:p w14:paraId="20487EE1" w14:textId="183838A2" w:rsidR="007D0488" w:rsidRPr="00A02CA2" w:rsidRDefault="007D0488" w:rsidP="00C14C3B">
      <w:pPr>
        <w:jc w:val="both"/>
        <w:rPr>
          <w:rFonts w:ascii="Segoe UI" w:hAnsi="Segoe UI" w:cs="Segoe UI"/>
          <w:b/>
          <w:sz w:val="22"/>
          <w:szCs w:val="22"/>
        </w:rPr>
      </w:pPr>
    </w:p>
    <w:p w14:paraId="3FE16FD9" w14:textId="77777777" w:rsidR="007D0488" w:rsidRPr="00A02CA2" w:rsidRDefault="007D0488" w:rsidP="00C14C3B">
      <w:pPr>
        <w:jc w:val="both"/>
        <w:rPr>
          <w:rFonts w:ascii="Segoe UI" w:hAnsi="Segoe UI" w:cs="Segoe UI"/>
          <w:b/>
          <w:sz w:val="22"/>
          <w:szCs w:val="22"/>
        </w:rPr>
      </w:pPr>
    </w:p>
    <w:p w14:paraId="765CE4C4" w14:textId="77777777" w:rsidR="007D0488" w:rsidRPr="00A02CA2" w:rsidRDefault="007D0488" w:rsidP="00C14C3B">
      <w:pPr>
        <w:jc w:val="both"/>
        <w:rPr>
          <w:rFonts w:ascii="Segoe UI" w:hAnsi="Segoe UI" w:cs="Segoe UI"/>
          <w:b/>
          <w:sz w:val="22"/>
          <w:szCs w:val="22"/>
        </w:rPr>
      </w:pPr>
    </w:p>
    <w:p w14:paraId="574AE07F" w14:textId="77777777" w:rsidR="00C14C3B" w:rsidRPr="00A02CA2" w:rsidRDefault="00C14C3B" w:rsidP="00C14C3B">
      <w:pPr>
        <w:jc w:val="both"/>
        <w:rPr>
          <w:rFonts w:ascii="Segoe UI" w:hAnsi="Segoe UI" w:cs="Segoe UI"/>
          <w:b/>
          <w:sz w:val="22"/>
          <w:szCs w:val="22"/>
        </w:rPr>
      </w:pPr>
    </w:p>
    <w:p w14:paraId="6E933DC7" w14:textId="77777777" w:rsidR="00C14C3B" w:rsidRPr="00A02CA2" w:rsidRDefault="00C14C3B" w:rsidP="00C14C3B">
      <w:pPr>
        <w:jc w:val="both"/>
        <w:rPr>
          <w:rFonts w:ascii="Segoe UI" w:hAnsi="Segoe UI" w:cs="Segoe UI"/>
          <w:b/>
          <w:sz w:val="22"/>
          <w:szCs w:val="22"/>
        </w:rPr>
      </w:pPr>
    </w:p>
    <w:p w14:paraId="21B5ECBD" w14:textId="77777777" w:rsidR="00DD5159" w:rsidRPr="00A02CA2" w:rsidRDefault="00DD5159" w:rsidP="00C14C3B">
      <w:pPr>
        <w:jc w:val="both"/>
        <w:rPr>
          <w:rFonts w:ascii="Segoe UI" w:hAnsi="Segoe UI" w:cs="Segoe UI"/>
          <w:b/>
          <w:sz w:val="22"/>
          <w:szCs w:val="22"/>
        </w:rPr>
      </w:pPr>
    </w:p>
    <w:p w14:paraId="5B47C26F" w14:textId="77777777" w:rsidR="00C14C3B" w:rsidRPr="00A02CA2" w:rsidRDefault="00C14C3B" w:rsidP="00C14C3B">
      <w:pPr>
        <w:jc w:val="both"/>
        <w:rPr>
          <w:rFonts w:ascii="Segoe UI" w:hAnsi="Segoe UI" w:cs="Segoe UI"/>
          <w:b/>
          <w:sz w:val="22"/>
          <w:szCs w:val="22"/>
        </w:rPr>
      </w:pPr>
      <w:r w:rsidRPr="00A02CA2">
        <w:rPr>
          <w:rFonts w:ascii="Segoe UI" w:hAnsi="Segoe UI" w:cs="Segoe UI"/>
          <w:b/>
          <w:sz w:val="22"/>
          <w:szCs w:val="22"/>
        </w:rPr>
        <w:t>Appendix 1 – Patient Access and Flow</w:t>
      </w:r>
    </w:p>
    <w:p w14:paraId="6AFB09DE" w14:textId="77777777" w:rsidR="00C14C3B" w:rsidRPr="00A02CA2" w:rsidRDefault="00C14C3B" w:rsidP="00C14C3B">
      <w:pPr>
        <w:jc w:val="both"/>
        <w:rPr>
          <w:rFonts w:ascii="Segoe UI" w:hAnsi="Segoe UI" w:cs="Segoe UI"/>
          <w:b/>
          <w:sz w:val="22"/>
          <w:szCs w:val="22"/>
        </w:rPr>
      </w:pPr>
    </w:p>
    <w:p w14:paraId="3BB678EB" w14:textId="1F4EEF41" w:rsidR="007D0488" w:rsidRPr="00A02CA2" w:rsidRDefault="00B22FE4" w:rsidP="00C14C3B">
      <w:pPr>
        <w:ind w:left="1440" w:hanging="1440"/>
        <w:jc w:val="both"/>
        <w:rPr>
          <w:rFonts w:ascii="Segoe UI" w:hAnsi="Segoe UI" w:cs="Segoe UI"/>
          <w:sz w:val="22"/>
          <w:szCs w:val="22"/>
        </w:rPr>
      </w:pPr>
      <w:r w:rsidRPr="00A02CA2">
        <w:rPr>
          <w:noProof/>
          <w:sz w:val="22"/>
          <w:szCs w:val="22"/>
        </w:rPr>
        <w:drawing>
          <wp:inline distT="0" distB="0" distL="0" distR="0" wp14:anchorId="288A6F18" wp14:editId="5222BC8B">
            <wp:extent cx="5940425" cy="3383915"/>
            <wp:effectExtent l="0" t="0" r="317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3383915"/>
                    </a:xfrm>
                    <a:prstGeom prst="rect">
                      <a:avLst/>
                    </a:prstGeom>
                    <a:noFill/>
                    <a:ln>
                      <a:noFill/>
                    </a:ln>
                  </pic:spPr>
                </pic:pic>
              </a:graphicData>
            </a:graphic>
          </wp:inline>
        </w:drawing>
      </w:r>
    </w:p>
    <w:p w14:paraId="34D6847F" w14:textId="77777777" w:rsidR="007D0488" w:rsidRPr="00A02CA2" w:rsidRDefault="007D0488" w:rsidP="007D0488">
      <w:pPr>
        <w:rPr>
          <w:rFonts w:ascii="Segoe UI" w:hAnsi="Segoe UI" w:cs="Segoe UI"/>
          <w:sz w:val="22"/>
          <w:szCs w:val="22"/>
        </w:rPr>
      </w:pPr>
    </w:p>
    <w:p w14:paraId="0A2E1C90" w14:textId="77777777" w:rsidR="007D0488" w:rsidRPr="00A02CA2" w:rsidRDefault="007D0488" w:rsidP="007D0488">
      <w:pPr>
        <w:rPr>
          <w:rFonts w:ascii="Segoe UI" w:hAnsi="Segoe UI" w:cs="Segoe UI"/>
          <w:sz w:val="22"/>
          <w:szCs w:val="22"/>
        </w:rPr>
      </w:pPr>
    </w:p>
    <w:p w14:paraId="7B730DC2" w14:textId="77777777" w:rsidR="007D0488" w:rsidRPr="00A02CA2" w:rsidRDefault="007D0488" w:rsidP="007D0488">
      <w:pPr>
        <w:rPr>
          <w:rFonts w:ascii="Segoe UI" w:hAnsi="Segoe UI" w:cs="Segoe UI"/>
          <w:sz w:val="22"/>
          <w:szCs w:val="22"/>
        </w:rPr>
      </w:pPr>
    </w:p>
    <w:p w14:paraId="45E4C82B" w14:textId="77777777" w:rsidR="007D0488" w:rsidRPr="00A02CA2" w:rsidRDefault="007D0488" w:rsidP="007D0488">
      <w:pPr>
        <w:rPr>
          <w:rFonts w:ascii="Segoe UI" w:hAnsi="Segoe UI" w:cs="Segoe UI"/>
          <w:sz w:val="22"/>
          <w:szCs w:val="22"/>
        </w:rPr>
      </w:pPr>
    </w:p>
    <w:p w14:paraId="4FF8D71D" w14:textId="77777777" w:rsidR="007D0488" w:rsidRPr="00A02CA2" w:rsidRDefault="007D0488" w:rsidP="007D0488">
      <w:pPr>
        <w:rPr>
          <w:rFonts w:ascii="Segoe UI" w:hAnsi="Segoe UI" w:cs="Segoe UI"/>
          <w:sz w:val="22"/>
          <w:szCs w:val="22"/>
        </w:rPr>
      </w:pPr>
    </w:p>
    <w:p w14:paraId="69E1D686" w14:textId="77777777" w:rsidR="007D0488" w:rsidRPr="00A02CA2" w:rsidRDefault="007D0488" w:rsidP="007D0488">
      <w:pPr>
        <w:rPr>
          <w:rFonts w:ascii="Segoe UI" w:hAnsi="Segoe UI" w:cs="Segoe UI"/>
          <w:sz w:val="22"/>
          <w:szCs w:val="22"/>
        </w:rPr>
      </w:pPr>
    </w:p>
    <w:p w14:paraId="65B68291" w14:textId="77777777" w:rsidR="007D0488" w:rsidRPr="00A02CA2" w:rsidRDefault="007D0488" w:rsidP="007D0488">
      <w:pPr>
        <w:rPr>
          <w:rFonts w:ascii="Segoe UI" w:hAnsi="Segoe UI" w:cs="Segoe UI"/>
          <w:sz w:val="22"/>
          <w:szCs w:val="22"/>
        </w:rPr>
      </w:pPr>
    </w:p>
    <w:p w14:paraId="329D9C3A" w14:textId="77777777" w:rsidR="007D0488" w:rsidRPr="00A02CA2" w:rsidRDefault="007D0488" w:rsidP="007D0488">
      <w:pPr>
        <w:rPr>
          <w:rFonts w:ascii="Segoe UI" w:hAnsi="Segoe UI" w:cs="Segoe UI"/>
          <w:sz w:val="22"/>
          <w:szCs w:val="22"/>
        </w:rPr>
      </w:pPr>
    </w:p>
    <w:p w14:paraId="21B26298" w14:textId="77777777" w:rsidR="007D0488" w:rsidRPr="00A02CA2" w:rsidRDefault="007D0488" w:rsidP="007D0488">
      <w:pPr>
        <w:rPr>
          <w:rFonts w:ascii="Segoe UI" w:hAnsi="Segoe UI" w:cs="Segoe UI"/>
          <w:sz w:val="22"/>
          <w:szCs w:val="22"/>
        </w:rPr>
      </w:pPr>
    </w:p>
    <w:p w14:paraId="0586492E" w14:textId="77777777" w:rsidR="007D0488" w:rsidRPr="00A02CA2" w:rsidRDefault="007D0488" w:rsidP="007D0488">
      <w:pPr>
        <w:rPr>
          <w:rFonts w:ascii="Segoe UI" w:hAnsi="Segoe UI" w:cs="Segoe UI"/>
          <w:sz w:val="22"/>
          <w:szCs w:val="22"/>
        </w:rPr>
      </w:pPr>
    </w:p>
    <w:p w14:paraId="48422CB3" w14:textId="77777777" w:rsidR="007D0488" w:rsidRPr="00A02CA2" w:rsidRDefault="007D0488" w:rsidP="007D0488">
      <w:pPr>
        <w:rPr>
          <w:rFonts w:ascii="Segoe UI" w:hAnsi="Segoe UI" w:cs="Segoe UI"/>
          <w:sz w:val="22"/>
          <w:szCs w:val="22"/>
        </w:rPr>
      </w:pPr>
    </w:p>
    <w:p w14:paraId="46E65A71" w14:textId="77777777" w:rsidR="007D0488" w:rsidRPr="00A02CA2" w:rsidRDefault="007D0488" w:rsidP="007D0488">
      <w:pPr>
        <w:rPr>
          <w:rFonts w:ascii="Segoe UI" w:hAnsi="Segoe UI" w:cs="Segoe UI"/>
          <w:sz w:val="22"/>
          <w:szCs w:val="22"/>
        </w:rPr>
      </w:pPr>
    </w:p>
    <w:p w14:paraId="40A65E05" w14:textId="77777777" w:rsidR="007D0488" w:rsidRPr="00A02CA2" w:rsidRDefault="007D0488" w:rsidP="007D0488">
      <w:pPr>
        <w:rPr>
          <w:rFonts w:ascii="Segoe UI" w:hAnsi="Segoe UI" w:cs="Segoe UI"/>
          <w:sz w:val="22"/>
          <w:szCs w:val="22"/>
        </w:rPr>
      </w:pPr>
    </w:p>
    <w:p w14:paraId="2B2029B9" w14:textId="77777777" w:rsidR="007D0488" w:rsidRPr="00A02CA2" w:rsidRDefault="007D0488" w:rsidP="007D0488">
      <w:pPr>
        <w:rPr>
          <w:rFonts w:ascii="Segoe UI" w:hAnsi="Segoe UI" w:cs="Segoe UI"/>
          <w:sz w:val="22"/>
          <w:szCs w:val="22"/>
        </w:rPr>
      </w:pPr>
    </w:p>
    <w:p w14:paraId="2E1DCD50" w14:textId="77777777" w:rsidR="007D0488" w:rsidRPr="00A02CA2" w:rsidRDefault="007D0488" w:rsidP="007D0488">
      <w:pPr>
        <w:rPr>
          <w:rFonts w:ascii="Segoe UI" w:hAnsi="Segoe UI" w:cs="Segoe UI"/>
          <w:sz w:val="22"/>
          <w:szCs w:val="22"/>
        </w:rPr>
      </w:pPr>
    </w:p>
    <w:p w14:paraId="47D58F56" w14:textId="77777777" w:rsidR="007D0488" w:rsidRPr="00A02CA2" w:rsidRDefault="007D0488" w:rsidP="007D0488">
      <w:pPr>
        <w:rPr>
          <w:rFonts w:ascii="Segoe UI" w:hAnsi="Segoe UI" w:cs="Segoe UI"/>
          <w:sz w:val="22"/>
          <w:szCs w:val="22"/>
        </w:rPr>
      </w:pPr>
    </w:p>
    <w:p w14:paraId="089DDCF5" w14:textId="77777777" w:rsidR="007D0488" w:rsidRPr="00A02CA2" w:rsidRDefault="007D0488" w:rsidP="007D0488">
      <w:pPr>
        <w:rPr>
          <w:rFonts w:ascii="Segoe UI" w:hAnsi="Segoe UI" w:cs="Segoe UI"/>
          <w:sz w:val="22"/>
          <w:szCs w:val="22"/>
        </w:rPr>
      </w:pPr>
    </w:p>
    <w:p w14:paraId="4771243B" w14:textId="77777777" w:rsidR="007D0488" w:rsidRPr="00A02CA2" w:rsidRDefault="007D0488" w:rsidP="007D0488">
      <w:pPr>
        <w:rPr>
          <w:rFonts w:ascii="Segoe UI" w:hAnsi="Segoe UI" w:cs="Segoe UI"/>
          <w:sz w:val="22"/>
          <w:szCs w:val="22"/>
        </w:rPr>
      </w:pPr>
    </w:p>
    <w:p w14:paraId="27514CF7" w14:textId="77777777" w:rsidR="007D0488" w:rsidRPr="00A02CA2" w:rsidRDefault="007D0488" w:rsidP="007D0488">
      <w:pPr>
        <w:rPr>
          <w:rFonts w:ascii="Segoe UI" w:hAnsi="Segoe UI" w:cs="Segoe UI"/>
          <w:sz w:val="22"/>
          <w:szCs w:val="22"/>
        </w:rPr>
      </w:pPr>
    </w:p>
    <w:p w14:paraId="75C323F9" w14:textId="77777777" w:rsidR="007D0488" w:rsidRPr="00A02CA2" w:rsidRDefault="007D0488" w:rsidP="007D0488">
      <w:pPr>
        <w:rPr>
          <w:rFonts w:ascii="Segoe UI" w:hAnsi="Segoe UI" w:cs="Segoe UI"/>
          <w:sz w:val="22"/>
          <w:szCs w:val="22"/>
        </w:rPr>
      </w:pPr>
    </w:p>
    <w:p w14:paraId="189FAD0A" w14:textId="77777777" w:rsidR="007D0488" w:rsidRPr="00A02CA2" w:rsidRDefault="007D0488" w:rsidP="007D0488">
      <w:pPr>
        <w:rPr>
          <w:rFonts w:ascii="Segoe UI" w:hAnsi="Segoe UI" w:cs="Segoe UI"/>
          <w:sz w:val="22"/>
          <w:szCs w:val="22"/>
        </w:rPr>
      </w:pPr>
    </w:p>
    <w:p w14:paraId="594A58A8" w14:textId="77777777" w:rsidR="007D0488" w:rsidRPr="00A02CA2" w:rsidRDefault="007D0488" w:rsidP="007D0488">
      <w:pPr>
        <w:rPr>
          <w:rFonts w:ascii="Segoe UI" w:hAnsi="Segoe UI" w:cs="Segoe UI"/>
          <w:sz w:val="22"/>
          <w:szCs w:val="22"/>
        </w:rPr>
      </w:pPr>
    </w:p>
    <w:p w14:paraId="45C04596" w14:textId="77777777" w:rsidR="007D0488" w:rsidRPr="00A02CA2" w:rsidRDefault="007D0488" w:rsidP="007D0488">
      <w:pPr>
        <w:rPr>
          <w:rFonts w:ascii="Segoe UI" w:hAnsi="Segoe UI" w:cs="Segoe UI"/>
          <w:sz w:val="22"/>
          <w:szCs w:val="22"/>
        </w:rPr>
      </w:pPr>
    </w:p>
    <w:p w14:paraId="6642EB93" w14:textId="77777777" w:rsidR="007D0488" w:rsidRPr="00A02CA2" w:rsidRDefault="007D0488" w:rsidP="007D0488">
      <w:pPr>
        <w:rPr>
          <w:rFonts w:ascii="Segoe UI" w:hAnsi="Segoe UI" w:cs="Segoe UI"/>
          <w:sz w:val="22"/>
          <w:szCs w:val="22"/>
        </w:rPr>
      </w:pPr>
    </w:p>
    <w:p w14:paraId="30D45B46" w14:textId="77777777" w:rsidR="007D0488" w:rsidRPr="00A02CA2" w:rsidRDefault="007D0488" w:rsidP="007D0488">
      <w:pPr>
        <w:rPr>
          <w:rFonts w:ascii="Segoe UI" w:hAnsi="Segoe UI" w:cs="Segoe UI"/>
          <w:sz w:val="22"/>
          <w:szCs w:val="22"/>
        </w:rPr>
      </w:pPr>
    </w:p>
    <w:p w14:paraId="6CC23299" w14:textId="77777777" w:rsidR="007D0488" w:rsidRPr="00A02CA2" w:rsidRDefault="007D0488" w:rsidP="007D0488">
      <w:pPr>
        <w:rPr>
          <w:rFonts w:ascii="Segoe UI" w:hAnsi="Segoe UI" w:cs="Segoe UI"/>
          <w:sz w:val="22"/>
          <w:szCs w:val="22"/>
        </w:rPr>
      </w:pPr>
    </w:p>
    <w:p w14:paraId="5B342983" w14:textId="7B295BC8" w:rsidR="009F78D3" w:rsidRPr="00A02CA2" w:rsidRDefault="009F78D3" w:rsidP="00C14C3B">
      <w:pPr>
        <w:ind w:left="1440" w:hanging="1440"/>
        <w:jc w:val="both"/>
        <w:rPr>
          <w:rFonts w:ascii="Segoe UI" w:hAnsi="Segoe UI" w:cs="Segoe UI"/>
          <w:sz w:val="22"/>
          <w:szCs w:val="22"/>
        </w:rPr>
      </w:pPr>
    </w:p>
    <w:sectPr w:rsidR="009F78D3" w:rsidRPr="00A02CA2" w:rsidSect="00F875A6">
      <w:headerReference w:type="default" r:id="rId17"/>
      <w:footerReference w:type="default" r:id="rId18"/>
      <w:pgSz w:w="12240" w:h="15840"/>
      <w:pgMar w:top="1440" w:right="146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19E03" w14:textId="77777777" w:rsidR="00BE14AC" w:rsidRDefault="00BE14AC" w:rsidP="005B3E3C">
      <w:r>
        <w:separator/>
      </w:r>
    </w:p>
  </w:endnote>
  <w:endnote w:type="continuationSeparator" w:id="0">
    <w:p w14:paraId="533C04E9" w14:textId="77777777" w:rsidR="00BE14AC" w:rsidRDefault="00BE14AC"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utiger">
    <w:altName w:val="Segoe U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051279"/>
      <w:docPartObj>
        <w:docPartGallery w:val="Page Numbers (Bottom of Page)"/>
        <w:docPartUnique/>
      </w:docPartObj>
    </w:sdtPr>
    <w:sdtEndPr>
      <w:rPr>
        <w:noProof/>
      </w:rPr>
    </w:sdtEndPr>
    <w:sdtContent>
      <w:p w14:paraId="1C1D5D79" w14:textId="77777777" w:rsidR="00B418F5" w:rsidRDefault="00B418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97AF98" w14:textId="77777777" w:rsidR="00B418F5" w:rsidRDefault="00B41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618F2" w14:textId="77777777" w:rsidR="00BE14AC" w:rsidRDefault="00BE14AC" w:rsidP="005B3E3C">
      <w:r>
        <w:separator/>
      </w:r>
    </w:p>
  </w:footnote>
  <w:footnote w:type="continuationSeparator" w:id="0">
    <w:p w14:paraId="2F108036" w14:textId="77777777" w:rsidR="00BE14AC" w:rsidRDefault="00BE14AC"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AE933" w14:textId="77777777" w:rsidR="00781566" w:rsidRPr="005B3E3C" w:rsidRDefault="006E3C3E" w:rsidP="005B3E3C">
    <w:pPr>
      <w:pStyle w:val="Header"/>
      <w:jc w:val="center"/>
      <w:rPr>
        <w:rFonts w:ascii="Arial" w:hAnsi="Arial" w:cs="Arial"/>
      </w:rPr>
    </w:pPr>
    <w:r w:rsidRPr="006E3C3E">
      <w:rPr>
        <w:rFonts w:ascii="Arial" w:hAnsi="Arial" w:cs="Arial"/>
        <w:b/>
        <w:i/>
      </w:rPr>
      <w:t>P</w:t>
    </w:r>
    <w:r w:rsidR="003066A9">
      <w:rPr>
        <w:rFonts w:ascii="Arial" w:hAnsi="Arial" w:cs="Arial"/>
        <w:b/>
        <w:i/>
      </w:rPr>
      <w:t>ublic</w:t>
    </w:r>
    <w:r w:rsidRPr="006E3C3E">
      <w:rPr>
        <w:rFonts w:ascii="Arial" w:hAnsi="Arial" w:cs="Arial"/>
        <w:b/>
        <w:i/>
      </w:rPr>
      <w:t xml:space="preserve"> </w:t>
    </w:r>
    <w:r w:rsidR="003066A9">
      <w:rPr>
        <w:rFonts w:ascii="Arial" w:hAnsi="Arial" w:cs="Arial"/>
        <w:b/>
        <w:i/>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72B68"/>
    <w:multiLevelType w:val="hybridMultilevel"/>
    <w:tmpl w:val="CBF2B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670688"/>
    <w:multiLevelType w:val="hybridMultilevel"/>
    <w:tmpl w:val="74F43184"/>
    <w:lvl w:ilvl="0" w:tplc="FFFAC730">
      <w:start w:val="1"/>
      <w:numFmt w:val="bullet"/>
      <w:lvlText w:val="-"/>
      <w:lvlJc w:val="left"/>
      <w:pPr>
        <w:ind w:left="720" w:hanging="360"/>
      </w:pPr>
      <w:rPr>
        <w:rFonts w:ascii="Segoe UI" w:eastAsia="Times New Roman"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C02857"/>
    <w:multiLevelType w:val="hybridMultilevel"/>
    <w:tmpl w:val="F9FCD1C4"/>
    <w:lvl w:ilvl="0" w:tplc="B7ACCD3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D76DD"/>
    <w:multiLevelType w:val="hybridMultilevel"/>
    <w:tmpl w:val="8B9AF612"/>
    <w:lvl w:ilvl="0" w:tplc="0809000F">
      <w:start w:val="1"/>
      <w:numFmt w:val="decimal"/>
      <w:lvlText w:val="%1."/>
      <w:lvlJc w:val="left"/>
      <w:pPr>
        <w:ind w:left="1440" w:hanging="360"/>
      </w:p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9FD2D9B"/>
    <w:multiLevelType w:val="hybridMultilevel"/>
    <w:tmpl w:val="0E8699A8"/>
    <w:lvl w:ilvl="0" w:tplc="51C6718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E3839"/>
    <w:multiLevelType w:val="hybridMultilevel"/>
    <w:tmpl w:val="73365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C32DF"/>
    <w:multiLevelType w:val="hybridMultilevel"/>
    <w:tmpl w:val="50C62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76678F"/>
    <w:multiLevelType w:val="hybridMultilevel"/>
    <w:tmpl w:val="6CE06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CC6656"/>
    <w:multiLevelType w:val="hybridMultilevel"/>
    <w:tmpl w:val="155A5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98614C"/>
    <w:multiLevelType w:val="hybridMultilevel"/>
    <w:tmpl w:val="86304BF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7202E"/>
    <w:multiLevelType w:val="hybridMultilevel"/>
    <w:tmpl w:val="E41A5620"/>
    <w:lvl w:ilvl="0" w:tplc="0276CA7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81543"/>
    <w:multiLevelType w:val="hybridMultilevel"/>
    <w:tmpl w:val="F7CABEC6"/>
    <w:lvl w:ilvl="0" w:tplc="6602F1CE">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F60E94"/>
    <w:multiLevelType w:val="hybridMultilevel"/>
    <w:tmpl w:val="49802B04"/>
    <w:lvl w:ilvl="0" w:tplc="DD769A34">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1E4AF2"/>
    <w:multiLevelType w:val="hybridMultilevel"/>
    <w:tmpl w:val="99725AB2"/>
    <w:lvl w:ilvl="0" w:tplc="96024E4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01369"/>
    <w:multiLevelType w:val="hybridMultilevel"/>
    <w:tmpl w:val="CD20C1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15" w15:restartNumberingAfterBreak="0">
    <w:nsid w:val="44081F66"/>
    <w:multiLevelType w:val="hybridMultilevel"/>
    <w:tmpl w:val="81C86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30D6005"/>
    <w:multiLevelType w:val="hybridMultilevel"/>
    <w:tmpl w:val="0BA062CE"/>
    <w:lvl w:ilvl="0" w:tplc="0BD2EE8C">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CB4741"/>
    <w:multiLevelType w:val="hybridMultilevel"/>
    <w:tmpl w:val="E506B98E"/>
    <w:lvl w:ilvl="0" w:tplc="CA06E2B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E1F25AD"/>
    <w:multiLevelType w:val="hybridMultilevel"/>
    <w:tmpl w:val="22E28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AA5E0E"/>
    <w:multiLevelType w:val="hybridMultilevel"/>
    <w:tmpl w:val="15CC9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12D20DC"/>
    <w:multiLevelType w:val="hybridMultilevel"/>
    <w:tmpl w:val="F4502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41E7606"/>
    <w:multiLevelType w:val="hybridMultilevel"/>
    <w:tmpl w:val="8B4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954DD5"/>
    <w:multiLevelType w:val="hybridMultilevel"/>
    <w:tmpl w:val="3160A908"/>
    <w:lvl w:ilvl="0" w:tplc="48CC0D9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6"/>
  </w:num>
  <w:num w:numId="3">
    <w:abstractNumId w:val="19"/>
  </w:num>
  <w:num w:numId="4">
    <w:abstractNumId w:val="11"/>
  </w:num>
  <w:num w:numId="5">
    <w:abstractNumId w:val="18"/>
  </w:num>
  <w:num w:numId="6">
    <w:abstractNumId w:val="2"/>
  </w:num>
  <w:num w:numId="7">
    <w:abstractNumId w:val="13"/>
  </w:num>
  <w:num w:numId="8">
    <w:abstractNumId w:val="10"/>
  </w:num>
  <w:num w:numId="9">
    <w:abstractNumId w:val="4"/>
  </w:num>
  <w:num w:numId="10">
    <w:abstractNumId w:val="12"/>
  </w:num>
  <w:num w:numId="11">
    <w:abstractNumId w:val="21"/>
  </w:num>
  <w:num w:numId="12">
    <w:abstractNumId w:val="6"/>
  </w:num>
  <w:num w:numId="13">
    <w:abstractNumId w:val="7"/>
  </w:num>
  <w:num w:numId="14">
    <w:abstractNumId w:val="23"/>
  </w:num>
  <w:num w:numId="15">
    <w:abstractNumId w:val="0"/>
  </w:num>
  <w:num w:numId="16">
    <w:abstractNumId w:val="17"/>
  </w:num>
  <w:num w:numId="17">
    <w:abstractNumId w:val="24"/>
  </w:num>
  <w:num w:numId="18">
    <w:abstractNumId w:val="25"/>
  </w:num>
  <w:num w:numId="19">
    <w:abstractNumId w:val="20"/>
  </w:num>
  <w:num w:numId="20">
    <w:abstractNumId w:val="15"/>
  </w:num>
  <w:num w:numId="21">
    <w:abstractNumId w:val="8"/>
  </w:num>
  <w:num w:numId="22">
    <w:abstractNumId w:val="5"/>
  </w:num>
  <w:num w:numId="23">
    <w:abstractNumId w:val="14"/>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9"/>
  </w:num>
  <w:num w:numId="27">
    <w:abstractNumId w:val="1"/>
  </w:num>
  <w:num w:numId="28">
    <w:abstractNumId w:val="3"/>
    <w:lvlOverride w:ilvl="0">
      <w:startOverride w:val="1"/>
    </w:lvlOverride>
    <w:lvlOverride w:ilvl="1"/>
    <w:lvlOverride w:ilvl="2"/>
    <w:lvlOverride w:ilvl="3"/>
    <w:lvlOverride w:ilvl="4"/>
    <w:lvlOverride w:ilvl="5"/>
    <w:lvlOverride w:ilvl="6"/>
    <w:lvlOverride w:ilvl="7"/>
    <w:lvlOverride w:ilvl="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07830"/>
    <w:rsid w:val="000104E4"/>
    <w:rsid w:val="0001134C"/>
    <w:rsid w:val="00012059"/>
    <w:rsid w:val="00013A7D"/>
    <w:rsid w:val="00014845"/>
    <w:rsid w:val="00015744"/>
    <w:rsid w:val="000161D5"/>
    <w:rsid w:val="00016B35"/>
    <w:rsid w:val="000222DA"/>
    <w:rsid w:val="00023074"/>
    <w:rsid w:val="00024D76"/>
    <w:rsid w:val="00026260"/>
    <w:rsid w:val="000302E0"/>
    <w:rsid w:val="00031871"/>
    <w:rsid w:val="0003209B"/>
    <w:rsid w:val="00034311"/>
    <w:rsid w:val="000344E6"/>
    <w:rsid w:val="00036D9C"/>
    <w:rsid w:val="00041960"/>
    <w:rsid w:val="00045966"/>
    <w:rsid w:val="000459D5"/>
    <w:rsid w:val="00047911"/>
    <w:rsid w:val="00050037"/>
    <w:rsid w:val="0005194A"/>
    <w:rsid w:val="00053FB7"/>
    <w:rsid w:val="00057F0B"/>
    <w:rsid w:val="0006115B"/>
    <w:rsid w:val="00063499"/>
    <w:rsid w:val="00071531"/>
    <w:rsid w:val="000726FF"/>
    <w:rsid w:val="0007305A"/>
    <w:rsid w:val="00080E72"/>
    <w:rsid w:val="0008281A"/>
    <w:rsid w:val="00092197"/>
    <w:rsid w:val="00092A3D"/>
    <w:rsid w:val="00095F98"/>
    <w:rsid w:val="000974F2"/>
    <w:rsid w:val="000A0020"/>
    <w:rsid w:val="000A1AF7"/>
    <w:rsid w:val="000A2B61"/>
    <w:rsid w:val="000A3319"/>
    <w:rsid w:val="000A3DB3"/>
    <w:rsid w:val="000A47D9"/>
    <w:rsid w:val="000B133B"/>
    <w:rsid w:val="000B3EA8"/>
    <w:rsid w:val="000B45A6"/>
    <w:rsid w:val="000B77F9"/>
    <w:rsid w:val="000C0988"/>
    <w:rsid w:val="000D24FB"/>
    <w:rsid w:val="000E28AF"/>
    <w:rsid w:val="000E317C"/>
    <w:rsid w:val="000E49A0"/>
    <w:rsid w:val="000E5986"/>
    <w:rsid w:val="000E7059"/>
    <w:rsid w:val="000E7AD1"/>
    <w:rsid w:val="000F2610"/>
    <w:rsid w:val="000F47AD"/>
    <w:rsid w:val="000F4C46"/>
    <w:rsid w:val="000F77BF"/>
    <w:rsid w:val="00101A21"/>
    <w:rsid w:val="00102321"/>
    <w:rsid w:val="00102E4F"/>
    <w:rsid w:val="00103519"/>
    <w:rsid w:val="00105532"/>
    <w:rsid w:val="0010685F"/>
    <w:rsid w:val="00107AAC"/>
    <w:rsid w:val="00110E24"/>
    <w:rsid w:val="001123A3"/>
    <w:rsid w:val="00113C22"/>
    <w:rsid w:val="001141A1"/>
    <w:rsid w:val="00115C94"/>
    <w:rsid w:val="00120A2A"/>
    <w:rsid w:val="00125A85"/>
    <w:rsid w:val="00130D9D"/>
    <w:rsid w:val="00130E60"/>
    <w:rsid w:val="00132863"/>
    <w:rsid w:val="00132BED"/>
    <w:rsid w:val="00136461"/>
    <w:rsid w:val="00141763"/>
    <w:rsid w:val="00142BB1"/>
    <w:rsid w:val="0014509D"/>
    <w:rsid w:val="0014622C"/>
    <w:rsid w:val="00146C68"/>
    <w:rsid w:val="00150B66"/>
    <w:rsid w:val="001512FB"/>
    <w:rsid w:val="001513D5"/>
    <w:rsid w:val="00152B4C"/>
    <w:rsid w:val="001542F5"/>
    <w:rsid w:val="00154D67"/>
    <w:rsid w:val="0015532C"/>
    <w:rsid w:val="001604E3"/>
    <w:rsid w:val="00161CD3"/>
    <w:rsid w:val="00165EEF"/>
    <w:rsid w:val="00172D01"/>
    <w:rsid w:val="00177166"/>
    <w:rsid w:val="00180EDB"/>
    <w:rsid w:val="001944AC"/>
    <w:rsid w:val="001963F3"/>
    <w:rsid w:val="0019785F"/>
    <w:rsid w:val="001A00AA"/>
    <w:rsid w:val="001A170F"/>
    <w:rsid w:val="001A2011"/>
    <w:rsid w:val="001A2F3F"/>
    <w:rsid w:val="001A49DD"/>
    <w:rsid w:val="001A7443"/>
    <w:rsid w:val="001B3AEB"/>
    <w:rsid w:val="001B4833"/>
    <w:rsid w:val="001B4B9D"/>
    <w:rsid w:val="001B6EEE"/>
    <w:rsid w:val="001C295C"/>
    <w:rsid w:val="001C4ED8"/>
    <w:rsid w:val="001D03E1"/>
    <w:rsid w:val="001D0FE4"/>
    <w:rsid w:val="001D3728"/>
    <w:rsid w:val="001D48E6"/>
    <w:rsid w:val="001D65AB"/>
    <w:rsid w:val="001E12EB"/>
    <w:rsid w:val="001E1C83"/>
    <w:rsid w:val="001E1E6B"/>
    <w:rsid w:val="001E3511"/>
    <w:rsid w:val="001E48F5"/>
    <w:rsid w:val="001E6DBC"/>
    <w:rsid w:val="001E7831"/>
    <w:rsid w:val="001F2148"/>
    <w:rsid w:val="001F23B3"/>
    <w:rsid w:val="001F2541"/>
    <w:rsid w:val="001F32AC"/>
    <w:rsid w:val="001F76ED"/>
    <w:rsid w:val="00200556"/>
    <w:rsid w:val="00202D5F"/>
    <w:rsid w:val="00207FC8"/>
    <w:rsid w:val="00213006"/>
    <w:rsid w:val="0021416A"/>
    <w:rsid w:val="00216194"/>
    <w:rsid w:val="002168D1"/>
    <w:rsid w:val="0022050F"/>
    <w:rsid w:val="0022314F"/>
    <w:rsid w:val="00225CD4"/>
    <w:rsid w:val="00226426"/>
    <w:rsid w:val="00227BA7"/>
    <w:rsid w:val="00227FCE"/>
    <w:rsid w:val="002306E2"/>
    <w:rsid w:val="00232D98"/>
    <w:rsid w:val="00233516"/>
    <w:rsid w:val="002368CD"/>
    <w:rsid w:val="002407F8"/>
    <w:rsid w:val="00252E51"/>
    <w:rsid w:val="0025508D"/>
    <w:rsid w:val="00256F43"/>
    <w:rsid w:val="00260A9C"/>
    <w:rsid w:val="002619EF"/>
    <w:rsid w:val="00270487"/>
    <w:rsid w:val="002710D7"/>
    <w:rsid w:val="00274738"/>
    <w:rsid w:val="00280D19"/>
    <w:rsid w:val="002821F8"/>
    <w:rsid w:val="002875D9"/>
    <w:rsid w:val="00290581"/>
    <w:rsid w:val="00291E9E"/>
    <w:rsid w:val="00292613"/>
    <w:rsid w:val="00294343"/>
    <w:rsid w:val="002A0F36"/>
    <w:rsid w:val="002A2A47"/>
    <w:rsid w:val="002A6555"/>
    <w:rsid w:val="002A694A"/>
    <w:rsid w:val="002A73E8"/>
    <w:rsid w:val="002B1020"/>
    <w:rsid w:val="002B55A4"/>
    <w:rsid w:val="002B6E44"/>
    <w:rsid w:val="002C2F97"/>
    <w:rsid w:val="002C3D1A"/>
    <w:rsid w:val="002C536E"/>
    <w:rsid w:val="002C5F95"/>
    <w:rsid w:val="002C7C79"/>
    <w:rsid w:val="002D3AAD"/>
    <w:rsid w:val="002D4CCA"/>
    <w:rsid w:val="002D575D"/>
    <w:rsid w:val="002D5B46"/>
    <w:rsid w:val="002E003B"/>
    <w:rsid w:val="002E3C80"/>
    <w:rsid w:val="002E4CF9"/>
    <w:rsid w:val="002E6FC6"/>
    <w:rsid w:val="002F0C3A"/>
    <w:rsid w:val="002F1E5B"/>
    <w:rsid w:val="002F3C92"/>
    <w:rsid w:val="002F6285"/>
    <w:rsid w:val="002F73C3"/>
    <w:rsid w:val="0030031A"/>
    <w:rsid w:val="00302535"/>
    <w:rsid w:val="003066A9"/>
    <w:rsid w:val="00312FC7"/>
    <w:rsid w:val="003208EA"/>
    <w:rsid w:val="00323FC2"/>
    <w:rsid w:val="00325CB3"/>
    <w:rsid w:val="00330275"/>
    <w:rsid w:val="00330845"/>
    <w:rsid w:val="00330886"/>
    <w:rsid w:val="00333EFF"/>
    <w:rsid w:val="003352AA"/>
    <w:rsid w:val="00347F43"/>
    <w:rsid w:val="003518BC"/>
    <w:rsid w:val="00352371"/>
    <w:rsid w:val="00352ACA"/>
    <w:rsid w:val="00353DB4"/>
    <w:rsid w:val="00361816"/>
    <w:rsid w:val="003623C4"/>
    <w:rsid w:val="003633C8"/>
    <w:rsid w:val="003640F0"/>
    <w:rsid w:val="0037124A"/>
    <w:rsid w:val="0037138A"/>
    <w:rsid w:val="0037248C"/>
    <w:rsid w:val="00375478"/>
    <w:rsid w:val="0037692B"/>
    <w:rsid w:val="00381949"/>
    <w:rsid w:val="00382967"/>
    <w:rsid w:val="00384B87"/>
    <w:rsid w:val="00384BF2"/>
    <w:rsid w:val="00384DB2"/>
    <w:rsid w:val="00385BF1"/>
    <w:rsid w:val="00386069"/>
    <w:rsid w:val="00386090"/>
    <w:rsid w:val="00386B91"/>
    <w:rsid w:val="00391668"/>
    <w:rsid w:val="00396317"/>
    <w:rsid w:val="003965D7"/>
    <w:rsid w:val="003971F6"/>
    <w:rsid w:val="003A1BA3"/>
    <w:rsid w:val="003A413B"/>
    <w:rsid w:val="003B656B"/>
    <w:rsid w:val="003B66F1"/>
    <w:rsid w:val="003C136E"/>
    <w:rsid w:val="003C19D3"/>
    <w:rsid w:val="003C2222"/>
    <w:rsid w:val="003C27B4"/>
    <w:rsid w:val="003D0B91"/>
    <w:rsid w:val="003D1D77"/>
    <w:rsid w:val="003D4A0D"/>
    <w:rsid w:val="003D5C90"/>
    <w:rsid w:val="003D66C3"/>
    <w:rsid w:val="003D7F7F"/>
    <w:rsid w:val="003E47E9"/>
    <w:rsid w:val="003E4910"/>
    <w:rsid w:val="003F226B"/>
    <w:rsid w:val="003F3BD5"/>
    <w:rsid w:val="003F7366"/>
    <w:rsid w:val="004015FF"/>
    <w:rsid w:val="0040186B"/>
    <w:rsid w:val="00401AC7"/>
    <w:rsid w:val="004021C5"/>
    <w:rsid w:val="00405D2D"/>
    <w:rsid w:val="0040722B"/>
    <w:rsid w:val="00410244"/>
    <w:rsid w:val="004104C7"/>
    <w:rsid w:val="00413D9F"/>
    <w:rsid w:val="00414A70"/>
    <w:rsid w:val="00414EFF"/>
    <w:rsid w:val="00415ACB"/>
    <w:rsid w:val="004214F7"/>
    <w:rsid w:val="00421734"/>
    <w:rsid w:val="00422FCA"/>
    <w:rsid w:val="00423058"/>
    <w:rsid w:val="0042741C"/>
    <w:rsid w:val="0043075E"/>
    <w:rsid w:val="00431649"/>
    <w:rsid w:val="004326BB"/>
    <w:rsid w:val="00436775"/>
    <w:rsid w:val="0043718B"/>
    <w:rsid w:val="00437FB4"/>
    <w:rsid w:val="00445343"/>
    <w:rsid w:val="00446638"/>
    <w:rsid w:val="00447BE4"/>
    <w:rsid w:val="0045048F"/>
    <w:rsid w:val="00450C3F"/>
    <w:rsid w:val="00451DB0"/>
    <w:rsid w:val="00465CF0"/>
    <w:rsid w:val="00472286"/>
    <w:rsid w:val="00475D23"/>
    <w:rsid w:val="004829AE"/>
    <w:rsid w:val="00482C9D"/>
    <w:rsid w:val="0048584C"/>
    <w:rsid w:val="004862BC"/>
    <w:rsid w:val="00490282"/>
    <w:rsid w:val="00492483"/>
    <w:rsid w:val="004A1287"/>
    <w:rsid w:val="004A4DFB"/>
    <w:rsid w:val="004A7F6B"/>
    <w:rsid w:val="004B1544"/>
    <w:rsid w:val="004B6756"/>
    <w:rsid w:val="004C032A"/>
    <w:rsid w:val="004C22CE"/>
    <w:rsid w:val="004C5125"/>
    <w:rsid w:val="004C5897"/>
    <w:rsid w:val="004D0BB5"/>
    <w:rsid w:val="004D1192"/>
    <w:rsid w:val="004D3C66"/>
    <w:rsid w:val="004D3F55"/>
    <w:rsid w:val="004D7D57"/>
    <w:rsid w:val="004E1C4A"/>
    <w:rsid w:val="004E2219"/>
    <w:rsid w:val="004E38C0"/>
    <w:rsid w:val="004E4C86"/>
    <w:rsid w:val="004E4D94"/>
    <w:rsid w:val="004E740C"/>
    <w:rsid w:val="004F4BBA"/>
    <w:rsid w:val="004F5DE5"/>
    <w:rsid w:val="004F61D8"/>
    <w:rsid w:val="004F67F0"/>
    <w:rsid w:val="005018C3"/>
    <w:rsid w:val="005027DB"/>
    <w:rsid w:val="005051F3"/>
    <w:rsid w:val="005078E5"/>
    <w:rsid w:val="00513994"/>
    <w:rsid w:val="00520D02"/>
    <w:rsid w:val="005233AA"/>
    <w:rsid w:val="00527C15"/>
    <w:rsid w:val="00530D1F"/>
    <w:rsid w:val="00531625"/>
    <w:rsid w:val="0054040B"/>
    <w:rsid w:val="0054546A"/>
    <w:rsid w:val="0054783C"/>
    <w:rsid w:val="00551B0F"/>
    <w:rsid w:val="0055229C"/>
    <w:rsid w:val="00554AF4"/>
    <w:rsid w:val="00557CC7"/>
    <w:rsid w:val="00563E0F"/>
    <w:rsid w:val="005659FB"/>
    <w:rsid w:val="00574A97"/>
    <w:rsid w:val="0057512E"/>
    <w:rsid w:val="00584D27"/>
    <w:rsid w:val="00586BF7"/>
    <w:rsid w:val="00587E52"/>
    <w:rsid w:val="005902B5"/>
    <w:rsid w:val="005A17A9"/>
    <w:rsid w:val="005A2F78"/>
    <w:rsid w:val="005A4A64"/>
    <w:rsid w:val="005A5ADF"/>
    <w:rsid w:val="005B01FE"/>
    <w:rsid w:val="005B3E3C"/>
    <w:rsid w:val="005B7F81"/>
    <w:rsid w:val="005C1B25"/>
    <w:rsid w:val="005C1D1C"/>
    <w:rsid w:val="005C3840"/>
    <w:rsid w:val="005C3FC1"/>
    <w:rsid w:val="005C74B3"/>
    <w:rsid w:val="005D3499"/>
    <w:rsid w:val="005D5813"/>
    <w:rsid w:val="005E09C4"/>
    <w:rsid w:val="005E2583"/>
    <w:rsid w:val="005E2EF4"/>
    <w:rsid w:val="005E5C55"/>
    <w:rsid w:val="005E617C"/>
    <w:rsid w:val="005F270E"/>
    <w:rsid w:val="005F33A8"/>
    <w:rsid w:val="005F36B6"/>
    <w:rsid w:val="005F4BA9"/>
    <w:rsid w:val="005F6A8B"/>
    <w:rsid w:val="005F7812"/>
    <w:rsid w:val="006044DE"/>
    <w:rsid w:val="00606B48"/>
    <w:rsid w:val="006114E4"/>
    <w:rsid w:val="00612AF0"/>
    <w:rsid w:val="006160CC"/>
    <w:rsid w:val="0061684E"/>
    <w:rsid w:val="0062376E"/>
    <w:rsid w:val="00624CC9"/>
    <w:rsid w:val="00626EFA"/>
    <w:rsid w:val="00632A28"/>
    <w:rsid w:val="00632F83"/>
    <w:rsid w:val="006403C3"/>
    <w:rsid w:val="0064084D"/>
    <w:rsid w:val="0064090E"/>
    <w:rsid w:val="0064347E"/>
    <w:rsid w:val="00645531"/>
    <w:rsid w:val="006472D3"/>
    <w:rsid w:val="00650771"/>
    <w:rsid w:val="00651C0D"/>
    <w:rsid w:val="00654880"/>
    <w:rsid w:val="00655827"/>
    <w:rsid w:val="00657D10"/>
    <w:rsid w:val="0066170A"/>
    <w:rsid w:val="00662DC5"/>
    <w:rsid w:val="00665F45"/>
    <w:rsid w:val="006662C3"/>
    <w:rsid w:val="00666651"/>
    <w:rsid w:val="00666816"/>
    <w:rsid w:val="00666E6B"/>
    <w:rsid w:val="0067461E"/>
    <w:rsid w:val="00677326"/>
    <w:rsid w:val="006845BA"/>
    <w:rsid w:val="00693F68"/>
    <w:rsid w:val="0069791E"/>
    <w:rsid w:val="00697940"/>
    <w:rsid w:val="00697AA7"/>
    <w:rsid w:val="006A3128"/>
    <w:rsid w:val="006A3B8F"/>
    <w:rsid w:val="006B33BC"/>
    <w:rsid w:val="006B6FE8"/>
    <w:rsid w:val="006C1F9B"/>
    <w:rsid w:val="006C22C2"/>
    <w:rsid w:val="006C2A9A"/>
    <w:rsid w:val="006C62F1"/>
    <w:rsid w:val="006D09AA"/>
    <w:rsid w:val="006D0B6C"/>
    <w:rsid w:val="006D13A3"/>
    <w:rsid w:val="006D2AA4"/>
    <w:rsid w:val="006D471D"/>
    <w:rsid w:val="006E1D15"/>
    <w:rsid w:val="006E3C3E"/>
    <w:rsid w:val="006F03C1"/>
    <w:rsid w:val="006F0D59"/>
    <w:rsid w:val="006F5021"/>
    <w:rsid w:val="00700391"/>
    <w:rsid w:val="007003DD"/>
    <w:rsid w:val="007019A5"/>
    <w:rsid w:val="00702383"/>
    <w:rsid w:val="00703044"/>
    <w:rsid w:val="00706A13"/>
    <w:rsid w:val="0072165B"/>
    <w:rsid w:val="00722032"/>
    <w:rsid w:val="00722108"/>
    <w:rsid w:val="00723B96"/>
    <w:rsid w:val="00723EAF"/>
    <w:rsid w:val="00724AD0"/>
    <w:rsid w:val="00725AD2"/>
    <w:rsid w:val="007273B3"/>
    <w:rsid w:val="00731303"/>
    <w:rsid w:val="007319DB"/>
    <w:rsid w:val="00732301"/>
    <w:rsid w:val="00733C5D"/>
    <w:rsid w:val="0073522A"/>
    <w:rsid w:val="007359C0"/>
    <w:rsid w:val="007364D9"/>
    <w:rsid w:val="00742E7D"/>
    <w:rsid w:val="007439EC"/>
    <w:rsid w:val="0074404D"/>
    <w:rsid w:val="007441B8"/>
    <w:rsid w:val="00744D05"/>
    <w:rsid w:val="007600CA"/>
    <w:rsid w:val="007601EB"/>
    <w:rsid w:val="00761A13"/>
    <w:rsid w:val="00764D01"/>
    <w:rsid w:val="00771A63"/>
    <w:rsid w:val="00771B7F"/>
    <w:rsid w:val="0077522B"/>
    <w:rsid w:val="007769CD"/>
    <w:rsid w:val="0078032B"/>
    <w:rsid w:val="007813A6"/>
    <w:rsid w:val="00781566"/>
    <w:rsid w:val="007847D9"/>
    <w:rsid w:val="0078491E"/>
    <w:rsid w:val="00784E14"/>
    <w:rsid w:val="00792BB1"/>
    <w:rsid w:val="007960BE"/>
    <w:rsid w:val="007972A2"/>
    <w:rsid w:val="007976E7"/>
    <w:rsid w:val="007A1640"/>
    <w:rsid w:val="007A2CF0"/>
    <w:rsid w:val="007A48D4"/>
    <w:rsid w:val="007A515B"/>
    <w:rsid w:val="007B1760"/>
    <w:rsid w:val="007B4C1E"/>
    <w:rsid w:val="007B4CA2"/>
    <w:rsid w:val="007B5005"/>
    <w:rsid w:val="007B6D77"/>
    <w:rsid w:val="007B754C"/>
    <w:rsid w:val="007C20E2"/>
    <w:rsid w:val="007C3339"/>
    <w:rsid w:val="007C3C27"/>
    <w:rsid w:val="007C5E02"/>
    <w:rsid w:val="007C6925"/>
    <w:rsid w:val="007C7AA9"/>
    <w:rsid w:val="007D0488"/>
    <w:rsid w:val="007D2B08"/>
    <w:rsid w:val="007D68C6"/>
    <w:rsid w:val="007D7901"/>
    <w:rsid w:val="007F19A4"/>
    <w:rsid w:val="007F6A3D"/>
    <w:rsid w:val="00801A75"/>
    <w:rsid w:val="00802701"/>
    <w:rsid w:val="008038A2"/>
    <w:rsid w:val="00804FF3"/>
    <w:rsid w:val="00806DE6"/>
    <w:rsid w:val="00810306"/>
    <w:rsid w:val="00811148"/>
    <w:rsid w:val="00811FE8"/>
    <w:rsid w:val="0081430F"/>
    <w:rsid w:val="00817DF5"/>
    <w:rsid w:val="00821F0D"/>
    <w:rsid w:val="008275B5"/>
    <w:rsid w:val="00830125"/>
    <w:rsid w:val="00830CA6"/>
    <w:rsid w:val="00837EBA"/>
    <w:rsid w:val="00841715"/>
    <w:rsid w:val="00841EB0"/>
    <w:rsid w:val="00845979"/>
    <w:rsid w:val="008477E1"/>
    <w:rsid w:val="00847BC4"/>
    <w:rsid w:val="0085366E"/>
    <w:rsid w:val="0085688C"/>
    <w:rsid w:val="008635F0"/>
    <w:rsid w:val="0086436B"/>
    <w:rsid w:val="00864ED6"/>
    <w:rsid w:val="0087047B"/>
    <w:rsid w:val="0087190C"/>
    <w:rsid w:val="00872ACD"/>
    <w:rsid w:val="0088128C"/>
    <w:rsid w:val="00887841"/>
    <w:rsid w:val="0089208D"/>
    <w:rsid w:val="00893C1C"/>
    <w:rsid w:val="00894B97"/>
    <w:rsid w:val="00895A62"/>
    <w:rsid w:val="008967B9"/>
    <w:rsid w:val="00897AC8"/>
    <w:rsid w:val="008A0CDA"/>
    <w:rsid w:val="008A1B6C"/>
    <w:rsid w:val="008A215C"/>
    <w:rsid w:val="008A6A48"/>
    <w:rsid w:val="008B72D9"/>
    <w:rsid w:val="008C1666"/>
    <w:rsid w:val="008C512E"/>
    <w:rsid w:val="008C780D"/>
    <w:rsid w:val="008D2EA8"/>
    <w:rsid w:val="008D32C4"/>
    <w:rsid w:val="008D36D2"/>
    <w:rsid w:val="008D4F4B"/>
    <w:rsid w:val="008D5C80"/>
    <w:rsid w:val="008E0BA4"/>
    <w:rsid w:val="008E1F96"/>
    <w:rsid w:val="008E3E81"/>
    <w:rsid w:val="008E51D5"/>
    <w:rsid w:val="008E7AB2"/>
    <w:rsid w:val="008F214E"/>
    <w:rsid w:val="008F77AE"/>
    <w:rsid w:val="0090141D"/>
    <w:rsid w:val="009035FA"/>
    <w:rsid w:val="00913610"/>
    <w:rsid w:val="009142DE"/>
    <w:rsid w:val="009227B8"/>
    <w:rsid w:val="00922966"/>
    <w:rsid w:val="00927A12"/>
    <w:rsid w:val="009305CD"/>
    <w:rsid w:val="00930A75"/>
    <w:rsid w:val="00930C19"/>
    <w:rsid w:val="009320C6"/>
    <w:rsid w:val="009346F5"/>
    <w:rsid w:val="00945D93"/>
    <w:rsid w:val="00945E1F"/>
    <w:rsid w:val="0094603B"/>
    <w:rsid w:val="00946E6E"/>
    <w:rsid w:val="009478B1"/>
    <w:rsid w:val="00952D02"/>
    <w:rsid w:val="00954068"/>
    <w:rsid w:val="00954B73"/>
    <w:rsid w:val="009551BC"/>
    <w:rsid w:val="0095527B"/>
    <w:rsid w:val="00956A0A"/>
    <w:rsid w:val="00961343"/>
    <w:rsid w:val="00961813"/>
    <w:rsid w:val="0096293E"/>
    <w:rsid w:val="00963FBC"/>
    <w:rsid w:val="00965FBF"/>
    <w:rsid w:val="00966D7B"/>
    <w:rsid w:val="00966DA2"/>
    <w:rsid w:val="009750DE"/>
    <w:rsid w:val="00975819"/>
    <w:rsid w:val="00976DE7"/>
    <w:rsid w:val="009804CA"/>
    <w:rsid w:val="0098250E"/>
    <w:rsid w:val="00982842"/>
    <w:rsid w:val="0098298E"/>
    <w:rsid w:val="00983EAF"/>
    <w:rsid w:val="00983ECE"/>
    <w:rsid w:val="009857D9"/>
    <w:rsid w:val="0098634D"/>
    <w:rsid w:val="009869DE"/>
    <w:rsid w:val="00991DE2"/>
    <w:rsid w:val="009922C2"/>
    <w:rsid w:val="00994695"/>
    <w:rsid w:val="009A0683"/>
    <w:rsid w:val="009A2D0F"/>
    <w:rsid w:val="009A4401"/>
    <w:rsid w:val="009A5D55"/>
    <w:rsid w:val="009B143F"/>
    <w:rsid w:val="009C1F52"/>
    <w:rsid w:val="009C223E"/>
    <w:rsid w:val="009C47E9"/>
    <w:rsid w:val="009C484B"/>
    <w:rsid w:val="009C7179"/>
    <w:rsid w:val="009C7D81"/>
    <w:rsid w:val="009C7F8D"/>
    <w:rsid w:val="009D1058"/>
    <w:rsid w:val="009D265C"/>
    <w:rsid w:val="009D5FD0"/>
    <w:rsid w:val="009D6F76"/>
    <w:rsid w:val="009E2EC5"/>
    <w:rsid w:val="009E31B0"/>
    <w:rsid w:val="009E7248"/>
    <w:rsid w:val="009F50E5"/>
    <w:rsid w:val="009F6D6A"/>
    <w:rsid w:val="009F78D3"/>
    <w:rsid w:val="00A00EDD"/>
    <w:rsid w:val="00A0211A"/>
    <w:rsid w:val="00A0284F"/>
    <w:rsid w:val="00A02CA2"/>
    <w:rsid w:val="00A03230"/>
    <w:rsid w:val="00A12EFD"/>
    <w:rsid w:val="00A1521F"/>
    <w:rsid w:val="00A241A3"/>
    <w:rsid w:val="00A27187"/>
    <w:rsid w:val="00A32CCC"/>
    <w:rsid w:val="00A3401E"/>
    <w:rsid w:val="00A51265"/>
    <w:rsid w:val="00A674FB"/>
    <w:rsid w:val="00A72A72"/>
    <w:rsid w:val="00A752CB"/>
    <w:rsid w:val="00A766A0"/>
    <w:rsid w:val="00A80A17"/>
    <w:rsid w:val="00A81851"/>
    <w:rsid w:val="00A82952"/>
    <w:rsid w:val="00A85311"/>
    <w:rsid w:val="00A913A8"/>
    <w:rsid w:val="00A91A98"/>
    <w:rsid w:val="00A92981"/>
    <w:rsid w:val="00A940CF"/>
    <w:rsid w:val="00A97A92"/>
    <w:rsid w:val="00AA0957"/>
    <w:rsid w:val="00AA0C3F"/>
    <w:rsid w:val="00AA306E"/>
    <w:rsid w:val="00AA59FC"/>
    <w:rsid w:val="00AA61FB"/>
    <w:rsid w:val="00AA759A"/>
    <w:rsid w:val="00AC07C2"/>
    <w:rsid w:val="00AC3814"/>
    <w:rsid w:val="00AC55D0"/>
    <w:rsid w:val="00AC640D"/>
    <w:rsid w:val="00AD04D3"/>
    <w:rsid w:val="00AD0CF6"/>
    <w:rsid w:val="00AD13EF"/>
    <w:rsid w:val="00AD169B"/>
    <w:rsid w:val="00AD3212"/>
    <w:rsid w:val="00AD6DB3"/>
    <w:rsid w:val="00AD7098"/>
    <w:rsid w:val="00AE4344"/>
    <w:rsid w:val="00AE72AC"/>
    <w:rsid w:val="00AE74E9"/>
    <w:rsid w:val="00AE7549"/>
    <w:rsid w:val="00AF052F"/>
    <w:rsid w:val="00AF0562"/>
    <w:rsid w:val="00AF345D"/>
    <w:rsid w:val="00AF75DA"/>
    <w:rsid w:val="00B00718"/>
    <w:rsid w:val="00B00F1F"/>
    <w:rsid w:val="00B04788"/>
    <w:rsid w:val="00B06C21"/>
    <w:rsid w:val="00B07778"/>
    <w:rsid w:val="00B10453"/>
    <w:rsid w:val="00B10E37"/>
    <w:rsid w:val="00B129F4"/>
    <w:rsid w:val="00B13689"/>
    <w:rsid w:val="00B1385C"/>
    <w:rsid w:val="00B165F0"/>
    <w:rsid w:val="00B20CD2"/>
    <w:rsid w:val="00B21287"/>
    <w:rsid w:val="00B2259F"/>
    <w:rsid w:val="00B22FE4"/>
    <w:rsid w:val="00B23A68"/>
    <w:rsid w:val="00B26BD0"/>
    <w:rsid w:val="00B26E1A"/>
    <w:rsid w:val="00B26F2C"/>
    <w:rsid w:val="00B27AE5"/>
    <w:rsid w:val="00B32D55"/>
    <w:rsid w:val="00B407B7"/>
    <w:rsid w:val="00B40C2D"/>
    <w:rsid w:val="00B418F5"/>
    <w:rsid w:val="00B50D5E"/>
    <w:rsid w:val="00B57EC7"/>
    <w:rsid w:val="00B606FB"/>
    <w:rsid w:val="00B607AE"/>
    <w:rsid w:val="00B612E7"/>
    <w:rsid w:val="00B63BFE"/>
    <w:rsid w:val="00B6613C"/>
    <w:rsid w:val="00B71B2B"/>
    <w:rsid w:val="00B72B51"/>
    <w:rsid w:val="00B83953"/>
    <w:rsid w:val="00B85BEF"/>
    <w:rsid w:val="00B907AF"/>
    <w:rsid w:val="00B92B14"/>
    <w:rsid w:val="00B93287"/>
    <w:rsid w:val="00BA1FC6"/>
    <w:rsid w:val="00BA2E08"/>
    <w:rsid w:val="00BA3B3E"/>
    <w:rsid w:val="00BA761E"/>
    <w:rsid w:val="00BB3840"/>
    <w:rsid w:val="00BB3BD5"/>
    <w:rsid w:val="00BB7D95"/>
    <w:rsid w:val="00BD05BC"/>
    <w:rsid w:val="00BD4559"/>
    <w:rsid w:val="00BD4B96"/>
    <w:rsid w:val="00BD5C2B"/>
    <w:rsid w:val="00BD6B8C"/>
    <w:rsid w:val="00BE14AC"/>
    <w:rsid w:val="00BE280A"/>
    <w:rsid w:val="00BE48C0"/>
    <w:rsid w:val="00BF482A"/>
    <w:rsid w:val="00BF5367"/>
    <w:rsid w:val="00BF6D0E"/>
    <w:rsid w:val="00BF72AE"/>
    <w:rsid w:val="00C03E5C"/>
    <w:rsid w:val="00C053BB"/>
    <w:rsid w:val="00C07817"/>
    <w:rsid w:val="00C1079B"/>
    <w:rsid w:val="00C11726"/>
    <w:rsid w:val="00C1197D"/>
    <w:rsid w:val="00C11AA2"/>
    <w:rsid w:val="00C14C3B"/>
    <w:rsid w:val="00C205E5"/>
    <w:rsid w:val="00C2270E"/>
    <w:rsid w:val="00C24259"/>
    <w:rsid w:val="00C24BAC"/>
    <w:rsid w:val="00C26A3B"/>
    <w:rsid w:val="00C26D06"/>
    <w:rsid w:val="00C27287"/>
    <w:rsid w:val="00C27C64"/>
    <w:rsid w:val="00C35BC1"/>
    <w:rsid w:val="00C36082"/>
    <w:rsid w:val="00C37643"/>
    <w:rsid w:val="00C41F8A"/>
    <w:rsid w:val="00C42F0B"/>
    <w:rsid w:val="00C5674D"/>
    <w:rsid w:val="00C56B87"/>
    <w:rsid w:val="00C57113"/>
    <w:rsid w:val="00C60F3E"/>
    <w:rsid w:val="00C6166D"/>
    <w:rsid w:val="00C61CC5"/>
    <w:rsid w:val="00C62464"/>
    <w:rsid w:val="00C65D84"/>
    <w:rsid w:val="00C72519"/>
    <w:rsid w:val="00C75116"/>
    <w:rsid w:val="00C76E03"/>
    <w:rsid w:val="00C77CF2"/>
    <w:rsid w:val="00C83803"/>
    <w:rsid w:val="00C839FD"/>
    <w:rsid w:val="00C907A3"/>
    <w:rsid w:val="00C91637"/>
    <w:rsid w:val="00C92A42"/>
    <w:rsid w:val="00C94AE5"/>
    <w:rsid w:val="00C97745"/>
    <w:rsid w:val="00CA0798"/>
    <w:rsid w:val="00CA0C9A"/>
    <w:rsid w:val="00CA150A"/>
    <w:rsid w:val="00CA68FE"/>
    <w:rsid w:val="00CA6F2A"/>
    <w:rsid w:val="00CB4E16"/>
    <w:rsid w:val="00CB6FA1"/>
    <w:rsid w:val="00CC2CF9"/>
    <w:rsid w:val="00CC5EAE"/>
    <w:rsid w:val="00CC62C4"/>
    <w:rsid w:val="00CC7855"/>
    <w:rsid w:val="00CD0C95"/>
    <w:rsid w:val="00CD72A7"/>
    <w:rsid w:val="00CE0678"/>
    <w:rsid w:val="00CE10CD"/>
    <w:rsid w:val="00CE39F8"/>
    <w:rsid w:val="00CE65FE"/>
    <w:rsid w:val="00CE6E6A"/>
    <w:rsid w:val="00CF2916"/>
    <w:rsid w:val="00CF3AC2"/>
    <w:rsid w:val="00CF5DCD"/>
    <w:rsid w:val="00D0261A"/>
    <w:rsid w:val="00D07064"/>
    <w:rsid w:val="00D17123"/>
    <w:rsid w:val="00D179A0"/>
    <w:rsid w:val="00D17EDF"/>
    <w:rsid w:val="00D23AA1"/>
    <w:rsid w:val="00D250C8"/>
    <w:rsid w:val="00D26C34"/>
    <w:rsid w:val="00D279FC"/>
    <w:rsid w:val="00D309F6"/>
    <w:rsid w:val="00D34F58"/>
    <w:rsid w:val="00D34F5E"/>
    <w:rsid w:val="00D3587D"/>
    <w:rsid w:val="00D35A98"/>
    <w:rsid w:val="00D366D0"/>
    <w:rsid w:val="00D42A42"/>
    <w:rsid w:val="00D43903"/>
    <w:rsid w:val="00D457A2"/>
    <w:rsid w:val="00D45AD7"/>
    <w:rsid w:val="00D529A7"/>
    <w:rsid w:val="00D55ADD"/>
    <w:rsid w:val="00D60A5F"/>
    <w:rsid w:val="00D60B04"/>
    <w:rsid w:val="00D64FF5"/>
    <w:rsid w:val="00D651A1"/>
    <w:rsid w:val="00D65795"/>
    <w:rsid w:val="00D67B4A"/>
    <w:rsid w:val="00D712BE"/>
    <w:rsid w:val="00D737A3"/>
    <w:rsid w:val="00D765AE"/>
    <w:rsid w:val="00D805E8"/>
    <w:rsid w:val="00D8544F"/>
    <w:rsid w:val="00D9527D"/>
    <w:rsid w:val="00D95F7A"/>
    <w:rsid w:val="00D97428"/>
    <w:rsid w:val="00D97D6F"/>
    <w:rsid w:val="00DA0FA6"/>
    <w:rsid w:val="00DA7D60"/>
    <w:rsid w:val="00DB3604"/>
    <w:rsid w:val="00DB4DC4"/>
    <w:rsid w:val="00DB683F"/>
    <w:rsid w:val="00DB7BCD"/>
    <w:rsid w:val="00DC111B"/>
    <w:rsid w:val="00DC14C4"/>
    <w:rsid w:val="00DC2462"/>
    <w:rsid w:val="00DC29F5"/>
    <w:rsid w:val="00DC39C2"/>
    <w:rsid w:val="00DC5669"/>
    <w:rsid w:val="00DD04A9"/>
    <w:rsid w:val="00DD33DF"/>
    <w:rsid w:val="00DD4A27"/>
    <w:rsid w:val="00DD5159"/>
    <w:rsid w:val="00DD6C74"/>
    <w:rsid w:val="00DE0FC5"/>
    <w:rsid w:val="00DE1293"/>
    <w:rsid w:val="00DE1CB0"/>
    <w:rsid w:val="00DE40B4"/>
    <w:rsid w:val="00DE47FA"/>
    <w:rsid w:val="00DE67A8"/>
    <w:rsid w:val="00DE7572"/>
    <w:rsid w:val="00DF4A53"/>
    <w:rsid w:val="00DF6116"/>
    <w:rsid w:val="00DF6E0E"/>
    <w:rsid w:val="00E00E21"/>
    <w:rsid w:val="00E01587"/>
    <w:rsid w:val="00E0208E"/>
    <w:rsid w:val="00E1026B"/>
    <w:rsid w:val="00E10D92"/>
    <w:rsid w:val="00E12DF5"/>
    <w:rsid w:val="00E12FA9"/>
    <w:rsid w:val="00E23391"/>
    <w:rsid w:val="00E2349F"/>
    <w:rsid w:val="00E2445F"/>
    <w:rsid w:val="00E2778C"/>
    <w:rsid w:val="00E27A6E"/>
    <w:rsid w:val="00E33061"/>
    <w:rsid w:val="00E3308A"/>
    <w:rsid w:val="00E334B0"/>
    <w:rsid w:val="00E34AE4"/>
    <w:rsid w:val="00E36F13"/>
    <w:rsid w:val="00E41E87"/>
    <w:rsid w:val="00E42165"/>
    <w:rsid w:val="00E45B62"/>
    <w:rsid w:val="00E515DE"/>
    <w:rsid w:val="00E51AB8"/>
    <w:rsid w:val="00E52608"/>
    <w:rsid w:val="00E54343"/>
    <w:rsid w:val="00E6088B"/>
    <w:rsid w:val="00E64282"/>
    <w:rsid w:val="00E64C48"/>
    <w:rsid w:val="00E71F1F"/>
    <w:rsid w:val="00E722CA"/>
    <w:rsid w:val="00E73227"/>
    <w:rsid w:val="00E827C5"/>
    <w:rsid w:val="00E82DFF"/>
    <w:rsid w:val="00E83000"/>
    <w:rsid w:val="00E841B0"/>
    <w:rsid w:val="00E87D6E"/>
    <w:rsid w:val="00E93F2C"/>
    <w:rsid w:val="00E9528B"/>
    <w:rsid w:val="00E977C4"/>
    <w:rsid w:val="00E97CCE"/>
    <w:rsid w:val="00EA34EB"/>
    <w:rsid w:val="00EB0913"/>
    <w:rsid w:val="00EB6A8F"/>
    <w:rsid w:val="00EC09B2"/>
    <w:rsid w:val="00EC74BA"/>
    <w:rsid w:val="00ED1537"/>
    <w:rsid w:val="00ED3BCF"/>
    <w:rsid w:val="00ED4ABC"/>
    <w:rsid w:val="00ED6B7C"/>
    <w:rsid w:val="00EE0DA6"/>
    <w:rsid w:val="00EE1C5E"/>
    <w:rsid w:val="00EE6F42"/>
    <w:rsid w:val="00EF01D9"/>
    <w:rsid w:val="00EF1D72"/>
    <w:rsid w:val="00EF4243"/>
    <w:rsid w:val="00EF4E03"/>
    <w:rsid w:val="00EF6A4B"/>
    <w:rsid w:val="00F05DD1"/>
    <w:rsid w:val="00F06D8D"/>
    <w:rsid w:val="00F14E34"/>
    <w:rsid w:val="00F14F75"/>
    <w:rsid w:val="00F150BB"/>
    <w:rsid w:val="00F22BCA"/>
    <w:rsid w:val="00F24980"/>
    <w:rsid w:val="00F24EB2"/>
    <w:rsid w:val="00F266F2"/>
    <w:rsid w:val="00F317BB"/>
    <w:rsid w:val="00F33065"/>
    <w:rsid w:val="00F3433E"/>
    <w:rsid w:val="00F36757"/>
    <w:rsid w:val="00F37300"/>
    <w:rsid w:val="00F37923"/>
    <w:rsid w:val="00F37E0C"/>
    <w:rsid w:val="00F41A59"/>
    <w:rsid w:val="00F46AA5"/>
    <w:rsid w:val="00F50A07"/>
    <w:rsid w:val="00F553BF"/>
    <w:rsid w:val="00F57119"/>
    <w:rsid w:val="00F6367D"/>
    <w:rsid w:val="00F65ABF"/>
    <w:rsid w:val="00F65DCD"/>
    <w:rsid w:val="00F678C9"/>
    <w:rsid w:val="00F77C13"/>
    <w:rsid w:val="00F81748"/>
    <w:rsid w:val="00F8330B"/>
    <w:rsid w:val="00F83B22"/>
    <w:rsid w:val="00F83DC2"/>
    <w:rsid w:val="00F86FA3"/>
    <w:rsid w:val="00F875A6"/>
    <w:rsid w:val="00F913ED"/>
    <w:rsid w:val="00F94979"/>
    <w:rsid w:val="00F95454"/>
    <w:rsid w:val="00F95C29"/>
    <w:rsid w:val="00F95C54"/>
    <w:rsid w:val="00F979A7"/>
    <w:rsid w:val="00FA3668"/>
    <w:rsid w:val="00FA5118"/>
    <w:rsid w:val="00FA5818"/>
    <w:rsid w:val="00FA7F00"/>
    <w:rsid w:val="00FB07D8"/>
    <w:rsid w:val="00FB2022"/>
    <w:rsid w:val="00FB3980"/>
    <w:rsid w:val="00FB7008"/>
    <w:rsid w:val="00FC1FA6"/>
    <w:rsid w:val="00FC43CD"/>
    <w:rsid w:val="00FC4EF6"/>
    <w:rsid w:val="00FC6DA7"/>
    <w:rsid w:val="00FC75D3"/>
    <w:rsid w:val="00FC76CF"/>
    <w:rsid w:val="00FD2279"/>
    <w:rsid w:val="00FD6142"/>
    <w:rsid w:val="00FD74D2"/>
    <w:rsid w:val="00FE0C76"/>
    <w:rsid w:val="00FE113A"/>
    <w:rsid w:val="00FE2385"/>
    <w:rsid w:val="00FF028F"/>
    <w:rsid w:val="00FF0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C39FEF"/>
  <w15:docId w15:val="{A9B5ACBE-D485-4EED-82A6-7192B712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table" w:styleId="TableGrid">
    <w:name w:val="Table Grid"/>
    <w:basedOn w:val="TableNormal"/>
    <w:rsid w:val="0094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7047B"/>
    <w:rPr>
      <w:sz w:val="16"/>
      <w:szCs w:val="16"/>
    </w:rPr>
  </w:style>
  <w:style w:type="paragraph" w:styleId="CommentText">
    <w:name w:val="annotation text"/>
    <w:basedOn w:val="Normal"/>
    <w:link w:val="CommentTextChar"/>
    <w:rsid w:val="0087047B"/>
    <w:rPr>
      <w:sz w:val="20"/>
      <w:szCs w:val="20"/>
    </w:rPr>
  </w:style>
  <w:style w:type="character" w:customStyle="1" w:styleId="CommentTextChar">
    <w:name w:val="Comment Text Char"/>
    <w:basedOn w:val="DefaultParagraphFont"/>
    <w:link w:val="CommentText"/>
    <w:rsid w:val="0087047B"/>
    <w:rPr>
      <w:lang w:val="en-US" w:eastAsia="en-US"/>
    </w:rPr>
  </w:style>
  <w:style w:type="paragraph" w:styleId="CommentSubject">
    <w:name w:val="annotation subject"/>
    <w:basedOn w:val="CommentText"/>
    <w:next w:val="CommentText"/>
    <w:link w:val="CommentSubjectChar"/>
    <w:rsid w:val="0087047B"/>
    <w:rPr>
      <w:b/>
      <w:bCs/>
    </w:rPr>
  </w:style>
  <w:style w:type="character" w:customStyle="1" w:styleId="CommentSubjectChar">
    <w:name w:val="Comment Subject Char"/>
    <w:basedOn w:val="CommentTextChar"/>
    <w:link w:val="CommentSubject"/>
    <w:rsid w:val="0087047B"/>
    <w:rPr>
      <w:b/>
      <w:bCs/>
      <w:lang w:val="en-US" w:eastAsia="en-US"/>
    </w:rPr>
  </w:style>
  <w:style w:type="paragraph" w:styleId="PlainText">
    <w:name w:val="Plain Text"/>
    <w:basedOn w:val="Normal"/>
    <w:link w:val="PlainTextChar"/>
    <w:uiPriority w:val="99"/>
    <w:unhideWhenUsed/>
    <w:rsid w:val="00B607AE"/>
    <w:rPr>
      <w:rFonts w:ascii="Calibri" w:eastAsiaTheme="minorHAnsi" w:hAnsi="Calibri"/>
      <w:sz w:val="22"/>
      <w:szCs w:val="22"/>
      <w:lang w:val="en-GB"/>
    </w:rPr>
  </w:style>
  <w:style w:type="character" w:customStyle="1" w:styleId="PlainTextChar">
    <w:name w:val="Plain Text Char"/>
    <w:basedOn w:val="DefaultParagraphFont"/>
    <w:link w:val="PlainText"/>
    <w:uiPriority w:val="99"/>
    <w:rsid w:val="00B607AE"/>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97480">
      <w:bodyDiv w:val="1"/>
      <w:marLeft w:val="0"/>
      <w:marRight w:val="0"/>
      <w:marTop w:val="0"/>
      <w:marBottom w:val="0"/>
      <w:divBdr>
        <w:top w:val="none" w:sz="0" w:space="0" w:color="auto"/>
        <w:left w:val="none" w:sz="0" w:space="0" w:color="auto"/>
        <w:bottom w:val="none" w:sz="0" w:space="0" w:color="auto"/>
        <w:right w:val="none" w:sz="0" w:space="0" w:color="auto"/>
      </w:divBdr>
    </w:div>
    <w:div w:id="206307839">
      <w:bodyDiv w:val="1"/>
      <w:marLeft w:val="0"/>
      <w:marRight w:val="0"/>
      <w:marTop w:val="0"/>
      <w:marBottom w:val="0"/>
      <w:divBdr>
        <w:top w:val="none" w:sz="0" w:space="0" w:color="auto"/>
        <w:left w:val="none" w:sz="0" w:space="0" w:color="auto"/>
        <w:bottom w:val="none" w:sz="0" w:space="0" w:color="auto"/>
        <w:right w:val="none" w:sz="0" w:space="0" w:color="auto"/>
      </w:divBdr>
    </w:div>
    <w:div w:id="393937261">
      <w:bodyDiv w:val="1"/>
      <w:marLeft w:val="0"/>
      <w:marRight w:val="0"/>
      <w:marTop w:val="0"/>
      <w:marBottom w:val="0"/>
      <w:divBdr>
        <w:top w:val="none" w:sz="0" w:space="0" w:color="auto"/>
        <w:left w:val="none" w:sz="0" w:space="0" w:color="auto"/>
        <w:bottom w:val="none" w:sz="0" w:space="0" w:color="auto"/>
        <w:right w:val="none" w:sz="0" w:space="0" w:color="auto"/>
      </w:divBdr>
    </w:div>
    <w:div w:id="397090304">
      <w:bodyDiv w:val="1"/>
      <w:marLeft w:val="0"/>
      <w:marRight w:val="0"/>
      <w:marTop w:val="0"/>
      <w:marBottom w:val="0"/>
      <w:divBdr>
        <w:top w:val="none" w:sz="0" w:space="0" w:color="auto"/>
        <w:left w:val="none" w:sz="0" w:space="0" w:color="auto"/>
        <w:bottom w:val="none" w:sz="0" w:space="0" w:color="auto"/>
        <w:right w:val="none" w:sz="0" w:space="0" w:color="auto"/>
      </w:divBdr>
    </w:div>
    <w:div w:id="452674249">
      <w:bodyDiv w:val="1"/>
      <w:marLeft w:val="0"/>
      <w:marRight w:val="0"/>
      <w:marTop w:val="0"/>
      <w:marBottom w:val="0"/>
      <w:divBdr>
        <w:top w:val="none" w:sz="0" w:space="0" w:color="auto"/>
        <w:left w:val="none" w:sz="0" w:space="0" w:color="auto"/>
        <w:bottom w:val="none" w:sz="0" w:space="0" w:color="auto"/>
        <w:right w:val="none" w:sz="0" w:space="0" w:color="auto"/>
      </w:divBdr>
    </w:div>
    <w:div w:id="615908322">
      <w:bodyDiv w:val="1"/>
      <w:marLeft w:val="0"/>
      <w:marRight w:val="0"/>
      <w:marTop w:val="0"/>
      <w:marBottom w:val="0"/>
      <w:divBdr>
        <w:top w:val="none" w:sz="0" w:space="0" w:color="auto"/>
        <w:left w:val="none" w:sz="0" w:space="0" w:color="auto"/>
        <w:bottom w:val="none" w:sz="0" w:space="0" w:color="auto"/>
        <w:right w:val="none" w:sz="0" w:space="0" w:color="auto"/>
      </w:divBdr>
    </w:div>
    <w:div w:id="640304687">
      <w:bodyDiv w:val="1"/>
      <w:marLeft w:val="0"/>
      <w:marRight w:val="0"/>
      <w:marTop w:val="0"/>
      <w:marBottom w:val="0"/>
      <w:divBdr>
        <w:top w:val="none" w:sz="0" w:space="0" w:color="auto"/>
        <w:left w:val="none" w:sz="0" w:space="0" w:color="auto"/>
        <w:bottom w:val="none" w:sz="0" w:space="0" w:color="auto"/>
        <w:right w:val="none" w:sz="0" w:space="0" w:color="auto"/>
      </w:divBdr>
    </w:div>
    <w:div w:id="729885066">
      <w:bodyDiv w:val="1"/>
      <w:marLeft w:val="0"/>
      <w:marRight w:val="0"/>
      <w:marTop w:val="0"/>
      <w:marBottom w:val="0"/>
      <w:divBdr>
        <w:top w:val="none" w:sz="0" w:space="0" w:color="auto"/>
        <w:left w:val="none" w:sz="0" w:space="0" w:color="auto"/>
        <w:bottom w:val="none" w:sz="0" w:space="0" w:color="auto"/>
        <w:right w:val="none" w:sz="0" w:space="0" w:color="auto"/>
      </w:divBdr>
    </w:div>
    <w:div w:id="771173293">
      <w:bodyDiv w:val="1"/>
      <w:marLeft w:val="0"/>
      <w:marRight w:val="0"/>
      <w:marTop w:val="0"/>
      <w:marBottom w:val="0"/>
      <w:divBdr>
        <w:top w:val="none" w:sz="0" w:space="0" w:color="auto"/>
        <w:left w:val="none" w:sz="0" w:space="0" w:color="auto"/>
        <w:bottom w:val="none" w:sz="0" w:space="0" w:color="auto"/>
        <w:right w:val="none" w:sz="0" w:space="0" w:color="auto"/>
      </w:divBdr>
    </w:div>
    <w:div w:id="993141178">
      <w:bodyDiv w:val="1"/>
      <w:marLeft w:val="0"/>
      <w:marRight w:val="0"/>
      <w:marTop w:val="0"/>
      <w:marBottom w:val="0"/>
      <w:divBdr>
        <w:top w:val="none" w:sz="0" w:space="0" w:color="auto"/>
        <w:left w:val="none" w:sz="0" w:space="0" w:color="auto"/>
        <w:bottom w:val="none" w:sz="0" w:space="0" w:color="auto"/>
        <w:right w:val="none" w:sz="0" w:space="0" w:color="auto"/>
      </w:divBdr>
    </w:div>
    <w:div w:id="1260026666">
      <w:bodyDiv w:val="1"/>
      <w:marLeft w:val="0"/>
      <w:marRight w:val="0"/>
      <w:marTop w:val="0"/>
      <w:marBottom w:val="0"/>
      <w:divBdr>
        <w:top w:val="none" w:sz="0" w:space="0" w:color="auto"/>
        <w:left w:val="none" w:sz="0" w:space="0" w:color="auto"/>
        <w:bottom w:val="none" w:sz="0" w:space="0" w:color="auto"/>
        <w:right w:val="none" w:sz="0" w:space="0" w:color="auto"/>
      </w:divBdr>
    </w:div>
    <w:div w:id="1374232453">
      <w:bodyDiv w:val="1"/>
      <w:marLeft w:val="0"/>
      <w:marRight w:val="0"/>
      <w:marTop w:val="0"/>
      <w:marBottom w:val="0"/>
      <w:divBdr>
        <w:top w:val="none" w:sz="0" w:space="0" w:color="auto"/>
        <w:left w:val="none" w:sz="0" w:space="0" w:color="auto"/>
        <w:bottom w:val="none" w:sz="0" w:space="0" w:color="auto"/>
        <w:right w:val="none" w:sz="0" w:space="0" w:color="auto"/>
      </w:divBdr>
    </w:div>
    <w:div w:id="15502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obmh\G_data\Oxfordshire\Oxon%20and%20Bucks%20CRM\Board%20Report\2019-20\Month%209%20Report\FINAL%20M09%20Board%20Report%20-V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65009402974987"/>
          <c:y val="6.3814300694000459E-2"/>
          <c:w val="0.78764146586939787"/>
          <c:h val="0.69927513789260054"/>
        </c:manualLayout>
      </c:layout>
      <c:lineChart>
        <c:grouping val="standard"/>
        <c:varyColors val="0"/>
        <c:ser>
          <c:idx val="0"/>
          <c:order val="0"/>
          <c:tx>
            <c:strRef>
              <c:f>'Data tables for graphs'!$B$11</c:f>
              <c:strCache>
                <c:ptCount val="1"/>
                <c:pt idx="0">
                  <c:v>% achieved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'Data tables for graphs'!$C$10:$N$10</c:f>
              <c:strCache>
                <c:ptCount val="12"/>
                <c:pt idx="0">
                  <c:v>M1</c:v>
                </c:pt>
                <c:pt idx="1">
                  <c:v>M2</c:v>
                </c:pt>
                <c:pt idx="2">
                  <c:v>M3</c:v>
                </c:pt>
                <c:pt idx="3">
                  <c:v>M4</c:v>
                </c:pt>
                <c:pt idx="4">
                  <c:v>M5</c:v>
                </c:pt>
                <c:pt idx="5">
                  <c:v>M6</c:v>
                </c:pt>
                <c:pt idx="6">
                  <c:v>M7</c:v>
                </c:pt>
                <c:pt idx="7">
                  <c:v>M8</c:v>
                </c:pt>
                <c:pt idx="8">
                  <c:v>M9</c:v>
                </c:pt>
                <c:pt idx="9">
                  <c:v>M10</c:v>
                </c:pt>
                <c:pt idx="10">
                  <c:v>M11</c:v>
                </c:pt>
                <c:pt idx="11">
                  <c:v>M12</c:v>
                </c:pt>
              </c:strCache>
            </c:strRef>
          </c:cat>
          <c:val>
            <c:numRef>
              <c:f>'Data tables for graphs'!$C$11:$N$11</c:f>
              <c:numCache>
                <c:formatCode>0%</c:formatCode>
                <c:ptCount val="12"/>
                <c:pt idx="0">
                  <c:v>0.78386167146974062</c:v>
                </c:pt>
                <c:pt idx="1">
                  <c:v>0.74311926605504586</c:v>
                </c:pt>
                <c:pt idx="2">
                  <c:v>0.74873096446700504</c:v>
                </c:pt>
                <c:pt idx="3">
                  <c:v>0.77126099706744866</c:v>
                </c:pt>
                <c:pt idx="4">
                  <c:v>0.72432432432432436</c:v>
                </c:pt>
                <c:pt idx="5">
                  <c:v>0.79695431472081213</c:v>
                </c:pt>
                <c:pt idx="6">
                  <c:v>0.74474474474474472</c:v>
                </c:pt>
                <c:pt idx="7">
                  <c:v>0.75078864353312302</c:v>
                </c:pt>
                <c:pt idx="8">
                  <c:v>0.77692307692307694</c:v>
                </c:pt>
              </c:numCache>
            </c:numRef>
          </c:val>
          <c:smooth val="0"/>
          <c:extLst>
            <c:ext xmlns:c16="http://schemas.microsoft.com/office/drawing/2014/chart" uri="{C3380CC4-5D6E-409C-BE32-E72D297353CC}">
              <c16:uniqueId val="{00000000-B543-4A7C-BFC5-9C6929E60377}"/>
            </c:ext>
          </c:extLst>
        </c:ser>
        <c:dLbls>
          <c:showLegendKey val="0"/>
          <c:showVal val="0"/>
          <c:showCatName val="0"/>
          <c:showSerName val="0"/>
          <c:showPercent val="0"/>
          <c:showBubbleSize val="0"/>
        </c:dLbls>
        <c:marker val="1"/>
        <c:smooth val="0"/>
        <c:axId val="766126400"/>
        <c:axId val="766129352"/>
      </c:lineChart>
      <c:catAx>
        <c:axId val="76612640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r>
                  <a:rPr lang="en-US"/>
                  <a:t>Month FY19</a:t>
                </a:r>
              </a:p>
            </c:rich>
          </c:tx>
          <c:layout>
            <c:manualLayout>
              <c:xMode val="edge"/>
              <c:yMode val="edge"/>
              <c:x val="0.40399650576248158"/>
              <c:y val="0.881585205792705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crossAx val="766129352"/>
        <c:crosses val="autoZero"/>
        <c:auto val="1"/>
        <c:lblAlgn val="ctr"/>
        <c:lblOffset val="100"/>
        <c:noMultiLvlLbl val="0"/>
      </c:catAx>
      <c:valAx>
        <c:axId val="766129352"/>
        <c:scaling>
          <c:orientation val="minMax"/>
          <c:min val="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r>
                  <a:rPr lang="en-US"/>
                  <a:t>% compliance</a:t>
                </a:r>
              </a:p>
            </c:rich>
          </c:tx>
          <c:layout>
            <c:manualLayout>
              <c:xMode val="edge"/>
              <c:yMode val="edge"/>
              <c:x val="7.2341632971554245E-3"/>
              <c:y val="0.2952640296365601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crossAx val="766126400"/>
        <c:crosses val="autoZero"/>
        <c:crossBetween val="between"/>
      </c:valAx>
      <c:spPr>
        <a:noFill/>
        <a:ln>
          <a:noFill/>
        </a:ln>
        <a:effectLst/>
      </c:spPr>
    </c:plotArea>
    <c:legend>
      <c:legendPos val="b"/>
      <c:layout>
        <c:manualLayout>
          <c:xMode val="edge"/>
          <c:yMode val="edge"/>
          <c:x val="0.65858539042935615"/>
          <c:y val="3.9049270733676124E-2"/>
          <c:w val="0.29802972033036224"/>
          <c:h val="9.466782034085728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99767986609286"/>
          <c:y val="5.0925925925925923E-2"/>
          <c:w val="0.80055789337678052"/>
          <c:h val="0.71630358705161845"/>
        </c:manualLayout>
      </c:layout>
      <c:barChart>
        <c:barDir val="col"/>
        <c:grouping val="stacked"/>
        <c:varyColors val="0"/>
        <c:ser>
          <c:idx val="0"/>
          <c:order val="0"/>
          <c:tx>
            <c:strRef>
              <c:f>'Data tables for graphs'!$B$6</c:f>
              <c:strCache>
                <c:ptCount val="1"/>
                <c:pt idx="0">
                  <c:v>Met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tables for graphs'!$C$4:$N$4</c:f>
              <c:strCache>
                <c:ptCount val="12"/>
                <c:pt idx="0">
                  <c:v>M1</c:v>
                </c:pt>
                <c:pt idx="1">
                  <c:v>M2</c:v>
                </c:pt>
                <c:pt idx="2">
                  <c:v>M3</c:v>
                </c:pt>
                <c:pt idx="3">
                  <c:v>M4</c:v>
                </c:pt>
                <c:pt idx="4">
                  <c:v>M5</c:v>
                </c:pt>
                <c:pt idx="5">
                  <c:v>M6</c:v>
                </c:pt>
                <c:pt idx="6">
                  <c:v>M7</c:v>
                </c:pt>
                <c:pt idx="7">
                  <c:v>M8</c:v>
                </c:pt>
                <c:pt idx="8">
                  <c:v>M9</c:v>
                </c:pt>
                <c:pt idx="9">
                  <c:v>M10</c:v>
                </c:pt>
                <c:pt idx="10">
                  <c:v>M11</c:v>
                </c:pt>
                <c:pt idx="11">
                  <c:v>M12</c:v>
                </c:pt>
              </c:strCache>
            </c:strRef>
          </c:cat>
          <c:val>
            <c:numRef>
              <c:f>'Data tables for graphs'!$C$6:$N$6</c:f>
              <c:numCache>
                <c:formatCode>0</c:formatCode>
                <c:ptCount val="12"/>
                <c:pt idx="0">
                  <c:v>272</c:v>
                </c:pt>
                <c:pt idx="1">
                  <c:v>243</c:v>
                </c:pt>
                <c:pt idx="2">
                  <c:v>295</c:v>
                </c:pt>
                <c:pt idx="3">
                  <c:v>263</c:v>
                </c:pt>
                <c:pt idx="4">
                  <c:v>268</c:v>
                </c:pt>
                <c:pt idx="5">
                  <c:v>314</c:v>
                </c:pt>
                <c:pt idx="6">
                  <c:v>248</c:v>
                </c:pt>
                <c:pt idx="7">
                  <c:v>238</c:v>
                </c:pt>
                <c:pt idx="8">
                  <c:v>303</c:v>
                </c:pt>
                <c:pt idx="9">
                  <c:v>0</c:v>
                </c:pt>
                <c:pt idx="10">
                  <c:v>0</c:v>
                </c:pt>
                <c:pt idx="11">
                  <c:v>0</c:v>
                </c:pt>
              </c:numCache>
            </c:numRef>
          </c:val>
          <c:extLst>
            <c:ext xmlns:c16="http://schemas.microsoft.com/office/drawing/2014/chart" uri="{C3380CC4-5D6E-409C-BE32-E72D297353CC}">
              <c16:uniqueId val="{00000000-663C-419B-8057-68FA8039B8AE}"/>
            </c:ext>
          </c:extLst>
        </c:ser>
        <c:ser>
          <c:idx val="1"/>
          <c:order val="1"/>
          <c:tx>
            <c:strRef>
              <c:f>'Data tables for graphs'!$B$7</c:f>
              <c:strCache>
                <c:ptCount val="1"/>
                <c:pt idx="0">
                  <c:v>Not met</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tables for graphs'!$C$4:$N$4</c:f>
              <c:strCache>
                <c:ptCount val="12"/>
                <c:pt idx="0">
                  <c:v>M1</c:v>
                </c:pt>
                <c:pt idx="1">
                  <c:v>M2</c:v>
                </c:pt>
                <c:pt idx="2">
                  <c:v>M3</c:v>
                </c:pt>
                <c:pt idx="3">
                  <c:v>M4</c:v>
                </c:pt>
                <c:pt idx="4">
                  <c:v>M5</c:v>
                </c:pt>
                <c:pt idx="5">
                  <c:v>M6</c:v>
                </c:pt>
                <c:pt idx="6">
                  <c:v>M7</c:v>
                </c:pt>
                <c:pt idx="7">
                  <c:v>M8</c:v>
                </c:pt>
                <c:pt idx="8">
                  <c:v>M9</c:v>
                </c:pt>
                <c:pt idx="9">
                  <c:v>M10</c:v>
                </c:pt>
                <c:pt idx="10">
                  <c:v>M11</c:v>
                </c:pt>
                <c:pt idx="11">
                  <c:v>M12</c:v>
                </c:pt>
              </c:strCache>
            </c:strRef>
          </c:cat>
          <c:val>
            <c:numRef>
              <c:f>'Data tables for graphs'!$C$7:$N$7</c:f>
              <c:numCache>
                <c:formatCode>0</c:formatCode>
                <c:ptCount val="12"/>
                <c:pt idx="0">
                  <c:v>75</c:v>
                </c:pt>
                <c:pt idx="1">
                  <c:v>84</c:v>
                </c:pt>
                <c:pt idx="2">
                  <c:v>107</c:v>
                </c:pt>
                <c:pt idx="3">
                  <c:v>78</c:v>
                </c:pt>
                <c:pt idx="4">
                  <c:v>102</c:v>
                </c:pt>
                <c:pt idx="5">
                  <c:v>80</c:v>
                </c:pt>
                <c:pt idx="6">
                  <c:v>85</c:v>
                </c:pt>
                <c:pt idx="7">
                  <c:v>79</c:v>
                </c:pt>
                <c:pt idx="8">
                  <c:v>87</c:v>
                </c:pt>
                <c:pt idx="9">
                  <c:v>0</c:v>
                </c:pt>
                <c:pt idx="10">
                  <c:v>0</c:v>
                </c:pt>
                <c:pt idx="11">
                  <c:v>0</c:v>
                </c:pt>
              </c:numCache>
            </c:numRef>
          </c:val>
          <c:extLst>
            <c:ext xmlns:c16="http://schemas.microsoft.com/office/drawing/2014/chart" uri="{C3380CC4-5D6E-409C-BE32-E72D297353CC}">
              <c16:uniqueId val="{00000001-663C-419B-8057-68FA8039B8AE}"/>
            </c:ext>
          </c:extLst>
        </c:ser>
        <c:dLbls>
          <c:showLegendKey val="0"/>
          <c:showVal val="0"/>
          <c:showCatName val="0"/>
          <c:showSerName val="0"/>
          <c:showPercent val="0"/>
          <c:showBubbleSize val="0"/>
        </c:dLbls>
        <c:gapWidth val="150"/>
        <c:overlap val="100"/>
        <c:axId val="769910936"/>
        <c:axId val="769911920"/>
      </c:barChart>
      <c:catAx>
        <c:axId val="76991093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r>
                  <a:rPr lang="en-US"/>
                  <a:t>Month FY19</a:t>
                </a:r>
              </a:p>
            </c:rich>
          </c:tx>
          <c:layout>
            <c:manualLayout>
              <c:xMode val="edge"/>
              <c:yMode val="edge"/>
              <c:x val="0.42355279568644888"/>
              <c:y val="0.8863977766675099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crossAx val="769911920"/>
        <c:crosses val="autoZero"/>
        <c:auto val="1"/>
        <c:lblAlgn val="ctr"/>
        <c:lblOffset val="100"/>
        <c:noMultiLvlLbl val="0"/>
      </c:catAx>
      <c:valAx>
        <c:axId val="769911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r>
                  <a:rPr lang="en-US"/>
                  <a:t>No. of indicators</a:t>
                </a:r>
              </a:p>
            </c:rich>
          </c:tx>
          <c:layout>
            <c:manualLayout>
              <c:xMode val="edge"/>
              <c:yMode val="edge"/>
              <c:x val="2.2222222222222223E-2"/>
              <c:y val="0.2418554972295129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crossAx val="769910936"/>
        <c:crosses val="autoZero"/>
        <c:crossBetween val="between"/>
      </c:valAx>
      <c:spPr>
        <a:noFill/>
        <a:ln>
          <a:noFill/>
        </a:ln>
        <a:effectLst/>
      </c:spPr>
    </c:plotArea>
    <c:legend>
      <c:legendPos val="b"/>
      <c:layout>
        <c:manualLayout>
          <c:xMode val="edge"/>
          <c:yMode val="edge"/>
          <c:x val="0.6574961900527122"/>
          <c:y val="3.5715217070054095E-2"/>
          <c:w val="0.30289328259549358"/>
          <c:h val="8.263998250218723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Segoe UI" panose="020B0502040204020203" pitchFamily="34" charset="0"/>
          <a:cs typeface="Segoe UI" panose="020B0502040204020203"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857FB8D7785D4F944273678E824406" ma:contentTypeVersion="5" ma:contentTypeDescription="Create a new document." ma:contentTypeScope="" ma:versionID="ba19694307a2b614903f03e63d6a2dfd">
  <xsd:schema xmlns:xsd="http://www.w3.org/2001/XMLSchema" xmlns:xs="http://www.w3.org/2001/XMLSchema" xmlns:p="http://schemas.microsoft.com/office/2006/metadata/properties" xmlns:ns3="357dafa5-ede4-4722-8c65-2a9389ff8a37" xmlns:ns4="a13ebd55-1202-4432-8d3b-2fef3c497e0c" targetNamespace="http://schemas.microsoft.com/office/2006/metadata/properties" ma:root="true" ma:fieldsID="57ee91987b09a9aa7dea94c9cbed92ff" ns3:_="" ns4:_="">
    <xsd:import namespace="357dafa5-ede4-4722-8c65-2a9389ff8a37"/>
    <xsd:import namespace="a13ebd55-1202-4432-8d3b-2fef3c497e0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dafa5-ede4-4722-8c65-2a9389ff8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3ebd55-1202-4432-8d3b-2fef3c497e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65B78-2329-49C1-A962-39387FD4A2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EC13F0-A674-4FE7-B342-93D36104A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dafa5-ede4-4722-8c65-2a9389ff8a37"/>
    <ds:schemaRef ds:uri="a13ebd55-1202-4432-8d3b-2fef3c497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20B0D-B522-4F5E-BA3B-86755270EC98}">
  <ds:schemaRefs>
    <ds:schemaRef ds:uri="http://schemas.microsoft.com/sharepoint/v3/contenttype/forms"/>
  </ds:schemaRefs>
</ds:datastoreItem>
</file>

<file path=customXml/itemProps4.xml><?xml version="1.0" encoding="utf-8"?>
<ds:datastoreItem xmlns:ds="http://schemas.openxmlformats.org/officeDocument/2006/customXml" ds:itemID="{565D8FDF-A918-469F-8C7E-3BF8C17A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1217</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Smith Hannah (RNU) Oxford Health</cp:lastModifiedBy>
  <cp:revision>4</cp:revision>
  <cp:lastPrinted>2014-03-17T14:55:00Z</cp:lastPrinted>
  <dcterms:created xsi:type="dcterms:W3CDTF">2020-01-23T14:03:00Z</dcterms:created>
  <dcterms:modified xsi:type="dcterms:W3CDTF">2020-01-23T15:02:00Z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0x010100D2857FB8D7785D4F944273678E824406</vt:lpwstr>
  </property>
</Properties>
</file>