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358B" w14:textId="185B9DE7" w:rsidR="00F82E53" w:rsidRDefault="00171723" w:rsidP="00171723">
      <w:pPr>
        <w:spacing w:after="0" w:line="240" w:lineRule="auto"/>
        <w:jc w:val="right"/>
        <w:rPr>
          <w:b/>
          <w:bCs/>
          <w:u w:val="single"/>
        </w:rPr>
      </w:pPr>
      <w:r>
        <w:rPr>
          <w:rFonts w:cs="Arial"/>
          <w:noProof/>
          <w:sz w:val="20"/>
        </w:rPr>
        <w:drawing>
          <wp:inline distT="0" distB="0" distL="0" distR="0" wp14:anchorId="0DC56436" wp14:editId="3139868F">
            <wp:extent cx="2103906" cy="41910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46" cy="4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8A5FA" w14:textId="77777777" w:rsidR="00F82E53" w:rsidRDefault="00F82E53" w:rsidP="00221C48">
      <w:pPr>
        <w:spacing w:after="0" w:line="240" w:lineRule="auto"/>
        <w:jc w:val="center"/>
        <w:rPr>
          <w:b/>
          <w:bCs/>
          <w:u w:val="single"/>
        </w:rPr>
      </w:pPr>
    </w:p>
    <w:p w14:paraId="59AAD67C" w14:textId="466DDFE0" w:rsidR="000C3ED7" w:rsidRPr="00B34C74" w:rsidRDefault="008A3C88" w:rsidP="00221C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CABE" wp14:editId="0FDBDC05">
                <wp:simplePos x="0" y="0"/>
                <wp:positionH relativeFrom="margin">
                  <wp:posOffset>4848225</wp:posOffset>
                </wp:positionH>
                <wp:positionV relativeFrom="paragraph">
                  <wp:posOffset>128270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C184" w14:textId="1C7C9F76" w:rsidR="008A3C88" w:rsidRPr="00FA3993" w:rsidRDefault="008A3C88" w:rsidP="008A3C88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4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/2020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(Agenda item: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6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CABE" id="Rectangle 10" o:spid="_x0000_s1026" style="position:absolute;left:0;text-align:left;margin-left:381.75pt;margin-top:10.1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">
                <v:textbox inset="0,0,0,0">
                  <w:txbxContent>
                    <w:p w14:paraId="39A8C184" w14:textId="1C7C9F76" w:rsidR="008A3C88" w:rsidRPr="00FA3993" w:rsidRDefault="008A3C88" w:rsidP="008A3C88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4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/2020</w:t>
                      </w:r>
                      <w:r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 xml:space="preserve">(Agenda item: </w:t>
                      </w:r>
                      <w:r>
                        <w:rPr>
                          <w:rFonts w:ascii="Segoe UI" w:hAnsi="Segoe UI" w:cs="Segoe UI"/>
                        </w:rPr>
                        <w:t>6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CDAE8" w14:textId="77777777" w:rsidR="004421EC" w:rsidRPr="00B34C74" w:rsidRDefault="004421EC" w:rsidP="004421EC">
      <w:pPr>
        <w:pStyle w:val="Heading1"/>
        <w:jc w:val="center"/>
        <w:rPr>
          <w:rFonts w:cs="Arial"/>
          <w:sz w:val="24"/>
          <w:szCs w:val="24"/>
          <w:u w:val="none"/>
        </w:rPr>
      </w:pPr>
      <w:r w:rsidRPr="00B34C74">
        <w:rPr>
          <w:rFonts w:cs="Arial"/>
          <w:sz w:val="24"/>
          <w:szCs w:val="24"/>
          <w:u w:val="none"/>
        </w:rPr>
        <w:t xml:space="preserve">Report to the Meeting of the </w:t>
      </w:r>
    </w:p>
    <w:p w14:paraId="64A6B7FE" w14:textId="723A6CD3" w:rsidR="004421EC" w:rsidRPr="00B34C74" w:rsidRDefault="004421EC" w:rsidP="004421EC">
      <w:pPr>
        <w:pStyle w:val="Heading1"/>
        <w:jc w:val="center"/>
        <w:rPr>
          <w:rFonts w:cs="Arial"/>
          <w:sz w:val="24"/>
          <w:szCs w:val="24"/>
          <w:u w:val="none"/>
        </w:rPr>
      </w:pPr>
      <w:r w:rsidRPr="00B34C74">
        <w:rPr>
          <w:rFonts w:cs="Arial"/>
          <w:sz w:val="24"/>
          <w:szCs w:val="24"/>
          <w:u w:val="none"/>
        </w:rPr>
        <w:t xml:space="preserve">Oxford Health NHS Foundation Trust </w:t>
      </w:r>
    </w:p>
    <w:p w14:paraId="6AED7093" w14:textId="77777777" w:rsidR="004421EC" w:rsidRPr="00B34C74" w:rsidRDefault="004421EC" w:rsidP="00310CE8">
      <w:pPr>
        <w:pStyle w:val="Heading1"/>
        <w:jc w:val="center"/>
        <w:rPr>
          <w:rFonts w:cs="Arial"/>
          <w:sz w:val="24"/>
          <w:szCs w:val="24"/>
          <w:u w:val="none"/>
        </w:rPr>
      </w:pPr>
      <w:r w:rsidRPr="00B34C74">
        <w:rPr>
          <w:rFonts w:cs="Arial"/>
          <w:sz w:val="24"/>
          <w:szCs w:val="24"/>
          <w:u w:val="none"/>
        </w:rPr>
        <w:t>Board of Directors</w:t>
      </w:r>
    </w:p>
    <w:p w14:paraId="0992C3F0" w14:textId="77777777" w:rsidR="004421EC" w:rsidRPr="00B34C74" w:rsidRDefault="004421EC" w:rsidP="00310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59A7DF" w14:textId="5104B5CF" w:rsidR="004421EC" w:rsidRPr="00B34C74" w:rsidRDefault="004421EC" w:rsidP="00310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4C74">
        <w:rPr>
          <w:rFonts w:ascii="Arial" w:hAnsi="Arial" w:cs="Arial"/>
          <w:b/>
          <w:sz w:val="24"/>
          <w:szCs w:val="24"/>
        </w:rPr>
        <w:t>Monthly Performance</w:t>
      </w:r>
      <w:r w:rsidR="00777D84" w:rsidRPr="00B34C74">
        <w:rPr>
          <w:rFonts w:ascii="Arial" w:hAnsi="Arial" w:cs="Arial"/>
          <w:b/>
          <w:sz w:val="24"/>
          <w:szCs w:val="24"/>
        </w:rPr>
        <w:t xml:space="preserve"> &amp; </w:t>
      </w:r>
      <w:r w:rsidR="00B93BE2" w:rsidRPr="00B34C74">
        <w:rPr>
          <w:rFonts w:ascii="Arial" w:hAnsi="Arial" w:cs="Arial"/>
          <w:b/>
          <w:sz w:val="24"/>
          <w:szCs w:val="24"/>
        </w:rPr>
        <w:t>Service Change</w:t>
      </w:r>
      <w:r w:rsidRPr="00B34C74">
        <w:rPr>
          <w:rFonts w:ascii="Arial" w:hAnsi="Arial" w:cs="Arial"/>
          <w:b/>
          <w:sz w:val="24"/>
          <w:szCs w:val="24"/>
        </w:rPr>
        <w:t xml:space="preserve"> Report – </w:t>
      </w:r>
      <w:r w:rsidR="00687814" w:rsidRPr="00B34C74">
        <w:rPr>
          <w:rFonts w:ascii="Arial" w:hAnsi="Arial" w:cs="Arial"/>
          <w:b/>
          <w:sz w:val="24"/>
          <w:szCs w:val="24"/>
        </w:rPr>
        <w:t xml:space="preserve">Month </w:t>
      </w:r>
      <w:r w:rsidR="00B242BF">
        <w:rPr>
          <w:rFonts w:ascii="Arial" w:hAnsi="Arial" w:cs="Arial"/>
          <w:b/>
          <w:sz w:val="24"/>
          <w:szCs w:val="24"/>
        </w:rPr>
        <w:t>3</w:t>
      </w:r>
      <w:r w:rsidR="00F46EF5" w:rsidRPr="00B34C74">
        <w:rPr>
          <w:rFonts w:ascii="Arial" w:hAnsi="Arial" w:cs="Arial"/>
          <w:b/>
          <w:sz w:val="24"/>
          <w:szCs w:val="24"/>
        </w:rPr>
        <w:t xml:space="preserve"> </w:t>
      </w:r>
      <w:r w:rsidR="00B242BF">
        <w:rPr>
          <w:rFonts w:ascii="Arial" w:hAnsi="Arial" w:cs="Arial"/>
          <w:b/>
          <w:sz w:val="24"/>
          <w:szCs w:val="24"/>
        </w:rPr>
        <w:t>June</w:t>
      </w:r>
      <w:r w:rsidR="00687814" w:rsidRPr="00B34C74">
        <w:rPr>
          <w:rFonts w:ascii="Arial" w:hAnsi="Arial" w:cs="Arial"/>
          <w:b/>
          <w:sz w:val="24"/>
          <w:szCs w:val="24"/>
        </w:rPr>
        <w:t xml:space="preserve"> 2020</w:t>
      </w:r>
    </w:p>
    <w:p w14:paraId="64ED8334" w14:textId="77777777" w:rsidR="007A7B14" w:rsidRPr="00B34C74" w:rsidRDefault="007A7B14" w:rsidP="00310CE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5CEFADD" w14:textId="760AF1E6" w:rsidR="004421EC" w:rsidRPr="00B34C74" w:rsidRDefault="004421EC" w:rsidP="00310CE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4C74">
        <w:rPr>
          <w:rFonts w:ascii="Arial" w:hAnsi="Arial" w:cs="Arial"/>
          <w:b/>
          <w:sz w:val="24"/>
          <w:szCs w:val="24"/>
          <w:u w:val="single"/>
        </w:rPr>
        <w:t>F</w:t>
      </w:r>
      <w:r w:rsidR="007A7B14" w:rsidRPr="00B34C74">
        <w:rPr>
          <w:rFonts w:ascii="Arial" w:hAnsi="Arial" w:cs="Arial"/>
          <w:b/>
          <w:sz w:val="24"/>
          <w:szCs w:val="24"/>
          <w:u w:val="single"/>
        </w:rPr>
        <w:t>OR: INFORMATION</w:t>
      </w:r>
      <w:bookmarkStart w:id="0" w:name="_GoBack"/>
      <w:bookmarkEnd w:id="0"/>
    </w:p>
    <w:p w14:paraId="64DBA188" w14:textId="53E5BB31" w:rsidR="00221C48" w:rsidRPr="00B34C74" w:rsidRDefault="00221C48" w:rsidP="00310C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4B3A91" w14:textId="2C32F7BB" w:rsidR="00DE5FBE" w:rsidRPr="00B34C74" w:rsidRDefault="00DE5FBE" w:rsidP="00310C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4C74">
        <w:rPr>
          <w:rFonts w:ascii="Arial" w:hAnsi="Arial" w:cs="Arial"/>
          <w:b/>
          <w:bCs/>
          <w:sz w:val="24"/>
          <w:szCs w:val="24"/>
        </w:rPr>
        <w:t>Introduction</w:t>
      </w:r>
    </w:p>
    <w:p w14:paraId="434D0725" w14:textId="77777777" w:rsidR="00BB774B" w:rsidRPr="00B34C74" w:rsidRDefault="00BB774B" w:rsidP="000E50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056D4" w14:textId="60C877AF" w:rsidR="001D1649" w:rsidRPr="00B34C74" w:rsidRDefault="0088778E" w:rsidP="001D1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C74">
        <w:rPr>
          <w:rFonts w:ascii="Arial" w:hAnsi="Arial" w:cs="Arial"/>
          <w:sz w:val="24"/>
          <w:szCs w:val="24"/>
        </w:rPr>
        <w:t>This report summarises the Trust’s performance for mont</w:t>
      </w:r>
      <w:r w:rsidR="00B242BF">
        <w:rPr>
          <w:rFonts w:ascii="Arial" w:hAnsi="Arial" w:cs="Arial"/>
          <w:sz w:val="24"/>
          <w:szCs w:val="24"/>
        </w:rPr>
        <w:t>h 3 June 2020</w:t>
      </w:r>
      <w:r w:rsidRPr="00B34C74">
        <w:rPr>
          <w:rFonts w:ascii="Arial" w:hAnsi="Arial" w:cs="Arial"/>
          <w:sz w:val="24"/>
          <w:szCs w:val="24"/>
        </w:rPr>
        <w:t xml:space="preserve">.  The focus for all performance management and reporting has been on the COVID-19 situation and in addition, the Trust’s response to all emergency and urgent referrals.  This approach took effect in March 2020 and will continue until </w:t>
      </w:r>
      <w:r w:rsidR="002822CE">
        <w:rPr>
          <w:rFonts w:ascii="Arial" w:hAnsi="Arial" w:cs="Arial"/>
          <w:sz w:val="24"/>
          <w:szCs w:val="24"/>
        </w:rPr>
        <w:t>September 2020</w:t>
      </w:r>
      <w:r w:rsidR="00536648">
        <w:rPr>
          <w:rFonts w:ascii="Arial" w:hAnsi="Arial" w:cs="Arial"/>
          <w:sz w:val="24"/>
          <w:szCs w:val="24"/>
        </w:rPr>
        <w:t>, subject to COVID19 situation</w:t>
      </w:r>
      <w:r w:rsidRPr="00B34C74">
        <w:rPr>
          <w:rFonts w:ascii="Arial" w:hAnsi="Arial" w:cs="Arial"/>
          <w:sz w:val="24"/>
          <w:szCs w:val="24"/>
        </w:rPr>
        <w:t xml:space="preserve">.  </w:t>
      </w:r>
      <w:r w:rsidR="001D1649" w:rsidRPr="00B34C74">
        <w:rPr>
          <w:rFonts w:ascii="Arial" w:hAnsi="Arial" w:cs="Arial"/>
          <w:sz w:val="24"/>
          <w:szCs w:val="24"/>
        </w:rPr>
        <w:t xml:space="preserve">The rationale for suspending </w:t>
      </w:r>
      <w:r w:rsidRPr="00B34C74">
        <w:rPr>
          <w:rFonts w:ascii="Arial" w:hAnsi="Arial" w:cs="Arial"/>
          <w:sz w:val="24"/>
          <w:szCs w:val="24"/>
        </w:rPr>
        <w:t xml:space="preserve">all non-essential </w:t>
      </w:r>
      <w:r w:rsidR="001D1649" w:rsidRPr="00B34C74">
        <w:rPr>
          <w:rFonts w:ascii="Arial" w:hAnsi="Arial" w:cs="Arial"/>
          <w:sz w:val="24"/>
          <w:szCs w:val="24"/>
        </w:rPr>
        <w:t>reporting</w:t>
      </w:r>
      <w:r w:rsidR="008D423C" w:rsidRPr="00B34C74">
        <w:rPr>
          <w:rFonts w:ascii="Arial" w:hAnsi="Arial" w:cs="Arial"/>
          <w:sz w:val="24"/>
          <w:szCs w:val="24"/>
        </w:rPr>
        <w:t>,</w:t>
      </w:r>
      <w:r w:rsidR="001D1649" w:rsidRPr="00B34C74">
        <w:rPr>
          <w:rFonts w:ascii="Arial" w:hAnsi="Arial" w:cs="Arial"/>
          <w:sz w:val="24"/>
          <w:szCs w:val="24"/>
        </w:rPr>
        <w:t xml:space="preserve"> where possible</w:t>
      </w:r>
      <w:r w:rsidR="008D423C" w:rsidRPr="00B34C74">
        <w:rPr>
          <w:rFonts w:ascii="Arial" w:hAnsi="Arial" w:cs="Arial"/>
          <w:sz w:val="24"/>
          <w:szCs w:val="24"/>
        </w:rPr>
        <w:t>,</w:t>
      </w:r>
      <w:r w:rsidR="001D1649" w:rsidRPr="00B34C74">
        <w:rPr>
          <w:rFonts w:ascii="Arial" w:hAnsi="Arial" w:cs="Arial"/>
          <w:sz w:val="24"/>
          <w:szCs w:val="24"/>
        </w:rPr>
        <w:t xml:space="preserve"> </w:t>
      </w:r>
      <w:r w:rsidR="00536648">
        <w:rPr>
          <w:rFonts w:ascii="Arial" w:hAnsi="Arial" w:cs="Arial"/>
          <w:sz w:val="24"/>
          <w:szCs w:val="24"/>
        </w:rPr>
        <w:t>was</w:t>
      </w:r>
      <w:r w:rsidR="001D1649" w:rsidRPr="00B34C74">
        <w:rPr>
          <w:rFonts w:ascii="Arial" w:hAnsi="Arial" w:cs="Arial"/>
          <w:sz w:val="24"/>
          <w:szCs w:val="24"/>
        </w:rPr>
        <w:t xml:space="preserve"> to reduce the burden on staff and release time for the COVID-19 response</w:t>
      </w:r>
      <w:r w:rsidRPr="00B34C74">
        <w:rPr>
          <w:rFonts w:ascii="Arial" w:hAnsi="Arial" w:cs="Arial"/>
          <w:sz w:val="24"/>
          <w:szCs w:val="24"/>
        </w:rPr>
        <w:t xml:space="preserve"> and recovery</w:t>
      </w:r>
      <w:r w:rsidR="001D1649" w:rsidRPr="00B34C74">
        <w:rPr>
          <w:rFonts w:ascii="Arial" w:hAnsi="Arial" w:cs="Arial"/>
          <w:sz w:val="24"/>
          <w:szCs w:val="24"/>
        </w:rPr>
        <w:t>.</w:t>
      </w:r>
      <w:r w:rsidRPr="00B34C74">
        <w:rPr>
          <w:rFonts w:ascii="Arial" w:hAnsi="Arial" w:cs="Arial"/>
          <w:sz w:val="24"/>
          <w:szCs w:val="24"/>
        </w:rPr>
        <w:t xml:space="preserve">  The Trust continues to report against the national single oversight framework as mandated by NHS England.</w:t>
      </w:r>
    </w:p>
    <w:p w14:paraId="5C5FCF9A" w14:textId="085C14A3" w:rsidR="00622515" w:rsidRPr="00B34C74" w:rsidRDefault="00622515" w:rsidP="00DD3399">
      <w:pPr>
        <w:spacing w:after="0"/>
        <w:rPr>
          <w:rFonts w:ascii="Arial" w:hAnsi="Arial" w:cs="Arial"/>
          <w:sz w:val="24"/>
          <w:szCs w:val="24"/>
        </w:rPr>
      </w:pPr>
    </w:p>
    <w:p w14:paraId="607183B5" w14:textId="635E8438" w:rsidR="00A770CB" w:rsidRPr="00B34C74" w:rsidRDefault="004D5607" w:rsidP="002807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4C74">
        <w:rPr>
          <w:rFonts w:ascii="Arial" w:hAnsi="Arial" w:cs="Arial"/>
          <w:b/>
          <w:bCs/>
          <w:sz w:val="24"/>
          <w:szCs w:val="24"/>
        </w:rPr>
        <w:t xml:space="preserve">Performance Headlines </w:t>
      </w:r>
    </w:p>
    <w:p w14:paraId="22564DD5" w14:textId="63F49A40" w:rsidR="00556A04" w:rsidRPr="00B34C74" w:rsidRDefault="00556A04" w:rsidP="002807B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2EF5ED" w14:textId="607B8376" w:rsidR="007F4D15" w:rsidRDefault="007F4D15" w:rsidP="7F5BF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7F5BF4A4">
        <w:rPr>
          <w:rFonts w:ascii="Arial" w:hAnsi="Arial" w:cs="Arial"/>
          <w:sz w:val="24"/>
          <w:szCs w:val="24"/>
        </w:rPr>
        <w:t>Using the P</w:t>
      </w:r>
      <w:r w:rsidR="00E35C35" w:rsidRPr="7F5BF4A4">
        <w:rPr>
          <w:rFonts w:ascii="Arial" w:hAnsi="Arial" w:cs="Arial"/>
          <w:sz w:val="24"/>
          <w:szCs w:val="24"/>
        </w:rPr>
        <w:t>a</w:t>
      </w:r>
      <w:r w:rsidR="00D6583F" w:rsidRPr="7F5BF4A4">
        <w:rPr>
          <w:rFonts w:ascii="Arial" w:hAnsi="Arial" w:cs="Arial"/>
          <w:sz w:val="24"/>
          <w:szCs w:val="24"/>
        </w:rPr>
        <w:t xml:space="preserve">tient Activity and Demand (PAD) </w:t>
      </w:r>
      <w:r w:rsidR="00481742" w:rsidRPr="7F5BF4A4">
        <w:rPr>
          <w:rFonts w:ascii="Arial" w:hAnsi="Arial" w:cs="Arial"/>
          <w:sz w:val="24"/>
          <w:szCs w:val="24"/>
        </w:rPr>
        <w:t>app</w:t>
      </w:r>
      <w:r w:rsidRPr="7F5BF4A4">
        <w:rPr>
          <w:rFonts w:ascii="Arial" w:hAnsi="Arial" w:cs="Arial"/>
          <w:sz w:val="24"/>
          <w:szCs w:val="24"/>
        </w:rPr>
        <w:t xml:space="preserve">, </w:t>
      </w:r>
      <w:r w:rsidR="004419C1" w:rsidRPr="7F5BF4A4">
        <w:rPr>
          <w:rFonts w:ascii="Arial" w:hAnsi="Arial" w:cs="Arial"/>
          <w:sz w:val="24"/>
          <w:szCs w:val="24"/>
        </w:rPr>
        <w:t xml:space="preserve">provided below are </w:t>
      </w:r>
      <w:r w:rsidR="00EB6F80" w:rsidRPr="7F5BF4A4">
        <w:rPr>
          <w:rFonts w:ascii="Arial" w:hAnsi="Arial" w:cs="Arial"/>
          <w:sz w:val="24"/>
          <w:szCs w:val="24"/>
        </w:rPr>
        <w:t>key headlines regarding</w:t>
      </w:r>
      <w:r w:rsidR="00C47321" w:rsidRPr="7F5BF4A4">
        <w:rPr>
          <w:rFonts w:ascii="Arial" w:hAnsi="Arial" w:cs="Arial"/>
          <w:sz w:val="24"/>
          <w:szCs w:val="24"/>
        </w:rPr>
        <w:t xml:space="preserve"> the </w:t>
      </w:r>
      <w:r w:rsidR="00C47321" w:rsidRPr="7F5BF4A4">
        <w:rPr>
          <w:rFonts w:ascii="Arial" w:hAnsi="Arial" w:cs="Arial"/>
          <w:b/>
          <w:bCs/>
          <w:sz w:val="24"/>
          <w:szCs w:val="24"/>
        </w:rPr>
        <w:t>impact of COVID-19</w:t>
      </w:r>
      <w:r w:rsidR="00C47321" w:rsidRPr="7F5BF4A4">
        <w:rPr>
          <w:rFonts w:ascii="Arial" w:hAnsi="Arial" w:cs="Arial"/>
          <w:sz w:val="24"/>
          <w:szCs w:val="24"/>
        </w:rPr>
        <w:t xml:space="preserve"> on the </w:t>
      </w:r>
      <w:r w:rsidR="00EB6F80" w:rsidRPr="7F5BF4A4">
        <w:rPr>
          <w:rFonts w:ascii="Arial" w:hAnsi="Arial" w:cs="Arial"/>
          <w:sz w:val="24"/>
          <w:szCs w:val="24"/>
        </w:rPr>
        <w:t>T</w:t>
      </w:r>
      <w:r w:rsidR="00C47321" w:rsidRPr="7F5BF4A4">
        <w:rPr>
          <w:rFonts w:ascii="Arial" w:hAnsi="Arial" w:cs="Arial"/>
          <w:sz w:val="24"/>
          <w:szCs w:val="24"/>
        </w:rPr>
        <w:t>rust’s activity levels</w:t>
      </w:r>
      <w:r w:rsidR="00481742" w:rsidRPr="7F5BF4A4">
        <w:rPr>
          <w:rFonts w:ascii="Arial" w:hAnsi="Arial" w:cs="Arial"/>
          <w:sz w:val="24"/>
          <w:szCs w:val="24"/>
        </w:rPr>
        <w:t>;</w:t>
      </w:r>
    </w:p>
    <w:p w14:paraId="7D6F3522" w14:textId="7CC9FACF" w:rsidR="00087C0F" w:rsidRDefault="00087C0F" w:rsidP="7F5BF4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30"/>
        <w:gridCol w:w="2053"/>
        <w:gridCol w:w="2115"/>
        <w:gridCol w:w="2390"/>
      </w:tblGrid>
      <w:tr w:rsidR="00DD3062" w14:paraId="124648E5" w14:textId="77777777" w:rsidTr="00164C22">
        <w:tc>
          <w:tcPr>
            <w:tcW w:w="2230" w:type="dxa"/>
            <w:shd w:val="clear" w:color="auto" w:fill="D9E2F3" w:themeFill="accent1" w:themeFillTint="33"/>
          </w:tcPr>
          <w:p w14:paraId="5754E567" w14:textId="54EB318C" w:rsidR="7F5BF4A4" w:rsidRDefault="7F5BF4A4" w:rsidP="00DD3062">
            <w:r w:rsidRPr="7F5BF4A4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053" w:type="dxa"/>
            <w:shd w:val="clear" w:color="auto" w:fill="D9E2F3" w:themeFill="accent1" w:themeFillTint="33"/>
          </w:tcPr>
          <w:p w14:paraId="13362D1C" w14:textId="0C76A54B" w:rsidR="7F5BF4A4" w:rsidRDefault="7F5BF4A4" w:rsidP="00DD3062">
            <w:r w:rsidRPr="7D9B20DE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Monthly average</w:t>
            </w:r>
            <w:r>
              <w:br/>
            </w:r>
            <w:r w:rsidRPr="7D9B20DE">
              <w:rPr>
                <w:rFonts w:ascii="Segoe UI" w:eastAsia="Segoe UI" w:hAnsi="Segoe UI" w:cs="Segoe UI"/>
                <w:sz w:val="16"/>
                <w:szCs w:val="16"/>
              </w:rPr>
              <w:t xml:space="preserve">(based on last 24 months to </w:t>
            </w:r>
            <w:r w:rsidR="5D16DEF6" w:rsidRPr="7D9B20DE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end June 2020</w:t>
            </w:r>
            <w:r w:rsidRPr="7D9B20DE">
              <w:rPr>
                <w:rFonts w:ascii="Segoe UI" w:eastAsia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2115" w:type="dxa"/>
            <w:shd w:val="clear" w:color="auto" w:fill="D9E2F3" w:themeFill="accent1" w:themeFillTint="33"/>
          </w:tcPr>
          <w:p w14:paraId="0E5B4D42" w14:textId="70071788" w:rsidR="7F5BF4A4" w:rsidRDefault="23895055" w:rsidP="00DD3062">
            <w:r w:rsidRPr="31F1B636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June </w:t>
            </w:r>
            <w:r w:rsidR="7F5BF4A4" w:rsidRPr="31F1B636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Actual </w:t>
            </w:r>
          </w:p>
        </w:tc>
        <w:tc>
          <w:tcPr>
            <w:tcW w:w="2390" w:type="dxa"/>
            <w:shd w:val="clear" w:color="auto" w:fill="D9E2F3" w:themeFill="accent1" w:themeFillTint="33"/>
          </w:tcPr>
          <w:p w14:paraId="76D5AFDE" w14:textId="11FF53BE" w:rsidR="7F5BF4A4" w:rsidRDefault="7F5BF4A4" w:rsidP="00DD3062">
            <w:r w:rsidRPr="31F1B636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How does the </w:t>
            </w:r>
            <w:r w:rsidR="58D3E28D" w:rsidRPr="31F1B636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June </w:t>
            </w:r>
            <w:r w:rsidRPr="31F1B636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position compare to the monthly norm?  </w:t>
            </w:r>
          </w:p>
        </w:tc>
      </w:tr>
      <w:tr w:rsidR="7F5BF4A4" w14:paraId="323FC9D1" w14:textId="77777777" w:rsidTr="00164C22">
        <w:tc>
          <w:tcPr>
            <w:tcW w:w="2230" w:type="dxa"/>
          </w:tcPr>
          <w:p w14:paraId="077EDF33" w14:textId="35BDA4F1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Referrals - ALL</w:t>
            </w:r>
          </w:p>
        </w:tc>
        <w:tc>
          <w:tcPr>
            <w:tcW w:w="2053" w:type="dxa"/>
          </w:tcPr>
          <w:p w14:paraId="3D04B7A1" w14:textId="2428957D" w:rsidR="7F5BF4A4" w:rsidRDefault="26B827E7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14671</w:t>
            </w:r>
          </w:p>
        </w:tc>
        <w:tc>
          <w:tcPr>
            <w:tcW w:w="2115" w:type="dxa"/>
          </w:tcPr>
          <w:p w14:paraId="7CD620C1" w14:textId="4CB2FF10" w:rsidR="7F5BF4A4" w:rsidRDefault="26B827E7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13873</w:t>
            </w:r>
          </w:p>
        </w:tc>
        <w:tc>
          <w:tcPr>
            <w:tcW w:w="2390" w:type="dxa"/>
          </w:tcPr>
          <w:p w14:paraId="6CBF01BD" w14:textId="04E2AFC0" w:rsidR="7F5BF4A4" w:rsidRDefault="26B827E7" w:rsidP="7C56514B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-5.4%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less</w:t>
            </w:r>
          </w:p>
        </w:tc>
      </w:tr>
      <w:tr w:rsidR="7F5BF4A4" w14:paraId="413B4444" w14:textId="77777777" w:rsidTr="00164C22">
        <w:tc>
          <w:tcPr>
            <w:tcW w:w="2230" w:type="dxa"/>
          </w:tcPr>
          <w:p w14:paraId="4182AF82" w14:textId="0BFF2FBD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Referrals - Emergency</w:t>
            </w:r>
          </w:p>
          <w:p w14:paraId="79AB5387" w14:textId="45A36EB4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Referrals - Urgent</w:t>
            </w:r>
          </w:p>
          <w:p w14:paraId="36A4900B" w14:textId="0928DF10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 xml:space="preserve">Referrals - Routine </w:t>
            </w:r>
          </w:p>
        </w:tc>
        <w:tc>
          <w:tcPr>
            <w:tcW w:w="2053" w:type="dxa"/>
          </w:tcPr>
          <w:p w14:paraId="53371614" w14:textId="572BFC40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880 – 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>emergency</w:t>
            </w:r>
          </w:p>
          <w:p w14:paraId="41EB92C7" w14:textId="0EF1F1D8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3367 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>– urgent</w:t>
            </w:r>
          </w:p>
          <w:p w14:paraId="17C3CE47" w14:textId="71A7AAD5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10418 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>- routine</w:t>
            </w:r>
          </w:p>
        </w:tc>
        <w:tc>
          <w:tcPr>
            <w:tcW w:w="2115" w:type="dxa"/>
          </w:tcPr>
          <w:p w14:paraId="15C39D2D" w14:textId="606C2D6A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879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– emergency</w:t>
            </w:r>
          </w:p>
          <w:p w14:paraId="75E44469" w14:textId="05B35036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4165 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>– urgent</w:t>
            </w:r>
          </w:p>
          <w:p w14:paraId="09268DEA" w14:textId="404AED46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8815 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>- routine</w:t>
            </w:r>
          </w:p>
        </w:tc>
        <w:tc>
          <w:tcPr>
            <w:tcW w:w="2390" w:type="dxa"/>
          </w:tcPr>
          <w:p w14:paraId="42664584" w14:textId="4BDDA4C0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-0.1%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less</w:t>
            </w:r>
          </w:p>
          <w:p w14:paraId="5E0056D6" w14:textId="3AFBD195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23.7%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more</w:t>
            </w:r>
          </w:p>
          <w:p w14:paraId="3A64C444" w14:textId="5EDFECB0" w:rsidR="7F5BF4A4" w:rsidRDefault="5BCAB9B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-15.4%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less</w:t>
            </w:r>
          </w:p>
        </w:tc>
      </w:tr>
      <w:tr w:rsidR="7F5BF4A4" w14:paraId="238B83D8" w14:textId="77777777" w:rsidTr="00164C22">
        <w:tc>
          <w:tcPr>
            <w:tcW w:w="2230" w:type="dxa"/>
          </w:tcPr>
          <w:p w14:paraId="4B9ACE07" w14:textId="4042175B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Appointments – ALL</w:t>
            </w:r>
          </w:p>
        </w:tc>
        <w:tc>
          <w:tcPr>
            <w:tcW w:w="2053" w:type="dxa"/>
          </w:tcPr>
          <w:p w14:paraId="142EDE87" w14:textId="772F8F40" w:rsidR="7F5BF4A4" w:rsidRDefault="1D0444A9" w:rsidP="7C56514B">
            <w:pPr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80355</w:t>
            </w:r>
          </w:p>
        </w:tc>
        <w:tc>
          <w:tcPr>
            <w:tcW w:w="2115" w:type="dxa"/>
          </w:tcPr>
          <w:p w14:paraId="07948C2A" w14:textId="3DD405FF" w:rsidR="7F5BF4A4" w:rsidRDefault="1D0444A9" w:rsidP="7C56514B">
            <w:pPr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80608</w:t>
            </w:r>
          </w:p>
        </w:tc>
        <w:tc>
          <w:tcPr>
            <w:tcW w:w="2390" w:type="dxa"/>
          </w:tcPr>
          <w:p w14:paraId="7DB111BF" w14:textId="372486A8" w:rsidR="7F5BF4A4" w:rsidRDefault="1D0444A9" w:rsidP="7F29F568">
            <w:pPr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0.3%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more</w:t>
            </w:r>
          </w:p>
        </w:tc>
      </w:tr>
      <w:tr w:rsidR="7F5BF4A4" w14:paraId="692F180A" w14:textId="77777777" w:rsidTr="00164C22">
        <w:tc>
          <w:tcPr>
            <w:tcW w:w="2230" w:type="dxa"/>
          </w:tcPr>
          <w:p w14:paraId="741FF469" w14:textId="6A64DF74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Inpatient admissions</w:t>
            </w:r>
          </w:p>
        </w:tc>
        <w:tc>
          <w:tcPr>
            <w:tcW w:w="2053" w:type="dxa"/>
          </w:tcPr>
          <w:p w14:paraId="7311915D" w14:textId="7196A9FB" w:rsidR="7F5BF4A4" w:rsidRDefault="44F36667" w:rsidP="7F29F568">
            <w:pPr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2115" w:type="dxa"/>
          </w:tcPr>
          <w:p w14:paraId="4FB7C9AD" w14:textId="7CA91DC0" w:rsidR="7F5BF4A4" w:rsidRDefault="44F36667" w:rsidP="7F29F568">
            <w:pPr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2390" w:type="dxa"/>
          </w:tcPr>
          <w:p w14:paraId="7A296A63" w14:textId="59AE91DB" w:rsidR="7F5BF4A4" w:rsidRDefault="44F36667" w:rsidP="7F29F568">
            <w:pPr>
              <w:spacing w:line="259" w:lineRule="auto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-5.7%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less</w:t>
            </w:r>
          </w:p>
        </w:tc>
      </w:tr>
      <w:tr w:rsidR="7F5BF4A4" w14:paraId="1FBF474F" w14:textId="77777777" w:rsidTr="00164C22">
        <w:tc>
          <w:tcPr>
            <w:tcW w:w="2230" w:type="dxa"/>
          </w:tcPr>
          <w:p w14:paraId="438DEFEA" w14:textId="46E48450" w:rsidR="7F5BF4A4" w:rsidRDefault="7F5BF4A4" w:rsidP="7F5BF4A4">
            <w:pPr>
              <w:jc w:val="both"/>
            </w:pPr>
            <w:r w:rsidRPr="7F5BF4A4">
              <w:rPr>
                <w:rFonts w:ascii="Segoe UI" w:eastAsia="Segoe UI" w:hAnsi="Segoe UI" w:cs="Segoe UI"/>
                <w:sz w:val="16"/>
                <w:szCs w:val="16"/>
              </w:rPr>
              <w:t>Inpatient discharges</w:t>
            </w:r>
          </w:p>
        </w:tc>
        <w:tc>
          <w:tcPr>
            <w:tcW w:w="2053" w:type="dxa"/>
          </w:tcPr>
          <w:p w14:paraId="4BD70033" w14:textId="60D1E3B9" w:rsidR="7F5BF4A4" w:rsidRDefault="76BCA9BC" w:rsidP="7F29F568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2115" w:type="dxa"/>
          </w:tcPr>
          <w:p w14:paraId="0DC13637" w14:textId="1A86AF7E" w:rsidR="7F5BF4A4" w:rsidRDefault="76BCA9BC" w:rsidP="7F29F568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2390" w:type="dxa"/>
          </w:tcPr>
          <w:p w14:paraId="1ABECC9C" w14:textId="2D4F3F3F" w:rsidR="7F5BF4A4" w:rsidRDefault="76BCA9BC" w:rsidP="7F29F568">
            <w:pPr>
              <w:spacing w:line="259" w:lineRule="auto"/>
              <w:jc w:val="both"/>
              <w:rPr>
                <w:rFonts w:ascii="Segoe UI" w:eastAsia="Segoe UI" w:hAnsi="Segoe UI" w:cs="Segoe UI"/>
                <w:sz w:val="16"/>
                <w:szCs w:val="16"/>
              </w:rPr>
            </w:pPr>
            <w:r w:rsidRPr="7F29F568"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-9.0%</w:t>
            </w:r>
            <w:r w:rsidRPr="7F29F568">
              <w:rPr>
                <w:rFonts w:ascii="Segoe UI" w:eastAsia="Segoe UI" w:hAnsi="Segoe UI" w:cs="Segoe UI"/>
                <w:sz w:val="16"/>
                <w:szCs w:val="16"/>
              </w:rPr>
              <w:t xml:space="preserve"> less</w:t>
            </w:r>
          </w:p>
        </w:tc>
      </w:tr>
    </w:tbl>
    <w:p w14:paraId="48781B4F" w14:textId="1CD1575F" w:rsidR="00847AD4" w:rsidRDefault="00847AD4" w:rsidP="00E4648D">
      <w:pPr>
        <w:spacing w:after="0" w:line="240" w:lineRule="auto"/>
        <w:rPr>
          <w:rFonts w:ascii="Segoe UI" w:hAnsi="Segoe UI" w:cs="Segoe UI"/>
          <w:color w:val="000000"/>
        </w:rPr>
      </w:pPr>
    </w:p>
    <w:p w14:paraId="74726316" w14:textId="73A1B01E" w:rsidR="00F57C24" w:rsidRPr="006D0483" w:rsidRDefault="00F57C24" w:rsidP="00F57C24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1FB627EE">
        <w:rPr>
          <w:rFonts w:ascii="Arial" w:hAnsi="Arial" w:cs="Arial"/>
          <w:color w:val="000000" w:themeColor="text1"/>
          <w:sz w:val="24"/>
          <w:szCs w:val="24"/>
        </w:rPr>
        <w:t>The most notable change from the monthly average is the increase in urgent referrals across Community Services +23%</w:t>
      </w:r>
      <w:r w:rsidR="00AB5E9F">
        <w:rPr>
          <w:rFonts w:ascii="Arial" w:hAnsi="Arial" w:cs="Arial"/>
          <w:color w:val="000000" w:themeColor="text1"/>
          <w:sz w:val="24"/>
          <w:szCs w:val="24"/>
        </w:rPr>
        <w:t xml:space="preserve"> (3408/</w:t>
      </w:r>
      <w:r w:rsidR="00A12C4C">
        <w:rPr>
          <w:rFonts w:ascii="Arial" w:hAnsi="Arial" w:cs="Arial"/>
          <w:color w:val="000000" w:themeColor="text1"/>
          <w:sz w:val="24"/>
          <w:szCs w:val="24"/>
        </w:rPr>
        <w:t>2763)</w:t>
      </w:r>
      <w:r w:rsidRPr="1FB627EE">
        <w:rPr>
          <w:rFonts w:ascii="Arial" w:hAnsi="Arial" w:cs="Arial"/>
          <w:color w:val="000000" w:themeColor="text1"/>
          <w:sz w:val="24"/>
          <w:szCs w:val="24"/>
        </w:rPr>
        <w:t>, Oxon &amp; BSW +9%</w:t>
      </w:r>
      <w:r w:rsidR="00AB5E9F">
        <w:rPr>
          <w:rFonts w:ascii="Arial" w:hAnsi="Arial" w:cs="Arial"/>
          <w:color w:val="000000" w:themeColor="text1"/>
          <w:sz w:val="24"/>
          <w:szCs w:val="24"/>
        </w:rPr>
        <w:t xml:space="preserve"> (430/</w:t>
      </w:r>
      <w:r w:rsidR="00975245">
        <w:rPr>
          <w:rFonts w:ascii="Arial" w:hAnsi="Arial" w:cs="Arial"/>
          <w:color w:val="000000" w:themeColor="text1"/>
          <w:sz w:val="24"/>
          <w:szCs w:val="24"/>
        </w:rPr>
        <w:t>394)</w:t>
      </w:r>
      <w:r w:rsidRPr="1FB627EE">
        <w:rPr>
          <w:rFonts w:ascii="Arial" w:hAnsi="Arial" w:cs="Arial"/>
          <w:color w:val="000000" w:themeColor="text1"/>
          <w:sz w:val="24"/>
          <w:szCs w:val="24"/>
        </w:rPr>
        <w:t xml:space="preserve"> and Bucks +58% </w:t>
      </w:r>
      <w:r w:rsidR="00CB4242">
        <w:rPr>
          <w:rFonts w:ascii="Arial" w:hAnsi="Arial" w:cs="Arial"/>
          <w:color w:val="000000" w:themeColor="text1"/>
          <w:sz w:val="24"/>
          <w:szCs w:val="24"/>
        </w:rPr>
        <w:t>(329</w:t>
      </w:r>
      <w:r w:rsidR="00A12C4C">
        <w:rPr>
          <w:rFonts w:ascii="Arial" w:hAnsi="Arial" w:cs="Arial"/>
          <w:color w:val="000000" w:themeColor="text1"/>
          <w:sz w:val="24"/>
          <w:szCs w:val="24"/>
        </w:rPr>
        <w:t>/208</w:t>
      </w:r>
      <w:r w:rsidR="00AB5E9F">
        <w:rPr>
          <w:rFonts w:ascii="Arial" w:hAnsi="Arial" w:cs="Arial"/>
          <w:color w:val="000000" w:themeColor="text1"/>
          <w:sz w:val="24"/>
          <w:szCs w:val="24"/>
        </w:rPr>
        <w:t>)</w:t>
      </w:r>
      <w:r w:rsidR="00975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1FB627EE">
        <w:rPr>
          <w:rFonts w:ascii="Arial" w:hAnsi="Arial" w:cs="Arial"/>
          <w:color w:val="000000" w:themeColor="text1"/>
          <w:sz w:val="24"/>
          <w:szCs w:val="24"/>
        </w:rPr>
        <w:t>Directorates.</w:t>
      </w:r>
    </w:p>
    <w:p w14:paraId="63502AEA" w14:textId="77777777" w:rsidR="008863DC" w:rsidRPr="00DE637A" w:rsidRDefault="008863DC" w:rsidP="00E4648D">
      <w:pPr>
        <w:spacing w:after="0" w:line="240" w:lineRule="auto"/>
        <w:rPr>
          <w:rFonts w:ascii="Segoe UI" w:hAnsi="Segoe UI" w:cs="Segoe UI"/>
          <w:color w:val="000000"/>
        </w:rPr>
      </w:pPr>
    </w:p>
    <w:p w14:paraId="628E5007" w14:textId="04F31465" w:rsidR="00C3789B" w:rsidRPr="00B34C74" w:rsidRDefault="00951414" w:rsidP="00E424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4C74">
        <w:rPr>
          <w:rFonts w:ascii="Arial" w:hAnsi="Arial" w:cs="Arial"/>
          <w:b/>
          <w:bCs/>
          <w:sz w:val="24"/>
          <w:szCs w:val="24"/>
        </w:rPr>
        <w:t>Delayed Transfers of Care (</w:t>
      </w:r>
      <w:r w:rsidR="00C3789B" w:rsidRPr="00B34C74">
        <w:rPr>
          <w:rFonts w:ascii="Arial" w:hAnsi="Arial" w:cs="Arial"/>
          <w:b/>
          <w:bCs/>
          <w:sz w:val="24"/>
          <w:szCs w:val="24"/>
        </w:rPr>
        <w:t>DTOC</w:t>
      </w:r>
      <w:r w:rsidRPr="00B34C74">
        <w:rPr>
          <w:rFonts w:ascii="Arial" w:hAnsi="Arial" w:cs="Arial"/>
          <w:b/>
          <w:bCs/>
          <w:sz w:val="24"/>
          <w:szCs w:val="24"/>
        </w:rPr>
        <w:t>)</w:t>
      </w:r>
      <w:r w:rsidR="00C3789B" w:rsidRPr="00B34C74">
        <w:rPr>
          <w:rFonts w:ascii="Arial" w:hAnsi="Arial" w:cs="Arial"/>
          <w:b/>
          <w:bCs/>
          <w:sz w:val="24"/>
          <w:szCs w:val="24"/>
        </w:rPr>
        <w:t>:</w:t>
      </w:r>
    </w:p>
    <w:p w14:paraId="275A22C0" w14:textId="77777777" w:rsidR="00C3789B" w:rsidRPr="00B34C74" w:rsidRDefault="00C3789B" w:rsidP="00E424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8B3FF" w14:textId="2FA8A088" w:rsidR="0088646F" w:rsidRDefault="00301D7C" w:rsidP="00956E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Weekly local reporting of DTOCs </w:t>
      </w:r>
      <w:r w:rsidR="00B232DF">
        <w:rPr>
          <w:rFonts w:ascii="Arial" w:hAnsi="Arial" w:cs="Arial"/>
          <w:sz w:val="24"/>
          <w:szCs w:val="24"/>
        </w:rPr>
        <w:t xml:space="preserve">to Commissioners </w:t>
      </w:r>
      <w:r>
        <w:rPr>
          <w:rFonts w:ascii="Arial" w:hAnsi="Arial" w:cs="Arial"/>
          <w:sz w:val="24"/>
          <w:szCs w:val="24"/>
        </w:rPr>
        <w:t xml:space="preserve">has now recommenced, monthly national reporting is still suspended due to Covid situation.  </w:t>
      </w:r>
      <w:r w:rsidR="000F6948">
        <w:rPr>
          <w:rFonts w:ascii="Arial" w:hAnsi="Arial" w:cs="Arial"/>
          <w:sz w:val="24"/>
          <w:szCs w:val="24"/>
        </w:rPr>
        <w:t>The snapshot a</w:t>
      </w:r>
      <w:r w:rsidR="0088646F">
        <w:rPr>
          <w:rFonts w:ascii="Arial" w:hAnsi="Arial" w:cs="Arial"/>
          <w:sz w:val="24"/>
          <w:szCs w:val="24"/>
        </w:rPr>
        <w:t xml:space="preserve">s of </w:t>
      </w:r>
      <w:r w:rsidR="000F6948">
        <w:rPr>
          <w:rFonts w:ascii="Arial" w:hAnsi="Arial" w:cs="Arial"/>
          <w:sz w:val="24"/>
          <w:szCs w:val="24"/>
        </w:rPr>
        <w:t>25</w:t>
      </w:r>
      <w:r w:rsidR="000F6948" w:rsidRPr="000F6948">
        <w:rPr>
          <w:rFonts w:ascii="Arial" w:hAnsi="Arial" w:cs="Arial"/>
          <w:sz w:val="24"/>
          <w:szCs w:val="24"/>
          <w:vertAlign w:val="superscript"/>
        </w:rPr>
        <w:t>th</w:t>
      </w:r>
      <w:r w:rsidR="000F6948">
        <w:rPr>
          <w:rFonts w:ascii="Arial" w:hAnsi="Arial" w:cs="Arial"/>
          <w:sz w:val="24"/>
          <w:szCs w:val="24"/>
        </w:rPr>
        <w:t xml:space="preserve"> June</w:t>
      </w:r>
      <w:r w:rsidR="009146D2">
        <w:rPr>
          <w:rFonts w:ascii="Arial" w:hAnsi="Arial" w:cs="Arial"/>
          <w:sz w:val="24"/>
          <w:szCs w:val="24"/>
        </w:rPr>
        <w:t xml:space="preserve"> </w:t>
      </w:r>
      <w:r w:rsidR="0088646F">
        <w:rPr>
          <w:rFonts w:ascii="Arial" w:hAnsi="Arial" w:cs="Arial"/>
          <w:sz w:val="24"/>
          <w:szCs w:val="24"/>
        </w:rPr>
        <w:t>2020</w:t>
      </w:r>
      <w:r w:rsidR="00AD2D37">
        <w:rPr>
          <w:rFonts w:ascii="Arial" w:hAnsi="Arial" w:cs="Arial"/>
          <w:sz w:val="24"/>
          <w:szCs w:val="24"/>
        </w:rPr>
        <w:t xml:space="preserve"> was</w:t>
      </w:r>
      <w:r w:rsidR="0088646F">
        <w:rPr>
          <w:rFonts w:ascii="Arial" w:hAnsi="Arial" w:cs="Arial"/>
          <w:sz w:val="24"/>
          <w:szCs w:val="24"/>
        </w:rPr>
        <w:t>:</w:t>
      </w:r>
    </w:p>
    <w:p w14:paraId="22F98063" w14:textId="3E2B0A22" w:rsidR="00301D7C" w:rsidRPr="00301D7C" w:rsidRDefault="0088646F" w:rsidP="00301D7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301D7C">
        <w:rPr>
          <w:rFonts w:ascii="Arial" w:hAnsi="Arial" w:cs="Arial"/>
          <w:b/>
          <w:bCs/>
          <w:sz w:val="24"/>
          <w:szCs w:val="24"/>
        </w:rPr>
        <w:t>1</w:t>
      </w:r>
      <w:r w:rsidR="000F6948">
        <w:rPr>
          <w:rFonts w:ascii="Arial" w:hAnsi="Arial" w:cs="Arial"/>
          <w:b/>
          <w:bCs/>
          <w:sz w:val="24"/>
          <w:szCs w:val="24"/>
        </w:rPr>
        <w:t>2</w:t>
      </w:r>
      <w:r w:rsidRPr="00301D7C">
        <w:rPr>
          <w:rFonts w:ascii="Arial" w:hAnsi="Arial" w:cs="Arial"/>
          <w:sz w:val="24"/>
          <w:szCs w:val="24"/>
        </w:rPr>
        <w:t xml:space="preserve"> patients</w:t>
      </w:r>
      <w:r w:rsidR="00301D7C" w:rsidRPr="00301D7C">
        <w:rPr>
          <w:rFonts w:ascii="Arial" w:hAnsi="Arial" w:cs="Arial"/>
          <w:sz w:val="24"/>
          <w:szCs w:val="24"/>
        </w:rPr>
        <w:t xml:space="preserve"> were reported delayed in Community Hospitals</w:t>
      </w:r>
    </w:p>
    <w:p w14:paraId="326CACA1" w14:textId="77777777" w:rsidR="00BA091C" w:rsidRDefault="000F6948" w:rsidP="00301D7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F6948">
        <w:rPr>
          <w:rFonts w:ascii="Arial" w:hAnsi="Arial" w:cs="Arial"/>
          <w:b/>
          <w:bCs/>
          <w:sz w:val="24"/>
          <w:szCs w:val="24"/>
        </w:rPr>
        <w:t>2</w:t>
      </w:r>
      <w:r w:rsidR="00301D7C" w:rsidRPr="00301D7C">
        <w:rPr>
          <w:rFonts w:ascii="Arial" w:hAnsi="Arial" w:cs="Arial"/>
          <w:sz w:val="24"/>
          <w:szCs w:val="24"/>
        </w:rPr>
        <w:t xml:space="preserve"> patients were reported delayed in Mental Health wards.</w:t>
      </w:r>
    </w:p>
    <w:p w14:paraId="4B35A4E4" w14:textId="56C2ADC5" w:rsidR="00F352C6" w:rsidRPr="00BA091C" w:rsidRDefault="00BA091C" w:rsidP="00BA091C">
      <w:pPr>
        <w:rPr>
          <w:rFonts w:ascii="Arial" w:hAnsi="Arial" w:cs="Arial"/>
          <w:sz w:val="24"/>
          <w:szCs w:val="24"/>
        </w:rPr>
      </w:pPr>
      <w:r w:rsidRPr="0007291B">
        <w:rPr>
          <w:rFonts w:ascii="Arial" w:hAnsi="Arial" w:cs="Arial"/>
          <w:sz w:val="24"/>
          <w:szCs w:val="24"/>
        </w:rPr>
        <w:t>This is significantly below the average number of DTOCs that are normally seen at this time of year.</w:t>
      </w:r>
      <w:r w:rsidR="00F352C6" w:rsidRPr="00BA091C">
        <w:rPr>
          <w:rFonts w:ascii="Arial" w:hAnsi="Arial" w:cs="Arial"/>
          <w:sz w:val="24"/>
          <w:szCs w:val="24"/>
        </w:rPr>
        <w:br w:type="page"/>
      </w:r>
    </w:p>
    <w:p w14:paraId="4DDD5282" w14:textId="37ECCB73" w:rsidR="00EE61B5" w:rsidRPr="00B34C74" w:rsidRDefault="00EE61B5" w:rsidP="00EE61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41F30FFB">
        <w:rPr>
          <w:rFonts w:ascii="Arial" w:hAnsi="Arial" w:cs="Arial"/>
          <w:b/>
          <w:bCs/>
          <w:sz w:val="24"/>
          <w:szCs w:val="24"/>
        </w:rPr>
        <w:lastRenderedPageBreak/>
        <w:t>National indicators</w:t>
      </w:r>
    </w:p>
    <w:p w14:paraId="506319AD" w14:textId="3DD2B98B" w:rsidR="00EE61B5" w:rsidRPr="00B34C74" w:rsidRDefault="00EE61B5" w:rsidP="41F30FF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63F7C931" w14:textId="5FBCB9BF" w:rsidR="00EE61B5" w:rsidRPr="00B34C74" w:rsidRDefault="7071DF7B" w:rsidP="41F30FFB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b/>
          <w:bCs/>
          <w:sz w:val="24"/>
          <w:szCs w:val="24"/>
        </w:rPr>
      </w:pPr>
      <w:r w:rsidRPr="41F30FFB">
        <w:rPr>
          <w:rFonts w:ascii="Arial" w:eastAsia="Arial" w:hAnsi="Arial" w:cs="Arial"/>
          <w:b/>
          <w:bCs/>
          <w:sz w:val="24"/>
          <w:szCs w:val="24"/>
        </w:rPr>
        <w:t xml:space="preserve">98.5% </w:t>
      </w:r>
      <w:r w:rsidRPr="41F30FFB">
        <w:rPr>
          <w:rFonts w:ascii="Arial" w:eastAsia="Arial" w:hAnsi="Arial" w:cs="Arial"/>
          <w:sz w:val="24"/>
          <w:szCs w:val="24"/>
        </w:rPr>
        <w:t>of MIU patients were seen within 4 hours in June</w:t>
      </w:r>
      <w:r w:rsidR="00B6736A">
        <w:rPr>
          <w:rFonts w:ascii="Arial" w:eastAsia="Arial" w:hAnsi="Arial" w:cs="Arial"/>
          <w:sz w:val="24"/>
          <w:szCs w:val="24"/>
        </w:rPr>
        <w:t xml:space="preserve"> </w:t>
      </w:r>
      <w:r w:rsidRPr="41F30FFB">
        <w:rPr>
          <w:rFonts w:ascii="Arial" w:eastAsia="Arial" w:hAnsi="Arial" w:cs="Arial"/>
          <w:sz w:val="24"/>
          <w:szCs w:val="24"/>
        </w:rPr>
        <w:t>2020</w:t>
      </w:r>
      <w:r w:rsidR="0002235E">
        <w:rPr>
          <w:rFonts w:ascii="Arial" w:eastAsia="Arial" w:hAnsi="Arial" w:cs="Arial"/>
          <w:sz w:val="24"/>
          <w:szCs w:val="24"/>
        </w:rPr>
        <w:br/>
      </w:r>
    </w:p>
    <w:p w14:paraId="5D3A43A3" w14:textId="078EDF47" w:rsidR="00EE61B5" w:rsidRPr="00B34C74" w:rsidRDefault="00B6736A" w:rsidP="41F30FFB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79%</w:t>
      </w:r>
      <w:r w:rsidR="7071DF7B" w:rsidRPr="41F30FFB">
        <w:rPr>
          <w:rFonts w:ascii="Arial" w:eastAsia="Arial" w:hAnsi="Arial" w:cs="Arial"/>
          <w:sz w:val="24"/>
          <w:szCs w:val="24"/>
        </w:rPr>
        <w:t xml:space="preserve"> of patients experiencing a first episode of psychosis commenced treatment in 2 weeks</w:t>
      </w:r>
      <w:r w:rsidR="00897578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target </w:t>
      </w:r>
      <w:r w:rsidR="00DB1F4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60% </w:t>
      </w:r>
      <w:r>
        <w:rPr>
          <w:rFonts w:ascii="Arial" w:eastAsia="Arial" w:hAnsi="Arial" w:cs="Arial"/>
          <w:sz w:val="24"/>
          <w:szCs w:val="24"/>
        </w:rPr>
        <w:t>(May data latest available nationally)</w:t>
      </w:r>
      <w:r w:rsidR="00EE61B5">
        <w:br/>
      </w:r>
    </w:p>
    <w:p w14:paraId="39104FBD" w14:textId="539DAFD7" w:rsidR="00EE61B5" w:rsidRPr="00B34C74" w:rsidRDefault="7071DF7B" w:rsidP="41F30FFB">
      <w:pPr>
        <w:pStyle w:val="ListParagraph"/>
        <w:numPr>
          <w:ilvl w:val="0"/>
          <w:numId w:val="2"/>
        </w:numPr>
        <w:spacing w:line="240" w:lineRule="auto"/>
        <w:ind w:left="360"/>
        <w:rPr>
          <w:rFonts w:eastAsiaTheme="minorEastAsia"/>
          <w:b/>
          <w:bCs/>
          <w:sz w:val="24"/>
          <w:szCs w:val="24"/>
        </w:rPr>
      </w:pPr>
      <w:r w:rsidRPr="41F30FFB">
        <w:rPr>
          <w:rFonts w:ascii="Arial" w:eastAsia="Arial" w:hAnsi="Arial" w:cs="Arial"/>
          <w:b/>
          <w:bCs/>
          <w:sz w:val="24"/>
          <w:szCs w:val="24"/>
        </w:rPr>
        <w:t>97.5%</w:t>
      </w:r>
      <w:r w:rsidRPr="41F30FFB">
        <w:rPr>
          <w:rFonts w:ascii="Arial" w:eastAsia="Arial" w:hAnsi="Arial" w:cs="Arial"/>
          <w:sz w:val="24"/>
          <w:szCs w:val="24"/>
        </w:rPr>
        <w:t xml:space="preserve"> patients referred to IAPT started treatment within 6 weeks </w:t>
      </w:r>
      <w:r w:rsidR="00007929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target 75% </w:t>
      </w:r>
      <w:r w:rsidRPr="41F30FFB">
        <w:rPr>
          <w:rFonts w:ascii="Arial" w:eastAsia="Arial" w:hAnsi="Arial" w:cs="Arial"/>
          <w:sz w:val="24"/>
          <w:szCs w:val="24"/>
        </w:rPr>
        <w:t>(April 2020 data latest available nationally)</w:t>
      </w:r>
      <w:r w:rsidR="006F048D">
        <w:rPr>
          <w:rFonts w:ascii="Arial" w:eastAsia="Arial" w:hAnsi="Arial" w:cs="Arial"/>
          <w:sz w:val="24"/>
          <w:szCs w:val="24"/>
        </w:rPr>
        <w:br/>
      </w:r>
    </w:p>
    <w:p w14:paraId="3D035F31" w14:textId="16D615F0" w:rsidR="00EE61B5" w:rsidRPr="006F048D" w:rsidRDefault="00055197" w:rsidP="006F048D">
      <w:pPr>
        <w:pStyle w:val="ListParagraph"/>
        <w:numPr>
          <w:ilvl w:val="0"/>
          <w:numId w:val="2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461</w:t>
      </w:r>
      <w:r w:rsidR="7071DF7B" w:rsidRPr="006F048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071DF7B" w:rsidRPr="006F048D">
        <w:rPr>
          <w:rFonts w:ascii="Arial" w:eastAsia="Arial" w:hAnsi="Arial" w:cs="Arial"/>
          <w:sz w:val="24"/>
          <w:szCs w:val="24"/>
        </w:rPr>
        <w:t xml:space="preserve">OAPS bed days to Acute and PICU wards in </w:t>
      </w:r>
      <w:r w:rsidR="006F048D">
        <w:rPr>
          <w:rFonts w:ascii="Arial" w:eastAsia="Arial" w:hAnsi="Arial" w:cs="Arial"/>
          <w:b/>
          <w:bCs/>
          <w:sz w:val="24"/>
          <w:szCs w:val="24"/>
        </w:rPr>
        <w:t>June</w:t>
      </w:r>
      <w:r w:rsidR="7071DF7B" w:rsidRPr="006F048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071DF7B" w:rsidRPr="006F048D">
        <w:rPr>
          <w:rFonts w:ascii="Arial" w:eastAsia="Arial" w:hAnsi="Arial" w:cs="Arial"/>
          <w:sz w:val="24"/>
          <w:szCs w:val="24"/>
        </w:rPr>
        <w:t>were as follows:</w:t>
      </w:r>
    </w:p>
    <w:p w14:paraId="3265B549" w14:textId="2864D97D" w:rsidR="00EE61B5" w:rsidRPr="00B34C74" w:rsidRDefault="7071DF7B" w:rsidP="41F30FFB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1F30FFB">
        <w:rPr>
          <w:rFonts w:ascii="Arial" w:eastAsia="Arial" w:hAnsi="Arial" w:cs="Arial"/>
          <w:sz w:val="24"/>
          <w:szCs w:val="24"/>
        </w:rPr>
        <w:t>Oxon CCG</w:t>
      </w:r>
      <w:r w:rsidR="007E5127">
        <w:rPr>
          <w:rFonts w:ascii="Arial" w:eastAsia="Arial" w:hAnsi="Arial" w:cs="Arial"/>
          <w:sz w:val="24"/>
          <w:szCs w:val="24"/>
        </w:rPr>
        <w:t xml:space="preserve">: </w:t>
      </w:r>
      <w:r w:rsidR="00564810">
        <w:rPr>
          <w:rFonts w:ascii="Arial" w:eastAsia="Arial" w:hAnsi="Arial" w:cs="Arial"/>
          <w:sz w:val="24"/>
          <w:szCs w:val="24"/>
        </w:rPr>
        <w:t>1</w:t>
      </w:r>
      <w:r w:rsidRPr="41F30FFB">
        <w:rPr>
          <w:rFonts w:ascii="Arial" w:eastAsia="Arial" w:hAnsi="Arial" w:cs="Arial"/>
          <w:b/>
          <w:bCs/>
          <w:sz w:val="24"/>
          <w:szCs w:val="24"/>
        </w:rPr>
        <w:t>4</w:t>
      </w:r>
      <w:r w:rsidRPr="41F30FFB">
        <w:rPr>
          <w:rFonts w:ascii="Arial" w:eastAsia="Arial" w:hAnsi="Arial" w:cs="Arial"/>
          <w:sz w:val="24"/>
          <w:szCs w:val="24"/>
        </w:rPr>
        <w:t xml:space="preserve"> new OAP placements in </w:t>
      </w:r>
      <w:r w:rsidR="00564810">
        <w:rPr>
          <w:rFonts w:ascii="Arial" w:eastAsia="Arial" w:hAnsi="Arial" w:cs="Arial"/>
          <w:sz w:val="24"/>
          <w:szCs w:val="24"/>
        </w:rPr>
        <w:t>June 20</w:t>
      </w:r>
      <w:r w:rsidRPr="41F30FFB">
        <w:rPr>
          <w:rFonts w:ascii="Arial" w:eastAsia="Arial" w:hAnsi="Arial" w:cs="Arial"/>
          <w:sz w:val="24"/>
          <w:szCs w:val="24"/>
        </w:rPr>
        <w:t xml:space="preserve">, and </w:t>
      </w:r>
      <w:r w:rsidR="00564810">
        <w:rPr>
          <w:rFonts w:ascii="Arial" w:eastAsia="Arial" w:hAnsi="Arial" w:cs="Arial"/>
          <w:b/>
          <w:bCs/>
          <w:sz w:val="24"/>
          <w:szCs w:val="24"/>
        </w:rPr>
        <w:t>307</w:t>
      </w:r>
      <w:r w:rsidRPr="41F30FFB">
        <w:rPr>
          <w:rFonts w:ascii="Arial" w:eastAsia="Arial" w:hAnsi="Arial" w:cs="Arial"/>
          <w:sz w:val="24"/>
          <w:szCs w:val="24"/>
        </w:rPr>
        <w:t xml:space="preserve"> bed days in </w:t>
      </w:r>
      <w:r w:rsidR="007E5127">
        <w:rPr>
          <w:rFonts w:ascii="Arial" w:eastAsia="Arial" w:hAnsi="Arial" w:cs="Arial"/>
          <w:sz w:val="24"/>
          <w:szCs w:val="24"/>
        </w:rPr>
        <w:t xml:space="preserve">June </w:t>
      </w:r>
      <w:r w:rsidRPr="41F30FFB">
        <w:rPr>
          <w:rFonts w:ascii="Arial" w:eastAsia="Arial" w:hAnsi="Arial" w:cs="Arial"/>
          <w:sz w:val="24"/>
          <w:szCs w:val="24"/>
        </w:rPr>
        <w:t>20 (against a target of 51)</w:t>
      </w:r>
    </w:p>
    <w:p w14:paraId="222BE5CA" w14:textId="6C65D276" w:rsidR="00EE61B5" w:rsidRPr="00B34C74" w:rsidRDefault="7071DF7B" w:rsidP="41F30FFB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41F30FFB">
        <w:rPr>
          <w:rFonts w:ascii="Arial" w:eastAsia="Arial" w:hAnsi="Arial" w:cs="Arial"/>
          <w:sz w:val="24"/>
          <w:szCs w:val="24"/>
        </w:rPr>
        <w:t>Bucks CCG</w:t>
      </w:r>
      <w:r w:rsidR="007E5127">
        <w:rPr>
          <w:rFonts w:ascii="Arial" w:eastAsia="Arial" w:hAnsi="Arial" w:cs="Arial"/>
          <w:sz w:val="24"/>
          <w:szCs w:val="24"/>
        </w:rPr>
        <w:t xml:space="preserve">: </w:t>
      </w:r>
      <w:r w:rsidR="007E5127">
        <w:rPr>
          <w:rFonts w:ascii="Arial" w:eastAsia="Arial" w:hAnsi="Arial" w:cs="Arial"/>
          <w:b/>
          <w:bCs/>
          <w:sz w:val="24"/>
          <w:szCs w:val="24"/>
        </w:rPr>
        <w:t>7</w:t>
      </w:r>
      <w:r w:rsidRPr="41F30FFB">
        <w:rPr>
          <w:rFonts w:ascii="Arial" w:eastAsia="Arial" w:hAnsi="Arial" w:cs="Arial"/>
          <w:sz w:val="24"/>
          <w:szCs w:val="24"/>
        </w:rPr>
        <w:t xml:space="preserve"> new OAP placements in </w:t>
      </w:r>
      <w:r w:rsidR="007E5127">
        <w:rPr>
          <w:rFonts w:ascii="Arial" w:eastAsia="Arial" w:hAnsi="Arial" w:cs="Arial"/>
          <w:sz w:val="24"/>
          <w:szCs w:val="24"/>
        </w:rPr>
        <w:t>June 20</w:t>
      </w:r>
      <w:r w:rsidRPr="41F30FFB">
        <w:rPr>
          <w:rFonts w:ascii="Arial" w:eastAsia="Arial" w:hAnsi="Arial" w:cs="Arial"/>
          <w:sz w:val="24"/>
          <w:szCs w:val="24"/>
        </w:rPr>
        <w:t xml:space="preserve">, and </w:t>
      </w:r>
      <w:r w:rsidR="007E5127">
        <w:rPr>
          <w:rFonts w:ascii="Arial" w:eastAsia="Arial" w:hAnsi="Arial" w:cs="Arial"/>
          <w:b/>
          <w:bCs/>
          <w:sz w:val="24"/>
          <w:szCs w:val="24"/>
        </w:rPr>
        <w:t xml:space="preserve">154 </w:t>
      </w:r>
      <w:r w:rsidRPr="41F30FFB">
        <w:rPr>
          <w:rFonts w:ascii="Arial" w:eastAsia="Arial" w:hAnsi="Arial" w:cs="Arial"/>
          <w:sz w:val="24"/>
          <w:szCs w:val="24"/>
        </w:rPr>
        <w:t xml:space="preserve">bed days in </w:t>
      </w:r>
      <w:r w:rsidR="00097B51">
        <w:rPr>
          <w:rFonts w:ascii="Arial" w:eastAsia="Arial" w:hAnsi="Arial" w:cs="Arial"/>
          <w:sz w:val="24"/>
          <w:szCs w:val="24"/>
        </w:rPr>
        <w:t>Ju</w:t>
      </w:r>
      <w:r w:rsidR="00196A72">
        <w:rPr>
          <w:rFonts w:ascii="Arial" w:eastAsia="Arial" w:hAnsi="Arial" w:cs="Arial"/>
          <w:sz w:val="24"/>
          <w:szCs w:val="24"/>
        </w:rPr>
        <w:t>n</w:t>
      </w:r>
      <w:r w:rsidR="00097B51">
        <w:rPr>
          <w:rFonts w:ascii="Arial" w:eastAsia="Arial" w:hAnsi="Arial" w:cs="Arial"/>
          <w:sz w:val="24"/>
          <w:szCs w:val="24"/>
        </w:rPr>
        <w:t>e 20</w:t>
      </w:r>
      <w:r w:rsidRPr="41F30FFB">
        <w:rPr>
          <w:rFonts w:ascii="Arial" w:eastAsia="Arial" w:hAnsi="Arial" w:cs="Arial"/>
          <w:sz w:val="24"/>
          <w:szCs w:val="24"/>
        </w:rPr>
        <w:t xml:space="preserve"> (against a target of 57)</w:t>
      </w:r>
    </w:p>
    <w:p w14:paraId="7F88784D" w14:textId="337EC839" w:rsidR="00EE61B5" w:rsidRPr="00B34C74" w:rsidRDefault="7071DF7B" w:rsidP="41F30FFB">
      <w:pPr>
        <w:rPr>
          <w:rFonts w:ascii="Arial" w:eastAsia="Arial" w:hAnsi="Arial" w:cs="Arial"/>
          <w:sz w:val="24"/>
          <w:szCs w:val="24"/>
        </w:rPr>
      </w:pPr>
      <w:r w:rsidRPr="41F30FFB">
        <w:rPr>
          <w:rFonts w:ascii="Arial" w:eastAsia="Arial" w:hAnsi="Arial" w:cs="Arial"/>
          <w:sz w:val="24"/>
          <w:szCs w:val="24"/>
        </w:rPr>
        <w:t>This includes the commissioning of a block of 10 beds as part of the Covid response to ensure adequate bed capacity</w:t>
      </w:r>
      <w:r w:rsidR="0014660B">
        <w:rPr>
          <w:rFonts w:ascii="Arial" w:eastAsia="Arial" w:hAnsi="Arial" w:cs="Arial"/>
          <w:sz w:val="24"/>
          <w:szCs w:val="24"/>
        </w:rPr>
        <w:t xml:space="preserve"> </w:t>
      </w:r>
      <w:r w:rsidR="0014660B" w:rsidRPr="006E27EF">
        <w:rPr>
          <w:rFonts w:ascii="Arial" w:eastAsia="Arial" w:hAnsi="Arial" w:cs="Arial"/>
          <w:sz w:val="24"/>
          <w:szCs w:val="24"/>
        </w:rPr>
        <w:t>given the Trust has set a maximum occupancy of 85% across all inpatient wards.</w:t>
      </w:r>
      <w:r w:rsidRPr="41F30FFB">
        <w:rPr>
          <w:rFonts w:ascii="Arial" w:eastAsia="Arial" w:hAnsi="Arial" w:cs="Arial"/>
          <w:sz w:val="24"/>
          <w:szCs w:val="24"/>
        </w:rPr>
        <w:t xml:space="preserve">  </w:t>
      </w:r>
    </w:p>
    <w:p w14:paraId="73D856E6" w14:textId="343E5E5F" w:rsidR="00EE61B5" w:rsidRDefault="7071DF7B" w:rsidP="41F30FFB">
      <w:pPr>
        <w:rPr>
          <w:rFonts w:ascii="Arial" w:eastAsia="Arial" w:hAnsi="Arial" w:cs="Arial"/>
          <w:sz w:val="24"/>
          <w:szCs w:val="24"/>
        </w:rPr>
      </w:pPr>
      <w:r w:rsidRPr="41F30FFB">
        <w:rPr>
          <w:rFonts w:ascii="Arial" w:eastAsia="Arial" w:hAnsi="Arial" w:cs="Arial"/>
          <w:sz w:val="24"/>
          <w:szCs w:val="24"/>
        </w:rPr>
        <w:t>The information below is based on patients occupying OAP beds in period</w:t>
      </w:r>
    </w:p>
    <w:p w14:paraId="57B72CFD" w14:textId="65F18E25" w:rsidR="00983F9A" w:rsidRPr="00B34C74" w:rsidRDefault="004A6B39" w:rsidP="00983F9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312B66" wp14:editId="6C1E030C">
            <wp:extent cx="4752975" cy="29432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B3E2CF-1CC6-4259-A725-E3EF5EF74E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CFC565" w14:textId="6C35E043" w:rsidR="00EE61B5" w:rsidRPr="00C643E8" w:rsidRDefault="00D530E7" w:rsidP="00C643E8">
      <w:pPr>
        <w:pStyle w:val="ListParagraph"/>
        <w:numPr>
          <w:ilvl w:val="0"/>
          <w:numId w:val="21"/>
        </w:numPr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a national level, </w:t>
      </w:r>
      <w:r w:rsidR="7071DF7B" w:rsidRPr="00C643E8">
        <w:rPr>
          <w:rFonts w:ascii="Arial" w:eastAsia="Arial" w:hAnsi="Arial" w:cs="Arial"/>
          <w:sz w:val="24"/>
          <w:szCs w:val="24"/>
        </w:rPr>
        <w:t>35% of children and young people who need access to MH services should be accessing the Trust CAMHs service.  The Trust is achieving (excludes partners data):</w:t>
      </w:r>
    </w:p>
    <w:p w14:paraId="79A6212A" w14:textId="529E0F85" w:rsidR="00EE61B5" w:rsidRPr="002F282C" w:rsidRDefault="002F282C" w:rsidP="002F282C">
      <w:pPr>
        <w:pStyle w:val="ListParagraph"/>
        <w:numPr>
          <w:ilvl w:val="1"/>
          <w:numId w:val="21"/>
        </w:numPr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45.0</w:t>
      </w:r>
      <w:r w:rsidR="7071DF7B" w:rsidRPr="002F282C">
        <w:rPr>
          <w:rFonts w:ascii="Arial" w:eastAsia="Arial" w:hAnsi="Arial" w:cs="Arial"/>
          <w:sz w:val="24"/>
          <w:szCs w:val="24"/>
        </w:rPr>
        <w:t>% Oxon</w:t>
      </w:r>
    </w:p>
    <w:p w14:paraId="01C4EF64" w14:textId="52568892" w:rsidR="00EE61B5" w:rsidRPr="002F282C" w:rsidRDefault="00E7678C" w:rsidP="002F282C">
      <w:pPr>
        <w:pStyle w:val="ListParagraph"/>
        <w:numPr>
          <w:ilvl w:val="1"/>
          <w:numId w:val="21"/>
        </w:numPr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36.4</w:t>
      </w:r>
      <w:r w:rsidR="7071DF7B" w:rsidRPr="002F282C">
        <w:rPr>
          <w:rFonts w:ascii="Arial" w:eastAsia="Arial" w:hAnsi="Arial" w:cs="Arial"/>
          <w:sz w:val="24"/>
          <w:szCs w:val="24"/>
        </w:rPr>
        <w:t>% Bucks</w:t>
      </w:r>
    </w:p>
    <w:p w14:paraId="424B2335" w14:textId="61894D83" w:rsidR="00EE61B5" w:rsidRPr="0007291B" w:rsidRDefault="00E7678C" w:rsidP="41F30FFB">
      <w:pPr>
        <w:pStyle w:val="ListParagraph"/>
        <w:numPr>
          <w:ilvl w:val="1"/>
          <w:numId w:val="1"/>
        </w:numPr>
        <w:ind w:left="1080"/>
        <w:rPr>
          <w:rFonts w:eastAsiaTheme="minorEastAs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19.3</w:t>
      </w:r>
      <w:r w:rsidR="7071DF7B" w:rsidRPr="41F30FFB">
        <w:rPr>
          <w:rFonts w:ascii="Arial" w:eastAsia="Arial" w:hAnsi="Arial" w:cs="Arial"/>
          <w:sz w:val="24"/>
          <w:szCs w:val="24"/>
        </w:rPr>
        <w:t>% BSW</w:t>
      </w:r>
      <w:r>
        <w:rPr>
          <w:rFonts w:ascii="Arial" w:eastAsia="Arial" w:hAnsi="Arial" w:cs="Arial"/>
          <w:sz w:val="24"/>
          <w:szCs w:val="24"/>
        </w:rPr>
        <w:t xml:space="preserve">: there are known </w:t>
      </w:r>
      <w:r w:rsidR="00750092">
        <w:rPr>
          <w:rFonts w:ascii="Arial" w:eastAsia="Arial" w:hAnsi="Arial" w:cs="Arial"/>
          <w:sz w:val="24"/>
          <w:szCs w:val="24"/>
        </w:rPr>
        <w:t xml:space="preserve">challenges in recording consultations with children within the </w:t>
      </w:r>
      <w:r w:rsidR="000C0313">
        <w:rPr>
          <w:rFonts w:ascii="Arial" w:eastAsia="Arial" w:hAnsi="Arial" w:cs="Arial"/>
          <w:sz w:val="24"/>
          <w:szCs w:val="24"/>
        </w:rPr>
        <w:t>early help teams</w:t>
      </w:r>
      <w:r w:rsidR="00485C65">
        <w:rPr>
          <w:rFonts w:ascii="Arial" w:eastAsia="Arial" w:hAnsi="Arial" w:cs="Arial"/>
          <w:sz w:val="24"/>
          <w:szCs w:val="24"/>
        </w:rPr>
        <w:t xml:space="preserve"> and </w:t>
      </w:r>
      <w:r w:rsidR="00485C65" w:rsidRPr="0007291B">
        <w:rPr>
          <w:rFonts w:ascii="Arial" w:eastAsia="Arial" w:hAnsi="Arial" w:cs="Arial"/>
          <w:sz w:val="24"/>
          <w:szCs w:val="24"/>
        </w:rPr>
        <w:t xml:space="preserve">work is underway to resolve this.  </w:t>
      </w:r>
      <w:r w:rsidR="00C87C0C" w:rsidRPr="0007291B">
        <w:rPr>
          <w:rFonts w:ascii="Arial" w:eastAsia="Arial" w:hAnsi="Arial" w:cs="Arial"/>
          <w:sz w:val="24"/>
          <w:szCs w:val="24"/>
        </w:rPr>
        <w:t>This figure also reflects that the Trust is not commissioned to deliver all services that contribute to the achievement of the 35% target.</w:t>
      </w:r>
    </w:p>
    <w:p w14:paraId="1245C389" w14:textId="6333660F" w:rsidR="00EE61B5" w:rsidRPr="00B34C74" w:rsidRDefault="00EE61B5" w:rsidP="41F30F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ACA99D" w14:textId="5667DF37" w:rsidR="008B2B98" w:rsidRDefault="008B2B98">
      <w:r>
        <w:br w:type="page"/>
      </w:r>
    </w:p>
    <w:p w14:paraId="17A98BA3" w14:textId="57A89984" w:rsidR="0095044E" w:rsidRPr="00B34C74" w:rsidRDefault="0095044E" w:rsidP="00950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4C74">
        <w:rPr>
          <w:rFonts w:ascii="Arial" w:hAnsi="Arial" w:cs="Arial"/>
          <w:b/>
          <w:bCs/>
          <w:sz w:val="24"/>
          <w:szCs w:val="24"/>
        </w:rPr>
        <w:lastRenderedPageBreak/>
        <w:t>Emergency and Urgent Waits</w:t>
      </w:r>
    </w:p>
    <w:p w14:paraId="15C41A3F" w14:textId="77777777" w:rsidR="008B4797" w:rsidRDefault="008B4797" w:rsidP="005B4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57516" w14:textId="1D9FC7E3" w:rsidR="0095044E" w:rsidRPr="00B34C74" w:rsidRDefault="0095044E" w:rsidP="005B45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4C74">
        <w:rPr>
          <w:rFonts w:ascii="Arial" w:hAnsi="Arial" w:cs="Arial"/>
          <w:sz w:val="24"/>
          <w:szCs w:val="24"/>
        </w:rPr>
        <w:t xml:space="preserve">The following information in relation to urgent and emergency waits has been reported to the </w:t>
      </w:r>
      <w:r w:rsidR="00121B67">
        <w:rPr>
          <w:rFonts w:ascii="Arial" w:hAnsi="Arial" w:cs="Arial"/>
          <w:sz w:val="24"/>
          <w:szCs w:val="24"/>
        </w:rPr>
        <w:t>B</w:t>
      </w:r>
      <w:r w:rsidR="00F87277" w:rsidRPr="00B34C74">
        <w:rPr>
          <w:rFonts w:ascii="Arial" w:hAnsi="Arial" w:cs="Arial"/>
          <w:sz w:val="24"/>
          <w:szCs w:val="24"/>
        </w:rPr>
        <w:t>oard</w:t>
      </w:r>
      <w:r w:rsidRPr="00B34C74">
        <w:rPr>
          <w:rFonts w:ascii="Arial" w:hAnsi="Arial" w:cs="Arial"/>
          <w:sz w:val="24"/>
          <w:szCs w:val="24"/>
        </w:rPr>
        <w:t xml:space="preserve"> for information.  This information is reported as per clinical systems without operational input</w:t>
      </w:r>
      <w:r w:rsidR="00B93BE2" w:rsidRPr="00B34C74">
        <w:rPr>
          <w:rFonts w:ascii="Arial" w:hAnsi="Arial" w:cs="Arial"/>
          <w:sz w:val="24"/>
          <w:szCs w:val="24"/>
        </w:rPr>
        <w:t xml:space="preserve"> due to COVID19</w:t>
      </w:r>
      <w:r w:rsidR="00ED08C4" w:rsidRPr="00B34C74">
        <w:rPr>
          <w:rFonts w:ascii="Arial" w:hAnsi="Arial" w:cs="Arial"/>
          <w:sz w:val="24"/>
          <w:szCs w:val="24"/>
        </w:rPr>
        <w:t xml:space="preserve"> and relates to </w:t>
      </w:r>
      <w:r w:rsidR="00B242BF">
        <w:rPr>
          <w:rFonts w:ascii="Arial" w:hAnsi="Arial" w:cs="Arial"/>
          <w:sz w:val="24"/>
          <w:szCs w:val="24"/>
        </w:rPr>
        <w:t>June</w:t>
      </w:r>
      <w:r w:rsidR="00ED08C4" w:rsidRPr="00B34C74">
        <w:rPr>
          <w:rFonts w:ascii="Arial" w:hAnsi="Arial" w:cs="Arial"/>
          <w:sz w:val="24"/>
          <w:szCs w:val="24"/>
        </w:rPr>
        <w:t xml:space="preserve"> 2020</w:t>
      </w:r>
      <w:r w:rsidRPr="00B34C74">
        <w:rPr>
          <w:rFonts w:ascii="Arial" w:hAnsi="Arial" w:cs="Arial"/>
          <w:sz w:val="24"/>
          <w:szCs w:val="24"/>
        </w:rPr>
        <w:t>:</w:t>
      </w:r>
    </w:p>
    <w:p w14:paraId="0A4E91FC" w14:textId="03432407" w:rsidR="0095044E" w:rsidRDefault="0095044E" w:rsidP="005B45A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860"/>
        <w:gridCol w:w="973"/>
        <w:gridCol w:w="4682"/>
        <w:gridCol w:w="840"/>
        <w:gridCol w:w="867"/>
        <w:gridCol w:w="795"/>
        <w:gridCol w:w="896"/>
      </w:tblGrid>
      <w:tr w:rsidR="2B3D18D7" w14:paraId="66BA6153" w14:textId="77777777" w:rsidTr="00AC515B">
        <w:trPr>
          <w:trHeight w:val="30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31B8B2DD" w14:textId="1C456B8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6386F13C" w14:textId="1C2DEA54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Emergency or Urgent KPI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3957DA49" w14:textId="6D59ECB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2B24AD6F" w14:textId="6D1F33E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Jun-20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7F83C961" w14:textId="0140927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proofErr w:type="spellStart"/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vAlign w:val="center"/>
          </w:tcPr>
          <w:p w14:paraId="60DE86A4" w14:textId="32DAD91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Den</w:t>
            </w:r>
          </w:p>
        </w:tc>
      </w:tr>
      <w:tr w:rsidR="2B3D18D7" w14:paraId="227FA026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26A7D" w14:textId="46300F8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53620" w14:textId="342E7CB8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9C5C7" w14:textId="75192914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% of children that are seen within 7 calendar days for urgent CAMHS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C2474" w14:textId="618632B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90B09" w14:textId="3A4DF62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0BBF9" w14:textId="283F29E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7473D" w14:textId="6047D09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5</w:t>
            </w:r>
          </w:p>
        </w:tc>
      </w:tr>
      <w:tr w:rsidR="2B3D18D7" w14:paraId="1B7B19BF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5D31" w14:textId="159D032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BD90F" w14:textId="4867D06E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FCF4" w14:textId="0DB02620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% of CYP that are seen within 4 hours for emergency referrals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AFA15" w14:textId="798E91E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1DF1" w14:textId="54A95F1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Null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1A388" w14:textId="43FC1F6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F4584" w14:textId="58C478B3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16EBE03F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0448D" w14:textId="7D4D9F4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0EC83" w14:textId="1C7F8002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4D7CC" w14:textId="2C9A3C4F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% of children that are seen within 1 week for urgent Eating Disorders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EA0D" w14:textId="6330BE7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0CF3" w14:textId="4550097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Null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92BAC" w14:textId="19D65BF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AEB4" w14:textId="270B44A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7D3D49FC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82C01" w14:textId="3E8E07C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354BD" w14:textId="2269C673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Out of Hours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A5299" w14:textId="23693E23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 of Patients receive a Face to Face Consultation in an IUC Treatment Centre within 2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8B177" w14:textId="56335D8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DF8EA" w14:textId="7A61595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F8497" w14:textId="096B420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645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3B64F" w14:textId="3EDAB0E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645</w:t>
            </w:r>
          </w:p>
        </w:tc>
      </w:tr>
      <w:tr w:rsidR="2B3D18D7" w14:paraId="32F8B355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AD47E" w14:textId="1082B89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9243D" w14:textId="7F3A76C9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Out of Hours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6BE1E" w14:textId="523B22C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 of Patients receive a Face to Face Consultation in an IUC Treatment Centre within 6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1E5CA" w14:textId="7ECBF6F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F1009" w14:textId="52EC219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7FBA3" w14:textId="5B9CA83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440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3DFF0" w14:textId="0D4984D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440</w:t>
            </w:r>
          </w:p>
        </w:tc>
      </w:tr>
      <w:tr w:rsidR="2B3D18D7" w14:paraId="33B7DD78" w14:textId="77777777" w:rsidTr="00AC515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AEC25" w14:textId="3F4B8D0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0A0DA" w14:textId="0AF19AE2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Out of Hours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4B932" w14:textId="50509AA3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 of Patients receive a Face to Face Consultation within their Home Residence within 2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0396D" w14:textId="54E15DC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EF7B8" w14:textId="78EE9E5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81F4" w14:textId="1A7B31C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ECE58" w14:textId="49077FE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355</w:t>
            </w:r>
          </w:p>
        </w:tc>
      </w:tr>
      <w:tr w:rsidR="2B3D18D7" w14:paraId="34A52E73" w14:textId="77777777" w:rsidTr="00AC515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F8239" w14:textId="3772011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4E7BB" w14:textId="4E8EBC64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Out of Hours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19CBD" w14:textId="19C9861E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 of Patients receive a Face to Face Consultation within their Home Residence within 6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9AE89" w14:textId="18B88B6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3AD3F" w14:textId="1AE656D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122B4" w14:textId="2BC951C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229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2DC7" w14:textId="61F2CDD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229</w:t>
            </w:r>
          </w:p>
        </w:tc>
      </w:tr>
      <w:tr w:rsidR="2B3D18D7" w14:paraId="098660B5" w14:textId="77777777" w:rsidTr="00AC515B">
        <w:trPr>
          <w:trHeight w:val="5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85667" w14:textId="7FA6B42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914F1" w14:textId="37405549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SaLT</w:t>
            </w:r>
            <w:proofErr w:type="spellEnd"/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D94F" w14:textId="034CAEEC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% of patients who are classified as “urgent swallow” to be offered assessment within two working days of referral received.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F82EB" w14:textId="6F88A94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3C60" w14:textId="42627BD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827E9" w14:textId="32F33BD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38A89" w14:textId="099B7A5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11</w:t>
            </w:r>
          </w:p>
        </w:tc>
      </w:tr>
      <w:tr w:rsidR="2B3D18D7" w14:paraId="1B002788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AD34D" w14:textId="558C9CA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D7B83" w14:textId="39AEA308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EMU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B0A3F" w14:textId="3004378E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Patients referred are seen, or contacted as appropriate, within 2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C712F" w14:textId="2BBB1ED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5CF61" w14:textId="5DA5C96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CFE85" w14:textId="3EF588D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6136" w14:textId="3F9221E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220</w:t>
            </w:r>
          </w:p>
        </w:tc>
      </w:tr>
      <w:tr w:rsidR="2B3D18D7" w14:paraId="2C10F73D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B3D0" w14:textId="3727F66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694E" w14:textId="69E576F4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RACU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5F389" w14:textId="78228066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Patients referred are seen, or contacted as appropriate, within 48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37F64" w14:textId="6DE3E81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66CAC" w14:textId="2504B53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83DE0" w14:textId="0F12C8E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6CFFF" w14:textId="52A0360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20</w:t>
            </w:r>
          </w:p>
        </w:tc>
      </w:tr>
      <w:tr w:rsidR="2B3D18D7" w14:paraId="481A5B74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EEB8" w14:textId="7DF7F24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5990C" w14:textId="6E031FB4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CHC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F4A7C" w14:textId="205AE6F7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Fast Track application will be processed for eligibility within 2 working days (7 days a week)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1774F" w14:textId="0809A2E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1AD27" w14:textId="3709DFE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502E4" w14:textId="246F9B7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0CE60" w14:textId="292EEF9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80</w:t>
            </w:r>
          </w:p>
        </w:tc>
      </w:tr>
      <w:tr w:rsidR="2B3D18D7" w14:paraId="637FB48F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A31" w14:textId="71995C1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353FB" w14:textId="4B7B6260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EDPS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12122" w14:textId="363CF39E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All patients referred to EDPS are seen within the agreed timeframe (within 90 minutes) - JR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F23" w14:textId="34B6B9E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44BF4" w14:textId="4F41F96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Not reported as manually provided from service not recorded in </w:t>
            </w:r>
            <w:proofErr w:type="spellStart"/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carenotes</w:t>
            </w:r>
            <w:proofErr w:type="spellEnd"/>
          </w:p>
        </w:tc>
      </w:tr>
      <w:tr w:rsidR="2B3D18D7" w14:paraId="039327CE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2D3BB" w14:textId="1A7CC9C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0345E" w14:textId="40D19F76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EDPS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58BE3" w14:textId="1BC764C2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All patients referred to EDPS are seen within the agreed timeframe (within 90 minutes) - Horton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7B6EA" w14:textId="5F4EBAA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2558" w:type="dxa"/>
            <w:gridSpan w:val="3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46E425" w14:textId="77777777" w:rsidR="00F91240" w:rsidRDefault="00F91240" w:rsidP="00AC515B">
            <w:pPr>
              <w:spacing w:before="100" w:beforeAutospacing="1" w:after="100" w:afterAutospacing="1" w:line="240" w:lineRule="auto"/>
            </w:pPr>
          </w:p>
        </w:tc>
      </w:tr>
      <w:tr w:rsidR="2B3D18D7" w14:paraId="5E579875" w14:textId="77777777" w:rsidTr="00AC515B">
        <w:trPr>
          <w:trHeight w:val="5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9C17C" w14:textId="7BA0919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02F7D" w14:textId="3FBF3171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OAMH - </w:t>
            </w: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Ax</w:t>
            </w:r>
            <w:proofErr w:type="spellEnd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 Cluster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B18ED" w14:textId="45E090CF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Urgent referrals will be assessed within 7 days (CMHTs includes all clusters but excludes direct referrals to memory assessment services)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859FA" w14:textId="5C8D445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90%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E0000" w14:textId="2226F23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98%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BA33E" w14:textId="3F1C24E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67B16" w14:textId="6821E903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57</w:t>
            </w:r>
          </w:p>
        </w:tc>
      </w:tr>
      <w:tr w:rsidR="2B3D18D7" w14:paraId="3CED8FA6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75FF5" w14:textId="367B621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84651" w14:textId="72A2617E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OAMH - </w:t>
            </w: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Ax</w:t>
            </w:r>
            <w:proofErr w:type="spellEnd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 Cluster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590CD" w14:textId="2D755149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Emergency referrals will be assessed within 4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ACEDB" w14:textId="1B28396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AA75" w14:textId="07F6F96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2B6C8" w14:textId="13CB898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CEBBF" w14:textId="57F0F58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</w:p>
        </w:tc>
      </w:tr>
      <w:tr w:rsidR="2B3D18D7" w14:paraId="3A7C6B37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0D9A2" w14:textId="3AD73A9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1156" w14:textId="6C22BA3F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Adult CMHTs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AEE24" w14:textId="4936085E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Adult CMHTs - Percentage of referrals categorised as crisis/emergency that are assessed within 4 hours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F9B3D" w14:textId="192196E3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A0887" w14:textId="47EA1E9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9DCCC" w14:textId="0E19663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04A1" w14:textId="1C6E50E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13</w:t>
            </w:r>
          </w:p>
        </w:tc>
      </w:tr>
      <w:tr w:rsidR="2B3D18D7" w14:paraId="4237D066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3A4AA" w14:textId="144B3F1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5E088" w14:textId="4652A950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Adult CMHTs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EF2B7" w14:textId="1AED5655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Adult CMHTs - Percentage of referrals categorised as urgent that are assessed within 7 calendar days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DAC76" w14:textId="5B1F4A0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F4042" w14:textId="015CB65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97%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0759B" w14:textId="6D40E96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345E4" w14:textId="1B297F7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137</w:t>
            </w:r>
          </w:p>
        </w:tc>
      </w:tr>
      <w:tr w:rsidR="2B3D18D7" w14:paraId="4203757A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F99EC" w14:textId="205FCFC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FCB5" w14:textId="7E602A57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Specialist LD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27FFD" w14:textId="6E304C4C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Referrals: % of urgent referrals to Specialist Learning Disability Health Services 48 hour wait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C8F8F" w14:textId="745E7F8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C21FA" w14:textId="7F7D643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Null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822AA" w14:textId="3D15D18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9A57D" w14:textId="7D8A5A4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271D07D2" w14:textId="77777777" w:rsidTr="00AC515B">
        <w:trPr>
          <w:trHeight w:val="5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9B79" w14:textId="6CF71A3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D076C" w14:textId="12C6A18A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Specialist LD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A89C" w14:textId="3161C768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Referrals: % of emergency referrals to Specialist Learning Disability Health Services and people experiencing a significant change in their condition/acute crisis 4 hours wait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D913C" w14:textId="0666503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CF7FE" w14:textId="3DEBA6F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Null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4B3D1" w14:textId="3BA90DB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92FAA" w14:textId="4A3530D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5EB69005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90AF9" w14:textId="5E2C624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>Oxon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032CB2" w14:textId="305A84D8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IAPT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26A4A" w14:textId="466349E1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No emergency or urgent KPIs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8DBD9D" w14:textId="7B54945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0BA34" w14:textId="57A7C2E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A8245" w14:textId="5A09969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A035" w14:textId="1ED397D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</w:tr>
      <w:tr w:rsidR="2B3D18D7" w14:paraId="2642491E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8A3C6" w14:textId="61AE58A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AA193" w14:textId="0C3D3E80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3CE2B" w14:textId="57C0D0F4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% of EMERGENCY referrals assessed within 24 hours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08358" w14:textId="234988A3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ED92" w14:textId="1FECB58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BAFDA" w14:textId="420168F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30231" w14:textId="2B9C102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5CB27E1B" w14:textId="77777777" w:rsidTr="00AC515B">
        <w:trPr>
          <w:trHeight w:val="19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35A25" w14:textId="7DE38B5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5C607" w14:textId="21C9215D" w:rsidR="2B3D18D7" w:rsidRPr="00AC515B" w:rsidRDefault="2B3D18D7" w:rsidP="00AC515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3EAF3" w14:textId="7E047FE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% of URGENT referrals assessed within 7 days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454D6" w14:textId="31BBCD6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1D387" w14:textId="3CED295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  <w:p w14:paraId="315B4F1C" w14:textId="502EC3A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6B801" w14:textId="4F8885A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4E569" w14:textId="7929051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</w:p>
        </w:tc>
      </w:tr>
      <w:tr w:rsidR="2B3D18D7" w14:paraId="186ECE08" w14:textId="77777777" w:rsidTr="00AC515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949FF" w14:textId="7CDC2162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74300" w14:textId="1FD561BE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EBBA2" w14:textId="3206F3C3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140CA" w14:textId="13A29AA6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2769C" w14:textId="2EE98348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6CAE3" w14:textId="188B9AB5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FAB7D" w14:textId="075DF942" w:rsidR="2B3D18D7" w:rsidRDefault="2B3D18D7" w:rsidP="00AC515B">
            <w:pPr>
              <w:spacing w:before="100" w:beforeAutospacing="1" w:after="100" w:afterAutospacing="1" w:line="240" w:lineRule="auto"/>
            </w:pPr>
          </w:p>
        </w:tc>
      </w:tr>
      <w:tr w:rsidR="2B3D18D7" w14:paraId="6AF9CBA0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D0222" w14:textId="060D1C4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FFD82" w14:textId="333BBF0F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Adult &amp; OA Combined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3CBB6" w14:textId="0577EDB3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Urgent referrals to Mental Health Team will be seen within 7 consecutive days for assessment.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08699" w14:textId="62FF5B4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968B7" w14:textId="1FBAD05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99%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EB291" w14:textId="45A3A1F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BFFC3" w14:textId="210F1C6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144</w:t>
            </w:r>
          </w:p>
        </w:tc>
      </w:tr>
      <w:tr w:rsidR="2B3D18D7" w14:paraId="358BE842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3B3C9" w14:textId="791DF07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21CF3" w14:textId="4E908528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Perinatal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843A4" w14:textId="74727B82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Emergency – Face to Face assessment undertaken within 4 hours of receipt of referral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02C07" w14:textId="3161C01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FC2A" w14:textId="7BF9FB7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Null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010F4" w14:textId="0307A075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68B00" w14:textId="6F32D86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0</w:t>
            </w:r>
          </w:p>
        </w:tc>
      </w:tr>
      <w:tr w:rsidR="2B3D18D7" w14:paraId="29AB093E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36EC62" w14:textId="63D7C63C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B7153" w14:textId="6E22A1CC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Perinatal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08F35" w14:textId="130C97AC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Urgent – </w:t>
            </w:r>
            <w:proofErr w:type="gramStart"/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 day</w:t>
            </w:r>
            <w:proofErr w:type="gramEnd"/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assessment target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FCC00" w14:textId="00561A1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E8900" w14:textId="54927268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9AEA8" w14:textId="473D7F1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1B67B" w14:textId="4F3881CB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</w:p>
        </w:tc>
      </w:tr>
      <w:tr w:rsidR="2B3D18D7" w14:paraId="6AEB1331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7FAFF" w14:textId="0CFACCA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68E6C" w14:textId="03CF874B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PIRLS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6E3BB" w14:textId="05C68894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% of referrals where the patient is deemed fit for interview by A/E staff will be seen for assessment within 1 hour of referral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D3308" w14:textId="175E698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80EA1" w14:textId="5652B68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493FD" w14:textId="3570B4BA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DF045" w14:textId="35471D4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111</w:t>
            </w:r>
          </w:p>
        </w:tc>
      </w:tr>
      <w:tr w:rsidR="2B3D18D7" w14:paraId="76711FAE" w14:textId="77777777" w:rsidTr="00AC515B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6C959" w14:textId="042A873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BSW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DDAE6" w14:textId="7304144D" w:rsidR="2B3D18D7" w:rsidRPr="00AC515B" w:rsidRDefault="2B3D18D7" w:rsidP="00AC515B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CAMHs </w:t>
            </w: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BaNES</w:t>
            </w:r>
            <w:proofErr w:type="spellEnd"/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4DC84" w14:textId="075C8959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Percentage of CYP Eating Disorder ONLY having their first appointment - % of Urgent within 1 week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E5250" w14:textId="0C84266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42B2" w14:textId="0E20F64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9810" w14:textId="3C133F4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7FA0F" w14:textId="6205820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</w:p>
        </w:tc>
      </w:tr>
      <w:tr w:rsidR="2B3D18D7" w14:paraId="701DAA3F" w14:textId="77777777" w:rsidTr="00AC515B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7E6BD" w14:textId="354DE3E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BSW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9973E" w14:textId="5A346065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CAMHs </w:t>
            </w: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BaNES</w:t>
            </w:r>
            <w:proofErr w:type="spellEnd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, Swindon &amp; Wilts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9707D" w14:textId="2FD24ED9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Calibri" w:eastAsia="Calibri" w:hAnsi="Calibri" w:cs="Calibri"/>
              </w:rPr>
              <w:t>MH Liaison Service in Acute Hospital.  No. and % of CYP referred from Accident and Emergency Dept., receiving assessment within 4 hours.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DE14F" w14:textId="21249B7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n/a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B1D9C" w14:textId="6D3F25E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6FF5F" w14:textId="7DAC246E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46C12" w14:textId="605EF7E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3</w:t>
            </w:r>
          </w:p>
        </w:tc>
      </w:tr>
      <w:tr w:rsidR="2B3D18D7" w14:paraId="4435116F" w14:textId="77777777" w:rsidTr="00AC515B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C5C6" w14:textId="58CE879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BSW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76220" w14:textId="520A4235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 xml:space="preserve">CAMHs </w:t>
            </w:r>
            <w:proofErr w:type="spellStart"/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BaNES</w:t>
            </w:r>
            <w:proofErr w:type="spellEnd"/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EAA24" w14:textId="71A99D72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Calibri" w:eastAsia="Calibri" w:hAnsi="Calibri" w:cs="Calibri"/>
              </w:rPr>
              <w:t>MH Liaison Service in Acute Hospital.  No. and % of CYP referred from Other sources receiving assessment/advice within 24 hours.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D2E59" w14:textId="7481D03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n/a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A13A9" w14:textId="67FCBF8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54573" w14:textId="2B9845A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4C2A3" w14:textId="23118449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8</w:t>
            </w:r>
          </w:p>
        </w:tc>
      </w:tr>
      <w:tr w:rsidR="2B3D18D7" w14:paraId="01A839A7" w14:textId="77777777" w:rsidTr="00AC515B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0FE98" w14:textId="7656BA96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BSW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8C17A" w14:textId="5BACB711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 Swindon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64FDE" w14:textId="30CD8F9C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Calibri" w:eastAsia="Calibri" w:hAnsi="Calibri" w:cs="Calibri"/>
              </w:rPr>
              <w:t>Percentage of CYP Eating Disorder ONLY having their first appointment - % of Urgent within 1 week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1D55D" w14:textId="74D185F0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A7940" w14:textId="287308DD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C8BC5" w14:textId="336C752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C5B7" w14:textId="6F3BE813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1</w:t>
            </w:r>
          </w:p>
        </w:tc>
      </w:tr>
      <w:tr w:rsidR="2B3D18D7" w14:paraId="70672EAB" w14:textId="77777777" w:rsidTr="00AC515B">
        <w:trPr>
          <w:trHeight w:val="6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6026B" w14:textId="7F44A6D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BSW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FD30F" w14:textId="59A3EAA2" w:rsidR="2B3D18D7" w:rsidRPr="00AC515B" w:rsidRDefault="2B3D18D7" w:rsidP="00AC515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AC515B">
              <w:rPr>
                <w:rFonts w:ascii="Segoe UI" w:eastAsia="Segoe UI" w:hAnsi="Segoe UI" w:cs="Segoe UI"/>
                <w:sz w:val="16"/>
                <w:szCs w:val="16"/>
              </w:rPr>
              <w:t>CAMHs Wiltshire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77642" w14:textId="061A1590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Calibri" w:eastAsia="Calibri" w:hAnsi="Calibri" w:cs="Calibri"/>
              </w:rPr>
              <w:t>Percentage of CYP Eating Disorder ONLY having their first appointment - % of Urgent within 1 week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B940B" w14:textId="14456190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95%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45D3" w14:textId="10308032" w:rsidR="2B3D18D7" w:rsidRDefault="00AC515B" w:rsidP="00AC515B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</w:t>
            </w:r>
            <w:r w:rsidR="2B3D18D7" w:rsidRPr="2B3D18D7">
              <w:rPr>
                <w:rFonts w:ascii="Segoe UI" w:eastAsia="Segoe UI" w:hAnsi="Segoe UI" w:cs="Segoe UI"/>
                <w:sz w:val="20"/>
                <w:szCs w:val="20"/>
              </w:rPr>
              <w:t>00%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01BEB" w14:textId="0D4BFDF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2309D" w14:textId="6C16039F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2</w:t>
            </w:r>
          </w:p>
        </w:tc>
      </w:tr>
      <w:tr w:rsidR="2B3D18D7" w14:paraId="39766775" w14:textId="77777777" w:rsidTr="00AC515B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70B58" w14:textId="2B0B7B34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Bucks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628F20" w14:textId="7D35EB7A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IAPT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DBE4C0" w14:textId="7CC8618B" w:rsidR="2B3D18D7" w:rsidRDefault="2B3D18D7" w:rsidP="00AC515B">
            <w:pPr>
              <w:spacing w:before="100" w:beforeAutospacing="1" w:after="100" w:afterAutospacing="1" w:line="240" w:lineRule="auto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>No emergency or urgent KPIs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D4EBA" w14:textId="2148A52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A1837" w14:textId="1666AC31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2C3D9" w14:textId="5BD32642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044D5" w14:textId="5884F537" w:rsidR="2B3D18D7" w:rsidRDefault="2B3D18D7" w:rsidP="00AC515B">
            <w:pPr>
              <w:spacing w:before="100" w:beforeAutospacing="1" w:after="100" w:afterAutospacing="1" w:line="240" w:lineRule="auto"/>
              <w:jc w:val="center"/>
            </w:pPr>
            <w:r w:rsidRPr="2B3D18D7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5CE55B89" w14:textId="777395E2" w:rsidR="2B3D18D7" w:rsidRDefault="2B3D18D7" w:rsidP="2B3D18D7">
      <w:pPr>
        <w:spacing w:line="257" w:lineRule="auto"/>
        <w:rPr>
          <w:rFonts w:ascii="Calibri" w:eastAsia="Calibri" w:hAnsi="Calibri" w:cs="Calibri"/>
        </w:rPr>
      </w:pPr>
    </w:p>
    <w:p w14:paraId="30DDA628" w14:textId="55C3C22D" w:rsidR="00B12CD8" w:rsidRPr="00B34C74" w:rsidRDefault="00B12CD8" w:rsidP="00FE0936">
      <w:pPr>
        <w:rPr>
          <w:rFonts w:ascii="Arial" w:hAnsi="Arial" w:cs="Arial"/>
          <w:b/>
          <w:bCs/>
          <w:sz w:val="24"/>
          <w:szCs w:val="24"/>
        </w:rPr>
      </w:pPr>
      <w:r w:rsidRPr="00B34C74">
        <w:rPr>
          <w:rFonts w:ascii="Arial" w:hAnsi="Arial" w:cs="Arial"/>
          <w:b/>
          <w:bCs/>
          <w:sz w:val="24"/>
          <w:szCs w:val="24"/>
        </w:rPr>
        <w:t>COVID-19 Headlines</w:t>
      </w:r>
      <w:r w:rsidR="009331D5" w:rsidRPr="00B34C74">
        <w:rPr>
          <w:rFonts w:ascii="Arial" w:hAnsi="Arial" w:cs="Arial"/>
          <w:b/>
          <w:bCs/>
          <w:sz w:val="24"/>
          <w:szCs w:val="24"/>
        </w:rPr>
        <w:t xml:space="preserve"> </w:t>
      </w:r>
      <w:r w:rsidR="009331D5" w:rsidRPr="00B34C74">
        <w:rPr>
          <w:rFonts w:ascii="Arial" w:hAnsi="Arial" w:cs="Arial"/>
          <w:sz w:val="24"/>
          <w:szCs w:val="24"/>
        </w:rPr>
        <w:t>(</w:t>
      </w:r>
      <w:r w:rsidR="00F11AC9" w:rsidRPr="00B34C74">
        <w:rPr>
          <w:rFonts w:ascii="Arial" w:hAnsi="Arial" w:cs="Arial"/>
          <w:sz w:val="24"/>
          <w:szCs w:val="24"/>
        </w:rPr>
        <w:t xml:space="preserve">position </w:t>
      </w:r>
      <w:r w:rsidR="00EE61B5" w:rsidRPr="00B34C74">
        <w:rPr>
          <w:rFonts w:ascii="Arial" w:hAnsi="Arial" w:cs="Arial"/>
          <w:sz w:val="24"/>
          <w:szCs w:val="24"/>
        </w:rPr>
        <w:t xml:space="preserve">at </w:t>
      </w:r>
      <w:r w:rsidR="00DA4539">
        <w:rPr>
          <w:rFonts w:ascii="Arial" w:hAnsi="Arial" w:cs="Arial"/>
          <w:sz w:val="24"/>
          <w:szCs w:val="24"/>
        </w:rPr>
        <w:t>13</w:t>
      </w:r>
      <w:r w:rsidR="00ED08C4" w:rsidRPr="00B34C74">
        <w:rPr>
          <w:rFonts w:ascii="Arial" w:hAnsi="Arial" w:cs="Arial"/>
          <w:sz w:val="24"/>
          <w:szCs w:val="24"/>
        </w:rPr>
        <w:t>/0</w:t>
      </w:r>
      <w:r w:rsidR="00DA4539">
        <w:rPr>
          <w:rFonts w:ascii="Arial" w:hAnsi="Arial" w:cs="Arial"/>
          <w:sz w:val="24"/>
          <w:szCs w:val="24"/>
        </w:rPr>
        <w:t>7</w:t>
      </w:r>
      <w:r w:rsidR="00ED08C4" w:rsidRPr="00B34C74">
        <w:rPr>
          <w:rFonts w:ascii="Arial" w:hAnsi="Arial" w:cs="Arial"/>
          <w:sz w:val="24"/>
          <w:szCs w:val="24"/>
        </w:rPr>
        <w:t>/2020</w:t>
      </w:r>
      <w:r w:rsidR="009331D5" w:rsidRPr="00B34C74">
        <w:rPr>
          <w:rFonts w:ascii="Arial" w:hAnsi="Arial" w:cs="Arial"/>
          <w:sz w:val="24"/>
          <w:szCs w:val="24"/>
        </w:rPr>
        <w:t>)</w:t>
      </w:r>
      <w:r w:rsidR="00261CB1" w:rsidRPr="00B34C74">
        <w:rPr>
          <w:rFonts w:ascii="Arial" w:hAnsi="Arial" w:cs="Arial"/>
          <w:sz w:val="24"/>
          <w:szCs w:val="24"/>
        </w:rPr>
        <w:t xml:space="preserve"> – See COVID19 dashboard for latest information and trends.</w:t>
      </w:r>
      <w:r w:rsidR="00667D26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972"/>
        <w:gridCol w:w="1241"/>
        <w:gridCol w:w="6004"/>
        <w:gridCol w:w="691"/>
        <w:gridCol w:w="1069"/>
      </w:tblGrid>
      <w:tr w:rsidR="00756C1E" w:rsidRPr="00687814" w14:paraId="6EB542E1" w14:textId="559CEDF7" w:rsidTr="00513F1A">
        <w:tc>
          <w:tcPr>
            <w:tcW w:w="972" w:type="dxa"/>
            <w:shd w:val="clear" w:color="auto" w:fill="D9E2F3" w:themeFill="accent1" w:themeFillTint="33"/>
          </w:tcPr>
          <w:p w14:paraId="7BB0C23B" w14:textId="4E665D84" w:rsidR="00756C1E" w:rsidRPr="00687814" w:rsidRDefault="00756C1E" w:rsidP="00ED1F0A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1241" w:type="dxa"/>
            <w:shd w:val="clear" w:color="auto" w:fill="D9E2F3" w:themeFill="accent1" w:themeFillTint="33"/>
          </w:tcPr>
          <w:p w14:paraId="0272B4E7" w14:textId="79743F63" w:rsidR="00756C1E" w:rsidRPr="00687814" w:rsidRDefault="00756C1E" w:rsidP="00ED1F0A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6004" w:type="dxa"/>
            <w:shd w:val="clear" w:color="auto" w:fill="D9E2F3" w:themeFill="accent1" w:themeFillTint="33"/>
          </w:tcPr>
          <w:p w14:paraId="61464C62" w14:textId="056B5A45" w:rsidR="00756C1E" w:rsidRPr="00687814" w:rsidRDefault="00756C1E" w:rsidP="00ED1F0A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91" w:type="dxa"/>
            <w:shd w:val="clear" w:color="auto" w:fill="D9E2F3" w:themeFill="accent1" w:themeFillTint="33"/>
          </w:tcPr>
          <w:p w14:paraId="60ED2CDB" w14:textId="5D6D2E4D" w:rsidR="00756C1E" w:rsidRPr="00687814" w:rsidRDefault="00756C1E" w:rsidP="00ED1F0A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069" w:type="dxa"/>
            <w:shd w:val="clear" w:color="auto" w:fill="D9E2F3" w:themeFill="accent1" w:themeFillTint="33"/>
          </w:tcPr>
          <w:p w14:paraId="6A2399F1" w14:textId="173E0C47" w:rsidR="00513F1A" w:rsidRDefault="00513F1A" w:rsidP="00ED1F0A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Diff. from last month</w:t>
            </w:r>
          </w:p>
        </w:tc>
      </w:tr>
      <w:tr w:rsidR="00756C1E" w:rsidRPr="00687814" w14:paraId="150176A8" w14:textId="5DAE687A" w:rsidTr="00513F1A">
        <w:tc>
          <w:tcPr>
            <w:tcW w:w="972" w:type="dxa"/>
            <w:vMerge w:val="restart"/>
          </w:tcPr>
          <w:p w14:paraId="0947FD59" w14:textId="6B3018FD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Patients</w:t>
            </w:r>
          </w:p>
        </w:tc>
        <w:tc>
          <w:tcPr>
            <w:tcW w:w="1241" w:type="dxa"/>
            <w:vMerge w:val="restart"/>
          </w:tcPr>
          <w:p w14:paraId="081875D4" w14:textId="02D039D9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>Inpatient</w:t>
            </w:r>
          </w:p>
        </w:tc>
        <w:tc>
          <w:tcPr>
            <w:tcW w:w="6004" w:type="dxa"/>
          </w:tcPr>
          <w:p w14:paraId="3AD3A07C" w14:textId="2417BA33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Cumulative n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umber of patients confirmed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COVID-19 positive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</w:tcPr>
          <w:p w14:paraId="6A288F50" w14:textId="217325FC" w:rsidR="00756C1E" w:rsidRPr="005F680C" w:rsidRDefault="00DA4539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179</w:t>
            </w:r>
          </w:p>
        </w:tc>
        <w:tc>
          <w:tcPr>
            <w:tcW w:w="1069" w:type="dxa"/>
          </w:tcPr>
          <w:p w14:paraId="288EA589" w14:textId="46D5485C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+6</w:t>
            </w:r>
          </w:p>
        </w:tc>
      </w:tr>
      <w:tr w:rsidR="00756C1E" w:rsidRPr="00687814" w14:paraId="3436788F" w14:textId="634F54DA" w:rsidTr="00513F1A">
        <w:tc>
          <w:tcPr>
            <w:tcW w:w="972" w:type="dxa"/>
            <w:vMerge/>
          </w:tcPr>
          <w:p w14:paraId="19046958" w14:textId="77777777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1" w:name="_Hlk38456287"/>
          </w:p>
        </w:tc>
        <w:tc>
          <w:tcPr>
            <w:tcW w:w="1241" w:type="dxa"/>
            <w:vMerge/>
          </w:tcPr>
          <w:p w14:paraId="7AB1339C" w14:textId="4754BDDC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7BC2A644" w14:textId="7899FBDE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Cumulative n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umber of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COVID-19 deaths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 in our inpatient settings</w:t>
            </w:r>
          </w:p>
        </w:tc>
        <w:tc>
          <w:tcPr>
            <w:tcW w:w="691" w:type="dxa"/>
          </w:tcPr>
          <w:p w14:paraId="7571705E" w14:textId="7D8D055A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069" w:type="dxa"/>
          </w:tcPr>
          <w:p w14:paraId="319A0E83" w14:textId="3A15A027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+1</w:t>
            </w:r>
          </w:p>
        </w:tc>
      </w:tr>
      <w:tr w:rsidR="00756C1E" w:rsidRPr="00687814" w14:paraId="039179E6" w14:textId="5672E50E" w:rsidTr="00513F1A">
        <w:tc>
          <w:tcPr>
            <w:tcW w:w="972" w:type="dxa"/>
            <w:vMerge/>
          </w:tcPr>
          <w:p w14:paraId="116F7ABC" w14:textId="77777777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3466E920" w14:textId="064EA07C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070037BF" w14:textId="53095235" w:rsidR="00756C1E" w:rsidRPr="00687814" w:rsidRDefault="00756C1E" w:rsidP="00ED1F0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Cumulative number of inpatients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swabbed</w:t>
            </w:r>
          </w:p>
        </w:tc>
        <w:tc>
          <w:tcPr>
            <w:tcW w:w="691" w:type="dxa"/>
          </w:tcPr>
          <w:p w14:paraId="2E674266" w14:textId="41DCEE68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634</w:t>
            </w:r>
          </w:p>
        </w:tc>
        <w:tc>
          <w:tcPr>
            <w:tcW w:w="1069" w:type="dxa"/>
          </w:tcPr>
          <w:p w14:paraId="3BAA520C" w14:textId="27DE952D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+194</w:t>
            </w:r>
          </w:p>
        </w:tc>
      </w:tr>
      <w:bookmarkEnd w:id="1"/>
      <w:tr w:rsidR="00756C1E" w:rsidRPr="00687814" w14:paraId="35EEE277" w14:textId="4CA76F81" w:rsidTr="00513F1A">
        <w:tc>
          <w:tcPr>
            <w:tcW w:w="972" w:type="dxa"/>
            <w:vMerge/>
          </w:tcPr>
          <w:p w14:paraId="5DC2FCC3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46F240E3" w14:textId="46E5177D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>Community</w:t>
            </w:r>
          </w:p>
        </w:tc>
        <w:tc>
          <w:tcPr>
            <w:tcW w:w="6004" w:type="dxa"/>
          </w:tcPr>
          <w:p w14:paraId="56B0238C" w14:textId="0526BA4B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Cumulative n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umber of patients confirmed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COVID-19 positive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</w:tcPr>
          <w:p w14:paraId="3E509EF5" w14:textId="3348BE6D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178</w:t>
            </w:r>
          </w:p>
        </w:tc>
        <w:tc>
          <w:tcPr>
            <w:tcW w:w="1069" w:type="dxa"/>
          </w:tcPr>
          <w:p w14:paraId="48053609" w14:textId="0A9CEC52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+12</w:t>
            </w:r>
          </w:p>
        </w:tc>
      </w:tr>
      <w:tr w:rsidR="00756C1E" w:rsidRPr="00687814" w14:paraId="6804AEC0" w14:textId="38F13AD8" w:rsidTr="00513F1A">
        <w:tc>
          <w:tcPr>
            <w:tcW w:w="972" w:type="dxa"/>
            <w:vMerge/>
          </w:tcPr>
          <w:p w14:paraId="1610B193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61F1E7C7" w14:textId="22363EB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1855ACF0" w14:textId="593DEAE8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Cumulative number of patients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swabbed</w:t>
            </w:r>
          </w:p>
        </w:tc>
        <w:tc>
          <w:tcPr>
            <w:tcW w:w="691" w:type="dxa"/>
          </w:tcPr>
          <w:p w14:paraId="29D83F64" w14:textId="41663C59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258</w:t>
            </w:r>
          </w:p>
        </w:tc>
        <w:tc>
          <w:tcPr>
            <w:tcW w:w="1069" w:type="dxa"/>
          </w:tcPr>
          <w:p w14:paraId="507F35FA" w14:textId="5E89E18D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+27</w:t>
            </w:r>
          </w:p>
        </w:tc>
      </w:tr>
      <w:tr w:rsidR="00756C1E" w:rsidRPr="00687814" w14:paraId="7E562A91" w14:textId="42A4617C" w:rsidTr="00513F1A">
        <w:tc>
          <w:tcPr>
            <w:tcW w:w="972" w:type="dxa"/>
            <w:vMerge/>
          </w:tcPr>
          <w:p w14:paraId="0B33C4EA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3A14648E" w14:textId="0A4B70D1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3B625E0C" w14:textId="7A20989B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Number of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shielded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 patients (12 weeks isolation)</w:t>
            </w:r>
          </w:p>
        </w:tc>
        <w:tc>
          <w:tcPr>
            <w:tcW w:w="691" w:type="dxa"/>
          </w:tcPr>
          <w:p w14:paraId="47BED09E" w14:textId="5DAE816D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2,916</w:t>
            </w:r>
          </w:p>
        </w:tc>
        <w:tc>
          <w:tcPr>
            <w:tcW w:w="1069" w:type="dxa"/>
          </w:tcPr>
          <w:p w14:paraId="1297BE48" w14:textId="749132D3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-67</w:t>
            </w:r>
          </w:p>
        </w:tc>
      </w:tr>
      <w:tr w:rsidR="00756C1E" w:rsidRPr="00687814" w14:paraId="47A50FA3" w14:textId="51976A2B" w:rsidTr="00513F1A">
        <w:tc>
          <w:tcPr>
            <w:tcW w:w="972" w:type="dxa"/>
            <w:vMerge/>
          </w:tcPr>
          <w:p w14:paraId="77F5FE2B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01E8A612" w14:textId="76821895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5537A8A0" w14:textId="6F40BA3A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Number of </w:t>
            </w:r>
            <w:r w:rsidRPr="00687814">
              <w:rPr>
                <w:rFonts w:ascii="Segoe UI" w:hAnsi="Segoe UI" w:cs="Segoe UI"/>
                <w:b/>
                <w:bCs/>
                <w:sz w:val="20"/>
                <w:szCs w:val="20"/>
              </w:rPr>
              <w:t>vulnerable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 patients (as identified by Trust clinicians)</w:t>
            </w:r>
          </w:p>
        </w:tc>
        <w:tc>
          <w:tcPr>
            <w:tcW w:w="691" w:type="dxa"/>
          </w:tcPr>
          <w:p w14:paraId="534CE2C9" w14:textId="16D410C5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4,021</w:t>
            </w:r>
          </w:p>
        </w:tc>
        <w:tc>
          <w:tcPr>
            <w:tcW w:w="1069" w:type="dxa"/>
          </w:tcPr>
          <w:p w14:paraId="7A7F2783" w14:textId="0CE04087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-231</w:t>
            </w:r>
          </w:p>
        </w:tc>
      </w:tr>
      <w:tr w:rsidR="00756C1E" w:rsidRPr="00687814" w14:paraId="42038E4C" w14:textId="5DFD1DDF" w:rsidTr="00513F1A">
        <w:tc>
          <w:tcPr>
            <w:tcW w:w="972" w:type="dxa"/>
            <w:vMerge/>
          </w:tcPr>
          <w:p w14:paraId="4C6A9CA6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34BBA450" w14:textId="7AE55E96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1D9B55A0" w14:textId="4369D5E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Number of patients </w:t>
            </w:r>
            <w:r w:rsidRPr="007F3617">
              <w:rPr>
                <w:rFonts w:ascii="Segoe UI" w:hAnsi="Segoe UI" w:cs="Segoe UI"/>
                <w:b/>
                <w:bCs/>
                <w:sz w:val="20"/>
                <w:szCs w:val="20"/>
              </w:rPr>
              <w:t>symptomatic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>7 day self-isolating</w:t>
            </w:r>
          </w:p>
        </w:tc>
        <w:tc>
          <w:tcPr>
            <w:tcW w:w="691" w:type="dxa"/>
          </w:tcPr>
          <w:p w14:paraId="6B309651" w14:textId="1A0C8454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1069" w:type="dxa"/>
          </w:tcPr>
          <w:p w14:paraId="6139B03D" w14:textId="203A5138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-35</w:t>
            </w:r>
          </w:p>
        </w:tc>
      </w:tr>
      <w:tr w:rsidR="00756C1E" w:rsidRPr="00687814" w14:paraId="078DA9CC" w14:textId="7253B48B" w:rsidTr="00513F1A">
        <w:tc>
          <w:tcPr>
            <w:tcW w:w="972" w:type="dxa"/>
            <w:vMerge/>
          </w:tcPr>
          <w:p w14:paraId="26A8004C" w14:textId="77777777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B5E34EE" w14:textId="28B0EE05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08215AF7" w14:textId="16845BBF" w:rsidR="00756C1E" w:rsidRPr="00687814" w:rsidRDefault="00756C1E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87814">
              <w:rPr>
                <w:rFonts w:ascii="Segoe UI" w:hAnsi="Segoe UI" w:cs="Segoe UI"/>
                <w:sz w:val="20"/>
                <w:szCs w:val="20"/>
              </w:rPr>
              <w:t>Number of patients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with a member of household symptomatic (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 xml:space="preserve">14 day </w:t>
            </w:r>
            <w:r>
              <w:rPr>
                <w:rFonts w:ascii="Segoe UI" w:hAnsi="Segoe UI" w:cs="Segoe UI"/>
                <w:sz w:val="20"/>
                <w:szCs w:val="20"/>
              </w:rPr>
              <w:t>self-</w:t>
            </w:r>
            <w:r w:rsidRPr="00687814">
              <w:rPr>
                <w:rFonts w:ascii="Segoe UI" w:hAnsi="Segoe UI" w:cs="Segoe UI"/>
                <w:sz w:val="20"/>
                <w:szCs w:val="20"/>
              </w:rPr>
              <w:t>isolating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691" w:type="dxa"/>
          </w:tcPr>
          <w:p w14:paraId="02AB7AAB" w14:textId="2F145C68" w:rsidR="00756C1E" w:rsidRPr="005F680C" w:rsidRDefault="00F372B2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146</w:t>
            </w:r>
          </w:p>
        </w:tc>
        <w:tc>
          <w:tcPr>
            <w:tcW w:w="1069" w:type="dxa"/>
          </w:tcPr>
          <w:p w14:paraId="6A85672A" w14:textId="77A0A1B6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-23</w:t>
            </w:r>
          </w:p>
        </w:tc>
      </w:tr>
      <w:tr w:rsidR="00A738BD" w:rsidRPr="00687814" w14:paraId="03D598F5" w14:textId="7DAFA2A4" w:rsidTr="00513F1A">
        <w:tc>
          <w:tcPr>
            <w:tcW w:w="972" w:type="dxa"/>
            <w:vMerge w:val="restart"/>
          </w:tcPr>
          <w:p w14:paraId="0809384A" w14:textId="63F1AC2C" w:rsidR="00A738BD" w:rsidRPr="00687814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Staff</w:t>
            </w:r>
          </w:p>
        </w:tc>
        <w:tc>
          <w:tcPr>
            <w:tcW w:w="1241" w:type="dxa"/>
            <w:vMerge w:val="restart"/>
          </w:tcPr>
          <w:p w14:paraId="45272BB4" w14:textId="5EE62BBF" w:rsidR="00A738BD" w:rsidRPr="00687814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Trust-wide</w:t>
            </w:r>
          </w:p>
        </w:tc>
        <w:tc>
          <w:tcPr>
            <w:tcW w:w="6004" w:type="dxa"/>
          </w:tcPr>
          <w:p w14:paraId="0AC47F6C" w14:textId="7D855454" w:rsidR="00A738BD" w:rsidRPr="00687814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Number of staff </w:t>
            </w:r>
            <w:r w:rsidRPr="00A738BD">
              <w:rPr>
                <w:rFonts w:ascii="Segoe UI" w:hAnsi="Segoe UI" w:cs="Segoe UI"/>
                <w:b/>
                <w:bCs/>
                <w:sz w:val="20"/>
                <w:szCs w:val="20"/>
              </w:rPr>
              <w:t>symptomatic and/or COVID19 positive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off sick</w:t>
            </w:r>
          </w:p>
        </w:tc>
        <w:tc>
          <w:tcPr>
            <w:tcW w:w="691" w:type="dxa"/>
          </w:tcPr>
          <w:p w14:paraId="2F58FC58" w14:textId="7BF8BC6A" w:rsidR="00A738BD" w:rsidRPr="005F680C" w:rsidRDefault="005F680C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069" w:type="dxa"/>
          </w:tcPr>
          <w:p w14:paraId="52656E22" w14:textId="26855F8B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+3</w:t>
            </w:r>
          </w:p>
        </w:tc>
      </w:tr>
      <w:tr w:rsidR="00A738BD" w:rsidRPr="00687814" w14:paraId="0F279433" w14:textId="0A09C9DB" w:rsidTr="00513F1A">
        <w:tc>
          <w:tcPr>
            <w:tcW w:w="972" w:type="dxa"/>
            <w:vMerge/>
          </w:tcPr>
          <w:p w14:paraId="3F4BBAC1" w14:textId="77777777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57485E2C" w14:textId="77777777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0E519295" w14:textId="49E466B8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Number of staff </w:t>
            </w:r>
            <w:r w:rsidRPr="00A738BD">
              <w:rPr>
                <w:rFonts w:ascii="Segoe UI" w:hAnsi="Segoe UI" w:cs="Segoe UI"/>
                <w:b/>
                <w:bCs/>
                <w:sz w:val="20"/>
                <w:szCs w:val="20"/>
              </w:rPr>
              <w:t>self-isolating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special leave – </w:t>
            </w:r>
            <w:r w:rsidRPr="00A738BD">
              <w:rPr>
                <w:rFonts w:ascii="Segoe UI" w:hAnsi="Segoe UI" w:cs="Segoe UI"/>
                <w:b/>
                <w:bCs/>
                <w:sz w:val="20"/>
                <w:szCs w:val="20"/>
              </w:rPr>
              <w:t>not working</w:t>
            </w:r>
          </w:p>
        </w:tc>
        <w:tc>
          <w:tcPr>
            <w:tcW w:w="691" w:type="dxa"/>
          </w:tcPr>
          <w:p w14:paraId="6A711460" w14:textId="78BD4B25" w:rsidR="00A738BD" w:rsidRPr="005F680C" w:rsidRDefault="005F680C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1069" w:type="dxa"/>
          </w:tcPr>
          <w:p w14:paraId="3D48FD3D" w14:textId="5BA9AAFB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-9</w:t>
            </w:r>
          </w:p>
        </w:tc>
      </w:tr>
      <w:tr w:rsidR="00A738BD" w:rsidRPr="00687814" w14:paraId="7362A17A" w14:textId="4D6C5633" w:rsidTr="00513F1A">
        <w:tc>
          <w:tcPr>
            <w:tcW w:w="972" w:type="dxa"/>
            <w:vMerge/>
          </w:tcPr>
          <w:p w14:paraId="1F1F9EEA" w14:textId="77777777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B2036D9" w14:textId="77777777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4" w:type="dxa"/>
          </w:tcPr>
          <w:p w14:paraId="3DE4F361" w14:textId="1712FE8E" w:rsidR="00A738BD" w:rsidRDefault="00A738BD" w:rsidP="00764E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Number of staff </w:t>
            </w:r>
            <w:r w:rsidRPr="00A738BD">
              <w:rPr>
                <w:rFonts w:ascii="Segoe UI" w:hAnsi="Segoe UI" w:cs="Segoe UI"/>
                <w:b/>
                <w:bCs/>
                <w:sz w:val="20"/>
                <w:szCs w:val="20"/>
              </w:rPr>
              <w:t>self-isolating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A738BD">
              <w:rPr>
                <w:rFonts w:ascii="Segoe UI" w:hAnsi="Segoe UI" w:cs="Segoe UI"/>
                <w:b/>
                <w:bCs/>
                <w:sz w:val="20"/>
                <w:szCs w:val="20"/>
              </w:rPr>
              <w:t>working from home</w:t>
            </w:r>
          </w:p>
        </w:tc>
        <w:tc>
          <w:tcPr>
            <w:tcW w:w="691" w:type="dxa"/>
          </w:tcPr>
          <w:p w14:paraId="1359B432" w14:textId="10F8B298" w:rsidR="00A738BD" w:rsidRPr="005F680C" w:rsidRDefault="005F680C" w:rsidP="00CF7AED">
            <w:pPr>
              <w:rPr>
                <w:rFonts w:ascii="Segoe UI" w:hAnsi="Segoe UI" w:cs="Segoe UI"/>
                <w:sz w:val="20"/>
                <w:szCs w:val="20"/>
              </w:rPr>
            </w:pPr>
            <w:r w:rsidRPr="005F680C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14:paraId="3E15232C" w14:textId="7A4DD209" w:rsidR="00513F1A" w:rsidRDefault="00513F1A" w:rsidP="00E668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-53</w:t>
            </w:r>
          </w:p>
        </w:tc>
      </w:tr>
    </w:tbl>
    <w:p w14:paraId="7DB1704D" w14:textId="77777777" w:rsidR="007E75FA" w:rsidRDefault="007E75FA" w:rsidP="00A738BD">
      <w:pPr>
        <w:jc w:val="right"/>
        <w:rPr>
          <w:rFonts w:ascii="Segoe UI" w:hAnsi="Segoe UI" w:cs="Segoe UI"/>
          <w:b/>
          <w:bCs/>
          <w:sz w:val="20"/>
          <w:szCs w:val="20"/>
        </w:rPr>
      </w:pPr>
    </w:p>
    <w:p w14:paraId="5FC2DE90" w14:textId="1B24C974" w:rsidR="007E75FA" w:rsidRPr="00667D26" w:rsidRDefault="00AC515B" w:rsidP="277E09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74CA11CF" w:rsidRPr="00667D26">
        <w:rPr>
          <w:rFonts w:ascii="Arial" w:hAnsi="Arial" w:cs="Arial"/>
          <w:b/>
          <w:bCs/>
          <w:sz w:val="24"/>
          <w:szCs w:val="24"/>
        </w:rPr>
        <w:lastRenderedPageBreak/>
        <w:t>Service Change</w:t>
      </w:r>
      <w:r w:rsidR="7A7DAC6D" w:rsidRPr="00667D26">
        <w:rPr>
          <w:rFonts w:ascii="Arial" w:hAnsi="Arial" w:cs="Arial"/>
          <w:b/>
          <w:bCs/>
          <w:sz w:val="24"/>
          <w:szCs w:val="24"/>
        </w:rPr>
        <w:t xml:space="preserve"> Headlines</w:t>
      </w:r>
      <w:r w:rsidR="7A90ADB9" w:rsidRPr="00667D26">
        <w:rPr>
          <w:rFonts w:ascii="Arial" w:hAnsi="Arial" w:cs="Arial"/>
          <w:b/>
          <w:bCs/>
          <w:sz w:val="24"/>
          <w:szCs w:val="24"/>
        </w:rPr>
        <w:t xml:space="preserve"> – For Information</w:t>
      </w:r>
    </w:p>
    <w:p w14:paraId="33A1890E" w14:textId="213122B6" w:rsidR="3075A198" w:rsidRPr="00667D26" w:rsidRDefault="3075A198" w:rsidP="277E09B6">
      <w:pPr>
        <w:rPr>
          <w:rFonts w:ascii="Arial" w:hAnsi="Arial" w:cs="Arial"/>
          <w:b/>
          <w:bCs/>
          <w:sz w:val="24"/>
          <w:szCs w:val="24"/>
        </w:rPr>
      </w:pPr>
      <w:r w:rsidRPr="00667D26">
        <w:rPr>
          <w:rFonts w:ascii="Arial" w:hAnsi="Arial" w:cs="Arial"/>
          <w:b/>
          <w:bCs/>
          <w:sz w:val="24"/>
          <w:szCs w:val="24"/>
        </w:rPr>
        <w:t>COVID19 Staff Testing</w:t>
      </w:r>
    </w:p>
    <w:p w14:paraId="204617E3" w14:textId="52F38AF4" w:rsidR="3075A198" w:rsidRPr="00667D26" w:rsidRDefault="3075A198" w:rsidP="7692A6EC">
      <w:pPr>
        <w:rPr>
          <w:rFonts w:ascii="Arial" w:eastAsia="Calibri" w:hAnsi="Arial" w:cs="Arial"/>
          <w:sz w:val="24"/>
          <w:szCs w:val="24"/>
        </w:rPr>
      </w:pPr>
      <w:r w:rsidRPr="00667D26">
        <w:rPr>
          <w:rFonts w:ascii="Arial" w:eastAsia="Calibri" w:hAnsi="Arial" w:cs="Arial"/>
          <w:sz w:val="24"/>
          <w:szCs w:val="24"/>
        </w:rPr>
        <w:t>All staff across the Trust have now been offered an initial COVID swab testing and antibody blood test. Retesting will commence from 20</w:t>
      </w:r>
      <w:r w:rsidRPr="00667D26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667D26">
        <w:rPr>
          <w:rFonts w:ascii="Arial" w:eastAsia="Calibri" w:hAnsi="Arial" w:cs="Arial"/>
          <w:sz w:val="24"/>
          <w:szCs w:val="24"/>
        </w:rPr>
        <w:t xml:space="preserve"> July and it is advised that staff have a fortnightly swab and 6 weekly blood </w:t>
      </w:r>
      <w:proofErr w:type="gramStart"/>
      <w:r w:rsidRPr="00667D26">
        <w:rPr>
          <w:rFonts w:ascii="Arial" w:eastAsia="Calibri" w:hAnsi="Arial" w:cs="Arial"/>
          <w:sz w:val="24"/>
          <w:szCs w:val="24"/>
        </w:rPr>
        <w:t>test</w:t>
      </w:r>
      <w:proofErr w:type="gramEnd"/>
      <w:r w:rsidRPr="00667D26">
        <w:rPr>
          <w:rFonts w:ascii="Arial" w:eastAsia="Calibri" w:hAnsi="Arial" w:cs="Arial"/>
          <w:sz w:val="24"/>
          <w:szCs w:val="24"/>
        </w:rPr>
        <w:t xml:space="preserve"> (regardless of swab results). In line with other trusts we have assumed that 80% of staff will request the testing and we are currently 83% complete in terms of delivering against this. There are further clinics taking place over the next week to ensure we meet the deadline given by NHSE.</w:t>
      </w:r>
    </w:p>
    <w:p w14:paraId="4308D7A5" w14:textId="4A603DEA" w:rsidR="00D12543" w:rsidRPr="00667D26" w:rsidRDefault="00D12543" w:rsidP="00D12543">
      <w:pPr>
        <w:rPr>
          <w:rFonts w:ascii="Arial" w:eastAsia="Calibri" w:hAnsi="Arial" w:cs="Arial"/>
          <w:b/>
          <w:bCs/>
          <w:sz w:val="24"/>
          <w:szCs w:val="24"/>
        </w:rPr>
      </w:pPr>
      <w:r w:rsidRPr="00667D26">
        <w:rPr>
          <w:rFonts w:ascii="Arial" w:eastAsia="Calibri" w:hAnsi="Arial" w:cs="Arial"/>
          <w:b/>
          <w:bCs/>
          <w:sz w:val="24"/>
          <w:szCs w:val="24"/>
        </w:rPr>
        <w:t xml:space="preserve">Ageing Well </w:t>
      </w:r>
    </w:p>
    <w:p w14:paraId="7A5369DF" w14:textId="11C00754" w:rsidR="00D12543" w:rsidRPr="00667D26" w:rsidRDefault="00203C2B" w:rsidP="00916411">
      <w:pPr>
        <w:rPr>
          <w:rFonts w:ascii="Arial" w:eastAsia="Calibri" w:hAnsi="Arial" w:cs="Arial"/>
          <w:sz w:val="24"/>
          <w:szCs w:val="24"/>
        </w:rPr>
      </w:pPr>
      <w:r w:rsidRPr="00667D26">
        <w:rPr>
          <w:rFonts w:ascii="Arial" w:eastAsia="Calibri" w:hAnsi="Arial" w:cs="Arial"/>
          <w:sz w:val="24"/>
          <w:szCs w:val="24"/>
        </w:rPr>
        <w:t>As part of the</w:t>
      </w:r>
      <w:r w:rsidR="00D12543" w:rsidRPr="00667D26">
        <w:rPr>
          <w:rFonts w:ascii="Arial" w:eastAsia="Calibri" w:hAnsi="Arial" w:cs="Arial"/>
          <w:sz w:val="24"/>
          <w:szCs w:val="24"/>
        </w:rPr>
        <w:t xml:space="preserve"> Ageing Well project</w:t>
      </w:r>
      <w:r w:rsidR="00916411" w:rsidRPr="00667D26">
        <w:rPr>
          <w:rFonts w:ascii="Arial" w:eastAsia="Calibri" w:hAnsi="Arial" w:cs="Arial"/>
          <w:sz w:val="24"/>
          <w:szCs w:val="24"/>
        </w:rPr>
        <w:t xml:space="preserve"> and linked to recovery, there is a </w:t>
      </w:r>
      <w:proofErr w:type="gramStart"/>
      <w:r w:rsidR="00916411" w:rsidRPr="00667D26">
        <w:rPr>
          <w:rFonts w:ascii="Arial" w:eastAsia="Calibri" w:hAnsi="Arial" w:cs="Arial"/>
          <w:sz w:val="24"/>
          <w:szCs w:val="24"/>
        </w:rPr>
        <w:t>particular focus</w:t>
      </w:r>
      <w:proofErr w:type="gramEnd"/>
      <w:r w:rsidR="00916411" w:rsidRPr="00667D26">
        <w:rPr>
          <w:rFonts w:ascii="Arial" w:eastAsia="Calibri" w:hAnsi="Arial" w:cs="Arial"/>
          <w:sz w:val="24"/>
          <w:szCs w:val="24"/>
        </w:rPr>
        <w:t xml:space="preserve"> on</w:t>
      </w:r>
      <w:r w:rsidR="00916411" w:rsidRPr="00667D26">
        <w:rPr>
          <w:rFonts w:ascii="Arial" w:hAnsi="Arial" w:cs="Arial"/>
          <w:b/>
          <w:bCs/>
          <w:sz w:val="24"/>
          <w:szCs w:val="24"/>
        </w:rPr>
        <w:t xml:space="preserve"> </w:t>
      </w:r>
      <w:r w:rsidR="00D12543" w:rsidRPr="00667D26">
        <w:rPr>
          <w:rFonts w:ascii="Arial" w:hAnsi="Arial" w:cs="Arial"/>
          <w:b/>
          <w:bCs/>
          <w:sz w:val="24"/>
          <w:szCs w:val="24"/>
        </w:rPr>
        <w:t>‘Getting Oxfordshire Back on Its Feet’</w:t>
      </w:r>
      <w:r w:rsidR="00D03BF3" w:rsidRPr="00667D26">
        <w:rPr>
          <w:rFonts w:ascii="Arial" w:hAnsi="Arial" w:cs="Arial"/>
          <w:b/>
          <w:bCs/>
          <w:sz w:val="24"/>
          <w:szCs w:val="24"/>
        </w:rPr>
        <w:t xml:space="preserve"> </w:t>
      </w:r>
      <w:r w:rsidR="00D03BF3" w:rsidRPr="00667D26">
        <w:rPr>
          <w:rFonts w:ascii="Arial" w:hAnsi="Arial" w:cs="Arial"/>
          <w:sz w:val="24"/>
          <w:szCs w:val="24"/>
        </w:rPr>
        <w:t>that will be developed over the coming months</w:t>
      </w:r>
      <w:r w:rsidR="00916411" w:rsidRPr="00667D26">
        <w:rPr>
          <w:rFonts w:ascii="Arial" w:eastAsia="Calibri" w:hAnsi="Arial" w:cs="Arial"/>
          <w:sz w:val="24"/>
          <w:szCs w:val="24"/>
        </w:rPr>
        <w:t>.  This focuses</w:t>
      </w:r>
      <w:r w:rsidR="00916411" w:rsidRPr="00667D26">
        <w:rPr>
          <w:rFonts w:ascii="Arial" w:hAnsi="Arial" w:cs="Arial"/>
          <w:sz w:val="24"/>
          <w:szCs w:val="24"/>
        </w:rPr>
        <w:t xml:space="preserve"> on supporting</w:t>
      </w:r>
      <w:r w:rsidR="00D12543" w:rsidRPr="00667D26">
        <w:rPr>
          <w:rFonts w:ascii="Arial" w:hAnsi="Arial" w:cs="Arial"/>
          <w:sz w:val="24"/>
          <w:szCs w:val="24"/>
        </w:rPr>
        <w:t xml:space="preserve"> two cohorts of patients: </w:t>
      </w:r>
    </w:p>
    <w:p w14:paraId="540A746B" w14:textId="112F14B4" w:rsidR="00D12543" w:rsidRDefault="00D12543" w:rsidP="00141D23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667D26">
        <w:rPr>
          <w:rFonts w:ascii="Arial" w:hAnsi="Arial" w:cs="Arial"/>
          <w:sz w:val="24"/>
          <w:szCs w:val="24"/>
        </w:rPr>
        <w:t xml:space="preserve">Patients with post </w:t>
      </w:r>
      <w:proofErr w:type="spellStart"/>
      <w:r w:rsidRPr="00667D26">
        <w:rPr>
          <w:rFonts w:ascii="Arial" w:hAnsi="Arial" w:cs="Arial"/>
          <w:sz w:val="24"/>
          <w:szCs w:val="24"/>
        </w:rPr>
        <w:t>covid</w:t>
      </w:r>
      <w:proofErr w:type="spellEnd"/>
      <w:r w:rsidRPr="00667D26">
        <w:rPr>
          <w:rFonts w:ascii="Arial" w:hAnsi="Arial" w:cs="Arial"/>
          <w:sz w:val="24"/>
          <w:szCs w:val="24"/>
        </w:rPr>
        <w:t xml:space="preserve"> complications. Many patients will have an identified rehabilitation need, usually as a result of muscle weakness, </w:t>
      </w:r>
      <w:r w:rsidRPr="0007291B">
        <w:rPr>
          <w:rFonts w:ascii="Arial" w:hAnsi="Arial" w:cs="Arial"/>
          <w:sz w:val="24"/>
          <w:szCs w:val="24"/>
        </w:rPr>
        <w:t xml:space="preserve">neurological </w:t>
      </w:r>
      <w:r w:rsidRPr="007A5D6B">
        <w:rPr>
          <w:rFonts w:ascii="Arial" w:hAnsi="Arial" w:cs="Arial"/>
          <w:sz w:val="24"/>
          <w:szCs w:val="24"/>
        </w:rPr>
        <w:t>insult</w:t>
      </w:r>
      <w:r w:rsidRPr="00667D26">
        <w:rPr>
          <w:rFonts w:ascii="Arial" w:hAnsi="Arial" w:cs="Arial"/>
          <w:sz w:val="24"/>
          <w:szCs w:val="24"/>
        </w:rPr>
        <w:t xml:space="preserve"> or general deconditioning. ITU patients who recover from COVID 19 may have a specific ICU acquired weakness and will need a strengthening programme to restore maximum function and recovery. Specific attention will also need to be given to cardiorespiratory function, fatigue and endurance during recovery. </w:t>
      </w:r>
    </w:p>
    <w:p w14:paraId="272278BC" w14:textId="77777777" w:rsidR="006A48B6" w:rsidRPr="00667D26" w:rsidRDefault="006A48B6" w:rsidP="006A48B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0211480" w14:textId="77777777" w:rsidR="00D12543" w:rsidRPr="00667D26" w:rsidRDefault="00D12543" w:rsidP="00D12543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667D26">
        <w:rPr>
          <w:rFonts w:ascii="Arial" w:hAnsi="Arial" w:cs="Arial"/>
          <w:sz w:val="24"/>
          <w:szCs w:val="24"/>
        </w:rPr>
        <w:t>Stepping out of shielding. The resulting physical and mental health of the population living with frailty post isolation will also require attention to restore confidence and functional decline.</w:t>
      </w:r>
    </w:p>
    <w:p w14:paraId="3A58DD91" w14:textId="20006069" w:rsidR="00D12543" w:rsidRPr="00667D26" w:rsidRDefault="00732BF6" w:rsidP="405E1286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667D26">
        <w:rPr>
          <w:rFonts w:ascii="Arial" w:eastAsiaTheme="minorEastAsia" w:hAnsi="Arial" w:cs="Arial"/>
          <w:b/>
          <w:bCs/>
          <w:sz w:val="24"/>
          <w:szCs w:val="24"/>
        </w:rPr>
        <w:t xml:space="preserve">Crisis Resolution Home Treatment Team </w:t>
      </w:r>
      <w:r w:rsidR="5A03BE9D" w:rsidRPr="00667D26">
        <w:rPr>
          <w:rFonts w:ascii="Arial" w:eastAsiaTheme="minorEastAsia" w:hAnsi="Arial" w:cs="Arial"/>
          <w:b/>
          <w:bCs/>
          <w:sz w:val="24"/>
          <w:szCs w:val="24"/>
        </w:rPr>
        <w:t>- Adult &amp; CYP</w:t>
      </w:r>
    </w:p>
    <w:p w14:paraId="63175518" w14:textId="736B27F4" w:rsidR="49C1D9AB" w:rsidRPr="00667D26" w:rsidRDefault="49C1D9AB" w:rsidP="405E1286">
      <w:pPr>
        <w:rPr>
          <w:rFonts w:ascii="Arial" w:eastAsiaTheme="minorEastAsia" w:hAnsi="Arial" w:cs="Arial"/>
          <w:sz w:val="24"/>
          <w:szCs w:val="24"/>
        </w:rPr>
      </w:pPr>
      <w:r w:rsidRPr="005C4B54">
        <w:rPr>
          <w:rFonts w:ascii="Arial" w:eastAsiaTheme="minorEastAsia" w:hAnsi="Arial" w:cs="Arial"/>
          <w:sz w:val="24"/>
          <w:szCs w:val="24"/>
        </w:rPr>
        <w:t>Crisis Resolution Home Treatment Team</w:t>
      </w:r>
      <w:r w:rsidRPr="00667D26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667D26">
        <w:rPr>
          <w:rFonts w:ascii="Arial" w:eastAsiaTheme="minorEastAsia" w:hAnsi="Arial" w:cs="Arial"/>
          <w:sz w:val="24"/>
          <w:szCs w:val="24"/>
        </w:rPr>
        <w:t xml:space="preserve">(CRHTT) is a service for those individuals whose mental health is having a significant impact on their day to day life and individuals at risk of needing admission to hospital and/ or those who would require intensive support on discharge from hospital. </w:t>
      </w:r>
      <w:r w:rsidR="00DA274E" w:rsidRPr="00667D26">
        <w:rPr>
          <w:rFonts w:ascii="Arial" w:eastAsiaTheme="minorEastAsia" w:hAnsi="Arial" w:cs="Arial"/>
          <w:sz w:val="24"/>
          <w:szCs w:val="24"/>
        </w:rPr>
        <w:t xml:space="preserve">The Adult provision went live </w:t>
      </w:r>
      <w:r w:rsidR="00E700AA" w:rsidRPr="00667D26">
        <w:rPr>
          <w:rFonts w:ascii="Arial" w:eastAsiaTheme="minorEastAsia" w:hAnsi="Arial" w:cs="Arial"/>
          <w:sz w:val="24"/>
          <w:szCs w:val="24"/>
        </w:rPr>
        <w:t>early July 2020.</w:t>
      </w:r>
      <w:r w:rsidR="00BC2EFA" w:rsidRPr="00667D26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FEA2ECF" w14:textId="022919DE" w:rsidR="6B8767B9" w:rsidRPr="00667D26" w:rsidRDefault="6B8767B9" w:rsidP="405E1286">
      <w:pPr>
        <w:rPr>
          <w:rFonts w:ascii="Arial" w:eastAsiaTheme="minorEastAsia" w:hAnsi="Arial" w:cs="Arial"/>
          <w:sz w:val="24"/>
          <w:szCs w:val="24"/>
        </w:rPr>
      </w:pPr>
      <w:r w:rsidRPr="00667D26">
        <w:rPr>
          <w:rFonts w:ascii="Arial" w:eastAsiaTheme="minorEastAsia" w:hAnsi="Arial" w:cs="Arial"/>
          <w:sz w:val="24"/>
          <w:szCs w:val="24"/>
        </w:rPr>
        <w:t xml:space="preserve">The CYP CRHTT </w:t>
      </w:r>
      <w:r w:rsidR="00E700AA" w:rsidRPr="00667D26">
        <w:rPr>
          <w:rFonts w:ascii="Arial" w:eastAsiaTheme="minorEastAsia" w:hAnsi="Arial" w:cs="Arial"/>
          <w:sz w:val="24"/>
          <w:szCs w:val="24"/>
        </w:rPr>
        <w:t>is a service which</w:t>
      </w:r>
      <w:r w:rsidR="00AF7B09" w:rsidRPr="00667D26">
        <w:rPr>
          <w:rFonts w:ascii="Arial" w:eastAsiaTheme="minorEastAsia" w:hAnsi="Arial" w:cs="Arial"/>
          <w:sz w:val="24"/>
          <w:szCs w:val="24"/>
        </w:rPr>
        <w:t xml:space="preserve"> provide</w:t>
      </w:r>
      <w:r w:rsidR="00E700AA" w:rsidRPr="00667D26">
        <w:rPr>
          <w:rFonts w:ascii="Arial" w:eastAsiaTheme="minorEastAsia" w:hAnsi="Arial" w:cs="Arial"/>
          <w:sz w:val="24"/>
          <w:szCs w:val="24"/>
        </w:rPr>
        <w:t>s</w:t>
      </w:r>
      <w:r w:rsidR="00AF7B09" w:rsidRPr="00667D26">
        <w:rPr>
          <w:rFonts w:ascii="Arial" w:eastAsiaTheme="minorEastAsia" w:hAnsi="Arial" w:cs="Arial"/>
          <w:sz w:val="24"/>
          <w:szCs w:val="24"/>
        </w:rPr>
        <w:t xml:space="preserve"> children and young people </w:t>
      </w:r>
      <w:r w:rsidRPr="00667D26">
        <w:rPr>
          <w:rFonts w:ascii="Arial" w:eastAsiaTheme="minorEastAsia" w:hAnsi="Arial" w:cs="Arial"/>
          <w:sz w:val="24"/>
          <w:szCs w:val="24"/>
        </w:rPr>
        <w:t>intensive mental health care in a variety of settings including a client’s own home</w:t>
      </w:r>
      <w:r w:rsidR="001E65F2" w:rsidRPr="00667D26">
        <w:rPr>
          <w:rFonts w:ascii="Arial" w:eastAsiaTheme="minorEastAsia" w:hAnsi="Arial" w:cs="Arial"/>
          <w:sz w:val="24"/>
          <w:szCs w:val="24"/>
        </w:rPr>
        <w:t>. T</w:t>
      </w:r>
      <w:r w:rsidRPr="00667D26">
        <w:rPr>
          <w:rFonts w:ascii="Arial" w:eastAsiaTheme="minorEastAsia" w:hAnsi="Arial" w:cs="Arial"/>
          <w:sz w:val="24"/>
          <w:szCs w:val="24"/>
        </w:rPr>
        <w:t>he CHRTT care plan will be tailored specifically to individual needs, and we welcome client collaboration with this. In providing intensive home treatment</w:t>
      </w:r>
      <w:r w:rsidR="0028698F" w:rsidRPr="00667D26">
        <w:rPr>
          <w:rFonts w:ascii="Arial" w:eastAsiaTheme="minorEastAsia" w:hAnsi="Arial" w:cs="Arial"/>
          <w:sz w:val="24"/>
          <w:szCs w:val="24"/>
        </w:rPr>
        <w:t>,</w:t>
      </w:r>
      <w:r w:rsidRPr="00667D26">
        <w:rPr>
          <w:rFonts w:ascii="Arial" w:eastAsiaTheme="minorEastAsia" w:hAnsi="Arial" w:cs="Arial"/>
          <w:sz w:val="24"/>
          <w:szCs w:val="24"/>
        </w:rPr>
        <w:t xml:space="preserve"> CRHTT will prevent admission to hospital</w:t>
      </w:r>
      <w:r w:rsidR="0028698F" w:rsidRPr="00667D26">
        <w:rPr>
          <w:rFonts w:ascii="Arial" w:eastAsiaTheme="minorEastAsia" w:hAnsi="Arial" w:cs="Arial"/>
          <w:sz w:val="24"/>
          <w:szCs w:val="24"/>
        </w:rPr>
        <w:t>. I</w:t>
      </w:r>
      <w:r w:rsidRPr="00667D26">
        <w:rPr>
          <w:rFonts w:ascii="Arial" w:eastAsiaTheme="minorEastAsia" w:hAnsi="Arial" w:cs="Arial"/>
          <w:sz w:val="24"/>
          <w:szCs w:val="24"/>
        </w:rPr>
        <w:t>f a client does require inpatient care, CRHTT will work alongside the inpatient team to ensure a timely discharge from hospital.</w:t>
      </w:r>
      <w:r w:rsidR="0028698F" w:rsidRPr="00667D26">
        <w:rPr>
          <w:rFonts w:ascii="Arial" w:eastAsiaTheme="minorEastAsia" w:hAnsi="Arial" w:cs="Arial"/>
          <w:sz w:val="24"/>
          <w:szCs w:val="24"/>
        </w:rPr>
        <w:t xml:space="preserve">  This service is </w:t>
      </w:r>
      <w:r w:rsidR="0001151E" w:rsidRPr="00667D26">
        <w:rPr>
          <w:rFonts w:ascii="Arial" w:eastAsiaTheme="minorEastAsia" w:hAnsi="Arial" w:cs="Arial"/>
          <w:sz w:val="24"/>
          <w:szCs w:val="24"/>
        </w:rPr>
        <w:t xml:space="preserve">under development and is </w:t>
      </w:r>
      <w:r w:rsidR="0028698F" w:rsidRPr="00667D26">
        <w:rPr>
          <w:rFonts w:ascii="Arial" w:eastAsiaTheme="minorEastAsia" w:hAnsi="Arial" w:cs="Arial"/>
          <w:sz w:val="24"/>
          <w:szCs w:val="24"/>
        </w:rPr>
        <w:t>expected to be</w:t>
      </w:r>
      <w:r w:rsidR="00DA274E" w:rsidRPr="00667D26">
        <w:rPr>
          <w:rFonts w:ascii="Arial" w:eastAsiaTheme="minorEastAsia" w:hAnsi="Arial" w:cs="Arial"/>
          <w:sz w:val="24"/>
          <w:szCs w:val="24"/>
        </w:rPr>
        <w:t xml:space="preserve"> offered to patients by October 2020.</w:t>
      </w:r>
    </w:p>
    <w:p w14:paraId="062C6A50" w14:textId="309877DF" w:rsidR="00AC515B" w:rsidRPr="00667D26" w:rsidRDefault="00AC515B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667D26">
        <w:rPr>
          <w:rFonts w:ascii="Arial" w:eastAsiaTheme="minorEastAsia" w:hAnsi="Arial" w:cs="Arial"/>
          <w:b/>
          <w:bCs/>
          <w:sz w:val="24"/>
          <w:szCs w:val="24"/>
        </w:rPr>
        <w:br w:type="page"/>
      </w:r>
    </w:p>
    <w:p w14:paraId="643B7CDA" w14:textId="77777777" w:rsidR="00AC515B" w:rsidRPr="00667D26" w:rsidRDefault="00AC515B" w:rsidP="7692A6EC">
      <w:pPr>
        <w:rPr>
          <w:rFonts w:ascii="Arial" w:eastAsiaTheme="minorEastAsia" w:hAnsi="Arial" w:cs="Arial"/>
          <w:b/>
          <w:bCs/>
          <w:sz w:val="24"/>
          <w:szCs w:val="24"/>
        </w:rPr>
      </w:pPr>
    </w:p>
    <w:p w14:paraId="61F336A4" w14:textId="16A9ABB1" w:rsidR="405E1286" w:rsidRPr="00667D26" w:rsidRDefault="02E468B9" w:rsidP="7692A6EC">
      <w:pPr>
        <w:rPr>
          <w:rFonts w:ascii="Arial" w:eastAsiaTheme="minorEastAsia" w:hAnsi="Arial" w:cs="Arial"/>
          <w:b/>
          <w:bCs/>
          <w:sz w:val="24"/>
          <w:szCs w:val="24"/>
        </w:rPr>
      </w:pPr>
      <w:r w:rsidRPr="00667D26">
        <w:rPr>
          <w:rFonts w:ascii="Arial" w:eastAsiaTheme="minorEastAsia" w:hAnsi="Arial" w:cs="Arial"/>
          <w:b/>
          <w:bCs/>
          <w:sz w:val="24"/>
          <w:szCs w:val="24"/>
        </w:rPr>
        <w:t>Digital consultations</w:t>
      </w:r>
    </w:p>
    <w:p w14:paraId="36062B57" w14:textId="77777777" w:rsidR="00083F31" w:rsidRDefault="02E468B9" w:rsidP="00083F31">
      <w:pPr>
        <w:rPr>
          <w:rFonts w:ascii="Arial" w:eastAsiaTheme="minorEastAsia" w:hAnsi="Arial" w:cs="Arial"/>
          <w:sz w:val="24"/>
          <w:szCs w:val="24"/>
        </w:rPr>
      </w:pPr>
      <w:r w:rsidRPr="00667D26">
        <w:rPr>
          <w:rFonts w:ascii="Arial" w:eastAsiaTheme="minorEastAsia" w:hAnsi="Arial" w:cs="Arial"/>
          <w:b/>
          <w:bCs/>
          <w:sz w:val="24"/>
          <w:szCs w:val="24"/>
        </w:rPr>
        <w:t xml:space="preserve">Digital consultations </w:t>
      </w:r>
      <w:r w:rsidRPr="00667D26">
        <w:rPr>
          <w:rFonts w:ascii="Arial" w:eastAsiaTheme="minorEastAsia" w:hAnsi="Arial" w:cs="Arial"/>
          <w:sz w:val="24"/>
          <w:szCs w:val="24"/>
        </w:rPr>
        <w:t xml:space="preserve">have increased rapidly to allow patients </w:t>
      </w:r>
      <w:r w:rsidR="3DA3C247" w:rsidRPr="00667D26">
        <w:rPr>
          <w:rFonts w:ascii="Arial" w:eastAsiaTheme="minorEastAsia" w:hAnsi="Arial" w:cs="Arial"/>
          <w:sz w:val="24"/>
          <w:szCs w:val="24"/>
        </w:rPr>
        <w:t xml:space="preserve">and </w:t>
      </w:r>
      <w:r w:rsidR="6EE566BB" w:rsidRPr="00667D26">
        <w:rPr>
          <w:rFonts w:ascii="Arial" w:eastAsiaTheme="minorEastAsia" w:hAnsi="Arial" w:cs="Arial"/>
          <w:sz w:val="24"/>
          <w:szCs w:val="24"/>
        </w:rPr>
        <w:t>clinicians</w:t>
      </w:r>
      <w:r w:rsidR="3DA3C247" w:rsidRPr="00667D26">
        <w:rPr>
          <w:rFonts w:ascii="Arial" w:eastAsiaTheme="minorEastAsia" w:hAnsi="Arial" w:cs="Arial"/>
          <w:sz w:val="24"/>
          <w:szCs w:val="24"/>
        </w:rPr>
        <w:t xml:space="preserve"> </w:t>
      </w:r>
      <w:r w:rsidRPr="00667D26">
        <w:rPr>
          <w:rFonts w:ascii="Arial" w:eastAsiaTheme="minorEastAsia" w:hAnsi="Arial" w:cs="Arial"/>
          <w:sz w:val="24"/>
          <w:szCs w:val="24"/>
        </w:rPr>
        <w:t>to continue therapy whilst safely distanc</w:t>
      </w:r>
      <w:r w:rsidR="1F2025B7" w:rsidRPr="00667D26">
        <w:rPr>
          <w:rFonts w:ascii="Arial" w:eastAsiaTheme="minorEastAsia" w:hAnsi="Arial" w:cs="Arial"/>
          <w:sz w:val="24"/>
          <w:szCs w:val="24"/>
        </w:rPr>
        <w:t>ing</w:t>
      </w:r>
      <w:r w:rsidRPr="00667D26">
        <w:rPr>
          <w:rFonts w:ascii="Arial" w:eastAsiaTheme="minorEastAsia" w:hAnsi="Arial" w:cs="Arial"/>
          <w:sz w:val="24"/>
          <w:szCs w:val="24"/>
        </w:rPr>
        <w:t>.</w:t>
      </w:r>
      <w:r w:rsidR="22367331" w:rsidRPr="00667D26">
        <w:rPr>
          <w:rFonts w:ascii="Arial" w:eastAsiaTheme="minorEastAsia" w:hAnsi="Arial" w:cs="Arial"/>
          <w:sz w:val="24"/>
          <w:szCs w:val="24"/>
        </w:rPr>
        <w:t xml:space="preserve">  The cumulative number </w:t>
      </w:r>
      <w:r w:rsidR="3C92BF78" w:rsidRPr="00667D26">
        <w:rPr>
          <w:rFonts w:ascii="Arial" w:eastAsiaTheme="minorEastAsia" w:hAnsi="Arial" w:cs="Arial"/>
          <w:sz w:val="24"/>
          <w:szCs w:val="24"/>
        </w:rPr>
        <w:t>exceed</w:t>
      </w:r>
      <w:r w:rsidR="22367331" w:rsidRPr="00667D26">
        <w:rPr>
          <w:rFonts w:ascii="Arial" w:eastAsiaTheme="minorEastAsia" w:hAnsi="Arial" w:cs="Arial"/>
          <w:sz w:val="24"/>
          <w:szCs w:val="24"/>
        </w:rPr>
        <w:t xml:space="preserve">ed 40,000 in early July.  </w:t>
      </w:r>
      <w:r w:rsidR="3F8B8CB6" w:rsidRPr="00667D26">
        <w:rPr>
          <w:rFonts w:ascii="Arial" w:eastAsiaTheme="minorEastAsia" w:hAnsi="Arial" w:cs="Arial"/>
          <w:sz w:val="24"/>
          <w:szCs w:val="24"/>
        </w:rPr>
        <w:t>NHS E/I have been asked for b</w:t>
      </w:r>
      <w:r w:rsidR="22367331" w:rsidRPr="00667D26">
        <w:rPr>
          <w:rFonts w:ascii="Arial" w:eastAsiaTheme="minorEastAsia" w:hAnsi="Arial" w:cs="Arial"/>
          <w:sz w:val="24"/>
          <w:szCs w:val="24"/>
        </w:rPr>
        <w:t>enchmarking data</w:t>
      </w:r>
      <w:r w:rsidR="7D8BD355" w:rsidRPr="00667D26">
        <w:rPr>
          <w:rFonts w:ascii="Arial" w:eastAsiaTheme="minorEastAsia" w:hAnsi="Arial" w:cs="Arial"/>
          <w:sz w:val="24"/>
          <w:szCs w:val="24"/>
        </w:rPr>
        <w:t xml:space="preserve"> </w:t>
      </w:r>
      <w:r w:rsidR="77A24FAF" w:rsidRPr="00667D26">
        <w:rPr>
          <w:rFonts w:ascii="Arial" w:eastAsiaTheme="minorEastAsia" w:hAnsi="Arial" w:cs="Arial"/>
          <w:sz w:val="24"/>
          <w:szCs w:val="24"/>
        </w:rPr>
        <w:t xml:space="preserve">- </w:t>
      </w:r>
      <w:r w:rsidR="099B4B47" w:rsidRPr="00667D26">
        <w:rPr>
          <w:rFonts w:ascii="Arial" w:eastAsiaTheme="minorEastAsia" w:hAnsi="Arial" w:cs="Arial"/>
          <w:sz w:val="24"/>
          <w:szCs w:val="24"/>
        </w:rPr>
        <w:t xml:space="preserve">we are unaware of any trust undertaking more than this.  </w:t>
      </w:r>
      <w:r w:rsidR="4146D2B3" w:rsidRPr="00667D26">
        <w:rPr>
          <w:rFonts w:ascii="Arial" w:eastAsiaTheme="minorEastAsia" w:hAnsi="Arial" w:cs="Arial"/>
          <w:sz w:val="24"/>
          <w:szCs w:val="24"/>
        </w:rPr>
        <w:t>Remote consultations (digital along with telephone and email) now account for</w:t>
      </w:r>
      <w:r w:rsidR="01B9DD30" w:rsidRPr="00667D26">
        <w:rPr>
          <w:rFonts w:ascii="Arial" w:eastAsiaTheme="minorEastAsia" w:hAnsi="Arial" w:cs="Arial"/>
          <w:sz w:val="24"/>
          <w:szCs w:val="24"/>
        </w:rPr>
        <w:t xml:space="preserve"> most consultations </w:t>
      </w:r>
      <w:r w:rsidR="4146D2B3" w:rsidRPr="00667D26">
        <w:rPr>
          <w:rFonts w:ascii="Arial" w:eastAsiaTheme="minorEastAsia" w:hAnsi="Arial" w:cs="Arial"/>
          <w:sz w:val="24"/>
          <w:szCs w:val="24"/>
        </w:rPr>
        <w:t>(</w:t>
      </w:r>
      <w:r w:rsidR="22B497D0" w:rsidRPr="00667D26">
        <w:rPr>
          <w:rFonts w:ascii="Arial" w:eastAsiaTheme="minorEastAsia" w:hAnsi="Arial" w:cs="Arial"/>
          <w:sz w:val="24"/>
          <w:szCs w:val="24"/>
        </w:rPr>
        <w:t xml:space="preserve">56%), with a minority </w:t>
      </w:r>
      <w:r w:rsidR="44AAA91C" w:rsidRPr="00667D26">
        <w:rPr>
          <w:rFonts w:ascii="Arial" w:eastAsiaTheme="minorEastAsia" w:hAnsi="Arial" w:cs="Arial"/>
          <w:sz w:val="24"/>
          <w:szCs w:val="24"/>
        </w:rPr>
        <w:t xml:space="preserve">now </w:t>
      </w:r>
      <w:r w:rsidR="22B497D0" w:rsidRPr="00667D26">
        <w:rPr>
          <w:rFonts w:ascii="Arial" w:eastAsiaTheme="minorEastAsia" w:hAnsi="Arial" w:cs="Arial"/>
          <w:sz w:val="24"/>
          <w:szCs w:val="24"/>
        </w:rPr>
        <w:t>face-to-face (46%, down from 86% in January).</w:t>
      </w:r>
      <w:r w:rsidR="2A5F2DF5" w:rsidRPr="00667D26">
        <w:rPr>
          <w:rFonts w:ascii="Arial" w:eastAsiaTheme="minorEastAsia" w:hAnsi="Arial" w:cs="Arial"/>
          <w:sz w:val="24"/>
          <w:szCs w:val="24"/>
        </w:rPr>
        <w:t xml:space="preserve">  </w:t>
      </w:r>
    </w:p>
    <w:p w14:paraId="7A3C6076" w14:textId="5D6A28BE" w:rsidR="00E50AF6" w:rsidRDefault="3B384B59" w:rsidP="00083F31">
      <w:pPr>
        <w:rPr>
          <w:rFonts w:ascii="Arial" w:eastAsiaTheme="minorEastAsia" w:hAnsi="Arial" w:cs="Arial"/>
          <w:sz w:val="24"/>
          <w:szCs w:val="24"/>
        </w:rPr>
      </w:pPr>
      <w:r w:rsidRPr="00667D26">
        <w:rPr>
          <w:rFonts w:ascii="Arial" w:eastAsiaTheme="minorEastAsia" w:hAnsi="Arial" w:cs="Arial"/>
          <w:sz w:val="24"/>
          <w:szCs w:val="24"/>
        </w:rPr>
        <w:t>There i</w:t>
      </w:r>
      <w:r w:rsidR="2A5F2DF5" w:rsidRPr="00667D26">
        <w:rPr>
          <w:rFonts w:ascii="Arial" w:eastAsiaTheme="minorEastAsia" w:hAnsi="Arial" w:cs="Arial"/>
          <w:sz w:val="24"/>
          <w:szCs w:val="24"/>
        </w:rPr>
        <w:t xml:space="preserve">s </w:t>
      </w:r>
      <w:r w:rsidRPr="00667D26">
        <w:rPr>
          <w:rFonts w:ascii="Arial" w:eastAsiaTheme="minorEastAsia" w:hAnsi="Arial" w:cs="Arial"/>
          <w:sz w:val="24"/>
          <w:szCs w:val="24"/>
        </w:rPr>
        <w:t xml:space="preserve">now a focus on </w:t>
      </w:r>
      <w:r w:rsidR="2A5F2DF5" w:rsidRPr="00667D26">
        <w:rPr>
          <w:rFonts w:ascii="Arial" w:eastAsiaTheme="minorEastAsia" w:hAnsi="Arial" w:cs="Arial"/>
          <w:sz w:val="24"/>
          <w:szCs w:val="24"/>
        </w:rPr>
        <w:t>evaluating the effectiveness of this rapid change and better understand</w:t>
      </w:r>
      <w:r w:rsidR="274E7611" w:rsidRPr="00667D26">
        <w:rPr>
          <w:rFonts w:ascii="Arial" w:eastAsiaTheme="minorEastAsia" w:hAnsi="Arial" w:cs="Arial"/>
          <w:sz w:val="24"/>
          <w:szCs w:val="24"/>
        </w:rPr>
        <w:t>ing</w:t>
      </w:r>
      <w:r w:rsidR="2A5F2DF5" w:rsidRPr="00667D26">
        <w:rPr>
          <w:rFonts w:ascii="Arial" w:eastAsiaTheme="minorEastAsia" w:hAnsi="Arial" w:cs="Arial"/>
          <w:sz w:val="24"/>
          <w:szCs w:val="24"/>
        </w:rPr>
        <w:t xml:space="preserve"> any new risks that may affect our patients or services.  </w:t>
      </w:r>
      <w:r w:rsidR="03933B57" w:rsidRPr="00667D26">
        <w:rPr>
          <w:rFonts w:ascii="Arial" w:eastAsiaTheme="minorEastAsia" w:hAnsi="Arial" w:cs="Arial"/>
          <w:sz w:val="24"/>
          <w:szCs w:val="24"/>
        </w:rPr>
        <w:t>A patient questionnaire a</w:t>
      </w:r>
      <w:r w:rsidR="6BF3AA89" w:rsidRPr="00667D26">
        <w:rPr>
          <w:rFonts w:ascii="Arial" w:eastAsiaTheme="minorEastAsia" w:hAnsi="Arial" w:cs="Arial"/>
          <w:sz w:val="24"/>
          <w:szCs w:val="24"/>
        </w:rPr>
        <w:t xml:space="preserve">bout </w:t>
      </w:r>
      <w:r w:rsidR="03933B57" w:rsidRPr="00667D26">
        <w:rPr>
          <w:rFonts w:ascii="Arial" w:eastAsiaTheme="minorEastAsia" w:hAnsi="Arial" w:cs="Arial"/>
          <w:sz w:val="24"/>
          <w:szCs w:val="24"/>
        </w:rPr>
        <w:t xml:space="preserve">experiences of digital consultations </w:t>
      </w:r>
      <w:r w:rsidR="419305E4" w:rsidRPr="00667D26">
        <w:rPr>
          <w:rFonts w:ascii="Arial" w:eastAsiaTheme="minorEastAsia" w:hAnsi="Arial" w:cs="Arial"/>
          <w:sz w:val="24"/>
          <w:szCs w:val="24"/>
        </w:rPr>
        <w:t xml:space="preserve">is ready to launch, </w:t>
      </w:r>
      <w:r w:rsidR="03933B57" w:rsidRPr="00667D26">
        <w:rPr>
          <w:rFonts w:ascii="Arial" w:eastAsiaTheme="minorEastAsia" w:hAnsi="Arial" w:cs="Arial"/>
          <w:sz w:val="24"/>
          <w:szCs w:val="24"/>
        </w:rPr>
        <w:t>and f</w:t>
      </w:r>
      <w:r w:rsidR="2A5F2DF5" w:rsidRPr="00667D26">
        <w:rPr>
          <w:rFonts w:ascii="Arial" w:eastAsiaTheme="minorEastAsia" w:hAnsi="Arial" w:cs="Arial"/>
          <w:sz w:val="24"/>
          <w:szCs w:val="24"/>
        </w:rPr>
        <w:t xml:space="preserve">unding is being sought </w:t>
      </w:r>
      <w:r w:rsidR="462F16AF" w:rsidRPr="00667D26">
        <w:rPr>
          <w:rFonts w:ascii="Arial" w:eastAsiaTheme="minorEastAsia" w:hAnsi="Arial" w:cs="Arial"/>
          <w:sz w:val="24"/>
          <w:szCs w:val="24"/>
        </w:rPr>
        <w:t xml:space="preserve">for an evaluation of tele-psychiatry through </w:t>
      </w:r>
      <w:r w:rsidR="007A5D6B">
        <w:rPr>
          <w:rFonts w:ascii="Arial" w:eastAsiaTheme="minorEastAsia" w:hAnsi="Arial" w:cs="Arial"/>
          <w:sz w:val="24"/>
          <w:szCs w:val="24"/>
        </w:rPr>
        <w:t xml:space="preserve">the </w:t>
      </w:r>
      <w:r w:rsidR="2A5F2DF5" w:rsidRPr="00667D26">
        <w:rPr>
          <w:rFonts w:ascii="Arial" w:eastAsiaTheme="minorEastAsia" w:hAnsi="Arial" w:cs="Arial"/>
          <w:sz w:val="24"/>
          <w:szCs w:val="24"/>
        </w:rPr>
        <w:t>Oxford University Department of Psychiatry</w:t>
      </w:r>
      <w:r w:rsidR="72577BAA" w:rsidRPr="00667D26">
        <w:rPr>
          <w:rFonts w:ascii="Arial" w:eastAsiaTheme="minorEastAsia" w:hAnsi="Arial" w:cs="Arial"/>
          <w:sz w:val="24"/>
          <w:szCs w:val="24"/>
        </w:rPr>
        <w:t>.</w:t>
      </w:r>
    </w:p>
    <w:p w14:paraId="36879E5B" w14:textId="77777777" w:rsidR="00AC515B" w:rsidRPr="00667D26" w:rsidRDefault="00AC515B" w:rsidP="7692A6EC">
      <w:pPr>
        <w:rPr>
          <w:rFonts w:ascii="Arial" w:eastAsiaTheme="minorEastAsia" w:hAnsi="Arial" w:cs="Arial"/>
          <w:sz w:val="24"/>
          <w:szCs w:val="24"/>
        </w:rPr>
      </w:pPr>
    </w:p>
    <w:p w14:paraId="057826BD" w14:textId="4A86F591" w:rsidR="405E1286" w:rsidRPr="00667D26" w:rsidRDefault="52C60EBB" w:rsidP="7692A6EC">
      <w:pPr>
        <w:rPr>
          <w:rFonts w:ascii="Arial" w:hAnsi="Arial" w:cs="Arial"/>
          <w:sz w:val="24"/>
          <w:szCs w:val="24"/>
        </w:rPr>
      </w:pPr>
      <w:r w:rsidRPr="00667D26">
        <w:rPr>
          <w:rFonts w:ascii="Arial" w:eastAsiaTheme="minorEastAsia" w:hAnsi="Arial" w:cs="Arial"/>
          <w:sz w:val="24"/>
          <w:szCs w:val="24"/>
        </w:rPr>
        <w:t>Digital consultations (cumulative), July 2020:</w:t>
      </w:r>
      <w:r w:rsidRPr="00667D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45D8C2" wp14:editId="5FA8ADF0">
            <wp:extent cx="4970006" cy="2510155"/>
            <wp:effectExtent l="0" t="0" r="2540" b="4445"/>
            <wp:docPr id="691734238" name="Picture 69173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044" cy="251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31D6" w14:textId="77777777" w:rsidR="005C4B54" w:rsidRDefault="005C4B54" w:rsidP="005C4B54">
      <w:pPr>
        <w:rPr>
          <w:rFonts w:ascii="Segoe UI" w:hAnsi="Segoe UI" w:cs="Segoe UI"/>
          <w:b/>
          <w:bCs/>
          <w:sz w:val="20"/>
          <w:szCs w:val="20"/>
        </w:rPr>
      </w:pPr>
    </w:p>
    <w:p w14:paraId="01B59A4D" w14:textId="2EED2D47" w:rsidR="00AA696B" w:rsidRPr="00880E94" w:rsidRDefault="005C4B54" w:rsidP="00AA696B">
      <w:pPr>
        <w:spacing w:line="240" w:lineRule="auto"/>
        <w:rPr>
          <w:rFonts w:ascii="Arial" w:hAnsi="Arial" w:cs="Arial"/>
          <w:sz w:val="24"/>
          <w:szCs w:val="24"/>
        </w:rPr>
      </w:pPr>
      <w:r w:rsidRPr="00880E94">
        <w:rPr>
          <w:rFonts w:ascii="Arial" w:hAnsi="Arial" w:cs="Arial"/>
          <w:b/>
          <w:bCs/>
          <w:sz w:val="24"/>
          <w:szCs w:val="24"/>
        </w:rPr>
        <w:t>Authors</w:t>
      </w:r>
      <w:r w:rsidR="00AA696B" w:rsidRPr="00880E94">
        <w:rPr>
          <w:rFonts w:ascii="Arial" w:hAnsi="Arial" w:cs="Arial"/>
          <w:b/>
          <w:bCs/>
          <w:sz w:val="24"/>
          <w:szCs w:val="24"/>
        </w:rPr>
        <w:t xml:space="preserve">:  </w:t>
      </w:r>
      <w:r w:rsidR="00AA696B" w:rsidRPr="00880E94">
        <w:rPr>
          <w:rFonts w:ascii="Arial" w:hAnsi="Arial" w:cs="Arial"/>
          <w:b/>
          <w:bCs/>
          <w:sz w:val="24"/>
          <w:szCs w:val="24"/>
        </w:rPr>
        <w:tab/>
      </w:r>
      <w:r w:rsidR="00AA696B" w:rsidRPr="00880E94">
        <w:rPr>
          <w:rFonts w:ascii="Arial" w:hAnsi="Arial" w:cs="Arial"/>
          <w:sz w:val="24"/>
          <w:szCs w:val="24"/>
        </w:rPr>
        <w:t xml:space="preserve">Claire Page – Head of Performance &amp; Information &amp; </w:t>
      </w:r>
    </w:p>
    <w:p w14:paraId="22CCCC5C" w14:textId="00957BA8" w:rsidR="00AA696B" w:rsidRPr="00880E94" w:rsidRDefault="00AA696B" w:rsidP="00AA696B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80E94">
        <w:rPr>
          <w:rFonts w:ascii="Arial" w:hAnsi="Arial" w:cs="Arial"/>
          <w:sz w:val="24"/>
          <w:szCs w:val="24"/>
        </w:rPr>
        <w:t>Nicola Leavesley – Head of Service Change &amp; Delivery</w:t>
      </w:r>
    </w:p>
    <w:p w14:paraId="10DEB75B" w14:textId="06247711" w:rsidR="00F47B0F" w:rsidRPr="00880E94" w:rsidRDefault="00AA696B" w:rsidP="005C4B54">
      <w:pPr>
        <w:rPr>
          <w:rFonts w:ascii="Arial" w:hAnsi="Arial" w:cs="Arial"/>
          <w:color w:val="000000"/>
          <w:sz w:val="24"/>
          <w:szCs w:val="24"/>
        </w:rPr>
      </w:pPr>
      <w:r w:rsidRPr="00880E94">
        <w:rPr>
          <w:rFonts w:ascii="Arial" w:hAnsi="Arial" w:cs="Arial"/>
          <w:b/>
          <w:bCs/>
          <w:sz w:val="24"/>
          <w:szCs w:val="24"/>
        </w:rPr>
        <w:t>Lead Executive Director</w:t>
      </w:r>
      <w:r w:rsidR="00F47B0F" w:rsidRPr="00880E94">
        <w:rPr>
          <w:rFonts w:ascii="Arial" w:hAnsi="Arial" w:cs="Arial"/>
          <w:b/>
          <w:bCs/>
          <w:sz w:val="24"/>
          <w:szCs w:val="24"/>
        </w:rPr>
        <w:t xml:space="preserve">: </w:t>
      </w:r>
      <w:r w:rsidR="00880E94" w:rsidRPr="00880E94">
        <w:rPr>
          <w:rFonts w:ascii="Arial" w:hAnsi="Arial" w:cs="Arial"/>
          <w:b/>
          <w:bCs/>
          <w:sz w:val="24"/>
          <w:szCs w:val="24"/>
        </w:rPr>
        <w:t xml:space="preserve"> </w:t>
      </w:r>
      <w:r w:rsidR="00F47B0F" w:rsidRPr="00880E94">
        <w:rPr>
          <w:rFonts w:ascii="Arial" w:hAnsi="Arial" w:cs="Arial"/>
          <w:sz w:val="24"/>
          <w:szCs w:val="24"/>
        </w:rPr>
        <w:t>Martyn Ward, Director of Strategy and CIO</w:t>
      </w:r>
    </w:p>
    <w:sectPr w:rsidR="00F47B0F" w:rsidRPr="00880E94" w:rsidSect="004810EF">
      <w:footerReference w:type="default" r:id="rId14"/>
      <w:pgSz w:w="11906" w:h="16838"/>
      <w:pgMar w:top="851" w:right="1274" w:bottom="709" w:left="1276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6647" w14:textId="77777777" w:rsidR="00BA7E56" w:rsidRDefault="00BA7E56" w:rsidP="0071396F">
      <w:pPr>
        <w:spacing w:after="0" w:line="240" w:lineRule="auto"/>
      </w:pPr>
      <w:r>
        <w:separator/>
      </w:r>
    </w:p>
  </w:endnote>
  <w:endnote w:type="continuationSeparator" w:id="0">
    <w:p w14:paraId="20F86D2F" w14:textId="77777777" w:rsidR="00BA7E56" w:rsidRDefault="00BA7E56" w:rsidP="0071396F">
      <w:pPr>
        <w:spacing w:after="0" w:line="240" w:lineRule="auto"/>
      </w:pPr>
      <w:r>
        <w:continuationSeparator/>
      </w:r>
    </w:p>
  </w:endnote>
  <w:endnote w:type="continuationNotice" w:id="1">
    <w:p w14:paraId="7DA9B229" w14:textId="77777777" w:rsidR="00BA7E56" w:rsidRDefault="00BA7E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396330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46FB0F24" w14:textId="77777777" w:rsidR="0002542A" w:rsidRPr="0002542A" w:rsidRDefault="0002542A">
        <w:pPr>
          <w:pStyle w:val="Footer"/>
          <w:jc w:val="center"/>
          <w:rPr>
            <w:rFonts w:cstheme="minorHAnsi"/>
          </w:rPr>
        </w:pPr>
        <w:r w:rsidRPr="0002542A">
          <w:rPr>
            <w:rFonts w:cstheme="minorHAnsi"/>
          </w:rPr>
          <w:fldChar w:fldCharType="begin"/>
        </w:r>
        <w:r w:rsidRPr="0002542A">
          <w:rPr>
            <w:rFonts w:cstheme="minorHAnsi"/>
          </w:rPr>
          <w:instrText xml:space="preserve"> PAGE   \* MERGEFORMAT </w:instrText>
        </w:r>
        <w:r w:rsidRPr="0002542A">
          <w:rPr>
            <w:rFonts w:cstheme="minorHAnsi"/>
          </w:rPr>
          <w:fldChar w:fldCharType="separate"/>
        </w:r>
        <w:r w:rsidRPr="0002542A">
          <w:rPr>
            <w:rFonts w:cstheme="minorHAnsi"/>
            <w:noProof/>
          </w:rPr>
          <w:t>2</w:t>
        </w:r>
        <w:r w:rsidRPr="0002542A">
          <w:rPr>
            <w:rFonts w:cstheme="minorHAnsi"/>
            <w:noProof/>
          </w:rPr>
          <w:fldChar w:fldCharType="end"/>
        </w:r>
      </w:p>
    </w:sdtContent>
  </w:sdt>
  <w:p w14:paraId="2880BFB5" w14:textId="77777777" w:rsidR="0071396F" w:rsidRDefault="0071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2F96" w14:textId="77777777" w:rsidR="00BA7E56" w:rsidRDefault="00BA7E56" w:rsidP="0071396F">
      <w:pPr>
        <w:spacing w:after="0" w:line="240" w:lineRule="auto"/>
      </w:pPr>
      <w:r>
        <w:separator/>
      </w:r>
    </w:p>
  </w:footnote>
  <w:footnote w:type="continuationSeparator" w:id="0">
    <w:p w14:paraId="65962A2D" w14:textId="77777777" w:rsidR="00BA7E56" w:rsidRDefault="00BA7E56" w:rsidP="0071396F">
      <w:pPr>
        <w:spacing w:after="0" w:line="240" w:lineRule="auto"/>
      </w:pPr>
      <w:r>
        <w:continuationSeparator/>
      </w:r>
    </w:p>
  </w:footnote>
  <w:footnote w:type="continuationNotice" w:id="1">
    <w:p w14:paraId="51DE9BC3" w14:textId="77777777" w:rsidR="00BA7E56" w:rsidRDefault="00BA7E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7F"/>
    <w:multiLevelType w:val="hybridMultilevel"/>
    <w:tmpl w:val="9C1C8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7F99"/>
    <w:multiLevelType w:val="hybridMultilevel"/>
    <w:tmpl w:val="E8BC1D4A"/>
    <w:lvl w:ilvl="0" w:tplc="FC04B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4A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89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4A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C9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A7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E1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8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E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357"/>
    <w:multiLevelType w:val="hybridMultilevel"/>
    <w:tmpl w:val="5E6C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652"/>
    <w:multiLevelType w:val="hybridMultilevel"/>
    <w:tmpl w:val="A3E880E8"/>
    <w:lvl w:ilvl="0" w:tplc="C1102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02F9"/>
    <w:multiLevelType w:val="hybridMultilevel"/>
    <w:tmpl w:val="69DE024E"/>
    <w:lvl w:ilvl="0" w:tplc="99D4FFC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0831477"/>
    <w:multiLevelType w:val="hybridMultilevel"/>
    <w:tmpl w:val="78E2EAB6"/>
    <w:lvl w:ilvl="0" w:tplc="1DDE538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3415"/>
    <w:multiLevelType w:val="hybridMultilevel"/>
    <w:tmpl w:val="7E84F3F6"/>
    <w:lvl w:ilvl="0" w:tplc="E962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40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F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9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AF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0E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B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65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7E5E"/>
    <w:multiLevelType w:val="hybridMultilevel"/>
    <w:tmpl w:val="4462E344"/>
    <w:lvl w:ilvl="0" w:tplc="C1102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6917"/>
    <w:multiLevelType w:val="hybridMultilevel"/>
    <w:tmpl w:val="AD620C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E59E0"/>
    <w:multiLevelType w:val="hybridMultilevel"/>
    <w:tmpl w:val="8148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A8B"/>
    <w:multiLevelType w:val="hybridMultilevel"/>
    <w:tmpl w:val="F2AC7878"/>
    <w:lvl w:ilvl="0" w:tplc="2B18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06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69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C3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86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29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A5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A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525"/>
    <w:multiLevelType w:val="hybridMultilevel"/>
    <w:tmpl w:val="30768C74"/>
    <w:lvl w:ilvl="0" w:tplc="D7CE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C6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1E1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D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61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6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7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2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87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7328"/>
    <w:multiLevelType w:val="hybridMultilevel"/>
    <w:tmpl w:val="A76C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E68C7"/>
    <w:multiLevelType w:val="hybridMultilevel"/>
    <w:tmpl w:val="C98A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6C98"/>
    <w:multiLevelType w:val="hybridMultilevel"/>
    <w:tmpl w:val="C950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1506"/>
    <w:multiLevelType w:val="hybridMultilevel"/>
    <w:tmpl w:val="514A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90D1F"/>
    <w:multiLevelType w:val="hybridMultilevel"/>
    <w:tmpl w:val="C05620EE"/>
    <w:lvl w:ilvl="0" w:tplc="352AEB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77FE4"/>
    <w:multiLevelType w:val="hybridMultilevel"/>
    <w:tmpl w:val="37089872"/>
    <w:lvl w:ilvl="0" w:tplc="99D4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64361"/>
    <w:multiLevelType w:val="hybridMultilevel"/>
    <w:tmpl w:val="48846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113A7"/>
    <w:multiLevelType w:val="hybridMultilevel"/>
    <w:tmpl w:val="EDF45286"/>
    <w:lvl w:ilvl="0" w:tplc="D91C9CD4">
      <w:numFmt w:val="bullet"/>
      <w:lvlText w:val="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9FD2C11"/>
    <w:multiLevelType w:val="hybridMultilevel"/>
    <w:tmpl w:val="6DAE1CE2"/>
    <w:lvl w:ilvl="0" w:tplc="C1102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B5AAA"/>
    <w:multiLevelType w:val="hybridMultilevel"/>
    <w:tmpl w:val="F5A8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5"/>
  </w:num>
  <w:num w:numId="9">
    <w:abstractNumId w:val="17"/>
  </w:num>
  <w:num w:numId="10">
    <w:abstractNumId w:val="4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20"/>
  </w:num>
  <w:num w:numId="18">
    <w:abstractNumId w:val="5"/>
  </w:num>
  <w:num w:numId="19">
    <w:abstractNumId w:val="0"/>
  </w:num>
  <w:num w:numId="20">
    <w:abstractNumId w:val="14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48"/>
    <w:rsid w:val="00000B9D"/>
    <w:rsid w:val="00001D0A"/>
    <w:rsid w:val="00004DDC"/>
    <w:rsid w:val="00005176"/>
    <w:rsid w:val="00007929"/>
    <w:rsid w:val="00011305"/>
    <w:rsid w:val="0001151E"/>
    <w:rsid w:val="00020573"/>
    <w:rsid w:val="0002235E"/>
    <w:rsid w:val="0002542A"/>
    <w:rsid w:val="00031BFC"/>
    <w:rsid w:val="00032D47"/>
    <w:rsid w:val="00045B21"/>
    <w:rsid w:val="000464C0"/>
    <w:rsid w:val="00050600"/>
    <w:rsid w:val="00055197"/>
    <w:rsid w:val="0007291B"/>
    <w:rsid w:val="000754D1"/>
    <w:rsid w:val="000777AC"/>
    <w:rsid w:val="00083F31"/>
    <w:rsid w:val="00087C0F"/>
    <w:rsid w:val="00097B51"/>
    <w:rsid w:val="000A0BBE"/>
    <w:rsid w:val="000A7FE1"/>
    <w:rsid w:val="000B62B2"/>
    <w:rsid w:val="000C0313"/>
    <w:rsid w:val="000C2F9C"/>
    <w:rsid w:val="000C31BA"/>
    <w:rsid w:val="000C3ED7"/>
    <w:rsid w:val="000C7605"/>
    <w:rsid w:val="000D1F5E"/>
    <w:rsid w:val="000E2834"/>
    <w:rsid w:val="000E50D9"/>
    <w:rsid w:val="000F32C2"/>
    <w:rsid w:val="000F6948"/>
    <w:rsid w:val="00101BDA"/>
    <w:rsid w:val="00104D61"/>
    <w:rsid w:val="001061C0"/>
    <w:rsid w:val="00107F5C"/>
    <w:rsid w:val="00120372"/>
    <w:rsid w:val="00121B67"/>
    <w:rsid w:val="001353EE"/>
    <w:rsid w:val="00141D23"/>
    <w:rsid w:val="00145DCE"/>
    <w:rsid w:val="0014660B"/>
    <w:rsid w:val="00151698"/>
    <w:rsid w:val="00153816"/>
    <w:rsid w:val="001543BC"/>
    <w:rsid w:val="00154B4A"/>
    <w:rsid w:val="00164C22"/>
    <w:rsid w:val="00164E32"/>
    <w:rsid w:val="00171723"/>
    <w:rsid w:val="00190679"/>
    <w:rsid w:val="00194719"/>
    <w:rsid w:val="00196A72"/>
    <w:rsid w:val="001A12D5"/>
    <w:rsid w:val="001A19F1"/>
    <w:rsid w:val="001A76F8"/>
    <w:rsid w:val="001B33E3"/>
    <w:rsid w:val="001C4C3B"/>
    <w:rsid w:val="001D1649"/>
    <w:rsid w:val="001E270E"/>
    <w:rsid w:val="001E65F2"/>
    <w:rsid w:val="001F5E12"/>
    <w:rsid w:val="00203C2B"/>
    <w:rsid w:val="00210B8A"/>
    <w:rsid w:val="00221C48"/>
    <w:rsid w:val="00222A0D"/>
    <w:rsid w:val="002453AC"/>
    <w:rsid w:val="00261CB1"/>
    <w:rsid w:val="00262642"/>
    <w:rsid w:val="002736FF"/>
    <w:rsid w:val="00274EA6"/>
    <w:rsid w:val="00280598"/>
    <w:rsid w:val="002807B8"/>
    <w:rsid w:val="0028087D"/>
    <w:rsid w:val="002822CE"/>
    <w:rsid w:val="00282774"/>
    <w:rsid w:val="00282A98"/>
    <w:rsid w:val="00284450"/>
    <w:rsid w:val="0028698F"/>
    <w:rsid w:val="002A4C5D"/>
    <w:rsid w:val="002A7612"/>
    <w:rsid w:val="002B67D6"/>
    <w:rsid w:val="002C0CFD"/>
    <w:rsid w:val="002C5D63"/>
    <w:rsid w:val="002E1DEA"/>
    <w:rsid w:val="002E387A"/>
    <w:rsid w:val="002F0499"/>
    <w:rsid w:val="002F282C"/>
    <w:rsid w:val="002F70C3"/>
    <w:rsid w:val="00301D7C"/>
    <w:rsid w:val="00305AF1"/>
    <w:rsid w:val="00310CE8"/>
    <w:rsid w:val="00312DC2"/>
    <w:rsid w:val="00314145"/>
    <w:rsid w:val="003176C2"/>
    <w:rsid w:val="003305CE"/>
    <w:rsid w:val="003328D6"/>
    <w:rsid w:val="00332FF3"/>
    <w:rsid w:val="00341EFB"/>
    <w:rsid w:val="00363DB0"/>
    <w:rsid w:val="0036409C"/>
    <w:rsid w:val="00366E7D"/>
    <w:rsid w:val="0036791A"/>
    <w:rsid w:val="00371C9F"/>
    <w:rsid w:val="00383BFE"/>
    <w:rsid w:val="0038505D"/>
    <w:rsid w:val="00390C3F"/>
    <w:rsid w:val="00391DCF"/>
    <w:rsid w:val="003A318E"/>
    <w:rsid w:val="003B21EC"/>
    <w:rsid w:val="003B282A"/>
    <w:rsid w:val="003B4E1C"/>
    <w:rsid w:val="003B5134"/>
    <w:rsid w:val="003B55DA"/>
    <w:rsid w:val="003B7448"/>
    <w:rsid w:val="003B799A"/>
    <w:rsid w:val="003C450C"/>
    <w:rsid w:val="003C4EB1"/>
    <w:rsid w:val="003F06D9"/>
    <w:rsid w:val="00412C7B"/>
    <w:rsid w:val="004177DB"/>
    <w:rsid w:val="004202C3"/>
    <w:rsid w:val="00421A21"/>
    <w:rsid w:val="00422D23"/>
    <w:rsid w:val="00425F61"/>
    <w:rsid w:val="00436765"/>
    <w:rsid w:val="004419C1"/>
    <w:rsid w:val="004421EC"/>
    <w:rsid w:val="00450536"/>
    <w:rsid w:val="00465C6C"/>
    <w:rsid w:val="0046770C"/>
    <w:rsid w:val="004810EF"/>
    <w:rsid w:val="004816EC"/>
    <w:rsid w:val="00481742"/>
    <w:rsid w:val="00484638"/>
    <w:rsid w:val="00485C65"/>
    <w:rsid w:val="004A4E82"/>
    <w:rsid w:val="004A6B39"/>
    <w:rsid w:val="004B49A5"/>
    <w:rsid w:val="004C7A55"/>
    <w:rsid w:val="004D09C2"/>
    <w:rsid w:val="004D55B7"/>
    <w:rsid w:val="004D5607"/>
    <w:rsid w:val="004E3A27"/>
    <w:rsid w:val="004F1306"/>
    <w:rsid w:val="004F1732"/>
    <w:rsid w:val="004F3A7D"/>
    <w:rsid w:val="004F74A2"/>
    <w:rsid w:val="005021CB"/>
    <w:rsid w:val="00510EBD"/>
    <w:rsid w:val="00513F1A"/>
    <w:rsid w:val="00520B44"/>
    <w:rsid w:val="00536648"/>
    <w:rsid w:val="005475A6"/>
    <w:rsid w:val="00553FAF"/>
    <w:rsid w:val="00554616"/>
    <w:rsid w:val="00556A04"/>
    <w:rsid w:val="00564810"/>
    <w:rsid w:val="005659AD"/>
    <w:rsid w:val="00575EBD"/>
    <w:rsid w:val="005943D3"/>
    <w:rsid w:val="00595530"/>
    <w:rsid w:val="0059714B"/>
    <w:rsid w:val="0059743C"/>
    <w:rsid w:val="005A00F6"/>
    <w:rsid w:val="005A35A9"/>
    <w:rsid w:val="005B45A7"/>
    <w:rsid w:val="005B765C"/>
    <w:rsid w:val="005C4B54"/>
    <w:rsid w:val="005C7993"/>
    <w:rsid w:val="005E7FD6"/>
    <w:rsid w:val="005F1F18"/>
    <w:rsid w:val="005F680C"/>
    <w:rsid w:val="005F7C67"/>
    <w:rsid w:val="00600827"/>
    <w:rsid w:val="006109DD"/>
    <w:rsid w:val="006162DB"/>
    <w:rsid w:val="00617147"/>
    <w:rsid w:val="00622515"/>
    <w:rsid w:val="006301B2"/>
    <w:rsid w:val="00630E5E"/>
    <w:rsid w:val="00637ED5"/>
    <w:rsid w:val="00642492"/>
    <w:rsid w:val="0064E868"/>
    <w:rsid w:val="00652189"/>
    <w:rsid w:val="00654C9D"/>
    <w:rsid w:val="00655B8D"/>
    <w:rsid w:val="00656F47"/>
    <w:rsid w:val="00657EA0"/>
    <w:rsid w:val="00663FD2"/>
    <w:rsid w:val="00664752"/>
    <w:rsid w:val="00667D26"/>
    <w:rsid w:val="006718E1"/>
    <w:rsid w:val="0067356B"/>
    <w:rsid w:val="00685D18"/>
    <w:rsid w:val="00687814"/>
    <w:rsid w:val="006924FA"/>
    <w:rsid w:val="006A3134"/>
    <w:rsid w:val="006A48B6"/>
    <w:rsid w:val="006A589A"/>
    <w:rsid w:val="006B45FB"/>
    <w:rsid w:val="006C0FD0"/>
    <w:rsid w:val="006C4FCB"/>
    <w:rsid w:val="006D0483"/>
    <w:rsid w:val="006D2C2F"/>
    <w:rsid w:val="006E27EF"/>
    <w:rsid w:val="006F048D"/>
    <w:rsid w:val="006F20D1"/>
    <w:rsid w:val="006F7BC1"/>
    <w:rsid w:val="00700815"/>
    <w:rsid w:val="00704F45"/>
    <w:rsid w:val="0071396F"/>
    <w:rsid w:val="00715770"/>
    <w:rsid w:val="00722AC1"/>
    <w:rsid w:val="007258DC"/>
    <w:rsid w:val="00732BF6"/>
    <w:rsid w:val="007344C3"/>
    <w:rsid w:val="00735FE8"/>
    <w:rsid w:val="00743DBA"/>
    <w:rsid w:val="00750092"/>
    <w:rsid w:val="00756C1E"/>
    <w:rsid w:val="00757CB0"/>
    <w:rsid w:val="00763B42"/>
    <w:rsid w:val="00764E66"/>
    <w:rsid w:val="00777D84"/>
    <w:rsid w:val="00783E8F"/>
    <w:rsid w:val="00785329"/>
    <w:rsid w:val="00790C9F"/>
    <w:rsid w:val="007A4BA7"/>
    <w:rsid w:val="007A5D6B"/>
    <w:rsid w:val="007A7B14"/>
    <w:rsid w:val="007B38F4"/>
    <w:rsid w:val="007B433E"/>
    <w:rsid w:val="007C03FF"/>
    <w:rsid w:val="007E5127"/>
    <w:rsid w:val="007E5277"/>
    <w:rsid w:val="007E667B"/>
    <w:rsid w:val="007E75FA"/>
    <w:rsid w:val="007F3617"/>
    <w:rsid w:val="007F4D15"/>
    <w:rsid w:val="00801E0C"/>
    <w:rsid w:val="00805C59"/>
    <w:rsid w:val="00810376"/>
    <w:rsid w:val="00811578"/>
    <w:rsid w:val="00823F58"/>
    <w:rsid w:val="008310D5"/>
    <w:rsid w:val="00847AD4"/>
    <w:rsid w:val="00847B95"/>
    <w:rsid w:val="00852508"/>
    <w:rsid w:val="008635C9"/>
    <w:rsid w:val="00864D40"/>
    <w:rsid w:val="00865313"/>
    <w:rsid w:val="00880E94"/>
    <w:rsid w:val="008861FF"/>
    <w:rsid w:val="008863DC"/>
    <w:rsid w:val="0088646F"/>
    <w:rsid w:val="0088778E"/>
    <w:rsid w:val="00897578"/>
    <w:rsid w:val="00897B4B"/>
    <w:rsid w:val="008A3C88"/>
    <w:rsid w:val="008A6840"/>
    <w:rsid w:val="008B2B98"/>
    <w:rsid w:val="008B4797"/>
    <w:rsid w:val="008C4485"/>
    <w:rsid w:val="008D423C"/>
    <w:rsid w:val="008D69B0"/>
    <w:rsid w:val="008E7B1F"/>
    <w:rsid w:val="008F12FC"/>
    <w:rsid w:val="008F4C96"/>
    <w:rsid w:val="00905DBC"/>
    <w:rsid w:val="009062E4"/>
    <w:rsid w:val="00911195"/>
    <w:rsid w:val="009146D2"/>
    <w:rsid w:val="00916411"/>
    <w:rsid w:val="009331D5"/>
    <w:rsid w:val="009373CB"/>
    <w:rsid w:val="00941C6A"/>
    <w:rsid w:val="009439D5"/>
    <w:rsid w:val="009464F3"/>
    <w:rsid w:val="0095044E"/>
    <w:rsid w:val="00951414"/>
    <w:rsid w:val="00956E5E"/>
    <w:rsid w:val="00970D87"/>
    <w:rsid w:val="00975245"/>
    <w:rsid w:val="009757EB"/>
    <w:rsid w:val="00976964"/>
    <w:rsid w:val="00983EDD"/>
    <w:rsid w:val="00983F9A"/>
    <w:rsid w:val="0098447E"/>
    <w:rsid w:val="00985F16"/>
    <w:rsid w:val="00994AB8"/>
    <w:rsid w:val="009954A2"/>
    <w:rsid w:val="00995D0F"/>
    <w:rsid w:val="009A10BD"/>
    <w:rsid w:val="009A4F1C"/>
    <w:rsid w:val="009A4FDC"/>
    <w:rsid w:val="009C3CA7"/>
    <w:rsid w:val="009C7AFB"/>
    <w:rsid w:val="009D4BBB"/>
    <w:rsid w:val="009F5513"/>
    <w:rsid w:val="009F60A5"/>
    <w:rsid w:val="00A0346E"/>
    <w:rsid w:val="00A12C4C"/>
    <w:rsid w:val="00A16EA0"/>
    <w:rsid w:val="00A22318"/>
    <w:rsid w:val="00A23CFB"/>
    <w:rsid w:val="00A26692"/>
    <w:rsid w:val="00A34607"/>
    <w:rsid w:val="00A40B1E"/>
    <w:rsid w:val="00A52580"/>
    <w:rsid w:val="00A543AB"/>
    <w:rsid w:val="00A621C2"/>
    <w:rsid w:val="00A64261"/>
    <w:rsid w:val="00A70799"/>
    <w:rsid w:val="00A738BD"/>
    <w:rsid w:val="00A770CB"/>
    <w:rsid w:val="00A92527"/>
    <w:rsid w:val="00AA257C"/>
    <w:rsid w:val="00AA696B"/>
    <w:rsid w:val="00AB308F"/>
    <w:rsid w:val="00AB5E9F"/>
    <w:rsid w:val="00AB6529"/>
    <w:rsid w:val="00AC515B"/>
    <w:rsid w:val="00AD0570"/>
    <w:rsid w:val="00AD2D37"/>
    <w:rsid w:val="00AD5D87"/>
    <w:rsid w:val="00AD6AD7"/>
    <w:rsid w:val="00AE078C"/>
    <w:rsid w:val="00AE0BC2"/>
    <w:rsid w:val="00AE5723"/>
    <w:rsid w:val="00AF7805"/>
    <w:rsid w:val="00AF7B09"/>
    <w:rsid w:val="00B0542C"/>
    <w:rsid w:val="00B071CA"/>
    <w:rsid w:val="00B12CD8"/>
    <w:rsid w:val="00B1741F"/>
    <w:rsid w:val="00B2029D"/>
    <w:rsid w:val="00B232DF"/>
    <w:rsid w:val="00B242BF"/>
    <w:rsid w:val="00B25DED"/>
    <w:rsid w:val="00B3054A"/>
    <w:rsid w:val="00B33322"/>
    <w:rsid w:val="00B34C74"/>
    <w:rsid w:val="00B3717C"/>
    <w:rsid w:val="00B50BF2"/>
    <w:rsid w:val="00B52AB7"/>
    <w:rsid w:val="00B6736A"/>
    <w:rsid w:val="00B67CAB"/>
    <w:rsid w:val="00B73F89"/>
    <w:rsid w:val="00B773DD"/>
    <w:rsid w:val="00B808CA"/>
    <w:rsid w:val="00B82C60"/>
    <w:rsid w:val="00B83FF6"/>
    <w:rsid w:val="00B8473E"/>
    <w:rsid w:val="00B90F1A"/>
    <w:rsid w:val="00B93BE2"/>
    <w:rsid w:val="00B952F1"/>
    <w:rsid w:val="00B96CDC"/>
    <w:rsid w:val="00BA091C"/>
    <w:rsid w:val="00BA58E6"/>
    <w:rsid w:val="00BA65FA"/>
    <w:rsid w:val="00BA7E56"/>
    <w:rsid w:val="00BB6FD5"/>
    <w:rsid w:val="00BB774B"/>
    <w:rsid w:val="00BC28B2"/>
    <w:rsid w:val="00BC2EFA"/>
    <w:rsid w:val="00BC7D5F"/>
    <w:rsid w:val="00BD10C3"/>
    <w:rsid w:val="00BE107A"/>
    <w:rsid w:val="00BF42FD"/>
    <w:rsid w:val="00BF55DE"/>
    <w:rsid w:val="00BF5754"/>
    <w:rsid w:val="00BF5792"/>
    <w:rsid w:val="00BF6E23"/>
    <w:rsid w:val="00C03ED6"/>
    <w:rsid w:val="00C0674D"/>
    <w:rsid w:val="00C1249B"/>
    <w:rsid w:val="00C201C7"/>
    <w:rsid w:val="00C33C9B"/>
    <w:rsid w:val="00C36C77"/>
    <w:rsid w:val="00C3789B"/>
    <w:rsid w:val="00C41811"/>
    <w:rsid w:val="00C42CD4"/>
    <w:rsid w:val="00C453EC"/>
    <w:rsid w:val="00C47321"/>
    <w:rsid w:val="00C643E8"/>
    <w:rsid w:val="00C76137"/>
    <w:rsid w:val="00C87C0C"/>
    <w:rsid w:val="00C92245"/>
    <w:rsid w:val="00C924E3"/>
    <w:rsid w:val="00CA6518"/>
    <w:rsid w:val="00CA72CE"/>
    <w:rsid w:val="00CB13BB"/>
    <w:rsid w:val="00CB1542"/>
    <w:rsid w:val="00CB4242"/>
    <w:rsid w:val="00CC5F47"/>
    <w:rsid w:val="00CD4C15"/>
    <w:rsid w:val="00CE2346"/>
    <w:rsid w:val="00CE2B71"/>
    <w:rsid w:val="00CE669E"/>
    <w:rsid w:val="00CF08A6"/>
    <w:rsid w:val="00CF6386"/>
    <w:rsid w:val="00CF7AED"/>
    <w:rsid w:val="00D03BF3"/>
    <w:rsid w:val="00D0428A"/>
    <w:rsid w:val="00D06137"/>
    <w:rsid w:val="00D10628"/>
    <w:rsid w:val="00D12543"/>
    <w:rsid w:val="00D158AE"/>
    <w:rsid w:val="00D21F61"/>
    <w:rsid w:val="00D24C6A"/>
    <w:rsid w:val="00D318A5"/>
    <w:rsid w:val="00D3324D"/>
    <w:rsid w:val="00D36ADE"/>
    <w:rsid w:val="00D42E3A"/>
    <w:rsid w:val="00D530E7"/>
    <w:rsid w:val="00D602BC"/>
    <w:rsid w:val="00D6583F"/>
    <w:rsid w:val="00D71FB8"/>
    <w:rsid w:val="00D8134B"/>
    <w:rsid w:val="00D93AA4"/>
    <w:rsid w:val="00DA05AC"/>
    <w:rsid w:val="00DA274E"/>
    <w:rsid w:val="00DA2FFC"/>
    <w:rsid w:val="00DA4539"/>
    <w:rsid w:val="00DB1F49"/>
    <w:rsid w:val="00DC5224"/>
    <w:rsid w:val="00DC7851"/>
    <w:rsid w:val="00DD07F9"/>
    <w:rsid w:val="00DD3062"/>
    <w:rsid w:val="00DD3399"/>
    <w:rsid w:val="00DD3573"/>
    <w:rsid w:val="00DE0CC4"/>
    <w:rsid w:val="00DE5FBE"/>
    <w:rsid w:val="00DE603C"/>
    <w:rsid w:val="00DE637A"/>
    <w:rsid w:val="00DF6CC5"/>
    <w:rsid w:val="00E03D4A"/>
    <w:rsid w:val="00E201AB"/>
    <w:rsid w:val="00E20C87"/>
    <w:rsid w:val="00E2568A"/>
    <w:rsid w:val="00E33106"/>
    <w:rsid w:val="00E35C35"/>
    <w:rsid w:val="00E36C73"/>
    <w:rsid w:val="00E4248E"/>
    <w:rsid w:val="00E4648D"/>
    <w:rsid w:val="00E50388"/>
    <w:rsid w:val="00E50AF6"/>
    <w:rsid w:val="00E668C4"/>
    <w:rsid w:val="00E700AA"/>
    <w:rsid w:val="00E7678C"/>
    <w:rsid w:val="00E85F82"/>
    <w:rsid w:val="00E91603"/>
    <w:rsid w:val="00E955FC"/>
    <w:rsid w:val="00EA5B12"/>
    <w:rsid w:val="00EA6BBD"/>
    <w:rsid w:val="00EB6F80"/>
    <w:rsid w:val="00EC3CFF"/>
    <w:rsid w:val="00EC6689"/>
    <w:rsid w:val="00ED0130"/>
    <w:rsid w:val="00ED0405"/>
    <w:rsid w:val="00ED08C4"/>
    <w:rsid w:val="00ED140F"/>
    <w:rsid w:val="00ED1F0A"/>
    <w:rsid w:val="00ED2F28"/>
    <w:rsid w:val="00EE61B5"/>
    <w:rsid w:val="00EE6BB0"/>
    <w:rsid w:val="00EF1C0C"/>
    <w:rsid w:val="00EF2BD9"/>
    <w:rsid w:val="00F05166"/>
    <w:rsid w:val="00F05772"/>
    <w:rsid w:val="00F11AC9"/>
    <w:rsid w:val="00F352C6"/>
    <w:rsid w:val="00F372B2"/>
    <w:rsid w:val="00F41BBF"/>
    <w:rsid w:val="00F45A78"/>
    <w:rsid w:val="00F45B44"/>
    <w:rsid w:val="00F46EF5"/>
    <w:rsid w:val="00F47B0F"/>
    <w:rsid w:val="00F53AC8"/>
    <w:rsid w:val="00F57A17"/>
    <w:rsid w:val="00F57C24"/>
    <w:rsid w:val="00F639B1"/>
    <w:rsid w:val="00F64C64"/>
    <w:rsid w:val="00F65386"/>
    <w:rsid w:val="00F72C51"/>
    <w:rsid w:val="00F77719"/>
    <w:rsid w:val="00F80864"/>
    <w:rsid w:val="00F82C05"/>
    <w:rsid w:val="00F82E53"/>
    <w:rsid w:val="00F87277"/>
    <w:rsid w:val="00F90C5A"/>
    <w:rsid w:val="00F91240"/>
    <w:rsid w:val="00F95B1B"/>
    <w:rsid w:val="00FA1D34"/>
    <w:rsid w:val="00FA4495"/>
    <w:rsid w:val="00FD1925"/>
    <w:rsid w:val="00FE0936"/>
    <w:rsid w:val="00FE5113"/>
    <w:rsid w:val="00FE59E6"/>
    <w:rsid w:val="00FE65DE"/>
    <w:rsid w:val="00FE6E47"/>
    <w:rsid w:val="00FF043C"/>
    <w:rsid w:val="00FF6F5F"/>
    <w:rsid w:val="00FF75C3"/>
    <w:rsid w:val="00FF7918"/>
    <w:rsid w:val="00FF7CF1"/>
    <w:rsid w:val="01B9DD30"/>
    <w:rsid w:val="022CA407"/>
    <w:rsid w:val="025549DD"/>
    <w:rsid w:val="02E468B9"/>
    <w:rsid w:val="03258D12"/>
    <w:rsid w:val="03933B57"/>
    <w:rsid w:val="03FD603B"/>
    <w:rsid w:val="04CC157E"/>
    <w:rsid w:val="0506C3A1"/>
    <w:rsid w:val="05B5850D"/>
    <w:rsid w:val="062C5001"/>
    <w:rsid w:val="063C2CB9"/>
    <w:rsid w:val="06A78F57"/>
    <w:rsid w:val="06CCC465"/>
    <w:rsid w:val="06D63C9A"/>
    <w:rsid w:val="06FDA5B4"/>
    <w:rsid w:val="07DB94AC"/>
    <w:rsid w:val="08015221"/>
    <w:rsid w:val="087B78F5"/>
    <w:rsid w:val="08ECBAAD"/>
    <w:rsid w:val="09879DBA"/>
    <w:rsid w:val="099B4B47"/>
    <w:rsid w:val="09B7AEA5"/>
    <w:rsid w:val="09FAEB3D"/>
    <w:rsid w:val="0A1D6245"/>
    <w:rsid w:val="0A4957B6"/>
    <w:rsid w:val="0B2CA786"/>
    <w:rsid w:val="0CD840F4"/>
    <w:rsid w:val="0D7F48DA"/>
    <w:rsid w:val="0E050C94"/>
    <w:rsid w:val="10544D93"/>
    <w:rsid w:val="110CA518"/>
    <w:rsid w:val="1132BA6E"/>
    <w:rsid w:val="11B7F3CE"/>
    <w:rsid w:val="11E22D10"/>
    <w:rsid w:val="140C2B88"/>
    <w:rsid w:val="16311789"/>
    <w:rsid w:val="177A7E54"/>
    <w:rsid w:val="1812D5CD"/>
    <w:rsid w:val="181F62CE"/>
    <w:rsid w:val="18B40706"/>
    <w:rsid w:val="18E8A49A"/>
    <w:rsid w:val="191B4C4D"/>
    <w:rsid w:val="196E581E"/>
    <w:rsid w:val="19800C3C"/>
    <w:rsid w:val="1A66A14C"/>
    <w:rsid w:val="1AB8C35D"/>
    <w:rsid w:val="1AF8B057"/>
    <w:rsid w:val="1B413E8C"/>
    <w:rsid w:val="1B48CE30"/>
    <w:rsid w:val="1BAED209"/>
    <w:rsid w:val="1BE57706"/>
    <w:rsid w:val="1C0542C6"/>
    <w:rsid w:val="1C26294A"/>
    <w:rsid w:val="1C4DAE18"/>
    <w:rsid w:val="1C6B3245"/>
    <w:rsid w:val="1C90A80D"/>
    <w:rsid w:val="1C94C8B9"/>
    <w:rsid w:val="1D0444A9"/>
    <w:rsid w:val="1E589CF2"/>
    <w:rsid w:val="1EA284CB"/>
    <w:rsid w:val="1F2025B7"/>
    <w:rsid w:val="1F35181F"/>
    <w:rsid w:val="1F5611B6"/>
    <w:rsid w:val="1F61FD60"/>
    <w:rsid w:val="1FB627EE"/>
    <w:rsid w:val="208FBEED"/>
    <w:rsid w:val="20DF824B"/>
    <w:rsid w:val="20EB1833"/>
    <w:rsid w:val="22367331"/>
    <w:rsid w:val="2277E7F3"/>
    <w:rsid w:val="227B0994"/>
    <w:rsid w:val="22B497D0"/>
    <w:rsid w:val="22FC60F1"/>
    <w:rsid w:val="230DFA99"/>
    <w:rsid w:val="23895055"/>
    <w:rsid w:val="250AE57A"/>
    <w:rsid w:val="25B11238"/>
    <w:rsid w:val="25FE690C"/>
    <w:rsid w:val="2698176D"/>
    <w:rsid w:val="26B827E7"/>
    <w:rsid w:val="26EE7AF5"/>
    <w:rsid w:val="270B6B25"/>
    <w:rsid w:val="273DC7F6"/>
    <w:rsid w:val="274B38DF"/>
    <w:rsid w:val="274E7611"/>
    <w:rsid w:val="277E09B6"/>
    <w:rsid w:val="27F1C003"/>
    <w:rsid w:val="282C08EF"/>
    <w:rsid w:val="286A9683"/>
    <w:rsid w:val="2A5F2DF5"/>
    <w:rsid w:val="2B17FE10"/>
    <w:rsid w:val="2B260C3A"/>
    <w:rsid w:val="2B39C0D9"/>
    <w:rsid w:val="2B3D18D7"/>
    <w:rsid w:val="2B573DD6"/>
    <w:rsid w:val="2B987500"/>
    <w:rsid w:val="2D6C94DC"/>
    <w:rsid w:val="2D944E7C"/>
    <w:rsid w:val="2DD9B758"/>
    <w:rsid w:val="2E9CC149"/>
    <w:rsid w:val="2ED96AF5"/>
    <w:rsid w:val="2F4702A3"/>
    <w:rsid w:val="2F8F7A81"/>
    <w:rsid w:val="2FDD5AD4"/>
    <w:rsid w:val="2FE62BC7"/>
    <w:rsid w:val="3075A198"/>
    <w:rsid w:val="31F1B636"/>
    <w:rsid w:val="32412EA0"/>
    <w:rsid w:val="3428044A"/>
    <w:rsid w:val="34A9093E"/>
    <w:rsid w:val="34FA66D1"/>
    <w:rsid w:val="354F68B1"/>
    <w:rsid w:val="355B80CC"/>
    <w:rsid w:val="3570DA99"/>
    <w:rsid w:val="3588F64C"/>
    <w:rsid w:val="358D275E"/>
    <w:rsid w:val="359D1EEF"/>
    <w:rsid w:val="35DAE767"/>
    <w:rsid w:val="3603CBA1"/>
    <w:rsid w:val="36C4F96E"/>
    <w:rsid w:val="3814A6E3"/>
    <w:rsid w:val="382683A0"/>
    <w:rsid w:val="3954A3E3"/>
    <w:rsid w:val="39F7EB53"/>
    <w:rsid w:val="3A0A6DA8"/>
    <w:rsid w:val="3A6D0A50"/>
    <w:rsid w:val="3B384B59"/>
    <w:rsid w:val="3BF765A8"/>
    <w:rsid w:val="3C005BA3"/>
    <w:rsid w:val="3C4D1532"/>
    <w:rsid w:val="3C92BF78"/>
    <w:rsid w:val="3D0B80B7"/>
    <w:rsid w:val="3DA3C247"/>
    <w:rsid w:val="3EAD4BF9"/>
    <w:rsid w:val="3F600C74"/>
    <w:rsid w:val="3F8B8CB6"/>
    <w:rsid w:val="3FDB3A1B"/>
    <w:rsid w:val="405E1286"/>
    <w:rsid w:val="40F7589D"/>
    <w:rsid w:val="4146D2B3"/>
    <w:rsid w:val="4168BA22"/>
    <w:rsid w:val="419305E4"/>
    <w:rsid w:val="41A6607D"/>
    <w:rsid w:val="41F30FFB"/>
    <w:rsid w:val="4220F778"/>
    <w:rsid w:val="429C8724"/>
    <w:rsid w:val="42AC92E4"/>
    <w:rsid w:val="43D16953"/>
    <w:rsid w:val="4407843F"/>
    <w:rsid w:val="449D7CE2"/>
    <w:rsid w:val="44AAA91C"/>
    <w:rsid w:val="44BC0268"/>
    <w:rsid w:val="44F36667"/>
    <w:rsid w:val="44FF0E4E"/>
    <w:rsid w:val="454D807A"/>
    <w:rsid w:val="46049C1B"/>
    <w:rsid w:val="462F16AF"/>
    <w:rsid w:val="47391124"/>
    <w:rsid w:val="4744F93D"/>
    <w:rsid w:val="476382EB"/>
    <w:rsid w:val="478D83B8"/>
    <w:rsid w:val="479A2CBB"/>
    <w:rsid w:val="480F3CF0"/>
    <w:rsid w:val="484DEA6B"/>
    <w:rsid w:val="48DE0AD8"/>
    <w:rsid w:val="4902158C"/>
    <w:rsid w:val="4997E2FA"/>
    <w:rsid w:val="49C1D9AB"/>
    <w:rsid w:val="4A0F20CD"/>
    <w:rsid w:val="4A638A97"/>
    <w:rsid w:val="4AAA9D6F"/>
    <w:rsid w:val="4ABA5176"/>
    <w:rsid w:val="4AC2B3F2"/>
    <w:rsid w:val="4B4CF3EC"/>
    <w:rsid w:val="4B82F847"/>
    <w:rsid w:val="4BC70C69"/>
    <w:rsid w:val="4C22BBC6"/>
    <w:rsid w:val="4CB25074"/>
    <w:rsid w:val="4CB9702E"/>
    <w:rsid w:val="4D215EE1"/>
    <w:rsid w:val="4E2699D1"/>
    <w:rsid w:val="4FC39FC4"/>
    <w:rsid w:val="4FCC7C7B"/>
    <w:rsid w:val="5010E302"/>
    <w:rsid w:val="5048F7D6"/>
    <w:rsid w:val="512E00F6"/>
    <w:rsid w:val="51670DF1"/>
    <w:rsid w:val="51D98113"/>
    <w:rsid w:val="52C60EBB"/>
    <w:rsid w:val="533E7FB1"/>
    <w:rsid w:val="538AA082"/>
    <w:rsid w:val="546545C9"/>
    <w:rsid w:val="55652F05"/>
    <w:rsid w:val="562CB9ED"/>
    <w:rsid w:val="56A8CD0F"/>
    <w:rsid w:val="56C13B05"/>
    <w:rsid w:val="58D3E28D"/>
    <w:rsid w:val="58EE3D4A"/>
    <w:rsid w:val="5970B12A"/>
    <w:rsid w:val="59A1BE15"/>
    <w:rsid w:val="5A03685F"/>
    <w:rsid w:val="5A03BE9D"/>
    <w:rsid w:val="5A22F8B4"/>
    <w:rsid w:val="5ABBFC7E"/>
    <w:rsid w:val="5AF04937"/>
    <w:rsid w:val="5B005AD0"/>
    <w:rsid w:val="5B9828FA"/>
    <w:rsid w:val="5BB38CB0"/>
    <w:rsid w:val="5BCAB9B9"/>
    <w:rsid w:val="5C0A32CD"/>
    <w:rsid w:val="5CB0E392"/>
    <w:rsid w:val="5CFD3DD0"/>
    <w:rsid w:val="5D16DEF6"/>
    <w:rsid w:val="5FAFF19A"/>
    <w:rsid w:val="605D8E30"/>
    <w:rsid w:val="60B94C46"/>
    <w:rsid w:val="60BA3618"/>
    <w:rsid w:val="61696F84"/>
    <w:rsid w:val="617B809F"/>
    <w:rsid w:val="627890A5"/>
    <w:rsid w:val="62CB7ABA"/>
    <w:rsid w:val="64206B2F"/>
    <w:rsid w:val="64510F8F"/>
    <w:rsid w:val="64C59AD5"/>
    <w:rsid w:val="653A82E2"/>
    <w:rsid w:val="65908364"/>
    <w:rsid w:val="65AA42B0"/>
    <w:rsid w:val="65F0B9ED"/>
    <w:rsid w:val="65F21C8D"/>
    <w:rsid w:val="66707E68"/>
    <w:rsid w:val="679BBF57"/>
    <w:rsid w:val="680EC371"/>
    <w:rsid w:val="68151F8D"/>
    <w:rsid w:val="68B66B1E"/>
    <w:rsid w:val="6948DEC1"/>
    <w:rsid w:val="695C7B06"/>
    <w:rsid w:val="6A30C69C"/>
    <w:rsid w:val="6B8767B9"/>
    <w:rsid w:val="6BC7D6CA"/>
    <w:rsid w:val="6BF3AA89"/>
    <w:rsid w:val="6C14FCF6"/>
    <w:rsid w:val="6C3C8176"/>
    <w:rsid w:val="6C6779C2"/>
    <w:rsid w:val="6C875CB8"/>
    <w:rsid w:val="6D921022"/>
    <w:rsid w:val="6DCCF491"/>
    <w:rsid w:val="6E0CE3A3"/>
    <w:rsid w:val="6E10370A"/>
    <w:rsid w:val="6ED2E159"/>
    <w:rsid w:val="6EE566BB"/>
    <w:rsid w:val="6EFF7BC3"/>
    <w:rsid w:val="6F38C916"/>
    <w:rsid w:val="6F6CCB81"/>
    <w:rsid w:val="6F911F12"/>
    <w:rsid w:val="6FA6D13C"/>
    <w:rsid w:val="6FF088E2"/>
    <w:rsid w:val="700DCE6C"/>
    <w:rsid w:val="7071DF7B"/>
    <w:rsid w:val="7118F015"/>
    <w:rsid w:val="71B789A4"/>
    <w:rsid w:val="71F269C0"/>
    <w:rsid w:val="7233DA89"/>
    <w:rsid w:val="723EDC55"/>
    <w:rsid w:val="72577BAA"/>
    <w:rsid w:val="7344F20C"/>
    <w:rsid w:val="736864B1"/>
    <w:rsid w:val="74377D38"/>
    <w:rsid w:val="74CA11CF"/>
    <w:rsid w:val="74F40536"/>
    <w:rsid w:val="74FB0C02"/>
    <w:rsid w:val="75ED8840"/>
    <w:rsid w:val="76672FCB"/>
    <w:rsid w:val="7692A6EC"/>
    <w:rsid w:val="769D4708"/>
    <w:rsid w:val="76BCA9BC"/>
    <w:rsid w:val="76C6B033"/>
    <w:rsid w:val="76DA3210"/>
    <w:rsid w:val="76E315E4"/>
    <w:rsid w:val="7758B9B3"/>
    <w:rsid w:val="77697F37"/>
    <w:rsid w:val="7776E5F5"/>
    <w:rsid w:val="7777995B"/>
    <w:rsid w:val="7789AAFC"/>
    <w:rsid w:val="7792CA41"/>
    <w:rsid w:val="77A24FAF"/>
    <w:rsid w:val="77A8E122"/>
    <w:rsid w:val="77FD2FDD"/>
    <w:rsid w:val="78CE30A5"/>
    <w:rsid w:val="78E6A06E"/>
    <w:rsid w:val="79C82A0D"/>
    <w:rsid w:val="7A67A389"/>
    <w:rsid w:val="7A7DAC6D"/>
    <w:rsid w:val="7A90ADB9"/>
    <w:rsid w:val="7BBB1093"/>
    <w:rsid w:val="7C301E9D"/>
    <w:rsid w:val="7C30EC23"/>
    <w:rsid w:val="7C32A849"/>
    <w:rsid w:val="7C56514B"/>
    <w:rsid w:val="7CFF7B15"/>
    <w:rsid w:val="7D8BD355"/>
    <w:rsid w:val="7D9B20DE"/>
    <w:rsid w:val="7E5B0E96"/>
    <w:rsid w:val="7F29F568"/>
    <w:rsid w:val="7F5BF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42E4B"/>
  <w15:chartTrackingRefBased/>
  <w15:docId w15:val="{4178856B-D798-4B08-BF75-4CDB029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1E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6F"/>
  </w:style>
  <w:style w:type="paragraph" w:styleId="Footer">
    <w:name w:val="footer"/>
    <w:basedOn w:val="Normal"/>
    <w:link w:val="FooterChar"/>
    <w:uiPriority w:val="99"/>
    <w:unhideWhenUsed/>
    <w:rsid w:val="0071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6F"/>
  </w:style>
  <w:style w:type="paragraph" w:styleId="BalloonText">
    <w:name w:val="Balloon Text"/>
    <w:basedOn w:val="Normal"/>
    <w:link w:val="BalloonTextChar"/>
    <w:uiPriority w:val="99"/>
    <w:semiHidden/>
    <w:unhideWhenUsed/>
    <w:rsid w:val="00D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0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D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D0F"/>
    <w:rPr>
      <w:vertAlign w:val="superscript"/>
    </w:rPr>
  </w:style>
  <w:style w:type="table" w:styleId="TableGrid">
    <w:name w:val="Table Grid"/>
    <w:basedOn w:val="TableNormal"/>
    <w:uiPriority w:val="39"/>
    <w:rsid w:val="009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21EC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87277"/>
  </w:style>
  <w:style w:type="character" w:customStyle="1" w:styleId="eop">
    <w:name w:val="eop"/>
    <w:basedOn w:val="DefaultParagraphFont"/>
    <w:rsid w:val="0010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bmh.nhs.uk\g_data\Oxfordshire\Performance%20and%20Information%20Team\02.%20Routine%20Reporting\OAPS\2020\6.%20Jun20\Additional%20info%20for%20Board%20(F%20PICU%20vs%20Other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1"/>
              <a:t>Oxon and Bucks OAPs - No. of Nights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Female PICU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Sheet1!$A$2:$A$16</c:f>
              <c:numCache>
                <c:formatCode>mmm\-yy</c:formatCode>
                <c:ptCount val="15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</c:numCache>
            </c:num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79</c:v>
                </c:pt>
                <c:pt idx="1">
                  <c:v>73</c:v>
                </c:pt>
                <c:pt idx="2">
                  <c:v>90</c:v>
                </c:pt>
                <c:pt idx="3">
                  <c:v>45</c:v>
                </c:pt>
                <c:pt idx="4">
                  <c:v>32</c:v>
                </c:pt>
                <c:pt idx="5">
                  <c:v>16</c:v>
                </c:pt>
                <c:pt idx="6">
                  <c:v>13</c:v>
                </c:pt>
                <c:pt idx="7">
                  <c:v>13</c:v>
                </c:pt>
                <c:pt idx="8">
                  <c:v>95</c:v>
                </c:pt>
                <c:pt idx="9">
                  <c:v>143</c:v>
                </c:pt>
                <c:pt idx="10">
                  <c:v>166</c:v>
                </c:pt>
                <c:pt idx="11">
                  <c:v>140</c:v>
                </c:pt>
                <c:pt idx="12">
                  <c:v>88</c:v>
                </c:pt>
                <c:pt idx="13">
                  <c:v>107</c:v>
                </c:pt>
                <c:pt idx="1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D-40C9-BC68-709E0F6A9CA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All Other OAPs (excluding Female PICU)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Sheet1!$A$2:$A$16</c:f>
              <c:numCache>
                <c:formatCode>mmm\-yy</c:formatCode>
                <c:ptCount val="15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  <c:pt idx="13">
                  <c:v>43952</c:v>
                </c:pt>
                <c:pt idx="14">
                  <c:v>43983</c:v>
                </c:pt>
              </c:numCache>
            </c:num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84</c:v>
                </c:pt>
                <c:pt idx="1">
                  <c:v>53</c:v>
                </c:pt>
                <c:pt idx="2">
                  <c:v>86</c:v>
                </c:pt>
                <c:pt idx="3">
                  <c:v>8</c:v>
                </c:pt>
                <c:pt idx="4">
                  <c:v>8</c:v>
                </c:pt>
                <c:pt idx="5">
                  <c:v>27</c:v>
                </c:pt>
                <c:pt idx="6">
                  <c:v>45</c:v>
                </c:pt>
                <c:pt idx="7">
                  <c:v>49</c:v>
                </c:pt>
                <c:pt idx="8">
                  <c:v>10</c:v>
                </c:pt>
                <c:pt idx="9">
                  <c:v>55</c:v>
                </c:pt>
                <c:pt idx="10">
                  <c:v>70</c:v>
                </c:pt>
                <c:pt idx="11">
                  <c:v>113</c:v>
                </c:pt>
                <c:pt idx="12">
                  <c:v>205</c:v>
                </c:pt>
                <c:pt idx="13">
                  <c:v>190</c:v>
                </c:pt>
                <c:pt idx="14">
                  <c:v>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CD-40C9-BC68-709E0F6A9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58741200"/>
        <c:axId val="458741856"/>
      </c:barChart>
      <c:dateAx>
        <c:axId val="4587412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741856"/>
        <c:crosses val="autoZero"/>
        <c:auto val="1"/>
        <c:lblOffset val="100"/>
        <c:baseTimeUnit val="months"/>
      </c:dateAx>
      <c:valAx>
        <c:axId val="45874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874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439bc1-4eef-4bfa-a17d-c1275ce1fecc">
      <UserInfo>
        <DisplayName>Lewin Emma (RNU) Oxford Health</DisplayName>
        <AccountId>34</AccountId>
        <AccountType/>
      </UserInfo>
      <UserInfo>
        <DisplayName>Shand Andrea (RNU) Oxford Health</DisplayName>
        <AccountId>40</AccountId>
        <AccountType/>
      </UserInfo>
      <UserInfo>
        <DisplayName>Lee Sarah (RNU) Oxford Health</DisplayName>
        <AccountId>44</AccountId>
        <AccountType/>
      </UserInfo>
      <UserInfo>
        <DisplayName>Shipp Oliver (RNU) Oxford Health</DisplayName>
        <AccountId>30</AccountId>
        <AccountType/>
      </UserInfo>
      <UserInfo>
        <DisplayName>Leavesley Nicola (RNU) Oxford Health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2CF0A585704FB09A130033E26241" ma:contentTypeVersion="6" ma:contentTypeDescription="Create a new document." ma:contentTypeScope="" ma:versionID="1f0da3d2cbb14ead286949c36c0b66df">
  <xsd:schema xmlns:xsd="http://www.w3.org/2001/XMLSchema" xmlns:xs="http://www.w3.org/2001/XMLSchema" xmlns:p="http://schemas.microsoft.com/office/2006/metadata/properties" xmlns:ns2="945ccede-a4dd-4b8f-b869-c0cf835f56c6" xmlns:ns3="3b439bc1-4eef-4bfa-a17d-c1275ce1fecc" targetNamespace="http://schemas.microsoft.com/office/2006/metadata/properties" ma:root="true" ma:fieldsID="2625a3450bc37369c508e3056114e0ee" ns2:_="" ns3:_="">
    <xsd:import namespace="945ccede-a4dd-4b8f-b869-c0cf835f56c6"/>
    <xsd:import namespace="3b439bc1-4eef-4bfa-a17d-c1275ce1f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cede-a4dd-4b8f-b869-c0cf835f5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39bc1-4eef-4bfa-a17d-c1275ce1f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1DDA-966D-4C93-A7AA-F40712BABDE8}">
  <ds:schemaRefs>
    <ds:schemaRef ds:uri="http://schemas.microsoft.com/office/2006/metadata/properties"/>
    <ds:schemaRef ds:uri="http://schemas.microsoft.com/office/infopath/2007/PartnerControls"/>
    <ds:schemaRef ds:uri="3b439bc1-4eef-4bfa-a17d-c1275ce1fecc"/>
  </ds:schemaRefs>
</ds:datastoreItem>
</file>

<file path=customXml/itemProps2.xml><?xml version="1.0" encoding="utf-8"?>
<ds:datastoreItem xmlns:ds="http://schemas.openxmlformats.org/officeDocument/2006/customXml" ds:itemID="{9D21484B-A11F-42E4-AAFF-07747D866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cede-a4dd-4b8f-b869-c0cf835f56c6"/>
    <ds:schemaRef ds:uri="3b439bc1-4eef-4bfa-a17d-c1275ce1f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0950B-082F-46B5-B496-9528EA32B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D1C3A-F221-40D7-B4BC-B224D17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 Jane (RNU) Oxford Health</dc:creator>
  <cp:keywords/>
  <dc:description/>
  <cp:lastModifiedBy>Smith Hannah (RNU) Oxford Health</cp:lastModifiedBy>
  <cp:revision>105</cp:revision>
  <dcterms:created xsi:type="dcterms:W3CDTF">2020-07-09T06:15:00Z</dcterms:created>
  <dcterms:modified xsi:type="dcterms:W3CDTF">2020-07-15T11:48:00Z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0x010100FE592CF0A585704FB09A130033E26241</vt:lpwstr>
  </property>
</Properties>
</file>