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99" w:rsidRDefault="002A7989" w:rsidP="0086436B">
      <w:pPr>
        <w:ind w:right="-900"/>
        <w:jc w:val="right"/>
        <w:rPr>
          <w:lang w:val="en-GB"/>
        </w:rPr>
      </w:pPr>
      <w:r w:rsidRPr="00913639">
        <w:rPr>
          <w:noProof/>
          <w:lang w:val="en-GB" w:eastAsia="en-GB"/>
        </w:rPr>
        <w:drawing>
          <wp:inline distT="0" distB="0" distL="0" distR="0" wp14:anchorId="49D64B58" wp14:editId="3D1545E3">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5D3499" w:rsidRDefault="005D3499"/>
    <w:p w:rsidR="005D3499" w:rsidRDefault="005D3499" w:rsidP="006D305A"/>
    <w:p w:rsidR="005D3499" w:rsidRDefault="005D3499" w:rsidP="006D305A"/>
    <w:p w:rsidR="005D3499" w:rsidRDefault="005D3499" w:rsidP="006D305A"/>
    <w:p w:rsidR="005D3499" w:rsidRDefault="005D3499" w:rsidP="006D305A">
      <w:pPr>
        <w:rPr>
          <w:sz w:val="28"/>
        </w:rPr>
      </w:pPr>
      <w:bookmarkStart w:id="0" w:name="_GoBack"/>
      <w:bookmarkEnd w:id="0"/>
    </w:p>
    <w:p w:rsidR="00E13639" w:rsidRPr="00BB6E16" w:rsidRDefault="005D3499" w:rsidP="006D305A">
      <w:pPr>
        <w:jc w:val="center"/>
        <w:rPr>
          <w:b/>
          <w:sz w:val="32"/>
          <w:szCs w:val="32"/>
        </w:rPr>
      </w:pPr>
      <w:r w:rsidRPr="00BB6E16">
        <w:rPr>
          <w:b/>
          <w:sz w:val="32"/>
          <w:szCs w:val="32"/>
        </w:rPr>
        <w:t xml:space="preserve">Report to the Meeting </w:t>
      </w:r>
      <w:r w:rsidR="00B50D5E" w:rsidRPr="00BB6E16">
        <w:rPr>
          <w:b/>
          <w:sz w:val="32"/>
          <w:szCs w:val="32"/>
        </w:rPr>
        <w:t>of the</w:t>
      </w:r>
    </w:p>
    <w:p w:rsidR="002821F8" w:rsidRPr="00BB6E16" w:rsidRDefault="00B50D5E" w:rsidP="006D305A">
      <w:pPr>
        <w:jc w:val="center"/>
        <w:rPr>
          <w:b/>
          <w:sz w:val="32"/>
          <w:szCs w:val="32"/>
        </w:rPr>
      </w:pPr>
      <w:r w:rsidRPr="00BB6E16">
        <w:rPr>
          <w:b/>
          <w:sz w:val="32"/>
          <w:szCs w:val="32"/>
        </w:rPr>
        <w:t xml:space="preserve">Oxford Health NHS </w:t>
      </w:r>
      <w:r w:rsidR="002821F8" w:rsidRPr="00BB6E16">
        <w:rPr>
          <w:b/>
          <w:sz w:val="32"/>
          <w:szCs w:val="32"/>
        </w:rPr>
        <w:t>Foundation Trust</w:t>
      </w:r>
    </w:p>
    <w:p w:rsidR="005D3499" w:rsidRPr="00BB6E16" w:rsidRDefault="005D3499" w:rsidP="006D305A">
      <w:pPr>
        <w:jc w:val="center"/>
      </w:pPr>
      <w:r w:rsidRPr="00BB6E16">
        <w:rPr>
          <w:b/>
          <w:sz w:val="32"/>
          <w:szCs w:val="32"/>
        </w:rPr>
        <w:t>Board</w:t>
      </w:r>
      <w:r w:rsidR="002821F8" w:rsidRPr="00BB6E16">
        <w:rPr>
          <w:b/>
          <w:sz w:val="32"/>
          <w:szCs w:val="32"/>
        </w:rPr>
        <w:t xml:space="preserve"> of Directors</w:t>
      </w:r>
    </w:p>
    <w:p w:rsidR="005D3499" w:rsidRPr="00BB6E16" w:rsidRDefault="005D3499" w:rsidP="00A85311">
      <w:pPr>
        <w:rPr>
          <w:rFonts w:cs="Arial"/>
          <w:b/>
        </w:rPr>
      </w:pPr>
    </w:p>
    <w:p w:rsidR="00B806C9" w:rsidRDefault="005573FD">
      <w:pPr>
        <w:jc w:val="center"/>
        <w:rPr>
          <w:rFonts w:cs="Arial"/>
          <w:b/>
        </w:rPr>
      </w:pPr>
      <w:r>
        <w:rPr>
          <w:rFonts w:cs="Arial"/>
          <w:b/>
        </w:rPr>
        <w:t xml:space="preserve">25 </w:t>
      </w:r>
      <w:r w:rsidR="00B806C9">
        <w:rPr>
          <w:rFonts w:cs="Arial"/>
          <w:b/>
        </w:rPr>
        <w:t xml:space="preserve">March 2020 </w:t>
      </w:r>
    </w:p>
    <w:p w:rsidR="005D3499" w:rsidRPr="00BB6E16" w:rsidRDefault="005D3499">
      <w:pPr>
        <w:jc w:val="center"/>
        <w:rPr>
          <w:rFonts w:cs="Arial"/>
          <w:b/>
        </w:rPr>
      </w:pPr>
    </w:p>
    <w:p w:rsidR="005D3499" w:rsidRPr="00BB6E16" w:rsidRDefault="00B466A4">
      <w:pPr>
        <w:jc w:val="center"/>
        <w:rPr>
          <w:rFonts w:cs="Arial"/>
          <w:b/>
          <w:sz w:val="32"/>
          <w:szCs w:val="32"/>
        </w:rPr>
      </w:pPr>
      <w:r w:rsidRPr="00BB6E16">
        <w:rPr>
          <w:rFonts w:cs="Arial"/>
          <w:b/>
          <w:sz w:val="32"/>
          <w:szCs w:val="32"/>
        </w:rPr>
        <w:t xml:space="preserve">Research and Development </w:t>
      </w:r>
      <w:r w:rsidR="00D936BB" w:rsidRPr="00BB6E16">
        <w:rPr>
          <w:rFonts w:cs="Arial"/>
          <w:b/>
          <w:sz w:val="32"/>
          <w:szCs w:val="32"/>
        </w:rPr>
        <w:t>R</w:t>
      </w:r>
      <w:r w:rsidRPr="00BB6E16">
        <w:rPr>
          <w:rFonts w:cs="Arial"/>
          <w:b/>
          <w:sz w:val="32"/>
          <w:szCs w:val="32"/>
        </w:rPr>
        <w:t>eport</w:t>
      </w:r>
    </w:p>
    <w:p w:rsidR="002A7989" w:rsidRPr="00BB6E16" w:rsidRDefault="002A7989">
      <w:pPr>
        <w:jc w:val="center"/>
        <w:rPr>
          <w:rFonts w:cs="Arial"/>
          <w:b/>
          <w:sz w:val="32"/>
          <w:szCs w:val="32"/>
        </w:rPr>
      </w:pPr>
    </w:p>
    <w:p w:rsidR="002A7989" w:rsidRPr="00BB6E16" w:rsidRDefault="002A7989">
      <w:pPr>
        <w:jc w:val="center"/>
        <w:rPr>
          <w:rFonts w:cs="Arial"/>
          <w:b/>
          <w:sz w:val="32"/>
          <w:szCs w:val="32"/>
        </w:rPr>
      </w:pPr>
      <w:r w:rsidRPr="00BB6E16">
        <w:rPr>
          <w:rFonts w:cs="Arial"/>
          <w:b/>
          <w:sz w:val="32"/>
          <w:szCs w:val="32"/>
        </w:rPr>
        <w:t>For information</w:t>
      </w:r>
    </w:p>
    <w:p w:rsidR="002A7989" w:rsidRPr="00BB6E16" w:rsidRDefault="002A7989">
      <w:pPr>
        <w:spacing w:before="0" w:after="0"/>
        <w:jc w:val="left"/>
        <w:rPr>
          <w:rFonts w:cs="Arial"/>
          <w:b/>
          <w:color w:val="FF0000"/>
          <w:sz w:val="32"/>
          <w:szCs w:val="32"/>
        </w:rPr>
      </w:pPr>
      <w:r w:rsidRPr="00BB6E16">
        <w:rPr>
          <w:rFonts w:cs="Arial"/>
          <w:b/>
          <w:sz w:val="32"/>
          <w:szCs w:val="32"/>
        </w:rPr>
        <w:br w:type="page"/>
      </w:r>
    </w:p>
    <w:p w:rsidR="002A7989" w:rsidRPr="004058E3" w:rsidRDefault="002A7989" w:rsidP="002A7989">
      <w:pPr>
        <w:spacing w:before="0" w:after="0"/>
        <w:rPr>
          <w:rFonts w:ascii="Segoe UI" w:hAnsi="Segoe UI" w:cs="Segoe UI"/>
          <w:b/>
          <w:sz w:val="24"/>
        </w:rPr>
      </w:pPr>
      <w:r w:rsidRPr="004058E3">
        <w:rPr>
          <w:rFonts w:ascii="Segoe UI" w:hAnsi="Segoe UI" w:cs="Segoe UI"/>
          <w:b/>
          <w:sz w:val="24"/>
        </w:rPr>
        <w:lastRenderedPageBreak/>
        <w:t>Executive Summary</w:t>
      </w:r>
    </w:p>
    <w:p w:rsidR="002A7989" w:rsidRPr="004058E3" w:rsidRDefault="002A7989" w:rsidP="002A7989">
      <w:pPr>
        <w:spacing w:before="0" w:after="0"/>
        <w:rPr>
          <w:rFonts w:ascii="Segoe UI" w:hAnsi="Segoe UI" w:cs="Segoe UI"/>
          <w:b/>
          <w:sz w:val="24"/>
        </w:rPr>
      </w:pPr>
    </w:p>
    <w:p w:rsidR="006F795B" w:rsidRPr="000C7297" w:rsidRDefault="002A7989" w:rsidP="002A7989">
      <w:pPr>
        <w:spacing w:before="0" w:after="0"/>
        <w:rPr>
          <w:rFonts w:ascii="Segoe UI" w:hAnsi="Segoe UI" w:cs="Segoe UI"/>
          <w:szCs w:val="22"/>
        </w:rPr>
      </w:pPr>
      <w:r w:rsidRPr="000C7297">
        <w:rPr>
          <w:rFonts w:ascii="Segoe UI" w:hAnsi="Segoe UI" w:cs="Segoe UI"/>
          <w:szCs w:val="22"/>
        </w:rPr>
        <w:t xml:space="preserve">The last six months has </w:t>
      </w:r>
      <w:r w:rsidR="004058E3" w:rsidRPr="000C7297">
        <w:rPr>
          <w:rFonts w:ascii="Segoe UI" w:hAnsi="Segoe UI" w:cs="Segoe UI"/>
          <w:szCs w:val="22"/>
        </w:rPr>
        <w:t xml:space="preserve">seen </w:t>
      </w:r>
      <w:r w:rsidRPr="000C7297">
        <w:rPr>
          <w:rFonts w:ascii="Segoe UI" w:hAnsi="Segoe UI" w:cs="Segoe UI"/>
          <w:szCs w:val="22"/>
        </w:rPr>
        <w:t xml:space="preserve">National Institute of Health Research (NIHR) </w:t>
      </w:r>
      <w:r w:rsidR="006F795B" w:rsidRPr="000C7297">
        <w:rPr>
          <w:rFonts w:ascii="Segoe UI" w:hAnsi="Segoe UI" w:cs="Segoe UI"/>
          <w:szCs w:val="22"/>
        </w:rPr>
        <w:t xml:space="preserve">responses to the </w:t>
      </w:r>
      <w:r w:rsidR="00B418C4" w:rsidRPr="000C7297">
        <w:rPr>
          <w:rFonts w:ascii="Segoe UI" w:hAnsi="Segoe UI" w:cs="Segoe UI"/>
          <w:szCs w:val="22"/>
        </w:rPr>
        <w:t xml:space="preserve">following </w:t>
      </w:r>
      <w:r w:rsidR="006F795B" w:rsidRPr="000C7297">
        <w:rPr>
          <w:rFonts w:ascii="Segoe UI" w:hAnsi="Segoe UI" w:cs="Segoe UI"/>
          <w:szCs w:val="22"/>
        </w:rPr>
        <w:t xml:space="preserve">annual </w:t>
      </w:r>
      <w:r w:rsidR="00B418C4" w:rsidRPr="000C7297">
        <w:rPr>
          <w:rFonts w:ascii="Segoe UI" w:hAnsi="Segoe UI" w:cs="Segoe UI"/>
          <w:szCs w:val="22"/>
        </w:rPr>
        <w:t>i</w:t>
      </w:r>
      <w:r w:rsidR="006F795B" w:rsidRPr="000C7297">
        <w:rPr>
          <w:rFonts w:ascii="Segoe UI" w:hAnsi="Segoe UI" w:cs="Segoe UI"/>
          <w:szCs w:val="22"/>
        </w:rPr>
        <w:t>nfrastructure award</w:t>
      </w:r>
      <w:r w:rsidR="00B418C4" w:rsidRPr="000C7297">
        <w:rPr>
          <w:rFonts w:ascii="Segoe UI" w:hAnsi="Segoe UI" w:cs="Segoe UI"/>
          <w:szCs w:val="22"/>
        </w:rPr>
        <w:t xml:space="preserve"> reports</w:t>
      </w:r>
      <w:r w:rsidR="006F795B" w:rsidRPr="000C7297">
        <w:rPr>
          <w:rFonts w:ascii="Segoe UI" w:hAnsi="Segoe UI" w:cs="Segoe UI"/>
          <w:szCs w:val="22"/>
        </w:rPr>
        <w:t>;</w:t>
      </w:r>
    </w:p>
    <w:p w:rsidR="006F795B" w:rsidRPr="000C7297" w:rsidRDefault="006F795B" w:rsidP="002A7989">
      <w:pPr>
        <w:spacing w:before="0" w:after="0"/>
        <w:rPr>
          <w:rFonts w:ascii="Segoe UI" w:hAnsi="Segoe UI" w:cs="Segoe UI"/>
          <w:szCs w:val="22"/>
        </w:rPr>
      </w:pPr>
    </w:p>
    <w:p w:rsidR="006F795B" w:rsidRPr="000C7297" w:rsidRDefault="002A7989" w:rsidP="0017480B">
      <w:pPr>
        <w:pStyle w:val="ListParagraph"/>
        <w:numPr>
          <w:ilvl w:val="0"/>
          <w:numId w:val="54"/>
        </w:numPr>
        <w:spacing w:before="0" w:after="0"/>
        <w:rPr>
          <w:rFonts w:ascii="Segoe UI" w:hAnsi="Segoe UI" w:cs="Segoe UI"/>
          <w:szCs w:val="22"/>
        </w:rPr>
      </w:pPr>
      <w:r w:rsidRPr="000C7297">
        <w:rPr>
          <w:rFonts w:ascii="Segoe UI" w:hAnsi="Segoe UI" w:cs="Segoe UI"/>
          <w:szCs w:val="22"/>
        </w:rPr>
        <w:t>Oxford Health Biomedical Research Centre (BRC)</w:t>
      </w:r>
    </w:p>
    <w:p w:rsidR="006F795B" w:rsidRPr="000C7297" w:rsidRDefault="006F795B" w:rsidP="0017480B">
      <w:pPr>
        <w:pStyle w:val="ListParagraph"/>
        <w:numPr>
          <w:ilvl w:val="0"/>
          <w:numId w:val="54"/>
        </w:numPr>
        <w:spacing w:before="0" w:after="0"/>
        <w:rPr>
          <w:rFonts w:ascii="Segoe UI" w:hAnsi="Segoe UI" w:cs="Segoe UI"/>
          <w:szCs w:val="22"/>
        </w:rPr>
      </w:pPr>
      <w:r w:rsidRPr="000C7297">
        <w:rPr>
          <w:rFonts w:ascii="Segoe UI" w:hAnsi="Segoe UI" w:cs="Segoe UI"/>
          <w:szCs w:val="22"/>
        </w:rPr>
        <w:t xml:space="preserve">Oxford Cognitive Clinical Research Facility </w:t>
      </w:r>
      <w:r w:rsidR="00D77CB7" w:rsidRPr="000C7297">
        <w:rPr>
          <w:rFonts w:ascii="Segoe UI" w:hAnsi="Segoe UI" w:cs="Segoe UI"/>
          <w:szCs w:val="22"/>
        </w:rPr>
        <w:t>(CRF)</w:t>
      </w:r>
    </w:p>
    <w:p w:rsidR="006F795B" w:rsidRPr="000C7297" w:rsidRDefault="006F795B" w:rsidP="0017480B">
      <w:pPr>
        <w:pStyle w:val="ListParagraph"/>
        <w:numPr>
          <w:ilvl w:val="0"/>
          <w:numId w:val="54"/>
        </w:numPr>
        <w:spacing w:before="0" w:after="0"/>
        <w:rPr>
          <w:rFonts w:ascii="Segoe UI" w:hAnsi="Segoe UI" w:cs="Segoe UI"/>
          <w:szCs w:val="22"/>
        </w:rPr>
      </w:pPr>
      <w:r w:rsidRPr="000C7297">
        <w:rPr>
          <w:rFonts w:ascii="Segoe UI" w:hAnsi="Segoe UI" w:cs="Segoe UI"/>
          <w:szCs w:val="22"/>
        </w:rPr>
        <w:t xml:space="preserve">Oxford NIHR Collaboration in Leadership in Applied Health Research and Care (CLAHRC) </w:t>
      </w:r>
    </w:p>
    <w:p w:rsidR="006F795B" w:rsidRPr="000C7297" w:rsidRDefault="006F795B" w:rsidP="0017480B">
      <w:pPr>
        <w:pStyle w:val="ListParagraph"/>
        <w:numPr>
          <w:ilvl w:val="0"/>
          <w:numId w:val="54"/>
        </w:numPr>
        <w:spacing w:before="0" w:after="0"/>
        <w:rPr>
          <w:rFonts w:ascii="Segoe UI" w:hAnsi="Segoe UI" w:cs="Segoe UI"/>
          <w:szCs w:val="22"/>
        </w:rPr>
      </w:pPr>
      <w:r w:rsidRPr="000C7297">
        <w:rPr>
          <w:rFonts w:ascii="Segoe UI" w:hAnsi="Segoe UI" w:cs="Segoe UI"/>
          <w:szCs w:val="22"/>
        </w:rPr>
        <w:t>NIHR Community Healthcare MedTech and IVD Co-operative (MIC)</w:t>
      </w:r>
    </w:p>
    <w:p w:rsidR="002A7989" w:rsidRPr="000C7297" w:rsidRDefault="002A7989" w:rsidP="002A7989">
      <w:pPr>
        <w:spacing w:before="0" w:after="0"/>
        <w:rPr>
          <w:rFonts w:ascii="Segoe UI" w:hAnsi="Segoe UI" w:cs="Segoe UI"/>
          <w:color w:val="FF0000"/>
          <w:szCs w:val="22"/>
        </w:rPr>
      </w:pPr>
    </w:p>
    <w:p w:rsidR="006D6ACE" w:rsidRPr="000C7297" w:rsidRDefault="006D6ACE" w:rsidP="002A7989">
      <w:pPr>
        <w:spacing w:before="0" w:after="0"/>
        <w:rPr>
          <w:rFonts w:ascii="Segoe UI" w:hAnsi="Segoe UI" w:cs="Segoe UI"/>
          <w:szCs w:val="22"/>
        </w:rPr>
      </w:pPr>
      <w:r w:rsidRPr="000C7297">
        <w:rPr>
          <w:rFonts w:ascii="Segoe UI" w:hAnsi="Segoe UI" w:cs="Segoe UI"/>
          <w:szCs w:val="22"/>
        </w:rPr>
        <w:t>In all cases the NIHR were happy with progress. A few small areas were identified for action which will be addressed</w:t>
      </w:r>
    </w:p>
    <w:p w:rsidR="006D6ACE" w:rsidRPr="000C7297" w:rsidRDefault="006D6ACE" w:rsidP="002A7989">
      <w:pPr>
        <w:spacing w:before="0" w:after="0"/>
        <w:rPr>
          <w:rFonts w:ascii="Segoe UI" w:hAnsi="Segoe UI" w:cs="Segoe UI"/>
          <w:color w:val="FF0000"/>
          <w:szCs w:val="22"/>
        </w:rPr>
      </w:pPr>
    </w:p>
    <w:p w:rsidR="006F795B" w:rsidRPr="000C7297" w:rsidRDefault="006D6ACE" w:rsidP="00367EB8">
      <w:pPr>
        <w:spacing w:before="0" w:after="0"/>
        <w:rPr>
          <w:rFonts w:ascii="Segoe UI" w:hAnsi="Segoe UI" w:cs="Segoe UI"/>
          <w:szCs w:val="22"/>
        </w:rPr>
      </w:pPr>
      <w:r w:rsidRPr="000C7297">
        <w:rPr>
          <w:rFonts w:ascii="Segoe UI" w:hAnsi="Segoe UI" w:cs="Segoe UI"/>
          <w:szCs w:val="22"/>
        </w:rPr>
        <w:t xml:space="preserve">The </w:t>
      </w:r>
      <w:r w:rsidR="00D77CB7" w:rsidRPr="000C7297">
        <w:rPr>
          <w:rFonts w:ascii="Segoe UI" w:hAnsi="Segoe UI" w:cs="Segoe UI"/>
          <w:szCs w:val="22"/>
        </w:rPr>
        <w:t>Applied Research Collaboration Oxford and Thames Valley (</w:t>
      </w:r>
      <w:proofErr w:type="spellStart"/>
      <w:r w:rsidR="00D77CB7" w:rsidRPr="000C7297">
        <w:rPr>
          <w:rFonts w:ascii="Segoe UI" w:hAnsi="Segoe UI" w:cs="Segoe UI"/>
          <w:szCs w:val="22"/>
        </w:rPr>
        <w:t>OxTV</w:t>
      </w:r>
      <w:proofErr w:type="spellEnd"/>
      <w:r w:rsidR="00D77CB7" w:rsidRPr="000C7297">
        <w:rPr>
          <w:rFonts w:ascii="Segoe UI" w:hAnsi="Segoe UI" w:cs="Segoe UI"/>
          <w:szCs w:val="22"/>
        </w:rPr>
        <w:t xml:space="preserve">) </w:t>
      </w:r>
      <w:r w:rsidR="006F795B" w:rsidRPr="000C7297">
        <w:rPr>
          <w:rFonts w:ascii="Segoe UI" w:hAnsi="Segoe UI" w:cs="Segoe UI"/>
          <w:szCs w:val="22"/>
        </w:rPr>
        <w:t xml:space="preserve">(ARC) commenced on 1st October </w:t>
      </w:r>
      <w:r w:rsidRPr="000C7297">
        <w:rPr>
          <w:rFonts w:ascii="Segoe UI" w:hAnsi="Segoe UI" w:cs="Segoe UI"/>
          <w:szCs w:val="22"/>
        </w:rPr>
        <w:t>(£9m over five years). This e</w:t>
      </w:r>
      <w:r w:rsidR="006F795B" w:rsidRPr="000C7297">
        <w:rPr>
          <w:rFonts w:ascii="Segoe UI" w:hAnsi="Segoe UI" w:cs="Segoe UI"/>
          <w:szCs w:val="22"/>
        </w:rPr>
        <w:t>ffectively replaced the Ox</w:t>
      </w:r>
      <w:r w:rsidR="002A7989" w:rsidRPr="000C7297">
        <w:rPr>
          <w:rFonts w:ascii="Segoe UI" w:hAnsi="Segoe UI" w:cs="Segoe UI"/>
          <w:szCs w:val="22"/>
        </w:rPr>
        <w:t xml:space="preserve">ford NIHR Collaboration in Leadership in Applied Health Research and Care (CLAHRC) </w:t>
      </w:r>
      <w:r w:rsidR="006F795B" w:rsidRPr="000C7297">
        <w:rPr>
          <w:rFonts w:ascii="Segoe UI" w:hAnsi="Segoe UI" w:cs="Segoe UI"/>
          <w:szCs w:val="22"/>
        </w:rPr>
        <w:t xml:space="preserve">which came to an end </w:t>
      </w:r>
      <w:r w:rsidRPr="000C7297">
        <w:rPr>
          <w:rFonts w:ascii="Segoe UI" w:hAnsi="Segoe UI" w:cs="Segoe UI"/>
          <w:szCs w:val="22"/>
        </w:rPr>
        <w:t>in</w:t>
      </w:r>
      <w:r w:rsidR="006F795B" w:rsidRPr="000C7297">
        <w:rPr>
          <w:rFonts w:ascii="Segoe UI" w:hAnsi="Segoe UI" w:cs="Segoe UI"/>
          <w:szCs w:val="22"/>
        </w:rPr>
        <w:t xml:space="preserve"> </w:t>
      </w:r>
      <w:r w:rsidRPr="000C7297">
        <w:rPr>
          <w:rFonts w:ascii="Segoe UI" w:hAnsi="Segoe UI" w:cs="Segoe UI"/>
          <w:szCs w:val="22"/>
        </w:rPr>
        <w:t>S</w:t>
      </w:r>
      <w:r w:rsidR="006F795B" w:rsidRPr="000C7297">
        <w:rPr>
          <w:rFonts w:ascii="Segoe UI" w:hAnsi="Segoe UI" w:cs="Segoe UI"/>
          <w:szCs w:val="22"/>
        </w:rPr>
        <w:t xml:space="preserve">eptember. Both of these awards </w:t>
      </w:r>
      <w:r w:rsidRPr="000C7297">
        <w:rPr>
          <w:rFonts w:ascii="Segoe UI" w:hAnsi="Segoe UI" w:cs="Segoe UI"/>
          <w:szCs w:val="22"/>
        </w:rPr>
        <w:t>were\</w:t>
      </w:r>
      <w:r w:rsidR="006F795B" w:rsidRPr="000C7297">
        <w:rPr>
          <w:rFonts w:ascii="Segoe UI" w:hAnsi="Segoe UI" w:cs="Segoe UI"/>
          <w:szCs w:val="22"/>
        </w:rPr>
        <w:t xml:space="preserve">are </w:t>
      </w:r>
      <w:r w:rsidR="002A7989" w:rsidRPr="000C7297">
        <w:rPr>
          <w:rFonts w:ascii="Segoe UI" w:hAnsi="Segoe UI" w:cs="Segoe UI"/>
          <w:szCs w:val="22"/>
        </w:rPr>
        <w:t>led by Professor Richard Hobbs</w:t>
      </w:r>
      <w:r w:rsidR="006F795B" w:rsidRPr="000C7297">
        <w:rPr>
          <w:rFonts w:ascii="Segoe UI" w:hAnsi="Segoe UI" w:cs="Segoe UI"/>
          <w:szCs w:val="22"/>
        </w:rPr>
        <w:t>.</w:t>
      </w:r>
    </w:p>
    <w:p w:rsidR="00D26516" w:rsidRPr="000C7297" w:rsidRDefault="00D26516" w:rsidP="002A7989">
      <w:pPr>
        <w:spacing w:before="0" w:after="0"/>
        <w:rPr>
          <w:rFonts w:ascii="Segoe UI" w:hAnsi="Segoe UI" w:cs="Segoe UI"/>
          <w:color w:val="FF0000"/>
          <w:szCs w:val="22"/>
        </w:rPr>
      </w:pPr>
    </w:p>
    <w:p w:rsidR="00D26516" w:rsidRPr="000C7297" w:rsidRDefault="00251800" w:rsidP="002A7989">
      <w:pPr>
        <w:spacing w:before="0" w:after="0"/>
        <w:rPr>
          <w:rFonts w:ascii="Segoe UI" w:hAnsi="Segoe UI" w:cs="Segoe UI"/>
          <w:szCs w:val="22"/>
        </w:rPr>
      </w:pPr>
      <w:r w:rsidRPr="000C7297">
        <w:rPr>
          <w:rFonts w:ascii="Segoe UI" w:hAnsi="Segoe UI" w:cs="Segoe UI"/>
          <w:szCs w:val="22"/>
        </w:rPr>
        <w:t xml:space="preserve">The </w:t>
      </w:r>
      <w:r w:rsidR="002A7989" w:rsidRPr="000C7297">
        <w:rPr>
          <w:rFonts w:ascii="Segoe UI" w:hAnsi="Segoe UI" w:cs="Segoe UI"/>
          <w:szCs w:val="22"/>
        </w:rPr>
        <w:t>Research Management Group is prov</w:t>
      </w:r>
      <w:r w:rsidRPr="000C7297">
        <w:rPr>
          <w:rFonts w:ascii="Segoe UI" w:hAnsi="Segoe UI" w:cs="Segoe UI"/>
          <w:szCs w:val="22"/>
        </w:rPr>
        <w:t>i</w:t>
      </w:r>
      <w:r w:rsidR="002A7989" w:rsidRPr="000C7297">
        <w:rPr>
          <w:rFonts w:ascii="Segoe UI" w:hAnsi="Segoe UI" w:cs="Segoe UI"/>
          <w:szCs w:val="22"/>
        </w:rPr>
        <w:t>ng a value asset in steering the strategic and scientific direction of research undertaken within OHFT and its partners by bringing together key stakeholders from the various NIHR infrastructures, AHSC, AHSN, University of Oxford, Oxford Brookes University</w:t>
      </w:r>
      <w:r w:rsidR="00D26516" w:rsidRPr="000C7297">
        <w:rPr>
          <w:rFonts w:ascii="Segoe UI" w:hAnsi="Segoe UI" w:cs="Segoe UI"/>
          <w:szCs w:val="22"/>
        </w:rPr>
        <w:t xml:space="preserve"> and </w:t>
      </w:r>
      <w:r w:rsidRPr="000C7297">
        <w:rPr>
          <w:rFonts w:ascii="Segoe UI" w:hAnsi="Segoe UI" w:cs="Segoe UI"/>
          <w:szCs w:val="22"/>
        </w:rPr>
        <w:t xml:space="preserve">the </w:t>
      </w:r>
      <w:r w:rsidR="002A7989" w:rsidRPr="000C7297">
        <w:rPr>
          <w:rFonts w:ascii="Segoe UI" w:hAnsi="Segoe UI" w:cs="Segoe UI"/>
          <w:szCs w:val="22"/>
        </w:rPr>
        <w:t>clinical services</w:t>
      </w:r>
    </w:p>
    <w:p w:rsidR="002A7989" w:rsidRPr="000C7297" w:rsidRDefault="002A7989" w:rsidP="002A7989">
      <w:pPr>
        <w:spacing w:before="0" w:after="0"/>
        <w:rPr>
          <w:rFonts w:ascii="Segoe UI" w:hAnsi="Segoe UI" w:cs="Segoe UI"/>
          <w:szCs w:val="22"/>
        </w:rPr>
      </w:pPr>
    </w:p>
    <w:p w:rsidR="002A7989" w:rsidRPr="000C7297" w:rsidRDefault="002A7989" w:rsidP="002A7989">
      <w:pPr>
        <w:spacing w:before="0" w:after="0"/>
        <w:rPr>
          <w:rFonts w:ascii="Segoe UI" w:hAnsi="Segoe UI" w:cs="Segoe UI"/>
          <w:szCs w:val="22"/>
        </w:rPr>
      </w:pPr>
      <w:r w:rsidRPr="000C7297">
        <w:rPr>
          <w:rFonts w:ascii="Segoe UI" w:hAnsi="Segoe UI" w:cs="Segoe UI"/>
          <w:szCs w:val="22"/>
        </w:rPr>
        <w:t>The Trust continues to provide robust research support to enable researcher to conduct studies within OHFT, with regular pipeline meetings to establish feasibility for each study taking into consideration scientific and strategic importance to patients, the organisations and its partners.</w:t>
      </w:r>
    </w:p>
    <w:p w:rsidR="002A7989" w:rsidRPr="000C7297" w:rsidRDefault="002A7989" w:rsidP="002A7989">
      <w:pPr>
        <w:spacing w:before="0" w:after="0"/>
        <w:rPr>
          <w:rFonts w:ascii="Segoe UI" w:hAnsi="Segoe UI" w:cs="Segoe UI"/>
          <w:szCs w:val="22"/>
        </w:rPr>
      </w:pPr>
    </w:p>
    <w:p w:rsidR="006D6ACE" w:rsidRPr="000C7297" w:rsidRDefault="00F734A7" w:rsidP="00F734A7">
      <w:pPr>
        <w:rPr>
          <w:rFonts w:ascii="Segoe UI" w:hAnsi="Segoe UI" w:cs="Segoe UI"/>
          <w:szCs w:val="22"/>
        </w:rPr>
      </w:pPr>
      <w:r w:rsidRPr="000C7297">
        <w:rPr>
          <w:rFonts w:ascii="Segoe UI" w:hAnsi="Segoe UI" w:cs="Segoe UI"/>
          <w:szCs w:val="22"/>
        </w:rPr>
        <w:t xml:space="preserve">R&amp;D </w:t>
      </w:r>
      <w:r w:rsidR="006D6ACE" w:rsidRPr="000C7297">
        <w:rPr>
          <w:rFonts w:ascii="Segoe UI" w:hAnsi="Segoe UI" w:cs="Segoe UI"/>
          <w:szCs w:val="22"/>
        </w:rPr>
        <w:t>are forecasting a £95k favorable variance for FY20</w:t>
      </w:r>
    </w:p>
    <w:p w:rsidR="00F734A7" w:rsidRPr="000C7297" w:rsidRDefault="00F734A7" w:rsidP="00D26516">
      <w:pPr>
        <w:spacing w:before="0" w:after="0"/>
        <w:rPr>
          <w:rFonts w:ascii="Segoe UI" w:hAnsi="Segoe UI" w:cs="Segoe UI"/>
          <w:szCs w:val="22"/>
        </w:rPr>
      </w:pPr>
    </w:p>
    <w:p w:rsidR="00251800" w:rsidRPr="000C7297" w:rsidRDefault="0017480B" w:rsidP="00D26516">
      <w:pPr>
        <w:spacing w:before="0" w:after="0"/>
        <w:rPr>
          <w:rFonts w:ascii="Segoe UI" w:hAnsi="Segoe UI" w:cs="Segoe UI"/>
          <w:szCs w:val="22"/>
        </w:rPr>
      </w:pPr>
      <w:r w:rsidRPr="000C7297">
        <w:rPr>
          <w:rFonts w:ascii="Segoe UI" w:hAnsi="Segoe UI" w:cs="Segoe UI"/>
          <w:szCs w:val="22"/>
        </w:rPr>
        <w:t xml:space="preserve">OHFT contributed to the Oxford Academic Health Science Centre </w:t>
      </w:r>
      <w:r w:rsidR="006D6ACE" w:rsidRPr="000C7297">
        <w:rPr>
          <w:rFonts w:ascii="Segoe UI" w:hAnsi="Segoe UI" w:cs="Segoe UI"/>
          <w:szCs w:val="22"/>
        </w:rPr>
        <w:t xml:space="preserve">renewal </w:t>
      </w:r>
      <w:r w:rsidRPr="000C7297">
        <w:rPr>
          <w:rFonts w:ascii="Segoe UI" w:hAnsi="Segoe UI" w:cs="Segoe UI"/>
          <w:szCs w:val="22"/>
        </w:rPr>
        <w:t xml:space="preserve">application </w:t>
      </w:r>
      <w:r w:rsidR="006D6ACE" w:rsidRPr="000C7297">
        <w:rPr>
          <w:rFonts w:ascii="Segoe UI" w:hAnsi="Segoe UI" w:cs="Segoe UI"/>
          <w:szCs w:val="22"/>
        </w:rPr>
        <w:t>a</w:t>
      </w:r>
      <w:r w:rsidRPr="000C7297">
        <w:rPr>
          <w:rFonts w:ascii="Segoe UI" w:hAnsi="Segoe UI" w:cs="Segoe UI"/>
          <w:szCs w:val="22"/>
        </w:rPr>
        <w:t xml:space="preserve">nd </w:t>
      </w:r>
      <w:r w:rsidR="00D26516" w:rsidRPr="000C7297">
        <w:rPr>
          <w:rFonts w:ascii="Segoe UI" w:hAnsi="Segoe UI" w:cs="Segoe UI"/>
          <w:szCs w:val="22"/>
        </w:rPr>
        <w:t xml:space="preserve">continues </w:t>
      </w:r>
      <w:r w:rsidR="00BB6E16" w:rsidRPr="000C7297">
        <w:rPr>
          <w:rFonts w:ascii="Segoe UI" w:hAnsi="Segoe UI" w:cs="Segoe UI"/>
          <w:szCs w:val="22"/>
        </w:rPr>
        <w:t xml:space="preserve">to </w:t>
      </w:r>
      <w:r w:rsidR="00D26516" w:rsidRPr="000C7297">
        <w:rPr>
          <w:rFonts w:ascii="Segoe UI" w:hAnsi="Segoe UI" w:cs="Segoe UI"/>
          <w:szCs w:val="22"/>
        </w:rPr>
        <w:t xml:space="preserve">support the Oxford Academic Health Science Network </w:t>
      </w:r>
      <w:r w:rsidR="00251800" w:rsidRPr="000C7297">
        <w:rPr>
          <w:rFonts w:ascii="Segoe UI" w:hAnsi="Segoe UI" w:cs="Segoe UI"/>
          <w:szCs w:val="22"/>
        </w:rPr>
        <w:t>with developments in Mental Health</w:t>
      </w:r>
    </w:p>
    <w:p w:rsidR="0030036F" w:rsidRPr="000C7297" w:rsidRDefault="0030036F" w:rsidP="002A7989">
      <w:pPr>
        <w:spacing w:before="0" w:after="0"/>
        <w:rPr>
          <w:rFonts w:ascii="Segoe UI" w:hAnsi="Segoe UI" w:cs="Segoe UI"/>
          <w:b/>
          <w:szCs w:val="22"/>
        </w:rPr>
      </w:pPr>
    </w:p>
    <w:p w:rsidR="0017480B" w:rsidRPr="000C7297" w:rsidRDefault="0017480B" w:rsidP="002A7989">
      <w:pPr>
        <w:spacing w:before="0" w:after="0"/>
        <w:rPr>
          <w:rFonts w:ascii="Segoe UI" w:hAnsi="Segoe UI" w:cs="Segoe UI"/>
          <w:bCs/>
          <w:szCs w:val="22"/>
        </w:rPr>
      </w:pPr>
      <w:r w:rsidRPr="000C7297">
        <w:rPr>
          <w:rFonts w:ascii="Segoe UI" w:hAnsi="Segoe UI" w:cs="Segoe UI"/>
          <w:bCs/>
          <w:szCs w:val="22"/>
        </w:rPr>
        <w:t>OHFT are meeting bi-monthly with the NIHR as part on their Intellectual Property management process.</w:t>
      </w:r>
    </w:p>
    <w:p w:rsidR="006D6ACE" w:rsidRDefault="006D6ACE" w:rsidP="002A7989">
      <w:pPr>
        <w:spacing w:before="0" w:after="0"/>
        <w:rPr>
          <w:rFonts w:ascii="Segoe UI" w:hAnsi="Segoe UI" w:cs="Segoe UI"/>
          <w:bCs/>
          <w:szCs w:val="22"/>
        </w:rPr>
      </w:pPr>
    </w:p>
    <w:p w:rsidR="000C7297" w:rsidRDefault="000C7297" w:rsidP="002A7989">
      <w:pPr>
        <w:spacing w:before="0" w:after="0"/>
        <w:rPr>
          <w:rFonts w:ascii="Segoe UI" w:hAnsi="Segoe UI" w:cs="Segoe UI"/>
          <w:bCs/>
          <w:szCs w:val="22"/>
        </w:rPr>
      </w:pPr>
    </w:p>
    <w:p w:rsidR="000C7297" w:rsidRDefault="000C7297" w:rsidP="002A7989">
      <w:pPr>
        <w:spacing w:before="0" w:after="0"/>
        <w:rPr>
          <w:rFonts w:ascii="Segoe UI" w:hAnsi="Segoe UI" w:cs="Segoe UI"/>
          <w:bCs/>
          <w:szCs w:val="22"/>
        </w:rPr>
      </w:pPr>
    </w:p>
    <w:p w:rsidR="000C7297" w:rsidRDefault="000C7297" w:rsidP="002A7989">
      <w:pPr>
        <w:spacing w:before="0" w:after="0"/>
        <w:rPr>
          <w:rFonts w:ascii="Segoe UI" w:hAnsi="Segoe UI" w:cs="Segoe UI"/>
          <w:bCs/>
          <w:szCs w:val="22"/>
        </w:rPr>
      </w:pPr>
    </w:p>
    <w:p w:rsidR="000C7297" w:rsidRDefault="000C7297" w:rsidP="002A7989">
      <w:pPr>
        <w:spacing w:before="0" w:after="0"/>
        <w:rPr>
          <w:rFonts w:ascii="Segoe UI" w:hAnsi="Segoe UI" w:cs="Segoe UI"/>
          <w:bCs/>
          <w:szCs w:val="22"/>
        </w:rPr>
      </w:pPr>
    </w:p>
    <w:p w:rsidR="000C7297" w:rsidRDefault="000C7297" w:rsidP="002A7989">
      <w:pPr>
        <w:spacing w:before="0" w:after="0"/>
        <w:rPr>
          <w:rFonts w:ascii="Segoe UI" w:hAnsi="Segoe UI" w:cs="Segoe UI"/>
          <w:bCs/>
          <w:szCs w:val="22"/>
        </w:rPr>
      </w:pPr>
    </w:p>
    <w:p w:rsidR="000C7297" w:rsidRDefault="000C7297" w:rsidP="002A7989">
      <w:pPr>
        <w:spacing w:before="0" w:after="0"/>
        <w:rPr>
          <w:rFonts w:ascii="Segoe UI" w:hAnsi="Segoe UI" w:cs="Segoe UI"/>
          <w:bCs/>
          <w:szCs w:val="22"/>
        </w:rPr>
      </w:pPr>
    </w:p>
    <w:p w:rsidR="000C7297" w:rsidRPr="000C7297" w:rsidRDefault="000C7297" w:rsidP="002A7989">
      <w:pPr>
        <w:spacing w:before="0" w:after="0"/>
        <w:rPr>
          <w:rFonts w:ascii="Segoe UI" w:hAnsi="Segoe UI" w:cs="Segoe UI"/>
          <w:bCs/>
          <w:szCs w:val="22"/>
        </w:rPr>
      </w:pPr>
    </w:p>
    <w:p w:rsidR="006D6ACE" w:rsidRDefault="006D6ACE" w:rsidP="002A7989">
      <w:pPr>
        <w:spacing w:before="0" w:after="0"/>
        <w:rPr>
          <w:rFonts w:ascii="Segoe UI" w:hAnsi="Segoe UI" w:cs="Segoe UI"/>
          <w:bCs/>
          <w:sz w:val="24"/>
        </w:rPr>
      </w:pPr>
    </w:p>
    <w:p w:rsidR="006D6ACE" w:rsidRDefault="006D6ACE" w:rsidP="002A7989">
      <w:pPr>
        <w:spacing w:before="0" w:after="0"/>
        <w:rPr>
          <w:rFonts w:ascii="Segoe UI" w:hAnsi="Segoe UI" w:cs="Segoe UI"/>
          <w:bCs/>
          <w:sz w:val="24"/>
        </w:rPr>
      </w:pPr>
    </w:p>
    <w:p w:rsidR="0030036F" w:rsidRDefault="0030036F" w:rsidP="002A7989">
      <w:pPr>
        <w:spacing w:before="0" w:after="0"/>
        <w:rPr>
          <w:rFonts w:ascii="Segoe UI" w:hAnsi="Segoe UI" w:cs="Segoe UI"/>
          <w:b/>
          <w:sz w:val="24"/>
        </w:rPr>
      </w:pPr>
    </w:p>
    <w:p w:rsidR="002A7989" w:rsidRPr="00BB6E16" w:rsidRDefault="002A7989" w:rsidP="002A7989">
      <w:pPr>
        <w:spacing w:before="0" w:after="0"/>
        <w:rPr>
          <w:rFonts w:ascii="Segoe UI" w:hAnsi="Segoe UI" w:cs="Segoe UI"/>
          <w:b/>
          <w:sz w:val="24"/>
        </w:rPr>
      </w:pPr>
      <w:r w:rsidRPr="00BB6E16">
        <w:rPr>
          <w:rFonts w:ascii="Segoe UI" w:hAnsi="Segoe UI" w:cs="Segoe UI"/>
          <w:b/>
          <w:sz w:val="24"/>
        </w:rPr>
        <w:t>Governance Route/Approval Process</w:t>
      </w:r>
    </w:p>
    <w:p w:rsidR="002A7989" w:rsidRPr="00BB6E16" w:rsidRDefault="002A7989" w:rsidP="002A7989">
      <w:pPr>
        <w:spacing w:before="0" w:after="0"/>
        <w:rPr>
          <w:rFonts w:ascii="Segoe UI" w:hAnsi="Segoe UI" w:cs="Segoe UI"/>
          <w:sz w:val="24"/>
        </w:rPr>
      </w:pPr>
      <w:r w:rsidRPr="00BB6E16">
        <w:rPr>
          <w:rFonts w:ascii="Segoe UI" w:hAnsi="Segoe UI" w:cs="Segoe UI"/>
          <w:sz w:val="24"/>
        </w:rPr>
        <w:lastRenderedPageBreak/>
        <w:t>The is a biannual update report to the Board for Research and Development taking place or being hosted within the Trust and is for information</w:t>
      </w:r>
    </w:p>
    <w:p w:rsidR="002A7989" w:rsidRPr="00BB6E16" w:rsidRDefault="002A7989" w:rsidP="002A7989">
      <w:pPr>
        <w:spacing w:before="0" w:after="0"/>
        <w:rPr>
          <w:rFonts w:ascii="Segoe UI" w:hAnsi="Segoe UI" w:cs="Segoe UI"/>
          <w:b/>
          <w:sz w:val="24"/>
        </w:rPr>
      </w:pPr>
    </w:p>
    <w:p w:rsidR="002A7989" w:rsidRPr="00BB6E16" w:rsidRDefault="002A7989" w:rsidP="002A7989">
      <w:pPr>
        <w:spacing w:before="0" w:after="0"/>
        <w:rPr>
          <w:rFonts w:ascii="Segoe UI" w:hAnsi="Segoe UI" w:cs="Segoe UI"/>
          <w:sz w:val="24"/>
        </w:rPr>
      </w:pPr>
      <w:r w:rsidRPr="00BB6E16">
        <w:rPr>
          <w:rFonts w:ascii="Segoe UI" w:hAnsi="Segoe UI" w:cs="Segoe UI"/>
          <w:b/>
          <w:sz w:val="24"/>
        </w:rPr>
        <w:t>Statutory or Regulatory responsibilities</w:t>
      </w:r>
    </w:p>
    <w:p w:rsidR="002A7989" w:rsidRPr="00BB6E16" w:rsidRDefault="002A7989" w:rsidP="002A7989">
      <w:pPr>
        <w:spacing w:before="0" w:after="0"/>
        <w:rPr>
          <w:rFonts w:ascii="Segoe UI" w:hAnsi="Segoe UI" w:cs="Segoe UI"/>
          <w:sz w:val="24"/>
        </w:rPr>
      </w:pPr>
      <w:r w:rsidRPr="00BB6E16">
        <w:rPr>
          <w:rFonts w:ascii="Segoe UI" w:hAnsi="Segoe UI" w:cs="Segoe UI"/>
          <w:sz w:val="24"/>
        </w:rPr>
        <w:t>Research and Development is aligned to its regulatory responsibilities in undertaking research and is compliant with contractual obligations</w:t>
      </w:r>
    </w:p>
    <w:p w:rsidR="002A7989" w:rsidRPr="00BB6E16" w:rsidRDefault="002A7989" w:rsidP="002A7989">
      <w:pPr>
        <w:spacing w:before="0" w:after="0"/>
        <w:rPr>
          <w:rFonts w:ascii="Segoe UI" w:hAnsi="Segoe UI" w:cs="Segoe UI"/>
          <w:b/>
          <w:sz w:val="24"/>
        </w:rPr>
      </w:pPr>
    </w:p>
    <w:p w:rsidR="002A7989" w:rsidRPr="00BB6E16" w:rsidRDefault="002A7989" w:rsidP="002A7989">
      <w:pPr>
        <w:spacing w:before="0" w:after="0"/>
        <w:rPr>
          <w:rFonts w:ascii="Segoe UI" w:hAnsi="Segoe UI" w:cs="Segoe UI"/>
          <w:b/>
          <w:sz w:val="24"/>
        </w:rPr>
      </w:pPr>
      <w:r w:rsidRPr="00BB6E16">
        <w:rPr>
          <w:rFonts w:ascii="Segoe UI" w:hAnsi="Segoe UI" w:cs="Segoe UI"/>
          <w:b/>
          <w:sz w:val="24"/>
        </w:rPr>
        <w:t>Recommendation</w:t>
      </w:r>
    </w:p>
    <w:p w:rsidR="002A7989" w:rsidRPr="00BB6E16" w:rsidRDefault="002A7989" w:rsidP="002A7989">
      <w:pPr>
        <w:spacing w:before="0" w:after="0"/>
        <w:rPr>
          <w:rFonts w:ascii="Segoe UI" w:hAnsi="Segoe UI" w:cs="Segoe UI"/>
          <w:sz w:val="24"/>
        </w:rPr>
      </w:pPr>
      <w:r w:rsidRPr="00BB6E16">
        <w:rPr>
          <w:rFonts w:ascii="Segoe UI" w:hAnsi="Segoe UI" w:cs="Segoe UI"/>
          <w:sz w:val="24"/>
        </w:rPr>
        <w:t xml:space="preserve">The Board is asked to note the report.  </w:t>
      </w:r>
    </w:p>
    <w:p w:rsidR="002A7989" w:rsidRPr="00BB6E16" w:rsidRDefault="002A7989" w:rsidP="002A7989">
      <w:pPr>
        <w:spacing w:before="0" w:after="0"/>
        <w:rPr>
          <w:rFonts w:ascii="Segoe UI" w:hAnsi="Segoe UI" w:cs="Segoe UI"/>
          <w:b/>
          <w:sz w:val="24"/>
        </w:rPr>
      </w:pPr>
    </w:p>
    <w:p w:rsidR="002A7989" w:rsidRPr="00BB6E16" w:rsidRDefault="002A7989" w:rsidP="002A7989">
      <w:pPr>
        <w:spacing w:before="0" w:after="0"/>
        <w:ind w:left="1440" w:hanging="1440"/>
        <w:rPr>
          <w:rFonts w:ascii="Segoe UI" w:hAnsi="Segoe UI" w:cs="Segoe UI"/>
          <w:sz w:val="24"/>
        </w:rPr>
      </w:pPr>
      <w:r w:rsidRPr="00BB6E16">
        <w:rPr>
          <w:rFonts w:ascii="Segoe UI" w:hAnsi="Segoe UI" w:cs="Segoe UI"/>
          <w:b/>
          <w:sz w:val="24"/>
        </w:rPr>
        <w:t xml:space="preserve">Author and Title: </w:t>
      </w:r>
      <w:r w:rsidR="001171CE" w:rsidRPr="00BB6E16">
        <w:rPr>
          <w:rFonts w:ascii="Segoe UI" w:hAnsi="Segoe UI" w:cs="Segoe UI"/>
          <w:sz w:val="24"/>
        </w:rPr>
        <w:t xml:space="preserve">Bill Wells </w:t>
      </w:r>
      <w:r w:rsidRPr="00BB6E16">
        <w:rPr>
          <w:rFonts w:ascii="Segoe UI" w:hAnsi="Segoe UI" w:cs="Segoe UI"/>
          <w:sz w:val="24"/>
        </w:rPr>
        <w:t xml:space="preserve">and John Geddes </w:t>
      </w:r>
      <w:r w:rsidRPr="00BB6E16">
        <w:rPr>
          <w:rFonts w:ascii="Segoe UI" w:hAnsi="Segoe UI" w:cs="Segoe UI"/>
          <w:sz w:val="24"/>
        </w:rPr>
        <w:tab/>
      </w:r>
    </w:p>
    <w:p w:rsidR="002A7989" w:rsidRPr="00BB6E16" w:rsidRDefault="002A7989" w:rsidP="002A7989">
      <w:pPr>
        <w:spacing w:before="0" w:after="0"/>
        <w:rPr>
          <w:rFonts w:ascii="Segoe UI" w:hAnsi="Segoe UI" w:cs="Segoe UI"/>
          <w:b/>
          <w:sz w:val="24"/>
        </w:rPr>
      </w:pPr>
      <w:r w:rsidRPr="00BB6E16">
        <w:rPr>
          <w:rFonts w:ascii="Segoe UI" w:hAnsi="Segoe UI" w:cs="Segoe UI"/>
          <w:b/>
          <w:sz w:val="24"/>
        </w:rPr>
        <w:t xml:space="preserve">Lead Executive Director: </w:t>
      </w:r>
      <w:r w:rsidRPr="00BB6E16">
        <w:rPr>
          <w:rFonts w:ascii="Segoe UI" w:hAnsi="Segoe UI" w:cs="Segoe UI"/>
          <w:sz w:val="24"/>
        </w:rPr>
        <w:t>Mark Hancock</w:t>
      </w:r>
      <w:r w:rsidRPr="00BB6E16">
        <w:rPr>
          <w:rFonts w:ascii="Segoe UI" w:hAnsi="Segoe UI" w:cs="Segoe UI"/>
          <w:b/>
          <w:sz w:val="24"/>
        </w:rPr>
        <w:t xml:space="preserve"> </w:t>
      </w:r>
    </w:p>
    <w:p w:rsidR="002A7989" w:rsidRPr="00BB6E16" w:rsidRDefault="002A7989" w:rsidP="002A7989">
      <w:pPr>
        <w:spacing w:before="0" w:after="0"/>
        <w:rPr>
          <w:rFonts w:ascii="Segoe UI" w:hAnsi="Segoe UI" w:cs="Segoe UI"/>
          <w:i/>
          <w:color w:val="FF0000"/>
          <w:sz w:val="20"/>
          <w:szCs w:val="20"/>
        </w:rPr>
      </w:pPr>
    </w:p>
    <w:p w:rsidR="002A7989" w:rsidRPr="00F734A7" w:rsidRDefault="002A7989" w:rsidP="00FC2E49">
      <w:pPr>
        <w:numPr>
          <w:ilvl w:val="0"/>
          <w:numId w:val="5"/>
        </w:numPr>
        <w:spacing w:before="0" w:after="0"/>
        <w:jc w:val="left"/>
        <w:rPr>
          <w:rFonts w:ascii="Segoe UI" w:hAnsi="Segoe UI" w:cs="Segoe UI"/>
          <w:i/>
          <w:sz w:val="20"/>
          <w:szCs w:val="20"/>
        </w:rPr>
      </w:pPr>
      <w:r w:rsidRPr="00F734A7">
        <w:rPr>
          <w:rFonts w:ascii="Segoe UI" w:hAnsi="Segoe UI" w:cs="Segoe UI"/>
          <w:b/>
          <w:i/>
          <w:sz w:val="20"/>
          <w:szCs w:val="20"/>
        </w:rPr>
        <w:t>Strategic Objectives</w:t>
      </w:r>
      <w:r w:rsidRPr="00F734A7">
        <w:rPr>
          <w:rFonts w:ascii="Segoe UI" w:hAnsi="Segoe UI" w:cs="Segoe UI"/>
          <w:i/>
          <w:sz w:val="20"/>
          <w:szCs w:val="20"/>
        </w:rPr>
        <w:t xml:space="preserve"> – this report relates to or provides assurance and evidence against the following Strategic Objective(s) of the Trust [OR N/A – no Strategic Objectives apply] (</w:t>
      </w:r>
      <w:r w:rsidRPr="00F734A7">
        <w:rPr>
          <w:rFonts w:ascii="Segoe UI" w:hAnsi="Segoe UI" w:cs="Segoe UI"/>
          <w:b/>
          <w:i/>
          <w:sz w:val="20"/>
          <w:szCs w:val="20"/>
        </w:rPr>
        <w:t>please delete as appropriate</w:t>
      </w:r>
      <w:r w:rsidRPr="00F734A7">
        <w:rPr>
          <w:rFonts w:ascii="Segoe UI" w:hAnsi="Segoe UI" w:cs="Segoe UI"/>
          <w:i/>
          <w:sz w:val="20"/>
          <w:szCs w:val="20"/>
        </w:rPr>
        <w:t>):</w:t>
      </w:r>
    </w:p>
    <w:p w:rsidR="002A7989" w:rsidRPr="00F734A7" w:rsidRDefault="002A7989" w:rsidP="002A7989">
      <w:pPr>
        <w:spacing w:before="0" w:after="0"/>
        <w:ind w:left="720"/>
        <w:rPr>
          <w:rFonts w:ascii="Segoe UI" w:hAnsi="Segoe UI" w:cs="Segoe UI"/>
          <w:i/>
          <w:sz w:val="20"/>
          <w:szCs w:val="20"/>
        </w:rPr>
      </w:pPr>
    </w:p>
    <w:p w:rsidR="002A7989" w:rsidRPr="00F734A7" w:rsidRDefault="002A7989" w:rsidP="002A7989">
      <w:pPr>
        <w:spacing w:before="0" w:after="0"/>
        <w:ind w:firstLine="720"/>
        <w:rPr>
          <w:rFonts w:ascii="Segoe UI" w:hAnsi="Segoe UI" w:cs="Segoe UI"/>
          <w:i/>
          <w:sz w:val="20"/>
          <w:szCs w:val="20"/>
        </w:rPr>
      </w:pPr>
      <w:r w:rsidRPr="00F734A7">
        <w:rPr>
          <w:rFonts w:ascii="Segoe UI" w:hAnsi="Segoe UI" w:cs="Segoe UI"/>
          <w:i/>
          <w:sz w:val="20"/>
          <w:szCs w:val="20"/>
        </w:rPr>
        <w:t>1) Driving Quality Improvement</w:t>
      </w:r>
    </w:p>
    <w:p w:rsidR="002A7989" w:rsidRPr="00F734A7" w:rsidRDefault="002A7989" w:rsidP="002A7989">
      <w:pPr>
        <w:spacing w:before="0" w:after="0"/>
        <w:ind w:left="720"/>
        <w:rPr>
          <w:rFonts w:ascii="Segoe UI" w:hAnsi="Segoe UI" w:cs="Segoe UI"/>
          <w:i/>
          <w:sz w:val="20"/>
          <w:szCs w:val="20"/>
        </w:rPr>
      </w:pPr>
      <w:r w:rsidRPr="00F734A7">
        <w:rPr>
          <w:rFonts w:ascii="Segoe UI" w:hAnsi="Segoe UI" w:cs="Segoe UI"/>
          <w:i/>
          <w:sz w:val="20"/>
          <w:szCs w:val="20"/>
        </w:rPr>
        <w:t xml:space="preserve">(Goals: patients will be safe from harm; patients will achieve the clinical outcomes they want; and patients and </w:t>
      </w:r>
      <w:proofErr w:type="spellStart"/>
      <w:r w:rsidRPr="00F734A7">
        <w:rPr>
          <w:rFonts w:ascii="Segoe UI" w:hAnsi="Segoe UI" w:cs="Segoe UI"/>
          <w:i/>
          <w:sz w:val="20"/>
          <w:szCs w:val="20"/>
        </w:rPr>
        <w:t>carers</w:t>
      </w:r>
      <w:proofErr w:type="spellEnd"/>
      <w:r w:rsidRPr="00F734A7">
        <w:rPr>
          <w:rFonts w:ascii="Segoe UI" w:hAnsi="Segoe UI" w:cs="Segoe UI"/>
          <w:i/>
          <w:sz w:val="20"/>
          <w:szCs w:val="20"/>
        </w:rPr>
        <w:t xml:space="preserve"> will have an excellent experience)</w:t>
      </w:r>
    </w:p>
    <w:p w:rsidR="002A7989" w:rsidRPr="00F734A7" w:rsidRDefault="002A7989" w:rsidP="002A7989">
      <w:pPr>
        <w:spacing w:before="0" w:after="0"/>
        <w:rPr>
          <w:rFonts w:ascii="Segoe UI" w:hAnsi="Segoe UI" w:cs="Segoe UI"/>
          <w:i/>
          <w:sz w:val="20"/>
          <w:szCs w:val="20"/>
        </w:rPr>
      </w:pPr>
    </w:p>
    <w:p w:rsidR="002A7989" w:rsidRPr="00F734A7" w:rsidRDefault="002A7989" w:rsidP="002A7989">
      <w:pPr>
        <w:spacing w:before="0" w:after="0"/>
        <w:ind w:firstLine="720"/>
        <w:rPr>
          <w:rFonts w:ascii="Segoe UI" w:hAnsi="Segoe UI" w:cs="Segoe UI"/>
          <w:i/>
          <w:sz w:val="20"/>
          <w:szCs w:val="20"/>
        </w:rPr>
      </w:pPr>
      <w:r w:rsidRPr="00F734A7">
        <w:rPr>
          <w:rFonts w:ascii="Segoe UI" w:hAnsi="Segoe UI" w:cs="Segoe UI"/>
          <w:i/>
          <w:sz w:val="20"/>
          <w:szCs w:val="20"/>
        </w:rPr>
        <w:t>2) Delivering Operational Excellence</w:t>
      </w:r>
    </w:p>
    <w:p w:rsidR="002A7989" w:rsidRPr="00F734A7" w:rsidRDefault="002A7989" w:rsidP="002A7989">
      <w:pPr>
        <w:spacing w:before="0" w:after="0"/>
        <w:ind w:left="720"/>
        <w:rPr>
          <w:rFonts w:ascii="Segoe UI" w:hAnsi="Segoe UI" w:cs="Segoe UI"/>
          <w:i/>
          <w:sz w:val="20"/>
          <w:szCs w:val="20"/>
        </w:rPr>
      </w:pPr>
      <w:r w:rsidRPr="00F734A7">
        <w:rPr>
          <w:rFonts w:ascii="Segoe UI" w:hAnsi="Segoe UI" w:cs="Segoe UI"/>
          <w:i/>
          <w:sz w:val="20"/>
          <w:szCs w:val="20"/>
        </w:rPr>
        <w:t>(Goals: our services will be effective and efficient; information will be translated into knowledge; and our planned surplus will be delivered)</w:t>
      </w:r>
    </w:p>
    <w:p w:rsidR="002A7989" w:rsidRPr="00F734A7" w:rsidRDefault="002A7989" w:rsidP="002A7989">
      <w:pPr>
        <w:spacing w:before="0" w:after="0"/>
        <w:rPr>
          <w:rFonts w:ascii="Segoe UI" w:hAnsi="Segoe UI" w:cs="Segoe UI"/>
          <w:i/>
          <w:sz w:val="20"/>
          <w:szCs w:val="20"/>
        </w:rPr>
      </w:pPr>
    </w:p>
    <w:p w:rsidR="002A7989" w:rsidRPr="00F734A7" w:rsidRDefault="002A7989" w:rsidP="002A7989">
      <w:pPr>
        <w:spacing w:before="0" w:after="0"/>
        <w:ind w:firstLine="720"/>
        <w:rPr>
          <w:rFonts w:ascii="Segoe UI" w:hAnsi="Segoe UI" w:cs="Segoe UI"/>
          <w:i/>
          <w:sz w:val="20"/>
          <w:szCs w:val="20"/>
        </w:rPr>
      </w:pPr>
      <w:r w:rsidRPr="00F734A7">
        <w:rPr>
          <w:rFonts w:ascii="Segoe UI" w:hAnsi="Segoe UI" w:cs="Segoe UI"/>
          <w:i/>
          <w:sz w:val="20"/>
          <w:szCs w:val="20"/>
        </w:rPr>
        <w:t>3) Delivering Innovation, Learning and Teaching</w:t>
      </w:r>
    </w:p>
    <w:p w:rsidR="002A7989" w:rsidRPr="00F734A7" w:rsidRDefault="002A7989" w:rsidP="002A7989">
      <w:pPr>
        <w:spacing w:before="0" w:after="0"/>
        <w:ind w:left="720"/>
        <w:rPr>
          <w:rFonts w:ascii="Segoe UI" w:hAnsi="Segoe UI" w:cs="Segoe UI"/>
          <w:i/>
          <w:sz w:val="20"/>
          <w:szCs w:val="20"/>
        </w:rPr>
      </w:pPr>
      <w:r w:rsidRPr="00F734A7">
        <w:rPr>
          <w:rFonts w:ascii="Segoe UI" w:hAnsi="Segoe UI" w:cs="Segoe UI"/>
          <w:i/>
          <w:sz w:val="20"/>
          <w:szCs w:val="20"/>
        </w:rPr>
        <w:t xml:space="preserve">(Goals: the impact of the AHSN, AHSC and CLAHRC will be </w:t>
      </w:r>
      <w:proofErr w:type="spellStart"/>
      <w:r w:rsidRPr="00F734A7">
        <w:rPr>
          <w:rFonts w:ascii="Segoe UI" w:hAnsi="Segoe UI" w:cs="Segoe UI"/>
          <w:i/>
          <w:sz w:val="20"/>
          <w:szCs w:val="20"/>
        </w:rPr>
        <w:t>maximised</w:t>
      </w:r>
      <w:proofErr w:type="spellEnd"/>
      <w:r w:rsidRPr="00F734A7">
        <w:rPr>
          <w:rFonts w:ascii="Segoe UI" w:hAnsi="Segoe UI" w:cs="Segoe UI"/>
          <w:i/>
          <w:sz w:val="20"/>
          <w:szCs w:val="20"/>
        </w:rPr>
        <w:t>; we will collaborate in research and innovation; and we will deliver high quality teaching)</w:t>
      </w:r>
    </w:p>
    <w:p w:rsidR="002A7989" w:rsidRPr="00F734A7" w:rsidRDefault="002A7989" w:rsidP="002A7989">
      <w:pPr>
        <w:spacing w:before="0" w:after="0"/>
        <w:rPr>
          <w:rFonts w:ascii="Segoe UI" w:hAnsi="Segoe UI" w:cs="Segoe UI"/>
          <w:i/>
          <w:sz w:val="20"/>
          <w:szCs w:val="20"/>
        </w:rPr>
      </w:pPr>
    </w:p>
    <w:p w:rsidR="002A7989" w:rsidRPr="00F734A7" w:rsidRDefault="002A7989" w:rsidP="002A7989">
      <w:pPr>
        <w:spacing w:before="0" w:after="0"/>
        <w:ind w:left="720"/>
        <w:rPr>
          <w:rFonts w:ascii="Segoe UI" w:hAnsi="Segoe UI" w:cs="Segoe UI"/>
          <w:i/>
          <w:sz w:val="20"/>
          <w:szCs w:val="20"/>
        </w:rPr>
      </w:pPr>
      <w:r w:rsidRPr="00F734A7">
        <w:rPr>
          <w:rFonts w:ascii="Segoe UI" w:hAnsi="Segoe UI" w:cs="Segoe UI"/>
          <w:i/>
          <w:sz w:val="20"/>
          <w:szCs w:val="20"/>
        </w:rPr>
        <w:t>4) Developing Our Business through Collaboration and Partnerships</w:t>
      </w:r>
    </w:p>
    <w:p w:rsidR="002A7989" w:rsidRPr="00F734A7" w:rsidRDefault="002A7989" w:rsidP="002A7989">
      <w:pPr>
        <w:spacing w:before="0" w:after="0"/>
        <w:ind w:left="720"/>
        <w:rPr>
          <w:rFonts w:ascii="Segoe UI" w:hAnsi="Segoe UI" w:cs="Segoe UI"/>
          <w:i/>
          <w:sz w:val="20"/>
          <w:szCs w:val="20"/>
        </w:rPr>
      </w:pPr>
      <w:r w:rsidRPr="00F734A7">
        <w:rPr>
          <w:rFonts w:ascii="Segoe UI" w:hAnsi="Segoe UI" w:cs="Segoe UI"/>
          <w:i/>
          <w:sz w:val="20"/>
          <w:szCs w:val="20"/>
        </w:rPr>
        <w:t>(Goals: we will work in collaborative partnerships; we will maintain and grow our services where we add value; and we will have strong relationship with our stakeholders)</w:t>
      </w:r>
    </w:p>
    <w:p w:rsidR="002A7989" w:rsidRPr="00F734A7" w:rsidRDefault="002A7989" w:rsidP="002A7989">
      <w:pPr>
        <w:spacing w:before="0" w:after="0"/>
        <w:rPr>
          <w:rFonts w:ascii="Segoe UI" w:hAnsi="Segoe UI" w:cs="Segoe UI"/>
          <w:i/>
          <w:sz w:val="20"/>
          <w:szCs w:val="20"/>
        </w:rPr>
      </w:pPr>
    </w:p>
    <w:p w:rsidR="002A7989" w:rsidRPr="00F734A7" w:rsidRDefault="002A7989" w:rsidP="002A7989">
      <w:pPr>
        <w:spacing w:before="0" w:after="0"/>
        <w:ind w:firstLine="720"/>
        <w:rPr>
          <w:rFonts w:ascii="Segoe UI" w:hAnsi="Segoe UI" w:cs="Segoe UI"/>
          <w:i/>
          <w:sz w:val="20"/>
          <w:szCs w:val="20"/>
        </w:rPr>
      </w:pPr>
      <w:r w:rsidRPr="00F734A7">
        <w:rPr>
          <w:rFonts w:ascii="Segoe UI" w:hAnsi="Segoe UI" w:cs="Segoe UI"/>
          <w:i/>
          <w:sz w:val="20"/>
          <w:szCs w:val="20"/>
        </w:rPr>
        <w:t>5) Developing Leadership, People and Culture</w:t>
      </w:r>
    </w:p>
    <w:p w:rsidR="002A7989" w:rsidRPr="00F734A7" w:rsidRDefault="002A7989" w:rsidP="002A7989">
      <w:pPr>
        <w:spacing w:before="0" w:after="0"/>
        <w:ind w:left="720"/>
        <w:rPr>
          <w:rFonts w:ascii="Segoe UI" w:hAnsi="Segoe UI" w:cs="Segoe UI"/>
          <w:i/>
          <w:sz w:val="20"/>
          <w:szCs w:val="20"/>
        </w:rPr>
      </w:pPr>
      <w:r w:rsidRPr="00F734A7">
        <w:rPr>
          <w:rFonts w:ascii="Segoe UI" w:hAnsi="Segoe UI" w:cs="Segoe UI"/>
          <w:i/>
          <w:sz w:val="20"/>
          <w:szCs w:val="20"/>
        </w:rPr>
        <w:t xml:space="preserve">(Goals: staff satisfaction will be in the top 20% of Trusts nationally; our staff and teams will be </w:t>
      </w:r>
      <w:proofErr w:type="gramStart"/>
      <w:r w:rsidRPr="00F734A7">
        <w:rPr>
          <w:rFonts w:ascii="Segoe UI" w:hAnsi="Segoe UI" w:cs="Segoe UI"/>
          <w:i/>
          <w:sz w:val="20"/>
          <w:szCs w:val="20"/>
        </w:rPr>
        <w:t>high-performing</w:t>
      </w:r>
      <w:proofErr w:type="gramEnd"/>
      <w:r w:rsidRPr="00F734A7">
        <w:rPr>
          <w:rFonts w:ascii="Segoe UI" w:hAnsi="Segoe UI" w:cs="Segoe UI"/>
          <w:i/>
          <w:sz w:val="20"/>
          <w:szCs w:val="20"/>
        </w:rPr>
        <w:t>; and we will recruit and retain an excellent workforce)</w:t>
      </w:r>
    </w:p>
    <w:p w:rsidR="002A7989" w:rsidRPr="00F734A7" w:rsidRDefault="002A7989" w:rsidP="002A7989">
      <w:pPr>
        <w:spacing w:before="0" w:after="0"/>
        <w:rPr>
          <w:rFonts w:ascii="Segoe UI" w:hAnsi="Segoe UI" w:cs="Segoe UI"/>
          <w:i/>
          <w:sz w:val="20"/>
          <w:szCs w:val="20"/>
        </w:rPr>
      </w:pPr>
    </w:p>
    <w:p w:rsidR="002A7989" w:rsidRPr="00F734A7" w:rsidRDefault="002A7989" w:rsidP="002A7989">
      <w:pPr>
        <w:spacing w:before="0" w:after="0"/>
        <w:ind w:firstLine="720"/>
        <w:rPr>
          <w:rFonts w:ascii="Segoe UI" w:hAnsi="Segoe UI" w:cs="Segoe UI"/>
          <w:i/>
          <w:sz w:val="20"/>
          <w:szCs w:val="20"/>
        </w:rPr>
      </w:pPr>
      <w:r w:rsidRPr="00F734A7">
        <w:rPr>
          <w:rFonts w:ascii="Segoe UI" w:hAnsi="Segoe UI" w:cs="Segoe UI"/>
          <w:i/>
          <w:sz w:val="20"/>
          <w:szCs w:val="20"/>
        </w:rPr>
        <w:t>6) Getting the most out of Technology</w:t>
      </w:r>
    </w:p>
    <w:p w:rsidR="002A7989" w:rsidRPr="00F734A7" w:rsidRDefault="002A7989" w:rsidP="002A7989">
      <w:pPr>
        <w:spacing w:before="0" w:after="0"/>
        <w:ind w:left="720"/>
        <w:rPr>
          <w:rFonts w:ascii="Segoe UI" w:hAnsi="Segoe UI" w:cs="Segoe UI"/>
          <w:i/>
          <w:sz w:val="20"/>
          <w:szCs w:val="20"/>
        </w:rPr>
      </w:pPr>
      <w:r w:rsidRPr="00F734A7">
        <w:rPr>
          <w:rFonts w:ascii="Segoe UI" w:hAnsi="Segoe UI" w:cs="Segoe UI"/>
          <w:i/>
          <w:sz w:val="20"/>
          <w:szCs w:val="20"/>
        </w:rPr>
        <w:t>(Goals: our patients and staff will have the right technology available; our workforce will have the necessary IT skills to do their jobs well; and an outstanding IT service will be delivered)</w:t>
      </w:r>
    </w:p>
    <w:p w:rsidR="002A7989" w:rsidRPr="00F734A7" w:rsidRDefault="002A7989" w:rsidP="002A7989">
      <w:pPr>
        <w:spacing w:before="0" w:after="0"/>
        <w:rPr>
          <w:rFonts w:ascii="Segoe UI" w:hAnsi="Segoe UI" w:cs="Segoe UI"/>
          <w:i/>
          <w:sz w:val="20"/>
          <w:szCs w:val="20"/>
        </w:rPr>
      </w:pPr>
    </w:p>
    <w:p w:rsidR="002A7989" w:rsidRPr="00F734A7" w:rsidRDefault="002A7989" w:rsidP="002A7989">
      <w:pPr>
        <w:spacing w:before="0" w:after="0"/>
        <w:ind w:firstLine="720"/>
        <w:rPr>
          <w:rFonts w:ascii="Segoe UI" w:hAnsi="Segoe UI" w:cs="Segoe UI"/>
          <w:i/>
          <w:sz w:val="20"/>
          <w:szCs w:val="20"/>
        </w:rPr>
      </w:pPr>
      <w:r w:rsidRPr="00F734A7">
        <w:rPr>
          <w:rFonts w:ascii="Segoe UI" w:hAnsi="Segoe UI" w:cs="Segoe UI"/>
          <w:i/>
          <w:sz w:val="20"/>
          <w:szCs w:val="20"/>
        </w:rPr>
        <w:t xml:space="preserve">7) Using our Estate efficiently </w:t>
      </w:r>
    </w:p>
    <w:p w:rsidR="002A7989" w:rsidRPr="00F734A7" w:rsidRDefault="002A7989" w:rsidP="002A7989">
      <w:pPr>
        <w:spacing w:before="0" w:after="0"/>
        <w:ind w:left="720"/>
        <w:rPr>
          <w:rFonts w:ascii="Segoe UI" w:hAnsi="Segoe UI" w:cs="Segoe UI"/>
          <w:i/>
          <w:sz w:val="20"/>
          <w:szCs w:val="20"/>
        </w:rPr>
      </w:pPr>
      <w:r w:rsidRPr="00F734A7">
        <w:rPr>
          <w:rFonts w:ascii="Segoe UI" w:hAnsi="Segoe UI" w:cs="Segoe UI"/>
          <w:i/>
          <w:sz w:val="20"/>
          <w:szCs w:val="20"/>
        </w:rPr>
        <w:t xml:space="preserve">(Goals: patients and staff will benefit from safe and appropriate environments; our estate will be sustainable and </w:t>
      </w:r>
      <w:proofErr w:type="gramStart"/>
      <w:r w:rsidRPr="00F734A7">
        <w:rPr>
          <w:rFonts w:ascii="Segoe UI" w:hAnsi="Segoe UI" w:cs="Segoe UI"/>
          <w:i/>
          <w:sz w:val="20"/>
          <w:szCs w:val="20"/>
        </w:rPr>
        <w:t>environmentally-friendly</w:t>
      </w:r>
      <w:proofErr w:type="gramEnd"/>
      <w:r w:rsidRPr="00F734A7">
        <w:rPr>
          <w:rFonts w:ascii="Segoe UI" w:hAnsi="Segoe UI" w:cs="Segoe UI"/>
          <w:i/>
          <w:sz w:val="20"/>
          <w:szCs w:val="20"/>
        </w:rPr>
        <w:t>; and our estate will be cost-effective)</w:t>
      </w:r>
    </w:p>
    <w:p w:rsidR="002A7989" w:rsidRPr="00F734A7" w:rsidRDefault="002A7989">
      <w:pPr>
        <w:jc w:val="center"/>
        <w:rPr>
          <w:rFonts w:cs="Arial"/>
          <w:b/>
          <w:sz w:val="32"/>
          <w:szCs w:val="32"/>
        </w:rPr>
      </w:pPr>
    </w:p>
    <w:p w:rsidR="006D305A" w:rsidRPr="00BB6E16" w:rsidRDefault="006D305A">
      <w:pPr>
        <w:spacing w:before="0" w:after="0"/>
        <w:jc w:val="left"/>
        <w:rPr>
          <w:rFonts w:cs="Arial"/>
          <w:b/>
          <w:color w:val="FF0000"/>
        </w:rPr>
      </w:pPr>
      <w:r w:rsidRPr="00BB6E16">
        <w:rPr>
          <w:rFonts w:cs="Arial"/>
          <w:b/>
          <w:color w:val="FF0000"/>
        </w:rPr>
        <w:br w:type="page"/>
      </w:r>
    </w:p>
    <w:bookmarkStart w:id="1" w:name="_Hlk525138796"/>
    <w:p w:rsidR="000C7297" w:rsidRDefault="00AE5B3B">
      <w:pPr>
        <w:pStyle w:val="TOC1"/>
        <w:tabs>
          <w:tab w:val="right" w:leader="dot" w:pos="9629"/>
        </w:tabs>
        <w:rPr>
          <w:rFonts w:eastAsiaTheme="minorEastAsia" w:cstheme="minorBidi"/>
          <w:noProof/>
          <w:szCs w:val="22"/>
          <w:lang w:val="en-GB" w:eastAsia="en-GB"/>
        </w:rPr>
      </w:pPr>
      <w:r w:rsidRPr="00BB6E16">
        <w:rPr>
          <w:color w:val="FF0000"/>
        </w:rPr>
        <w:lastRenderedPageBreak/>
        <w:fldChar w:fldCharType="begin"/>
      </w:r>
      <w:r w:rsidRPr="00BB6E16">
        <w:rPr>
          <w:color w:val="FF0000"/>
        </w:rPr>
        <w:instrText xml:space="preserve"> TOC \o "1-2" \h \z \u </w:instrText>
      </w:r>
      <w:r w:rsidRPr="00BB6E16">
        <w:rPr>
          <w:color w:val="FF0000"/>
        </w:rPr>
        <w:fldChar w:fldCharType="separate"/>
      </w:r>
      <w:hyperlink w:anchor="_Toc34407405" w:history="1">
        <w:r w:rsidR="000C7297" w:rsidRPr="006556BE">
          <w:rPr>
            <w:rStyle w:val="Hyperlink"/>
            <w:rFonts w:eastAsiaTheme="majorEastAsia"/>
            <w:noProof/>
          </w:rPr>
          <w:t>Introduction</w:t>
        </w:r>
        <w:r w:rsidR="000C7297">
          <w:rPr>
            <w:noProof/>
            <w:webHidden/>
          </w:rPr>
          <w:tab/>
        </w:r>
        <w:r w:rsidR="000C7297">
          <w:rPr>
            <w:noProof/>
            <w:webHidden/>
          </w:rPr>
          <w:fldChar w:fldCharType="begin"/>
        </w:r>
        <w:r w:rsidR="000C7297">
          <w:rPr>
            <w:noProof/>
            <w:webHidden/>
          </w:rPr>
          <w:instrText xml:space="preserve"> PAGEREF _Toc34407405 \h </w:instrText>
        </w:r>
        <w:r w:rsidR="000C7297">
          <w:rPr>
            <w:noProof/>
            <w:webHidden/>
          </w:rPr>
        </w:r>
        <w:r w:rsidR="000C7297">
          <w:rPr>
            <w:noProof/>
            <w:webHidden/>
          </w:rPr>
          <w:fldChar w:fldCharType="separate"/>
        </w:r>
        <w:r w:rsidR="000C7297">
          <w:rPr>
            <w:noProof/>
            <w:webHidden/>
          </w:rPr>
          <w:t>5</w:t>
        </w:r>
        <w:r w:rsidR="000C7297">
          <w:rPr>
            <w:noProof/>
            <w:webHidden/>
          </w:rPr>
          <w:fldChar w:fldCharType="end"/>
        </w:r>
      </w:hyperlink>
    </w:p>
    <w:p w:rsidR="000C7297" w:rsidRDefault="005E104A">
      <w:pPr>
        <w:pStyle w:val="TOC1"/>
        <w:tabs>
          <w:tab w:val="left" w:pos="480"/>
          <w:tab w:val="right" w:leader="dot" w:pos="9629"/>
        </w:tabs>
        <w:rPr>
          <w:rFonts w:eastAsiaTheme="minorEastAsia" w:cstheme="minorBidi"/>
          <w:noProof/>
          <w:szCs w:val="22"/>
          <w:lang w:val="en-GB" w:eastAsia="en-GB"/>
        </w:rPr>
      </w:pPr>
      <w:hyperlink w:anchor="_Toc34407406" w:history="1">
        <w:r w:rsidR="000C7297" w:rsidRPr="006556BE">
          <w:rPr>
            <w:rStyle w:val="Hyperlink"/>
            <w:rFonts w:eastAsiaTheme="majorEastAsia"/>
            <w:noProof/>
          </w:rPr>
          <w:t>1</w:t>
        </w:r>
        <w:r w:rsidR="000C7297">
          <w:rPr>
            <w:rFonts w:eastAsiaTheme="minorEastAsia" w:cstheme="minorBidi"/>
            <w:noProof/>
            <w:szCs w:val="22"/>
            <w:lang w:val="en-GB" w:eastAsia="en-GB"/>
          </w:rPr>
          <w:tab/>
        </w:r>
        <w:r w:rsidR="000C7297" w:rsidRPr="006556BE">
          <w:rPr>
            <w:rStyle w:val="Hyperlink"/>
            <w:rFonts w:eastAsiaTheme="majorEastAsia"/>
            <w:noProof/>
          </w:rPr>
          <w:t>Strategy</w:t>
        </w:r>
        <w:r w:rsidR="000C7297">
          <w:rPr>
            <w:noProof/>
            <w:webHidden/>
          </w:rPr>
          <w:tab/>
        </w:r>
        <w:r w:rsidR="000C7297">
          <w:rPr>
            <w:noProof/>
            <w:webHidden/>
          </w:rPr>
          <w:fldChar w:fldCharType="begin"/>
        </w:r>
        <w:r w:rsidR="000C7297">
          <w:rPr>
            <w:noProof/>
            <w:webHidden/>
          </w:rPr>
          <w:instrText xml:space="preserve"> PAGEREF _Toc34407406 \h </w:instrText>
        </w:r>
        <w:r w:rsidR="000C7297">
          <w:rPr>
            <w:noProof/>
            <w:webHidden/>
          </w:rPr>
        </w:r>
        <w:r w:rsidR="000C7297">
          <w:rPr>
            <w:noProof/>
            <w:webHidden/>
          </w:rPr>
          <w:fldChar w:fldCharType="separate"/>
        </w:r>
        <w:r w:rsidR="000C7297">
          <w:rPr>
            <w:noProof/>
            <w:webHidden/>
          </w:rPr>
          <w:t>5</w:t>
        </w:r>
        <w:r w:rsidR="000C7297">
          <w:rPr>
            <w:noProof/>
            <w:webHidden/>
          </w:rPr>
          <w:fldChar w:fldCharType="end"/>
        </w:r>
      </w:hyperlink>
    </w:p>
    <w:p w:rsidR="000C7297" w:rsidRDefault="005E104A">
      <w:pPr>
        <w:pStyle w:val="TOC1"/>
        <w:tabs>
          <w:tab w:val="left" w:pos="480"/>
          <w:tab w:val="right" w:leader="dot" w:pos="9629"/>
        </w:tabs>
        <w:rPr>
          <w:rFonts w:eastAsiaTheme="minorEastAsia" w:cstheme="minorBidi"/>
          <w:noProof/>
          <w:szCs w:val="22"/>
          <w:lang w:val="en-GB" w:eastAsia="en-GB"/>
        </w:rPr>
      </w:pPr>
      <w:hyperlink w:anchor="_Toc34407407" w:history="1">
        <w:r w:rsidR="000C7297" w:rsidRPr="006556BE">
          <w:rPr>
            <w:rStyle w:val="Hyperlink"/>
            <w:rFonts w:eastAsiaTheme="majorEastAsia"/>
            <w:noProof/>
          </w:rPr>
          <w:t>2</w:t>
        </w:r>
        <w:r w:rsidR="000C7297">
          <w:rPr>
            <w:rFonts w:eastAsiaTheme="minorEastAsia" w:cstheme="minorBidi"/>
            <w:noProof/>
            <w:szCs w:val="22"/>
            <w:lang w:val="en-GB" w:eastAsia="en-GB"/>
          </w:rPr>
          <w:tab/>
        </w:r>
        <w:r w:rsidR="000C7297" w:rsidRPr="006556BE">
          <w:rPr>
            <w:rStyle w:val="Hyperlink"/>
            <w:rFonts w:eastAsiaTheme="majorEastAsia"/>
            <w:noProof/>
          </w:rPr>
          <w:t>Research Culture</w:t>
        </w:r>
        <w:r w:rsidR="000C7297">
          <w:rPr>
            <w:noProof/>
            <w:webHidden/>
          </w:rPr>
          <w:tab/>
        </w:r>
        <w:r w:rsidR="000C7297">
          <w:rPr>
            <w:noProof/>
            <w:webHidden/>
          </w:rPr>
          <w:fldChar w:fldCharType="begin"/>
        </w:r>
        <w:r w:rsidR="000C7297">
          <w:rPr>
            <w:noProof/>
            <w:webHidden/>
          </w:rPr>
          <w:instrText xml:space="preserve"> PAGEREF _Toc34407407 \h </w:instrText>
        </w:r>
        <w:r w:rsidR="000C7297">
          <w:rPr>
            <w:noProof/>
            <w:webHidden/>
          </w:rPr>
        </w:r>
        <w:r w:rsidR="000C7297">
          <w:rPr>
            <w:noProof/>
            <w:webHidden/>
          </w:rPr>
          <w:fldChar w:fldCharType="separate"/>
        </w:r>
        <w:r w:rsidR="000C7297">
          <w:rPr>
            <w:noProof/>
            <w:webHidden/>
          </w:rPr>
          <w:t>5</w:t>
        </w:r>
        <w:r w:rsidR="000C7297">
          <w:rPr>
            <w:noProof/>
            <w:webHidden/>
          </w:rPr>
          <w:fldChar w:fldCharType="end"/>
        </w:r>
      </w:hyperlink>
    </w:p>
    <w:p w:rsidR="000C7297" w:rsidRDefault="005E104A">
      <w:pPr>
        <w:pStyle w:val="TOC2"/>
        <w:tabs>
          <w:tab w:val="left" w:pos="880"/>
          <w:tab w:val="right" w:leader="dot" w:pos="9629"/>
        </w:tabs>
        <w:rPr>
          <w:rFonts w:eastAsiaTheme="minorEastAsia" w:cstheme="minorBidi"/>
          <w:noProof/>
          <w:szCs w:val="22"/>
          <w:lang w:val="en-GB" w:eastAsia="en-GB"/>
        </w:rPr>
      </w:pPr>
      <w:hyperlink w:anchor="_Toc34407408" w:history="1">
        <w:r w:rsidR="000C7297" w:rsidRPr="006556BE">
          <w:rPr>
            <w:rStyle w:val="Hyperlink"/>
            <w:rFonts w:eastAsiaTheme="majorEastAsia"/>
            <w:noProof/>
          </w:rPr>
          <w:t>2.1</w:t>
        </w:r>
        <w:r w:rsidR="000C7297">
          <w:rPr>
            <w:rFonts w:eastAsiaTheme="minorEastAsia" w:cstheme="minorBidi"/>
            <w:noProof/>
            <w:szCs w:val="22"/>
            <w:lang w:val="en-GB" w:eastAsia="en-GB"/>
          </w:rPr>
          <w:tab/>
        </w:r>
        <w:r w:rsidR="000C7297" w:rsidRPr="006556BE">
          <w:rPr>
            <w:rStyle w:val="Hyperlink"/>
            <w:rFonts w:eastAsiaTheme="majorEastAsia"/>
            <w:noProof/>
          </w:rPr>
          <w:t>Staff Survey</w:t>
        </w:r>
        <w:r w:rsidR="000C7297">
          <w:rPr>
            <w:noProof/>
            <w:webHidden/>
          </w:rPr>
          <w:tab/>
        </w:r>
        <w:r w:rsidR="000C7297">
          <w:rPr>
            <w:noProof/>
            <w:webHidden/>
          </w:rPr>
          <w:fldChar w:fldCharType="begin"/>
        </w:r>
        <w:r w:rsidR="000C7297">
          <w:rPr>
            <w:noProof/>
            <w:webHidden/>
          </w:rPr>
          <w:instrText xml:space="preserve"> PAGEREF _Toc34407408 \h </w:instrText>
        </w:r>
        <w:r w:rsidR="000C7297">
          <w:rPr>
            <w:noProof/>
            <w:webHidden/>
          </w:rPr>
        </w:r>
        <w:r w:rsidR="000C7297">
          <w:rPr>
            <w:noProof/>
            <w:webHidden/>
          </w:rPr>
          <w:fldChar w:fldCharType="separate"/>
        </w:r>
        <w:r w:rsidR="000C7297">
          <w:rPr>
            <w:noProof/>
            <w:webHidden/>
          </w:rPr>
          <w:t>5</w:t>
        </w:r>
        <w:r w:rsidR="000C7297">
          <w:rPr>
            <w:noProof/>
            <w:webHidden/>
          </w:rPr>
          <w:fldChar w:fldCharType="end"/>
        </w:r>
      </w:hyperlink>
    </w:p>
    <w:p w:rsidR="000C7297" w:rsidRDefault="005E104A">
      <w:pPr>
        <w:pStyle w:val="TOC2"/>
        <w:tabs>
          <w:tab w:val="left" w:pos="880"/>
          <w:tab w:val="right" w:leader="dot" w:pos="9629"/>
        </w:tabs>
        <w:rPr>
          <w:rFonts w:eastAsiaTheme="minorEastAsia" w:cstheme="minorBidi"/>
          <w:noProof/>
          <w:szCs w:val="22"/>
          <w:lang w:val="en-GB" w:eastAsia="en-GB"/>
        </w:rPr>
      </w:pPr>
      <w:hyperlink w:anchor="_Toc34407409" w:history="1">
        <w:r w:rsidR="000C7297" w:rsidRPr="006556BE">
          <w:rPr>
            <w:rStyle w:val="Hyperlink"/>
            <w:rFonts w:eastAsiaTheme="majorEastAsia"/>
            <w:noProof/>
          </w:rPr>
          <w:t>2.2</w:t>
        </w:r>
        <w:r w:rsidR="000C7297">
          <w:rPr>
            <w:rFonts w:eastAsiaTheme="minorEastAsia" w:cstheme="minorBidi"/>
            <w:noProof/>
            <w:szCs w:val="22"/>
            <w:lang w:val="en-GB" w:eastAsia="en-GB"/>
          </w:rPr>
          <w:tab/>
        </w:r>
        <w:r w:rsidR="000C7297" w:rsidRPr="006556BE">
          <w:rPr>
            <w:rStyle w:val="Hyperlink"/>
            <w:rFonts w:eastAsiaTheme="majorEastAsia"/>
            <w:noProof/>
          </w:rPr>
          <w:t>Communications</w:t>
        </w:r>
        <w:r w:rsidR="000C7297">
          <w:rPr>
            <w:noProof/>
            <w:webHidden/>
          </w:rPr>
          <w:tab/>
        </w:r>
        <w:r w:rsidR="000C7297">
          <w:rPr>
            <w:noProof/>
            <w:webHidden/>
          </w:rPr>
          <w:fldChar w:fldCharType="begin"/>
        </w:r>
        <w:r w:rsidR="000C7297">
          <w:rPr>
            <w:noProof/>
            <w:webHidden/>
          </w:rPr>
          <w:instrText xml:space="preserve"> PAGEREF _Toc34407409 \h </w:instrText>
        </w:r>
        <w:r w:rsidR="000C7297">
          <w:rPr>
            <w:noProof/>
            <w:webHidden/>
          </w:rPr>
        </w:r>
        <w:r w:rsidR="000C7297">
          <w:rPr>
            <w:noProof/>
            <w:webHidden/>
          </w:rPr>
          <w:fldChar w:fldCharType="separate"/>
        </w:r>
        <w:r w:rsidR="000C7297">
          <w:rPr>
            <w:noProof/>
            <w:webHidden/>
          </w:rPr>
          <w:t>5</w:t>
        </w:r>
        <w:r w:rsidR="000C7297">
          <w:rPr>
            <w:noProof/>
            <w:webHidden/>
          </w:rPr>
          <w:fldChar w:fldCharType="end"/>
        </w:r>
      </w:hyperlink>
    </w:p>
    <w:p w:rsidR="000C7297" w:rsidRDefault="005E104A">
      <w:pPr>
        <w:pStyle w:val="TOC2"/>
        <w:tabs>
          <w:tab w:val="left" w:pos="880"/>
          <w:tab w:val="right" w:leader="dot" w:pos="9629"/>
        </w:tabs>
        <w:rPr>
          <w:rFonts w:eastAsiaTheme="minorEastAsia" w:cstheme="minorBidi"/>
          <w:noProof/>
          <w:szCs w:val="22"/>
          <w:lang w:val="en-GB" w:eastAsia="en-GB"/>
        </w:rPr>
      </w:pPr>
      <w:hyperlink w:anchor="_Toc34407410" w:history="1">
        <w:r w:rsidR="000C7297" w:rsidRPr="006556BE">
          <w:rPr>
            <w:rStyle w:val="Hyperlink"/>
            <w:rFonts w:eastAsiaTheme="majorEastAsia"/>
            <w:noProof/>
            <w:lang w:val="en-GB"/>
          </w:rPr>
          <w:t>2.3</w:t>
        </w:r>
        <w:r w:rsidR="000C7297">
          <w:rPr>
            <w:rFonts w:eastAsiaTheme="minorEastAsia" w:cstheme="minorBidi"/>
            <w:noProof/>
            <w:szCs w:val="22"/>
            <w:lang w:val="en-GB" w:eastAsia="en-GB"/>
          </w:rPr>
          <w:tab/>
        </w:r>
        <w:r w:rsidR="000C7297" w:rsidRPr="006556BE">
          <w:rPr>
            <w:rStyle w:val="Hyperlink"/>
            <w:rFonts w:eastAsiaTheme="majorEastAsia"/>
            <w:noProof/>
            <w:lang w:val="en-GB"/>
          </w:rPr>
          <w:t>Research Management Group (RMG)</w:t>
        </w:r>
        <w:r w:rsidR="000C7297">
          <w:rPr>
            <w:noProof/>
            <w:webHidden/>
          </w:rPr>
          <w:tab/>
        </w:r>
        <w:r w:rsidR="000C7297">
          <w:rPr>
            <w:noProof/>
            <w:webHidden/>
          </w:rPr>
          <w:fldChar w:fldCharType="begin"/>
        </w:r>
        <w:r w:rsidR="000C7297">
          <w:rPr>
            <w:noProof/>
            <w:webHidden/>
          </w:rPr>
          <w:instrText xml:space="preserve"> PAGEREF _Toc34407410 \h </w:instrText>
        </w:r>
        <w:r w:rsidR="000C7297">
          <w:rPr>
            <w:noProof/>
            <w:webHidden/>
          </w:rPr>
        </w:r>
        <w:r w:rsidR="000C7297">
          <w:rPr>
            <w:noProof/>
            <w:webHidden/>
          </w:rPr>
          <w:fldChar w:fldCharType="separate"/>
        </w:r>
        <w:r w:rsidR="000C7297">
          <w:rPr>
            <w:noProof/>
            <w:webHidden/>
          </w:rPr>
          <w:t>6</w:t>
        </w:r>
        <w:r w:rsidR="000C7297">
          <w:rPr>
            <w:noProof/>
            <w:webHidden/>
          </w:rPr>
          <w:fldChar w:fldCharType="end"/>
        </w:r>
      </w:hyperlink>
    </w:p>
    <w:p w:rsidR="000C7297" w:rsidRDefault="005E104A">
      <w:pPr>
        <w:pStyle w:val="TOC1"/>
        <w:tabs>
          <w:tab w:val="left" w:pos="480"/>
          <w:tab w:val="right" w:leader="dot" w:pos="9629"/>
        </w:tabs>
        <w:rPr>
          <w:rFonts w:eastAsiaTheme="minorEastAsia" w:cstheme="minorBidi"/>
          <w:noProof/>
          <w:szCs w:val="22"/>
          <w:lang w:val="en-GB" w:eastAsia="en-GB"/>
        </w:rPr>
      </w:pPr>
      <w:hyperlink w:anchor="_Toc34407411" w:history="1">
        <w:r w:rsidR="000C7297" w:rsidRPr="006556BE">
          <w:rPr>
            <w:rStyle w:val="Hyperlink"/>
            <w:rFonts w:eastAsiaTheme="majorEastAsia"/>
            <w:iCs/>
            <w:noProof/>
          </w:rPr>
          <w:t>3</w:t>
        </w:r>
        <w:r w:rsidR="000C7297">
          <w:rPr>
            <w:rFonts w:eastAsiaTheme="minorEastAsia" w:cstheme="minorBidi"/>
            <w:noProof/>
            <w:szCs w:val="22"/>
            <w:lang w:val="en-GB" w:eastAsia="en-GB"/>
          </w:rPr>
          <w:tab/>
        </w:r>
        <w:r w:rsidR="000C7297" w:rsidRPr="006556BE">
          <w:rPr>
            <w:rStyle w:val="Hyperlink"/>
            <w:rFonts w:eastAsiaTheme="majorEastAsia"/>
            <w:iCs/>
            <w:noProof/>
          </w:rPr>
          <w:t>Research opportunities for Patients</w:t>
        </w:r>
        <w:r w:rsidR="000C7297">
          <w:rPr>
            <w:noProof/>
            <w:webHidden/>
          </w:rPr>
          <w:tab/>
        </w:r>
        <w:r w:rsidR="000C7297">
          <w:rPr>
            <w:noProof/>
            <w:webHidden/>
          </w:rPr>
          <w:fldChar w:fldCharType="begin"/>
        </w:r>
        <w:r w:rsidR="000C7297">
          <w:rPr>
            <w:noProof/>
            <w:webHidden/>
          </w:rPr>
          <w:instrText xml:space="preserve"> PAGEREF _Toc34407411 \h </w:instrText>
        </w:r>
        <w:r w:rsidR="000C7297">
          <w:rPr>
            <w:noProof/>
            <w:webHidden/>
          </w:rPr>
        </w:r>
        <w:r w:rsidR="000C7297">
          <w:rPr>
            <w:noProof/>
            <w:webHidden/>
          </w:rPr>
          <w:fldChar w:fldCharType="separate"/>
        </w:r>
        <w:r w:rsidR="000C7297">
          <w:rPr>
            <w:noProof/>
            <w:webHidden/>
          </w:rPr>
          <w:t>7</w:t>
        </w:r>
        <w:r w:rsidR="000C7297">
          <w:rPr>
            <w:noProof/>
            <w:webHidden/>
          </w:rPr>
          <w:fldChar w:fldCharType="end"/>
        </w:r>
      </w:hyperlink>
    </w:p>
    <w:p w:rsidR="000C7297" w:rsidRDefault="005E104A">
      <w:pPr>
        <w:pStyle w:val="TOC2"/>
        <w:tabs>
          <w:tab w:val="left" w:pos="880"/>
          <w:tab w:val="right" w:leader="dot" w:pos="9629"/>
        </w:tabs>
        <w:rPr>
          <w:rFonts w:eastAsiaTheme="minorEastAsia" w:cstheme="minorBidi"/>
          <w:noProof/>
          <w:szCs w:val="22"/>
          <w:lang w:val="en-GB" w:eastAsia="en-GB"/>
        </w:rPr>
      </w:pPr>
      <w:hyperlink w:anchor="_Toc34407412" w:history="1">
        <w:r w:rsidR="000C7297" w:rsidRPr="006556BE">
          <w:rPr>
            <w:rStyle w:val="Hyperlink"/>
            <w:rFonts w:eastAsiaTheme="majorEastAsia"/>
            <w:noProof/>
          </w:rPr>
          <w:t>3.1</w:t>
        </w:r>
        <w:r w:rsidR="000C7297">
          <w:rPr>
            <w:rFonts w:eastAsiaTheme="minorEastAsia" w:cstheme="minorBidi"/>
            <w:noProof/>
            <w:szCs w:val="22"/>
            <w:lang w:val="en-GB" w:eastAsia="en-GB"/>
          </w:rPr>
          <w:tab/>
        </w:r>
        <w:r w:rsidR="000C7297" w:rsidRPr="006556BE">
          <w:rPr>
            <w:rStyle w:val="Hyperlink"/>
            <w:rFonts w:eastAsiaTheme="majorEastAsia"/>
            <w:noProof/>
          </w:rPr>
          <w:t>Consent to discuss participation in research (Lead Professor Andrea Cipriani)</w:t>
        </w:r>
        <w:r w:rsidR="000C7297">
          <w:rPr>
            <w:noProof/>
            <w:webHidden/>
          </w:rPr>
          <w:tab/>
        </w:r>
        <w:r w:rsidR="000C7297">
          <w:rPr>
            <w:noProof/>
            <w:webHidden/>
          </w:rPr>
          <w:fldChar w:fldCharType="begin"/>
        </w:r>
        <w:r w:rsidR="000C7297">
          <w:rPr>
            <w:noProof/>
            <w:webHidden/>
          </w:rPr>
          <w:instrText xml:space="preserve"> PAGEREF _Toc34407412 \h </w:instrText>
        </w:r>
        <w:r w:rsidR="000C7297">
          <w:rPr>
            <w:noProof/>
            <w:webHidden/>
          </w:rPr>
        </w:r>
        <w:r w:rsidR="000C7297">
          <w:rPr>
            <w:noProof/>
            <w:webHidden/>
          </w:rPr>
          <w:fldChar w:fldCharType="separate"/>
        </w:r>
        <w:r w:rsidR="000C7297">
          <w:rPr>
            <w:noProof/>
            <w:webHidden/>
          </w:rPr>
          <w:t>7</w:t>
        </w:r>
        <w:r w:rsidR="000C7297">
          <w:rPr>
            <w:noProof/>
            <w:webHidden/>
          </w:rPr>
          <w:fldChar w:fldCharType="end"/>
        </w:r>
      </w:hyperlink>
    </w:p>
    <w:p w:rsidR="000C7297" w:rsidRDefault="005E104A">
      <w:pPr>
        <w:pStyle w:val="TOC2"/>
        <w:tabs>
          <w:tab w:val="left" w:pos="880"/>
          <w:tab w:val="right" w:leader="dot" w:pos="9629"/>
        </w:tabs>
        <w:rPr>
          <w:rFonts w:eastAsiaTheme="minorEastAsia" w:cstheme="minorBidi"/>
          <w:noProof/>
          <w:szCs w:val="22"/>
          <w:lang w:val="en-GB" w:eastAsia="en-GB"/>
        </w:rPr>
      </w:pPr>
      <w:hyperlink w:anchor="_Toc34407413" w:history="1">
        <w:r w:rsidR="000C7297" w:rsidRPr="006556BE">
          <w:rPr>
            <w:rStyle w:val="Hyperlink"/>
            <w:rFonts w:eastAsiaTheme="majorEastAsia"/>
            <w:noProof/>
          </w:rPr>
          <w:t>3.2</w:t>
        </w:r>
        <w:r w:rsidR="000C7297">
          <w:rPr>
            <w:rFonts w:eastAsiaTheme="minorEastAsia" w:cstheme="minorBidi"/>
            <w:noProof/>
            <w:szCs w:val="22"/>
            <w:lang w:val="en-GB" w:eastAsia="en-GB"/>
          </w:rPr>
          <w:tab/>
        </w:r>
        <w:r w:rsidR="000C7297" w:rsidRPr="006556BE">
          <w:rPr>
            <w:rStyle w:val="Hyperlink"/>
            <w:rFonts w:eastAsiaTheme="majorEastAsia"/>
            <w:noProof/>
          </w:rPr>
          <w:t>NIHR Clinical Research Network (CRN) based performance</w:t>
        </w:r>
        <w:r w:rsidR="000C7297">
          <w:rPr>
            <w:noProof/>
            <w:webHidden/>
          </w:rPr>
          <w:tab/>
        </w:r>
        <w:r w:rsidR="000C7297">
          <w:rPr>
            <w:noProof/>
            <w:webHidden/>
          </w:rPr>
          <w:fldChar w:fldCharType="begin"/>
        </w:r>
        <w:r w:rsidR="000C7297">
          <w:rPr>
            <w:noProof/>
            <w:webHidden/>
          </w:rPr>
          <w:instrText xml:space="preserve"> PAGEREF _Toc34407413 \h </w:instrText>
        </w:r>
        <w:r w:rsidR="000C7297">
          <w:rPr>
            <w:noProof/>
            <w:webHidden/>
          </w:rPr>
        </w:r>
        <w:r w:rsidR="000C7297">
          <w:rPr>
            <w:noProof/>
            <w:webHidden/>
          </w:rPr>
          <w:fldChar w:fldCharType="separate"/>
        </w:r>
        <w:r w:rsidR="000C7297">
          <w:rPr>
            <w:noProof/>
            <w:webHidden/>
          </w:rPr>
          <w:t>8</w:t>
        </w:r>
        <w:r w:rsidR="000C7297">
          <w:rPr>
            <w:noProof/>
            <w:webHidden/>
          </w:rPr>
          <w:fldChar w:fldCharType="end"/>
        </w:r>
      </w:hyperlink>
    </w:p>
    <w:p w:rsidR="000C7297" w:rsidRDefault="005E104A">
      <w:pPr>
        <w:pStyle w:val="TOC2"/>
        <w:tabs>
          <w:tab w:val="left" w:pos="880"/>
          <w:tab w:val="right" w:leader="dot" w:pos="9629"/>
        </w:tabs>
        <w:rPr>
          <w:rFonts w:eastAsiaTheme="minorEastAsia" w:cstheme="minorBidi"/>
          <w:noProof/>
          <w:szCs w:val="22"/>
          <w:lang w:val="en-GB" w:eastAsia="en-GB"/>
        </w:rPr>
      </w:pPr>
      <w:hyperlink w:anchor="_Toc34407414" w:history="1">
        <w:r w:rsidR="000C7297" w:rsidRPr="006556BE">
          <w:rPr>
            <w:rStyle w:val="Hyperlink"/>
            <w:rFonts w:eastAsiaTheme="majorEastAsia"/>
            <w:noProof/>
            <w:lang w:val="en-GB"/>
          </w:rPr>
          <w:t>3.3</w:t>
        </w:r>
        <w:r w:rsidR="000C7297">
          <w:rPr>
            <w:rFonts w:eastAsiaTheme="minorEastAsia" w:cstheme="minorBidi"/>
            <w:noProof/>
            <w:szCs w:val="22"/>
            <w:lang w:val="en-GB" w:eastAsia="en-GB"/>
          </w:rPr>
          <w:tab/>
        </w:r>
        <w:r w:rsidR="000C7297" w:rsidRPr="006556BE">
          <w:rPr>
            <w:rStyle w:val="Hyperlink"/>
            <w:rFonts w:eastAsiaTheme="majorEastAsia"/>
            <w:noProof/>
            <w:lang w:val="en-GB"/>
          </w:rPr>
          <w:t>Equality, Diversity and Inclusion (EDI)</w:t>
        </w:r>
        <w:r w:rsidR="000C7297">
          <w:rPr>
            <w:noProof/>
            <w:webHidden/>
          </w:rPr>
          <w:tab/>
        </w:r>
        <w:r w:rsidR="000C7297">
          <w:rPr>
            <w:noProof/>
            <w:webHidden/>
          </w:rPr>
          <w:fldChar w:fldCharType="begin"/>
        </w:r>
        <w:r w:rsidR="000C7297">
          <w:rPr>
            <w:noProof/>
            <w:webHidden/>
          </w:rPr>
          <w:instrText xml:space="preserve"> PAGEREF _Toc34407414 \h </w:instrText>
        </w:r>
        <w:r w:rsidR="000C7297">
          <w:rPr>
            <w:noProof/>
            <w:webHidden/>
          </w:rPr>
        </w:r>
        <w:r w:rsidR="000C7297">
          <w:rPr>
            <w:noProof/>
            <w:webHidden/>
          </w:rPr>
          <w:fldChar w:fldCharType="separate"/>
        </w:r>
        <w:r w:rsidR="000C7297">
          <w:rPr>
            <w:noProof/>
            <w:webHidden/>
          </w:rPr>
          <w:t>9</w:t>
        </w:r>
        <w:r w:rsidR="000C7297">
          <w:rPr>
            <w:noProof/>
            <w:webHidden/>
          </w:rPr>
          <w:fldChar w:fldCharType="end"/>
        </w:r>
      </w:hyperlink>
    </w:p>
    <w:p w:rsidR="000C7297" w:rsidRDefault="005E104A">
      <w:pPr>
        <w:pStyle w:val="TOC1"/>
        <w:tabs>
          <w:tab w:val="left" w:pos="480"/>
          <w:tab w:val="right" w:leader="dot" w:pos="9629"/>
        </w:tabs>
        <w:rPr>
          <w:rFonts w:eastAsiaTheme="minorEastAsia" w:cstheme="minorBidi"/>
          <w:noProof/>
          <w:szCs w:val="22"/>
          <w:lang w:val="en-GB" w:eastAsia="en-GB"/>
        </w:rPr>
      </w:pPr>
      <w:hyperlink w:anchor="_Toc34407415" w:history="1">
        <w:r w:rsidR="000C7297" w:rsidRPr="006556BE">
          <w:rPr>
            <w:rStyle w:val="Hyperlink"/>
            <w:rFonts w:eastAsiaTheme="majorEastAsia"/>
            <w:noProof/>
          </w:rPr>
          <w:t>4</w:t>
        </w:r>
        <w:r w:rsidR="000C7297">
          <w:rPr>
            <w:rFonts w:eastAsiaTheme="minorEastAsia" w:cstheme="minorBidi"/>
            <w:noProof/>
            <w:szCs w:val="22"/>
            <w:lang w:val="en-GB" w:eastAsia="en-GB"/>
          </w:rPr>
          <w:tab/>
        </w:r>
        <w:r w:rsidR="000C7297" w:rsidRPr="006556BE">
          <w:rPr>
            <w:rStyle w:val="Hyperlink"/>
            <w:rFonts w:eastAsiaTheme="majorEastAsia"/>
            <w:bCs/>
            <w:noProof/>
          </w:rPr>
          <w:t>Exploit existing, identify and develop new research opportunities</w:t>
        </w:r>
        <w:r w:rsidR="000C7297">
          <w:rPr>
            <w:noProof/>
            <w:webHidden/>
          </w:rPr>
          <w:tab/>
        </w:r>
        <w:r w:rsidR="000C7297">
          <w:rPr>
            <w:noProof/>
            <w:webHidden/>
          </w:rPr>
          <w:fldChar w:fldCharType="begin"/>
        </w:r>
        <w:r w:rsidR="000C7297">
          <w:rPr>
            <w:noProof/>
            <w:webHidden/>
          </w:rPr>
          <w:instrText xml:space="preserve"> PAGEREF _Toc34407415 \h </w:instrText>
        </w:r>
        <w:r w:rsidR="000C7297">
          <w:rPr>
            <w:noProof/>
            <w:webHidden/>
          </w:rPr>
        </w:r>
        <w:r w:rsidR="000C7297">
          <w:rPr>
            <w:noProof/>
            <w:webHidden/>
          </w:rPr>
          <w:fldChar w:fldCharType="separate"/>
        </w:r>
        <w:r w:rsidR="000C7297">
          <w:rPr>
            <w:noProof/>
            <w:webHidden/>
          </w:rPr>
          <w:t>9</w:t>
        </w:r>
        <w:r w:rsidR="000C7297">
          <w:rPr>
            <w:noProof/>
            <w:webHidden/>
          </w:rPr>
          <w:fldChar w:fldCharType="end"/>
        </w:r>
      </w:hyperlink>
    </w:p>
    <w:p w:rsidR="000C7297" w:rsidRDefault="005E104A">
      <w:pPr>
        <w:pStyle w:val="TOC2"/>
        <w:tabs>
          <w:tab w:val="left" w:pos="880"/>
          <w:tab w:val="right" w:leader="dot" w:pos="9629"/>
        </w:tabs>
        <w:rPr>
          <w:rFonts w:eastAsiaTheme="minorEastAsia" w:cstheme="minorBidi"/>
          <w:noProof/>
          <w:szCs w:val="22"/>
          <w:lang w:val="en-GB" w:eastAsia="en-GB"/>
        </w:rPr>
      </w:pPr>
      <w:hyperlink w:anchor="_Toc34407416" w:history="1">
        <w:r w:rsidR="000C7297" w:rsidRPr="006556BE">
          <w:rPr>
            <w:rStyle w:val="Hyperlink"/>
            <w:rFonts w:eastAsiaTheme="majorEastAsia"/>
            <w:noProof/>
          </w:rPr>
          <w:t>4.1</w:t>
        </w:r>
        <w:r w:rsidR="000C7297">
          <w:rPr>
            <w:rFonts w:eastAsiaTheme="minorEastAsia" w:cstheme="minorBidi"/>
            <w:noProof/>
            <w:szCs w:val="22"/>
            <w:lang w:val="en-GB" w:eastAsia="en-GB"/>
          </w:rPr>
          <w:tab/>
        </w:r>
        <w:r w:rsidR="000C7297" w:rsidRPr="006556BE">
          <w:rPr>
            <w:rStyle w:val="Hyperlink"/>
            <w:rFonts w:eastAsiaTheme="majorEastAsia"/>
            <w:noProof/>
          </w:rPr>
          <w:t>NIHR Biomedical Research Centre (BRC)</w:t>
        </w:r>
        <w:r w:rsidR="000C7297">
          <w:rPr>
            <w:noProof/>
            <w:webHidden/>
          </w:rPr>
          <w:tab/>
        </w:r>
        <w:r w:rsidR="000C7297">
          <w:rPr>
            <w:noProof/>
            <w:webHidden/>
          </w:rPr>
          <w:fldChar w:fldCharType="begin"/>
        </w:r>
        <w:r w:rsidR="000C7297">
          <w:rPr>
            <w:noProof/>
            <w:webHidden/>
          </w:rPr>
          <w:instrText xml:space="preserve"> PAGEREF _Toc34407416 \h </w:instrText>
        </w:r>
        <w:r w:rsidR="000C7297">
          <w:rPr>
            <w:noProof/>
            <w:webHidden/>
          </w:rPr>
        </w:r>
        <w:r w:rsidR="000C7297">
          <w:rPr>
            <w:noProof/>
            <w:webHidden/>
          </w:rPr>
          <w:fldChar w:fldCharType="separate"/>
        </w:r>
        <w:r w:rsidR="000C7297">
          <w:rPr>
            <w:noProof/>
            <w:webHidden/>
          </w:rPr>
          <w:t>9</w:t>
        </w:r>
        <w:r w:rsidR="000C7297">
          <w:rPr>
            <w:noProof/>
            <w:webHidden/>
          </w:rPr>
          <w:fldChar w:fldCharType="end"/>
        </w:r>
      </w:hyperlink>
    </w:p>
    <w:p w:rsidR="000C7297" w:rsidRDefault="005E104A">
      <w:pPr>
        <w:pStyle w:val="TOC2"/>
        <w:tabs>
          <w:tab w:val="left" w:pos="880"/>
          <w:tab w:val="right" w:leader="dot" w:pos="9629"/>
        </w:tabs>
        <w:rPr>
          <w:rFonts w:eastAsiaTheme="minorEastAsia" w:cstheme="minorBidi"/>
          <w:noProof/>
          <w:szCs w:val="22"/>
          <w:lang w:val="en-GB" w:eastAsia="en-GB"/>
        </w:rPr>
      </w:pPr>
      <w:hyperlink w:anchor="_Toc34407417" w:history="1">
        <w:r w:rsidR="000C7297" w:rsidRPr="006556BE">
          <w:rPr>
            <w:rStyle w:val="Hyperlink"/>
            <w:rFonts w:eastAsiaTheme="majorEastAsia"/>
            <w:noProof/>
          </w:rPr>
          <w:t>4.2</w:t>
        </w:r>
        <w:r w:rsidR="000C7297">
          <w:rPr>
            <w:rFonts w:eastAsiaTheme="minorEastAsia" w:cstheme="minorBidi"/>
            <w:noProof/>
            <w:szCs w:val="22"/>
            <w:lang w:val="en-GB" w:eastAsia="en-GB"/>
          </w:rPr>
          <w:tab/>
        </w:r>
        <w:r w:rsidR="000C7297" w:rsidRPr="006556BE">
          <w:rPr>
            <w:rStyle w:val="Hyperlink"/>
            <w:rFonts w:eastAsiaTheme="majorEastAsia"/>
            <w:noProof/>
          </w:rPr>
          <w:t>NIHR Oxford cognitive health Clinical Research Facility (CRF)</w:t>
        </w:r>
        <w:r w:rsidR="000C7297">
          <w:rPr>
            <w:noProof/>
            <w:webHidden/>
          </w:rPr>
          <w:tab/>
        </w:r>
        <w:r w:rsidR="000C7297">
          <w:rPr>
            <w:noProof/>
            <w:webHidden/>
          </w:rPr>
          <w:fldChar w:fldCharType="begin"/>
        </w:r>
        <w:r w:rsidR="000C7297">
          <w:rPr>
            <w:noProof/>
            <w:webHidden/>
          </w:rPr>
          <w:instrText xml:space="preserve"> PAGEREF _Toc34407417 \h </w:instrText>
        </w:r>
        <w:r w:rsidR="000C7297">
          <w:rPr>
            <w:noProof/>
            <w:webHidden/>
          </w:rPr>
        </w:r>
        <w:r w:rsidR="000C7297">
          <w:rPr>
            <w:noProof/>
            <w:webHidden/>
          </w:rPr>
          <w:fldChar w:fldCharType="separate"/>
        </w:r>
        <w:r w:rsidR="000C7297">
          <w:rPr>
            <w:noProof/>
            <w:webHidden/>
          </w:rPr>
          <w:t>22</w:t>
        </w:r>
        <w:r w:rsidR="000C7297">
          <w:rPr>
            <w:noProof/>
            <w:webHidden/>
          </w:rPr>
          <w:fldChar w:fldCharType="end"/>
        </w:r>
      </w:hyperlink>
    </w:p>
    <w:p w:rsidR="000C7297" w:rsidRDefault="005E104A">
      <w:pPr>
        <w:pStyle w:val="TOC2"/>
        <w:tabs>
          <w:tab w:val="left" w:pos="880"/>
          <w:tab w:val="right" w:leader="dot" w:pos="9629"/>
        </w:tabs>
        <w:rPr>
          <w:rFonts w:eastAsiaTheme="minorEastAsia" w:cstheme="minorBidi"/>
          <w:noProof/>
          <w:szCs w:val="22"/>
          <w:lang w:val="en-GB" w:eastAsia="en-GB"/>
        </w:rPr>
      </w:pPr>
      <w:hyperlink w:anchor="_Toc34407418" w:history="1">
        <w:r w:rsidR="000C7297" w:rsidRPr="006556BE">
          <w:rPr>
            <w:rStyle w:val="Hyperlink"/>
            <w:rFonts w:eastAsiaTheme="majorEastAsia"/>
            <w:noProof/>
          </w:rPr>
          <w:t>4.3</w:t>
        </w:r>
        <w:r w:rsidR="000C7297">
          <w:rPr>
            <w:rFonts w:eastAsiaTheme="minorEastAsia" w:cstheme="minorBidi"/>
            <w:noProof/>
            <w:szCs w:val="22"/>
            <w:lang w:val="en-GB" w:eastAsia="en-GB"/>
          </w:rPr>
          <w:tab/>
        </w:r>
        <w:r w:rsidR="000C7297" w:rsidRPr="006556BE">
          <w:rPr>
            <w:rStyle w:val="Hyperlink"/>
            <w:rFonts w:eastAsiaTheme="majorEastAsia"/>
            <w:noProof/>
          </w:rPr>
          <w:t>NIHR Collaboration in Leadership in Applied Health Research and Care (CLAHRC)</w:t>
        </w:r>
        <w:r w:rsidR="000C7297">
          <w:rPr>
            <w:noProof/>
            <w:webHidden/>
          </w:rPr>
          <w:tab/>
        </w:r>
        <w:r w:rsidR="000C7297">
          <w:rPr>
            <w:noProof/>
            <w:webHidden/>
          </w:rPr>
          <w:fldChar w:fldCharType="begin"/>
        </w:r>
        <w:r w:rsidR="000C7297">
          <w:rPr>
            <w:noProof/>
            <w:webHidden/>
          </w:rPr>
          <w:instrText xml:space="preserve"> PAGEREF _Toc34407418 \h </w:instrText>
        </w:r>
        <w:r w:rsidR="000C7297">
          <w:rPr>
            <w:noProof/>
            <w:webHidden/>
          </w:rPr>
        </w:r>
        <w:r w:rsidR="000C7297">
          <w:rPr>
            <w:noProof/>
            <w:webHidden/>
          </w:rPr>
          <w:fldChar w:fldCharType="separate"/>
        </w:r>
        <w:r w:rsidR="000C7297">
          <w:rPr>
            <w:noProof/>
            <w:webHidden/>
          </w:rPr>
          <w:t>26</w:t>
        </w:r>
        <w:r w:rsidR="000C7297">
          <w:rPr>
            <w:noProof/>
            <w:webHidden/>
          </w:rPr>
          <w:fldChar w:fldCharType="end"/>
        </w:r>
      </w:hyperlink>
    </w:p>
    <w:p w:rsidR="000C7297" w:rsidRDefault="005E104A">
      <w:pPr>
        <w:pStyle w:val="TOC2"/>
        <w:tabs>
          <w:tab w:val="left" w:pos="880"/>
          <w:tab w:val="right" w:leader="dot" w:pos="9629"/>
        </w:tabs>
        <w:rPr>
          <w:rFonts w:eastAsiaTheme="minorEastAsia" w:cstheme="minorBidi"/>
          <w:noProof/>
          <w:szCs w:val="22"/>
          <w:lang w:val="en-GB" w:eastAsia="en-GB"/>
        </w:rPr>
      </w:pPr>
      <w:hyperlink w:anchor="_Toc34407419" w:history="1">
        <w:r w:rsidR="000C7297" w:rsidRPr="006556BE">
          <w:rPr>
            <w:rStyle w:val="Hyperlink"/>
            <w:rFonts w:eastAsiaTheme="majorEastAsia"/>
            <w:noProof/>
          </w:rPr>
          <w:t>4.4</w:t>
        </w:r>
        <w:r w:rsidR="000C7297">
          <w:rPr>
            <w:rFonts w:eastAsiaTheme="minorEastAsia" w:cstheme="minorBidi"/>
            <w:noProof/>
            <w:szCs w:val="22"/>
            <w:lang w:val="en-GB" w:eastAsia="en-GB"/>
          </w:rPr>
          <w:tab/>
        </w:r>
        <w:r w:rsidR="000C7297" w:rsidRPr="006556BE">
          <w:rPr>
            <w:rStyle w:val="Hyperlink"/>
            <w:rFonts w:eastAsiaTheme="majorEastAsia"/>
            <w:noProof/>
          </w:rPr>
          <w:t>NIHR Applied Research Collaboration Oxford and Thames Valley (OxTV)</w:t>
        </w:r>
        <w:r w:rsidR="000C7297">
          <w:rPr>
            <w:noProof/>
            <w:webHidden/>
          </w:rPr>
          <w:tab/>
        </w:r>
        <w:r w:rsidR="000C7297">
          <w:rPr>
            <w:noProof/>
            <w:webHidden/>
          </w:rPr>
          <w:fldChar w:fldCharType="begin"/>
        </w:r>
        <w:r w:rsidR="000C7297">
          <w:rPr>
            <w:noProof/>
            <w:webHidden/>
          </w:rPr>
          <w:instrText xml:space="preserve"> PAGEREF _Toc34407419 \h </w:instrText>
        </w:r>
        <w:r w:rsidR="000C7297">
          <w:rPr>
            <w:noProof/>
            <w:webHidden/>
          </w:rPr>
        </w:r>
        <w:r w:rsidR="000C7297">
          <w:rPr>
            <w:noProof/>
            <w:webHidden/>
          </w:rPr>
          <w:fldChar w:fldCharType="separate"/>
        </w:r>
        <w:r w:rsidR="000C7297">
          <w:rPr>
            <w:noProof/>
            <w:webHidden/>
          </w:rPr>
          <w:t>26</w:t>
        </w:r>
        <w:r w:rsidR="000C7297">
          <w:rPr>
            <w:noProof/>
            <w:webHidden/>
          </w:rPr>
          <w:fldChar w:fldCharType="end"/>
        </w:r>
      </w:hyperlink>
    </w:p>
    <w:p w:rsidR="000C7297" w:rsidRDefault="005E104A">
      <w:pPr>
        <w:pStyle w:val="TOC2"/>
        <w:tabs>
          <w:tab w:val="left" w:pos="880"/>
          <w:tab w:val="right" w:leader="dot" w:pos="9629"/>
        </w:tabs>
        <w:rPr>
          <w:rFonts w:eastAsiaTheme="minorEastAsia" w:cstheme="minorBidi"/>
          <w:noProof/>
          <w:szCs w:val="22"/>
          <w:lang w:val="en-GB" w:eastAsia="en-GB"/>
        </w:rPr>
      </w:pPr>
      <w:hyperlink w:anchor="_Toc34407420" w:history="1">
        <w:r w:rsidR="000C7297" w:rsidRPr="006556BE">
          <w:rPr>
            <w:rStyle w:val="Hyperlink"/>
            <w:rFonts w:eastAsiaTheme="majorEastAsia"/>
            <w:noProof/>
          </w:rPr>
          <w:t>4.5</w:t>
        </w:r>
        <w:r w:rsidR="000C7297">
          <w:rPr>
            <w:rFonts w:eastAsiaTheme="minorEastAsia" w:cstheme="minorBidi"/>
            <w:noProof/>
            <w:szCs w:val="22"/>
            <w:lang w:val="en-GB" w:eastAsia="en-GB"/>
          </w:rPr>
          <w:tab/>
        </w:r>
        <w:r w:rsidR="000C7297" w:rsidRPr="006556BE">
          <w:rPr>
            <w:rStyle w:val="Hyperlink"/>
            <w:rFonts w:eastAsiaTheme="majorEastAsia"/>
            <w:noProof/>
          </w:rPr>
          <w:t>NIHR MedTech and In Vitro Diagnostic Co-operatives (MIC)</w:t>
        </w:r>
        <w:r w:rsidR="000C7297">
          <w:rPr>
            <w:noProof/>
            <w:webHidden/>
          </w:rPr>
          <w:tab/>
        </w:r>
        <w:r w:rsidR="000C7297">
          <w:rPr>
            <w:noProof/>
            <w:webHidden/>
          </w:rPr>
          <w:fldChar w:fldCharType="begin"/>
        </w:r>
        <w:r w:rsidR="000C7297">
          <w:rPr>
            <w:noProof/>
            <w:webHidden/>
          </w:rPr>
          <w:instrText xml:space="preserve"> PAGEREF _Toc34407420 \h </w:instrText>
        </w:r>
        <w:r w:rsidR="000C7297">
          <w:rPr>
            <w:noProof/>
            <w:webHidden/>
          </w:rPr>
        </w:r>
        <w:r w:rsidR="000C7297">
          <w:rPr>
            <w:noProof/>
            <w:webHidden/>
          </w:rPr>
          <w:fldChar w:fldCharType="separate"/>
        </w:r>
        <w:r w:rsidR="000C7297">
          <w:rPr>
            <w:noProof/>
            <w:webHidden/>
          </w:rPr>
          <w:t>30</w:t>
        </w:r>
        <w:r w:rsidR="000C7297">
          <w:rPr>
            <w:noProof/>
            <w:webHidden/>
          </w:rPr>
          <w:fldChar w:fldCharType="end"/>
        </w:r>
      </w:hyperlink>
    </w:p>
    <w:p w:rsidR="000C7297" w:rsidRDefault="005E104A">
      <w:pPr>
        <w:pStyle w:val="TOC1"/>
        <w:tabs>
          <w:tab w:val="left" w:pos="480"/>
          <w:tab w:val="right" w:leader="dot" w:pos="9629"/>
        </w:tabs>
        <w:rPr>
          <w:rFonts w:eastAsiaTheme="minorEastAsia" w:cstheme="minorBidi"/>
          <w:noProof/>
          <w:szCs w:val="22"/>
          <w:lang w:val="en-GB" w:eastAsia="en-GB"/>
        </w:rPr>
      </w:pPr>
      <w:hyperlink w:anchor="_Toc34407421" w:history="1">
        <w:r w:rsidR="000C7297" w:rsidRPr="006556BE">
          <w:rPr>
            <w:rStyle w:val="Hyperlink"/>
            <w:rFonts w:eastAsiaTheme="majorEastAsia"/>
            <w:noProof/>
          </w:rPr>
          <w:t>5</w:t>
        </w:r>
        <w:r w:rsidR="000C7297">
          <w:rPr>
            <w:rFonts w:eastAsiaTheme="minorEastAsia" w:cstheme="minorBidi"/>
            <w:noProof/>
            <w:szCs w:val="22"/>
            <w:lang w:val="en-GB" w:eastAsia="en-GB"/>
          </w:rPr>
          <w:tab/>
        </w:r>
        <w:r w:rsidR="000C7297" w:rsidRPr="006556BE">
          <w:rPr>
            <w:rStyle w:val="Hyperlink"/>
            <w:rFonts w:eastAsiaTheme="majorEastAsia"/>
            <w:bCs/>
            <w:noProof/>
          </w:rPr>
          <w:t>Leadership and Management</w:t>
        </w:r>
        <w:r w:rsidR="000C7297">
          <w:rPr>
            <w:noProof/>
            <w:webHidden/>
          </w:rPr>
          <w:tab/>
        </w:r>
        <w:r w:rsidR="000C7297">
          <w:rPr>
            <w:noProof/>
            <w:webHidden/>
          </w:rPr>
          <w:fldChar w:fldCharType="begin"/>
        </w:r>
        <w:r w:rsidR="000C7297">
          <w:rPr>
            <w:noProof/>
            <w:webHidden/>
          </w:rPr>
          <w:instrText xml:space="preserve"> PAGEREF _Toc34407421 \h </w:instrText>
        </w:r>
        <w:r w:rsidR="000C7297">
          <w:rPr>
            <w:noProof/>
            <w:webHidden/>
          </w:rPr>
        </w:r>
        <w:r w:rsidR="000C7297">
          <w:rPr>
            <w:noProof/>
            <w:webHidden/>
          </w:rPr>
          <w:fldChar w:fldCharType="separate"/>
        </w:r>
        <w:r w:rsidR="000C7297">
          <w:rPr>
            <w:noProof/>
            <w:webHidden/>
          </w:rPr>
          <w:t>32</w:t>
        </w:r>
        <w:r w:rsidR="000C7297">
          <w:rPr>
            <w:noProof/>
            <w:webHidden/>
          </w:rPr>
          <w:fldChar w:fldCharType="end"/>
        </w:r>
      </w:hyperlink>
    </w:p>
    <w:p w:rsidR="000C7297" w:rsidRDefault="005E104A">
      <w:pPr>
        <w:pStyle w:val="TOC2"/>
        <w:tabs>
          <w:tab w:val="left" w:pos="880"/>
          <w:tab w:val="right" w:leader="dot" w:pos="9629"/>
        </w:tabs>
        <w:rPr>
          <w:rFonts w:eastAsiaTheme="minorEastAsia" w:cstheme="minorBidi"/>
          <w:noProof/>
          <w:szCs w:val="22"/>
          <w:lang w:val="en-GB" w:eastAsia="en-GB"/>
        </w:rPr>
      </w:pPr>
      <w:hyperlink w:anchor="_Toc34407422" w:history="1">
        <w:r w:rsidR="000C7297" w:rsidRPr="006556BE">
          <w:rPr>
            <w:rStyle w:val="Hyperlink"/>
            <w:rFonts w:eastAsiaTheme="majorEastAsia"/>
            <w:noProof/>
          </w:rPr>
          <w:t>5.1</w:t>
        </w:r>
        <w:r w:rsidR="000C7297">
          <w:rPr>
            <w:rFonts w:eastAsiaTheme="minorEastAsia" w:cstheme="minorBidi"/>
            <w:noProof/>
            <w:szCs w:val="22"/>
            <w:lang w:val="en-GB" w:eastAsia="en-GB"/>
          </w:rPr>
          <w:tab/>
        </w:r>
        <w:r w:rsidR="000C7297" w:rsidRPr="006556BE">
          <w:rPr>
            <w:rStyle w:val="Hyperlink"/>
            <w:rFonts w:eastAsiaTheme="majorEastAsia"/>
            <w:noProof/>
          </w:rPr>
          <w:t>Board report \ seminars feedback</w:t>
        </w:r>
        <w:r w:rsidR="000C7297">
          <w:rPr>
            <w:noProof/>
            <w:webHidden/>
          </w:rPr>
          <w:tab/>
        </w:r>
        <w:r w:rsidR="000C7297">
          <w:rPr>
            <w:noProof/>
            <w:webHidden/>
          </w:rPr>
          <w:fldChar w:fldCharType="begin"/>
        </w:r>
        <w:r w:rsidR="000C7297">
          <w:rPr>
            <w:noProof/>
            <w:webHidden/>
          </w:rPr>
          <w:instrText xml:space="preserve"> PAGEREF _Toc34407422 \h </w:instrText>
        </w:r>
        <w:r w:rsidR="000C7297">
          <w:rPr>
            <w:noProof/>
            <w:webHidden/>
          </w:rPr>
        </w:r>
        <w:r w:rsidR="000C7297">
          <w:rPr>
            <w:noProof/>
            <w:webHidden/>
          </w:rPr>
          <w:fldChar w:fldCharType="separate"/>
        </w:r>
        <w:r w:rsidR="000C7297">
          <w:rPr>
            <w:noProof/>
            <w:webHidden/>
          </w:rPr>
          <w:t>32</w:t>
        </w:r>
        <w:r w:rsidR="000C7297">
          <w:rPr>
            <w:noProof/>
            <w:webHidden/>
          </w:rPr>
          <w:fldChar w:fldCharType="end"/>
        </w:r>
      </w:hyperlink>
    </w:p>
    <w:p w:rsidR="000C7297" w:rsidRDefault="005E104A">
      <w:pPr>
        <w:pStyle w:val="TOC2"/>
        <w:tabs>
          <w:tab w:val="left" w:pos="880"/>
          <w:tab w:val="right" w:leader="dot" w:pos="9629"/>
        </w:tabs>
        <w:rPr>
          <w:rFonts w:eastAsiaTheme="minorEastAsia" w:cstheme="minorBidi"/>
          <w:noProof/>
          <w:szCs w:val="22"/>
          <w:lang w:val="en-GB" w:eastAsia="en-GB"/>
        </w:rPr>
      </w:pPr>
      <w:hyperlink w:anchor="_Toc34407423" w:history="1">
        <w:r w:rsidR="000C7297" w:rsidRPr="006556BE">
          <w:rPr>
            <w:rStyle w:val="Hyperlink"/>
            <w:rFonts w:eastAsiaTheme="majorEastAsia"/>
            <w:noProof/>
          </w:rPr>
          <w:t>5.2</w:t>
        </w:r>
        <w:r w:rsidR="000C7297">
          <w:rPr>
            <w:rFonts w:eastAsiaTheme="minorEastAsia" w:cstheme="minorBidi"/>
            <w:noProof/>
            <w:szCs w:val="22"/>
            <w:lang w:val="en-GB" w:eastAsia="en-GB"/>
          </w:rPr>
          <w:tab/>
        </w:r>
        <w:r w:rsidR="000C7297" w:rsidRPr="006556BE">
          <w:rPr>
            <w:rStyle w:val="Hyperlink"/>
            <w:rFonts w:eastAsiaTheme="majorEastAsia"/>
            <w:noProof/>
          </w:rPr>
          <w:t>Staffing</w:t>
        </w:r>
        <w:r w:rsidR="000C7297">
          <w:rPr>
            <w:noProof/>
            <w:webHidden/>
          </w:rPr>
          <w:tab/>
        </w:r>
        <w:r w:rsidR="000C7297">
          <w:rPr>
            <w:noProof/>
            <w:webHidden/>
          </w:rPr>
          <w:fldChar w:fldCharType="begin"/>
        </w:r>
        <w:r w:rsidR="000C7297">
          <w:rPr>
            <w:noProof/>
            <w:webHidden/>
          </w:rPr>
          <w:instrText xml:space="preserve"> PAGEREF _Toc34407423 \h </w:instrText>
        </w:r>
        <w:r w:rsidR="000C7297">
          <w:rPr>
            <w:noProof/>
            <w:webHidden/>
          </w:rPr>
        </w:r>
        <w:r w:rsidR="000C7297">
          <w:rPr>
            <w:noProof/>
            <w:webHidden/>
          </w:rPr>
          <w:fldChar w:fldCharType="separate"/>
        </w:r>
        <w:r w:rsidR="000C7297">
          <w:rPr>
            <w:noProof/>
            <w:webHidden/>
          </w:rPr>
          <w:t>32</w:t>
        </w:r>
        <w:r w:rsidR="000C7297">
          <w:rPr>
            <w:noProof/>
            <w:webHidden/>
          </w:rPr>
          <w:fldChar w:fldCharType="end"/>
        </w:r>
      </w:hyperlink>
    </w:p>
    <w:p w:rsidR="000C7297" w:rsidRDefault="005E104A">
      <w:pPr>
        <w:pStyle w:val="TOC2"/>
        <w:tabs>
          <w:tab w:val="left" w:pos="880"/>
          <w:tab w:val="right" w:leader="dot" w:pos="9629"/>
        </w:tabs>
        <w:rPr>
          <w:rFonts w:eastAsiaTheme="minorEastAsia" w:cstheme="minorBidi"/>
          <w:noProof/>
          <w:szCs w:val="22"/>
          <w:lang w:val="en-GB" w:eastAsia="en-GB"/>
        </w:rPr>
      </w:pPr>
      <w:hyperlink w:anchor="_Toc34407424" w:history="1">
        <w:r w:rsidR="000C7297" w:rsidRPr="006556BE">
          <w:rPr>
            <w:rStyle w:val="Hyperlink"/>
            <w:rFonts w:eastAsiaTheme="majorEastAsia"/>
            <w:noProof/>
            <w:lang w:val="en-GB"/>
          </w:rPr>
          <w:t>5.3</w:t>
        </w:r>
        <w:r w:rsidR="000C7297">
          <w:rPr>
            <w:rFonts w:eastAsiaTheme="minorEastAsia" w:cstheme="minorBidi"/>
            <w:noProof/>
            <w:szCs w:val="22"/>
            <w:lang w:val="en-GB" w:eastAsia="en-GB"/>
          </w:rPr>
          <w:tab/>
        </w:r>
        <w:r w:rsidR="000C7297" w:rsidRPr="006556BE">
          <w:rPr>
            <w:rStyle w:val="Hyperlink"/>
            <w:rFonts w:eastAsiaTheme="majorEastAsia"/>
            <w:noProof/>
            <w:lang w:val="en-GB"/>
          </w:rPr>
          <w:t>Research Set Up and Sponsorship</w:t>
        </w:r>
        <w:r w:rsidR="000C7297">
          <w:rPr>
            <w:noProof/>
            <w:webHidden/>
          </w:rPr>
          <w:tab/>
        </w:r>
        <w:r w:rsidR="000C7297">
          <w:rPr>
            <w:noProof/>
            <w:webHidden/>
          </w:rPr>
          <w:fldChar w:fldCharType="begin"/>
        </w:r>
        <w:r w:rsidR="000C7297">
          <w:rPr>
            <w:noProof/>
            <w:webHidden/>
          </w:rPr>
          <w:instrText xml:space="preserve"> PAGEREF _Toc34407424 \h </w:instrText>
        </w:r>
        <w:r w:rsidR="000C7297">
          <w:rPr>
            <w:noProof/>
            <w:webHidden/>
          </w:rPr>
        </w:r>
        <w:r w:rsidR="000C7297">
          <w:rPr>
            <w:noProof/>
            <w:webHidden/>
          </w:rPr>
          <w:fldChar w:fldCharType="separate"/>
        </w:r>
        <w:r w:rsidR="000C7297">
          <w:rPr>
            <w:noProof/>
            <w:webHidden/>
          </w:rPr>
          <w:t>32</w:t>
        </w:r>
        <w:r w:rsidR="000C7297">
          <w:rPr>
            <w:noProof/>
            <w:webHidden/>
          </w:rPr>
          <w:fldChar w:fldCharType="end"/>
        </w:r>
      </w:hyperlink>
    </w:p>
    <w:p w:rsidR="000C7297" w:rsidRDefault="005E104A">
      <w:pPr>
        <w:pStyle w:val="TOC2"/>
        <w:tabs>
          <w:tab w:val="left" w:pos="880"/>
          <w:tab w:val="right" w:leader="dot" w:pos="9629"/>
        </w:tabs>
        <w:rPr>
          <w:rFonts w:eastAsiaTheme="minorEastAsia" w:cstheme="minorBidi"/>
          <w:noProof/>
          <w:szCs w:val="22"/>
          <w:lang w:val="en-GB" w:eastAsia="en-GB"/>
        </w:rPr>
      </w:pPr>
      <w:hyperlink w:anchor="_Toc34407425" w:history="1">
        <w:r w:rsidR="000C7297" w:rsidRPr="006556BE">
          <w:rPr>
            <w:rStyle w:val="Hyperlink"/>
            <w:noProof/>
          </w:rPr>
          <w:t>5.4</w:t>
        </w:r>
        <w:r w:rsidR="000C7297">
          <w:rPr>
            <w:rFonts w:eastAsiaTheme="minorEastAsia" w:cstheme="minorBidi"/>
            <w:noProof/>
            <w:szCs w:val="22"/>
            <w:lang w:val="en-GB" w:eastAsia="en-GB"/>
          </w:rPr>
          <w:tab/>
        </w:r>
        <w:r w:rsidR="000C7297" w:rsidRPr="006556BE">
          <w:rPr>
            <w:rStyle w:val="Hyperlink"/>
            <w:noProof/>
          </w:rPr>
          <w:t>Set Up</w:t>
        </w:r>
        <w:r w:rsidR="000C7297">
          <w:rPr>
            <w:noProof/>
            <w:webHidden/>
          </w:rPr>
          <w:tab/>
        </w:r>
        <w:r w:rsidR="000C7297">
          <w:rPr>
            <w:noProof/>
            <w:webHidden/>
          </w:rPr>
          <w:fldChar w:fldCharType="begin"/>
        </w:r>
        <w:r w:rsidR="000C7297">
          <w:rPr>
            <w:noProof/>
            <w:webHidden/>
          </w:rPr>
          <w:instrText xml:space="preserve"> PAGEREF _Toc34407425 \h </w:instrText>
        </w:r>
        <w:r w:rsidR="000C7297">
          <w:rPr>
            <w:noProof/>
            <w:webHidden/>
          </w:rPr>
        </w:r>
        <w:r w:rsidR="000C7297">
          <w:rPr>
            <w:noProof/>
            <w:webHidden/>
          </w:rPr>
          <w:fldChar w:fldCharType="separate"/>
        </w:r>
        <w:r w:rsidR="000C7297">
          <w:rPr>
            <w:noProof/>
            <w:webHidden/>
          </w:rPr>
          <w:t>32</w:t>
        </w:r>
        <w:r w:rsidR="000C7297">
          <w:rPr>
            <w:noProof/>
            <w:webHidden/>
          </w:rPr>
          <w:fldChar w:fldCharType="end"/>
        </w:r>
      </w:hyperlink>
    </w:p>
    <w:p w:rsidR="000C7297" w:rsidRDefault="005E104A">
      <w:pPr>
        <w:pStyle w:val="TOC2"/>
        <w:tabs>
          <w:tab w:val="left" w:pos="880"/>
          <w:tab w:val="right" w:leader="dot" w:pos="9629"/>
        </w:tabs>
        <w:rPr>
          <w:rFonts w:eastAsiaTheme="minorEastAsia" w:cstheme="minorBidi"/>
          <w:noProof/>
          <w:szCs w:val="22"/>
          <w:lang w:val="en-GB" w:eastAsia="en-GB"/>
        </w:rPr>
      </w:pPr>
      <w:hyperlink w:anchor="_Toc34407426" w:history="1">
        <w:r w:rsidR="000C7297" w:rsidRPr="006556BE">
          <w:rPr>
            <w:rStyle w:val="Hyperlink"/>
            <w:noProof/>
          </w:rPr>
          <w:t>5.5</w:t>
        </w:r>
        <w:r w:rsidR="000C7297">
          <w:rPr>
            <w:rFonts w:eastAsiaTheme="minorEastAsia" w:cstheme="minorBidi"/>
            <w:noProof/>
            <w:szCs w:val="22"/>
            <w:lang w:val="en-GB" w:eastAsia="en-GB"/>
          </w:rPr>
          <w:tab/>
        </w:r>
        <w:r w:rsidR="000C7297" w:rsidRPr="006556BE">
          <w:rPr>
            <w:rStyle w:val="Hyperlink"/>
            <w:noProof/>
          </w:rPr>
          <w:t>Sponsorship</w:t>
        </w:r>
        <w:r w:rsidR="000C7297">
          <w:rPr>
            <w:noProof/>
            <w:webHidden/>
          </w:rPr>
          <w:tab/>
        </w:r>
        <w:r w:rsidR="000C7297">
          <w:rPr>
            <w:noProof/>
            <w:webHidden/>
          </w:rPr>
          <w:fldChar w:fldCharType="begin"/>
        </w:r>
        <w:r w:rsidR="000C7297">
          <w:rPr>
            <w:noProof/>
            <w:webHidden/>
          </w:rPr>
          <w:instrText xml:space="preserve"> PAGEREF _Toc34407426 \h </w:instrText>
        </w:r>
        <w:r w:rsidR="000C7297">
          <w:rPr>
            <w:noProof/>
            <w:webHidden/>
          </w:rPr>
        </w:r>
        <w:r w:rsidR="000C7297">
          <w:rPr>
            <w:noProof/>
            <w:webHidden/>
          </w:rPr>
          <w:fldChar w:fldCharType="separate"/>
        </w:r>
        <w:r w:rsidR="000C7297">
          <w:rPr>
            <w:noProof/>
            <w:webHidden/>
          </w:rPr>
          <w:t>32</w:t>
        </w:r>
        <w:r w:rsidR="000C7297">
          <w:rPr>
            <w:noProof/>
            <w:webHidden/>
          </w:rPr>
          <w:fldChar w:fldCharType="end"/>
        </w:r>
      </w:hyperlink>
    </w:p>
    <w:p w:rsidR="000C7297" w:rsidRDefault="005E104A">
      <w:pPr>
        <w:pStyle w:val="TOC2"/>
        <w:tabs>
          <w:tab w:val="left" w:pos="880"/>
          <w:tab w:val="right" w:leader="dot" w:pos="9629"/>
        </w:tabs>
        <w:rPr>
          <w:rFonts w:eastAsiaTheme="minorEastAsia" w:cstheme="minorBidi"/>
          <w:noProof/>
          <w:szCs w:val="22"/>
          <w:lang w:val="en-GB" w:eastAsia="en-GB"/>
        </w:rPr>
      </w:pPr>
      <w:hyperlink w:anchor="_Toc34407427" w:history="1">
        <w:r w:rsidR="000C7297" w:rsidRPr="006556BE">
          <w:rPr>
            <w:rStyle w:val="Hyperlink"/>
            <w:noProof/>
          </w:rPr>
          <w:t>5.6</w:t>
        </w:r>
        <w:r w:rsidR="000C7297">
          <w:rPr>
            <w:rFonts w:eastAsiaTheme="minorEastAsia" w:cstheme="minorBidi"/>
            <w:noProof/>
            <w:szCs w:val="22"/>
            <w:lang w:val="en-GB" w:eastAsia="en-GB"/>
          </w:rPr>
          <w:tab/>
        </w:r>
        <w:r w:rsidR="000C7297" w:rsidRPr="006556BE">
          <w:rPr>
            <w:rStyle w:val="Hyperlink"/>
            <w:noProof/>
          </w:rPr>
          <w:t>NIHR Clinical Research Network (CRN) High Level Objectives (HLOs)</w:t>
        </w:r>
        <w:r w:rsidR="000C7297">
          <w:rPr>
            <w:noProof/>
            <w:webHidden/>
          </w:rPr>
          <w:tab/>
        </w:r>
        <w:r w:rsidR="000C7297">
          <w:rPr>
            <w:noProof/>
            <w:webHidden/>
          </w:rPr>
          <w:fldChar w:fldCharType="begin"/>
        </w:r>
        <w:r w:rsidR="000C7297">
          <w:rPr>
            <w:noProof/>
            <w:webHidden/>
          </w:rPr>
          <w:instrText xml:space="preserve"> PAGEREF _Toc34407427 \h </w:instrText>
        </w:r>
        <w:r w:rsidR="000C7297">
          <w:rPr>
            <w:noProof/>
            <w:webHidden/>
          </w:rPr>
        </w:r>
        <w:r w:rsidR="000C7297">
          <w:rPr>
            <w:noProof/>
            <w:webHidden/>
          </w:rPr>
          <w:fldChar w:fldCharType="separate"/>
        </w:r>
        <w:r w:rsidR="000C7297">
          <w:rPr>
            <w:noProof/>
            <w:webHidden/>
          </w:rPr>
          <w:t>32</w:t>
        </w:r>
        <w:r w:rsidR="000C7297">
          <w:rPr>
            <w:noProof/>
            <w:webHidden/>
          </w:rPr>
          <w:fldChar w:fldCharType="end"/>
        </w:r>
      </w:hyperlink>
    </w:p>
    <w:p w:rsidR="000C7297" w:rsidRDefault="005E104A">
      <w:pPr>
        <w:pStyle w:val="TOC2"/>
        <w:tabs>
          <w:tab w:val="left" w:pos="880"/>
          <w:tab w:val="right" w:leader="dot" w:pos="9629"/>
        </w:tabs>
        <w:rPr>
          <w:rFonts w:eastAsiaTheme="minorEastAsia" w:cstheme="minorBidi"/>
          <w:noProof/>
          <w:szCs w:val="22"/>
          <w:lang w:val="en-GB" w:eastAsia="en-GB"/>
        </w:rPr>
      </w:pPr>
      <w:hyperlink w:anchor="_Toc34407428" w:history="1">
        <w:r w:rsidR="000C7297" w:rsidRPr="006556BE">
          <w:rPr>
            <w:rStyle w:val="Hyperlink"/>
            <w:noProof/>
          </w:rPr>
          <w:t>5.7</w:t>
        </w:r>
        <w:r w:rsidR="000C7297">
          <w:rPr>
            <w:rFonts w:eastAsiaTheme="minorEastAsia" w:cstheme="minorBidi"/>
            <w:noProof/>
            <w:szCs w:val="22"/>
            <w:lang w:val="en-GB" w:eastAsia="en-GB"/>
          </w:rPr>
          <w:tab/>
        </w:r>
        <w:r w:rsidR="000C7297" w:rsidRPr="006556BE">
          <w:rPr>
            <w:rStyle w:val="Hyperlink"/>
            <w:noProof/>
          </w:rPr>
          <w:t>Contracts</w:t>
        </w:r>
        <w:r w:rsidR="000C7297">
          <w:rPr>
            <w:noProof/>
            <w:webHidden/>
          </w:rPr>
          <w:tab/>
        </w:r>
        <w:r w:rsidR="000C7297">
          <w:rPr>
            <w:noProof/>
            <w:webHidden/>
          </w:rPr>
          <w:fldChar w:fldCharType="begin"/>
        </w:r>
        <w:r w:rsidR="000C7297">
          <w:rPr>
            <w:noProof/>
            <w:webHidden/>
          </w:rPr>
          <w:instrText xml:space="preserve"> PAGEREF _Toc34407428 \h </w:instrText>
        </w:r>
        <w:r w:rsidR="000C7297">
          <w:rPr>
            <w:noProof/>
            <w:webHidden/>
          </w:rPr>
        </w:r>
        <w:r w:rsidR="000C7297">
          <w:rPr>
            <w:noProof/>
            <w:webHidden/>
          </w:rPr>
          <w:fldChar w:fldCharType="separate"/>
        </w:r>
        <w:r w:rsidR="000C7297">
          <w:rPr>
            <w:noProof/>
            <w:webHidden/>
          </w:rPr>
          <w:t>33</w:t>
        </w:r>
        <w:r w:rsidR="000C7297">
          <w:rPr>
            <w:noProof/>
            <w:webHidden/>
          </w:rPr>
          <w:fldChar w:fldCharType="end"/>
        </w:r>
      </w:hyperlink>
    </w:p>
    <w:p w:rsidR="000C7297" w:rsidRDefault="005E104A">
      <w:pPr>
        <w:pStyle w:val="TOC2"/>
        <w:tabs>
          <w:tab w:val="left" w:pos="880"/>
          <w:tab w:val="right" w:leader="dot" w:pos="9629"/>
        </w:tabs>
        <w:rPr>
          <w:rFonts w:eastAsiaTheme="minorEastAsia" w:cstheme="minorBidi"/>
          <w:noProof/>
          <w:szCs w:val="22"/>
          <w:lang w:val="en-GB" w:eastAsia="en-GB"/>
        </w:rPr>
      </w:pPr>
      <w:hyperlink w:anchor="_Toc34407429" w:history="1">
        <w:r w:rsidR="000C7297" w:rsidRPr="006556BE">
          <w:rPr>
            <w:rStyle w:val="Hyperlink"/>
            <w:rFonts w:eastAsiaTheme="majorEastAsia"/>
            <w:noProof/>
            <w:lang w:val="en-GB"/>
          </w:rPr>
          <w:t>5.8</w:t>
        </w:r>
        <w:r w:rsidR="000C7297">
          <w:rPr>
            <w:rFonts w:eastAsiaTheme="minorEastAsia" w:cstheme="minorBidi"/>
            <w:noProof/>
            <w:szCs w:val="22"/>
            <w:lang w:val="en-GB" w:eastAsia="en-GB"/>
          </w:rPr>
          <w:tab/>
        </w:r>
        <w:r w:rsidR="000C7297" w:rsidRPr="006556BE">
          <w:rPr>
            <w:rStyle w:val="Hyperlink"/>
            <w:rFonts w:eastAsiaTheme="majorEastAsia"/>
            <w:noProof/>
            <w:lang w:val="en-GB"/>
          </w:rPr>
          <w:t>Finance</w:t>
        </w:r>
        <w:r w:rsidR="000C7297">
          <w:rPr>
            <w:noProof/>
            <w:webHidden/>
          </w:rPr>
          <w:tab/>
        </w:r>
        <w:r w:rsidR="000C7297">
          <w:rPr>
            <w:noProof/>
            <w:webHidden/>
          </w:rPr>
          <w:fldChar w:fldCharType="begin"/>
        </w:r>
        <w:r w:rsidR="000C7297">
          <w:rPr>
            <w:noProof/>
            <w:webHidden/>
          </w:rPr>
          <w:instrText xml:space="preserve"> PAGEREF _Toc34407429 \h </w:instrText>
        </w:r>
        <w:r w:rsidR="000C7297">
          <w:rPr>
            <w:noProof/>
            <w:webHidden/>
          </w:rPr>
        </w:r>
        <w:r w:rsidR="000C7297">
          <w:rPr>
            <w:noProof/>
            <w:webHidden/>
          </w:rPr>
          <w:fldChar w:fldCharType="separate"/>
        </w:r>
        <w:r w:rsidR="000C7297">
          <w:rPr>
            <w:noProof/>
            <w:webHidden/>
          </w:rPr>
          <w:t>34</w:t>
        </w:r>
        <w:r w:rsidR="000C7297">
          <w:rPr>
            <w:noProof/>
            <w:webHidden/>
          </w:rPr>
          <w:fldChar w:fldCharType="end"/>
        </w:r>
      </w:hyperlink>
    </w:p>
    <w:p w:rsidR="000C7297" w:rsidRDefault="005E104A">
      <w:pPr>
        <w:pStyle w:val="TOC2"/>
        <w:tabs>
          <w:tab w:val="left" w:pos="880"/>
          <w:tab w:val="right" w:leader="dot" w:pos="9629"/>
        </w:tabs>
        <w:rPr>
          <w:rFonts w:eastAsiaTheme="minorEastAsia" w:cstheme="minorBidi"/>
          <w:noProof/>
          <w:szCs w:val="22"/>
          <w:lang w:val="en-GB" w:eastAsia="en-GB"/>
        </w:rPr>
      </w:pPr>
      <w:hyperlink w:anchor="_Toc34407430" w:history="1">
        <w:r w:rsidR="000C7297" w:rsidRPr="006556BE">
          <w:rPr>
            <w:rStyle w:val="Hyperlink"/>
            <w:rFonts w:eastAsiaTheme="majorEastAsia"/>
            <w:noProof/>
          </w:rPr>
          <w:t>5.9</w:t>
        </w:r>
        <w:r w:rsidR="000C7297">
          <w:rPr>
            <w:rFonts w:eastAsiaTheme="minorEastAsia" w:cstheme="minorBidi"/>
            <w:noProof/>
            <w:szCs w:val="22"/>
            <w:lang w:val="en-GB" w:eastAsia="en-GB"/>
          </w:rPr>
          <w:tab/>
        </w:r>
        <w:r w:rsidR="000C7297" w:rsidRPr="006556BE">
          <w:rPr>
            <w:rStyle w:val="Hyperlink"/>
            <w:rFonts w:eastAsiaTheme="majorEastAsia"/>
            <w:noProof/>
          </w:rPr>
          <w:t>Intellectual Property (IP) Management</w:t>
        </w:r>
        <w:r w:rsidR="000C7297">
          <w:rPr>
            <w:noProof/>
            <w:webHidden/>
          </w:rPr>
          <w:tab/>
        </w:r>
        <w:r w:rsidR="000C7297">
          <w:rPr>
            <w:noProof/>
            <w:webHidden/>
          </w:rPr>
          <w:fldChar w:fldCharType="begin"/>
        </w:r>
        <w:r w:rsidR="000C7297">
          <w:rPr>
            <w:noProof/>
            <w:webHidden/>
          </w:rPr>
          <w:instrText xml:space="preserve"> PAGEREF _Toc34407430 \h </w:instrText>
        </w:r>
        <w:r w:rsidR="000C7297">
          <w:rPr>
            <w:noProof/>
            <w:webHidden/>
          </w:rPr>
        </w:r>
        <w:r w:rsidR="000C7297">
          <w:rPr>
            <w:noProof/>
            <w:webHidden/>
          </w:rPr>
          <w:fldChar w:fldCharType="separate"/>
        </w:r>
        <w:r w:rsidR="000C7297">
          <w:rPr>
            <w:noProof/>
            <w:webHidden/>
          </w:rPr>
          <w:t>36</w:t>
        </w:r>
        <w:r w:rsidR="000C7297">
          <w:rPr>
            <w:noProof/>
            <w:webHidden/>
          </w:rPr>
          <w:fldChar w:fldCharType="end"/>
        </w:r>
      </w:hyperlink>
    </w:p>
    <w:p w:rsidR="000C7297" w:rsidRDefault="005E104A">
      <w:pPr>
        <w:pStyle w:val="TOC2"/>
        <w:tabs>
          <w:tab w:val="left" w:pos="880"/>
          <w:tab w:val="right" w:leader="dot" w:pos="9629"/>
        </w:tabs>
        <w:rPr>
          <w:rFonts w:eastAsiaTheme="minorEastAsia" w:cstheme="minorBidi"/>
          <w:noProof/>
          <w:szCs w:val="22"/>
          <w:lang w:val="en-GB" w:eastAsia="en-GB"/>
        </w:rPr>
      </w:pPr>
      <w:hyperlink w:anchor="_Toc34407431" w:history="1">
        <w:r w:rsidR="000C7297" w:rsidRPr="006556BE">
          <w:rPr>
            <w:rStyle w:val="Hyperlink"/>
            <w:rFonts w:eastAsiaTheme="majorEastAsia"/>
            <w:noProof/>
          </w:rPr>
          <w:t>5.10</w:t>
        </w:r>
        <w:r w:rsidR="000C7297">
          <w:rPr>
            <w:rFonts w:eastAsiaTheme="minorEastAsia" w:cstheme="minorBidi"/>
            <w:noProof/>
            <w:szCs w:val="22"/>
            <w:lang w:val="en-GB" w:eastAsia="en-GB"/>
          </w:rPr>
          <w:tab/>
        </w:r>
        <w:r w:rsidR="000C7297" w:rsidRPr="006556BE">
          <w:rPr>
            <w:rStyle w:val="Hyperlink"/>
            <w:rFonts w:eastAsiaTheme="majorEastAsia"/>
            <w:noProof/>
          </w:rPr>
          <w:t>Estates</w:t>
        </w:r>
        <w:r w:rsidR="000C7297">
          <w:rPr>
            <w:noProof/>
            <w:webHidden/>
          </w:rPr>
          <w:tab/>
        </w:r>
        <w:r w:rsidR="000C7297">
          <w:rPr>
            <w:noProof/>
            <w:webHidden/>
          </w:rPr>
          <w:fldChar w:fldCharType="begin"/>
        </w:r>
        <w:r w:rsidR="000C7297">
          <w:rPr>
            <w:noProof/>
            <w:webHidden/>
          </w:rPr>
          <w:instrText xml:space="preserve"> PAGEREF _Toc34407431 \h </w:instrText>
        </w:r>
        <w:r w:rsidR="000C7297">
          <w:rPr>
            <w:noProof/>
            <w:webHidden/>
          </w:rPr>
        </w:r>
        <w:r w:rsidR="000C7297">
          <w:rPr>
            <w:noProof/>
            <w:webHidden/>
          </w:rPr>
          <w:fldChar w:fldCharType="separate"/>
        </w:r>
        <w:r w:rsidR="000C7297">
          <w:rPr>
            <w:noProof/>
            <w:webHidden/>
          </w:rPr>
          <w:t>37</w:t>
        </w:r>
        <w:r w:rsidR="000C7297">
          <w:rPr>
            <w:noProof/>
            <w:webHidden/>
          </w:rPr>
          <w:fldChar w:fldCharType="end"/>
        </w:r>
      </w:hyperlink>
    </w:p>
    <w:p w:rsidR="000C7297" w:rsidRDefault="005E104A">
      <w:pPr>
        <w:pStyle w:val="TOC1"/>
        <w:tabs>
          <w:tab w:val="left" w:pos="480"/>
          <w:tab w:val="right" w:leader="dot" w:pos="9629"/>
        </w:tabs>
        <w:rPr>
          <w:rFonts w:eastAsiaTheme="minorEastAsia" w:cstheme="minorBidi"/>
          <w:noProof/>
          <w:szCs w:val="22"/>
          <w:lang w:val="en-GB" w:eastAsia="en-GB"/>
        </w:rPr>
      </w:pPr>
      <w:hyperlink w:anchor="_Toc34407432" w:history="1">
        <w:r w:rsidR="000C7297" w:rsidRPr="006556BE">
          <w:rPr>
            <w:rStyle w:val="Hyperlink"/>
            <w:rFonts w:eastAsiaTheme="majorEastAsia"/>
            <w:noProof/>
          </w:rPr>
          <w:t>6</w:t>
        </w:r>
        <w:r w:rsidR="000C7297">
          <w:rPr>
            <w:rFonts w:eastAsiaTheme="minorEastAsia" w:cstheme="minorBidi"/>
            <w:noProof/>
            <w:szCs w:val="22"/>
            <w:lang w:val="en-GB" w:eastAsia="en-GB"/>
          </w:rPr>
          <w:tab/>
        </w:r>
        <w:r w:rsidR="000C7297" w:rsidRPr="006556BE">
          <w:rPr>
            <w:rStyle w:val="Hyperlink"/>
            <w:rFonts w:eastAsiaTheme="majorEastAsia"/>
            <w:noProof/>
          </w:rPr>
          <w:t>Research Active Workforce</w:t>
        </w:r>
        <w:r w:rsidR="000C7297">
          <w:rPr>
            <w:noProof/>
            <w:webHidden/>
          </w:rPr>
          <w:tab/>
        </w:r>
        <w:r w:rsidR="000C7297">
          <w:rPr>
            <w:noProof/>
            <w:webHidden/>
          </w:rPr>
          <w:fldChar w:fldCharType="begin"/>
        </w:r>
        <w:r w:rsidR="000C7297">
          <w:rPr>
            <w:noProof/>
            <w:webHidden/>
          </w:rPr>
          <w:instrText xml:space="preserve"> PAGEREF _Toc34407432 \h </w:instrText>
        </w:r>
        <w:r w:rsidR="000C7297">
          <w:rPr>
            <w:noProof/>
            <w:webHidden/>
          </w:rPr>
        </w:r>
        <w:r w:rsidR="000C7297">
          <w:rPr>
            <w:noProof/>
            <w:webHidden/>
          </w:rPr>
          <w:fldChar w:fldCharType="separate"/>
        </w:r>
        <w:r w:rsidR="000C7297">
          <w:rPr>
            <w:noProof/>
            <w:webHidden/>
          </w:rPr>
          <w:t>37</w:t>
        </w:r>
        <w:r w:rsidR="000C7297">
          <w:rPr>
            <w:noProof/>
            <w:webHidden/>
          </w:rPr>
          <w:fldChar w:fldCharType="end"/>
        </w:r>
      </w:hyperlink>
    </w:p>
    <w:p w:rsidR="000C7297" w:rsidRDefault="005E104A">
      <w:pPr>
        <w:pStyle w:val="TOC1"/>
        <w:tabs>
          <w:tab w:val="left" w:pos="480"/>
          <w:tab w:val="right" w:leader="dot" w:pos="9629"/>
        </w:tabs>
        <w:rPr>
          <w:rFonts w:eastAsiaTheme="minorEastAsia" w:cstheme="minorBidi"/>
          <w:noProof/>
          <w:szCs w:val="22"/>
          <w:lang w:val="en-GB" w:eastAsia="en-GB"/>
        </w:rPr>
      </w:pPr>
      <w:hyperlink w:anchor="_Toc34407433" w:history="1">
        <w:r w:rsidR="000C7297" w:rsidRPr="006556BE">
          <w:rPr>
            <w:rStyle w:val="Hyperlink"/>
            <w:rFonts w:eastAsiaTheme="majorEastAsia"/>
            <w:noProof/>
          </w:rPr>
          <w:t>7</w:t>
        </w:r>
        <w:r w:rsidR="000C7297">
          <w:rPr>
            <w:rFonts w:eastAsiaTheme="minorEastAsia" w:cstheme="minorBidi"/>
            <w:noProof/>
            <w:szCs w:val="22"/>
            <w:lang w:val="en-GB" w:eastAsia="en-GB"/>
          </w:rPr>
          <w:tab/>
        </w:r>
        <w:r w:rsidR="000C7297" w:rsidRPr="006556BE">
          <w:rPr>
            <w:rStyle w:val="Hyperlink"/>
            <w:rFonts w:eastAsiaTheme="majorEastAsia"/>
            <w:noProof/>
          </w:rPr>
          <w:t>Research Informatics</w:t>
        </w:r>
        <w:r w:rsidR="000C7297">
          <w:rPr>
            <w:noProof/>
            <w:webHidden/>
          </w:rPr>
          <w:tab/>
        </w:r>
        <w:r w:rsidR="000C7297">
          <w:rPr>
            <w:noProof/>
            <w:webHidden/>
          </w:rPr>
          <w:fldChar w:fldCharType="begin"/>
        </w:r>
        <w:r w:rsidR="000C7297">
          <w:rPr>
            <w:noProof/>
            <w:webHidden/>
          </w:rPr>
          <w:instrText xml:space="preserve"> PAGEREF _Toc34407433 \h </w:instrText>
        </w:r>
        <w:r w:rsidR="000C7297">
          <w:rPr>
            <w:noProof/>
            <w:webHidden/>
          </w:rPr>
        </w:r>
        <w:r w:rsidR="000C7297">
          <w:rPr>
            <w:noProof/>
            <w:webHidden/>
          </w:rPr>
          <w:fldChar w:fldCharType="separate"/>
        </w:r>
        <w:r w:rsidR="000C7297">
          <w:rPr>
            <w:noProof/>
            <w:webHidden/>
          </w:rPr>
          <w:t>38</w:t>
        </w:r>
        <w:r w:rsidR="000C7297">
          <w:rPr>
            <w:noProof/>
            <w:webHidden/>
          </w:rPr>
          <w:fldChar w:fldCharType="end"/>
        </w:r>
      </w:hyperlink>
    </w:p>
    <w:p w:rsidR="000C7297" w:rsidRDefault="005E104A">
      <w:pPr>
        <w:pStyle w:val="TOC1"/>
        <w:tabs>
          <w:tab w:val="left" w:pos="480"/>
          <w:tab w:val="right" w:leader="dot" w:pos="9629"/>
        </w:tabs>
        <w:rPr>
          <w:rFonts w:eastAsiaTheme="minorEastAsia" w:cstheme="minorBidi"/>
          <w:noProof/>
          <w:szCs w:val="22"/>
          <w:lang w:val="en-GB" w:eastAsia="en-GB"/>
        </w:rPr>
      </w:pPr>
      <w:hyperlink w:anchor="_Toc34407434" w:history="1">
        <w:r w:rsidR="000C7297" w:rsidRPr="006556BE">
          <w:rPr>
            <w:rStyle w:val="Hyperlink"/>
            <w:rFonts w:eastAsiaTheme="majorEastAsia"/>
            <w:noProof/>
          </w:rPr>
          <w:t>8</w:t>
        </w:r>
        <w:r w:rsidR="000C7297">
          <w:rPr>
            <w:rFonts w:eastAsiaTheme="minorEastAsia" w:cstheme="minorBidi"/>
            <w:noProof/>
            <w:szCs w:val="22"/>
            <w:lang w:val="en-GB" w:eastAsia="en-GB"/>
          </w:rPr>
          <w:tab/>
        </w:r>
        <w:r w:rsidR="000C7297" w:rsidRPr="006556BE">
          <w:rPr>
            <w:rStyle w:val="Hyperlink"/>
            <w:rFonts w:eastAsiaTheme="majorEastAsia"/>
            <w:noProof/>
          </w:rPr>
          <w:t>Collaborations and Impact</w:t>
        </w:r>
        <w:r w:rsidR="000C7297">
          <w:rPr>
            <w:noProof/>
            <w:webHidden/>
          </w:rPr>
          <w:tab/>
        </w:r>
        <w:r w:rsidR="000C7297">
          <w:rPr>
            <w:noProof/>
            <w:webHidden/>
          </w:rPr>
          <w:fldChar w:fldCharType="begin"/>
        </w:r>
        <w:r w:rsidR="000C7297">
          <w:rPr>
            <w:noProof/>
            <w:webHidden/>
          </w:rPr>
          <w:instrText xml:space="preserve"> PAGEREF _Toc34407434 \h </w:instrText>
        </w:r>
        <w:r w:rsidR="000C7297">
          <w:rPr>
            <w:noProof/>
            <w:webHidden/>
          </w:rPr>
        </w:r>
        <w:r w:rsidR="000C7297">
          <w:rPr>
            <w:noProof/>
            <w:webHidden/>
          </w:rPr>
          <w:fldChar w:fldCharType="separate"/>
        </w:r>
        <w:r w:rsidR="000C7297">
          <w:rPr>
            <w:noProof/>
            <w:webHidden/>
          </w:rPr>
          <w:t>40</w:t>
        </w:r>
        <w:r w:rsidR="000C7297">
          <w:rPr>
            <w:noProof/>
            <w:webHidden/>
          </w:rPr>
          <w:fldChar w:fldCharType="end"/>
        </w:r>
      </w:hyperlink>
    </w:p>
    <w:p w:rsidR="000C7297" w:rsidRDefault="005E104A">
      <w:pPr>
        <w:pStyle w:val="TOC2"/>
        <w:tabs>
          <w:tab w:val="left" w:pos="880"/>
          <w:tab w:val="right" w:leader="dot" w:pos="9629"/>
        </w:tabs>
        <w:rPr>
          <w:rFonts w:eastAsiaTheme="minorEastAsia" w:cstheme="minorBidi"/>
          <w:noProof/>
          <w:szCs w:val="22"/>
          <w:lang w:val="en-GB" w:eastAsia="en-GB"/>
        </w:rPr>
      </w:pPr>
      <w:hyperlink w:anchor="_Toc34407435" w:history="1">
        <w:r w:rsidR="000C7297" w:rsidRPr="006556BE">
          <w:rPr>
            <w:rStyle w:val="Hyperlink"/>
            <w:rFonts w:eastAsiaTheme="majorEastAsia"/>
            <w:noProof/>
          </w:rPr>
          <w:t>8.1</w:t>
        </w:r>
        <w:r w:rsidR="000C7297">
          <w:rPr>
            <w:rFonts w:eastAsiaTheme="minorEastAsia" w:cstheme="minorBidi"/>
            <w:noProof/>
            <w:szCs w:val="22"/>
            <w:lang w:val="en-GB" w:eastAsia="en-GB"/>
          </w:rPr>
          <w:tab/>
        </w:r>
        <w:r w:rsidR="000C7297" w:rsidRPr="006556BE">
          <w:rPr>
            <w:rStyle w:val="Hyperlink"/>
            <w:rFonts w:eastAsiaTheme="majorEastAsia"/>
            <w:noProof/>
          </w:rPr>
          <w:t>Oxford Academic Health Sciences Centre (AHSC)</w:t>
        </w:r>
        <w:r w:rsidR="000C7297">
          <w:rPr>
            <w:noProof/>
            <w:webHidden/>
          </w:rPr>
          <w:tab/>
        </w:r>
        <w:r w:rsidR="000C7297">
          <w:rPr>
            <w:noProof/>
            <w:webHidden/>
          </w:rPr>
          <w:fldChar w:fldCharType="begin"/>
        </w:r>
        <w:r w:rsidR="000C7297">
          <w:rPr>
            <w:noProof/>
            <w:webHidden/>
          </w:rPr>
          <w:instrText xml:space="preserve"> PAGEREF _Toc34407435 \h </w:instrText>
        </w:r>
        <w:r w:rsidR="000C7297">
          <w:rPr>
            <w:noProof/>
            <w:webHidden/>
          </w:rPr>
        </w:r>
        <w:r w:rsidR="000C7297">
          <w:rPr>
            <w:noProof/>
            <w:webHidden/>
          </w:rPr>
          <w:fldChar w:fldCharType="separate"/>
        </w:r>
        <w:r w:rsidR="000C7297">
          <w:rPr>
            <w:noProof/>
            <w:webHidden/>
          </w:rPr>
          <w:t>40</w:t>
        </w:r>
        <w:r w:rsidR="000C7297">
          <w:rPr>
            <w:noProof/>
            <w:webHidden/>
          </w:rPr>
          <w:fldChar w:fldCharType="end"/>
        </w:r>
      </w:hyperlink>
    </w:p>
    <w:p w:rsidR="000C7297" w:rsidRDefault="005E104A">
      <w:pPr>
        <w:pStyle w:val="TOC2"/>
        <w:tabs>
          <w:tab w:val="left" w:pos="880"/>
          <w:tab w:val="right" w:leader="dot" w:pos="9629"/>
        </w:tabs>
        <w:rPr>
          <w:rFonts w:eastAsiaTheme="minorEastAsia" w:cstheme="minorBidi"/>
          <w:noProof/>
          <w:szCs w:val="22"/>
          <w:lang w:val="en-GB" w:eastAsia="en-GB"/>
        </w:rPr>
      </w:pPr>
      <w:hyperlink w:anchor="_Toc34407436" w:history="1">
        <w:r w:rsidR="000C7297" w:rsidRPr="006556BE">
          <w:rPr>
            <w:rStyle w:val="Hyperlink"/>
            <w:rFonts w:eastAsiaTheme="majorEastAsia"/>
            <w:noProof/>
            <w:lang w:val="en-GB"/>
          </w:rPr>
          <w:t>8.2</w:t>
        </w:r>
        <w:r w:rsidR="000C7297">
          <w:rPr>
            <w:rFonts w:eastAsiaTheme="minorEastAsia" w:cstheme="minorBidi"/>
            <w:noProof/>
            <w:szCs w:val="22"/>
            <w:lang w:val="en-GB" w:eastAsia="en-GB"/>
          </w:rPr>
          <w:tab/>
        </w:r>
        <w:r w:rsidR="000C7297" w:rsidRPr="006556BE">
          <w:rPr>
            <w:rStyle w:val="Hyperlink"/>
            <w:rFonts w:eastAsiaTheme="majorEastAsia"/>
            <w:noProof/>
            <w:lang w:val="en-GB"/>
          </w:rPr>
          <w:t>Oxford Academic Health Science Network (OAHSN)</w:t>
        </w:r>
        <w:r w:rsidR="000C7297">
          <w:rPr>
            <w:noProof/>
            <w:webHidden/>
          </w:rPr>
          <w:tab/>
        </w:r>
        <w:r w:rsidR="000C7297">
          <w:rPr>
            <w:noProof/>
            <w:webHidden/>
          </w:rPr>
          <w:fldChar w:fldCharType="begin"/>
        </w:r>
        <w:r w:rsidR="000C7297">
          <w:rPr>
            <w:noProof/>
            <w:webHidden/>
          </w:rPr>
          <w:instrText xml:space="preserve"> PAGEREF _Toc34407436 \h </w:instrText>
        </w:r>
        <w:r w:rsidR="000C7297">
          <w:rPr>
            <w:noProof/>
            <w:webHidden/>
          </w:rPr>
        </w:r>
        <w:r w:rsidR="000C7297">
          <w:rPr>
            <w:noProof/>
            <w:webHidden/>
          </w:rPr>
          <w:fldChar w:fldCharType="separate"/>
        </w:r>
        <w:r w:rsidR="000C7297">
          <w:rPr>
            <w:noProof/>
            <w:webHidden/>
          </w:rPr>
          <w:t>40</w:t>
        </w:r>
        <w:r w:rsidR="000C7297">
          <w:rPr>
            <w:noProof/>
            <w:webHidden/>
          </w:rPr>
          <w:fldChar w:fldCharType="end"/>
        </w:r>
      </w:hyperlink>
    </w:p>
    <w:p w:rsidR="000C7297" w:rsidRDefault="005E104A">
      <w:pPr>
        <w:pStyle w:val="TOC2"/>
        <w:tabs>
          <w:tab w:val="left" w:pos="880"/>
          <w:tab w:val="right" w:leader="dot" w:pos="9629"/>
        </w:tabs>
        <w:rPr>
          <w:rFonts w:eastAsiaTheme="minorEastAsia" w:cstheme="minorBidi"/>
          <w:noProof/>
          <w:szCs w:val="22"/>
          <w:lang w:val="en-GB" w:eastAsia="en-GB"/>
        </w:rPr>
      </w:pPr>
      <w:hyperlink w:anchor="_Toc34407437" w:history="1">
        <w:r w:rsidR="000C7297" w:rsidRPr="006556BE">
          <w:rPr>
            <w:rStyle w:val="Hyperlink"/>
            <w:rFonts w:eastAsiaTheme="majorEastAsia"/>
            <w:noProof/>
          </w:rPr>
          <w:t>8.3</w:t>
        </w:r>
        <w:r w:rsidR="000C7297">
          <w:rPr>
            <w:rFonts w:eastAsiaTheme="minorEastAsia" w:cstheme="minorBidi"/>
            <w:noProof/>
            <w:szCs w:val="22"/>
            <w:lang w:val="en-GB" w:eastAsia="en-GB"/>
          </w:rPr>
          <w:tab/>
        </w:r>
        <w:r w:rsidR="000C7297" w:rsidRPr="006556BE">
          <w:rPr>
            <w:rStyle w:val="Hyperlink"/>
            <w:rFonts w:eastAsiaTheme="majorEastAsia"/>
            <w:noProof/>
          </w:rPr>
          <w:t>Oxford Institute of Nursing, Midwifery and Allied Health Research</w:t>
        </w:r>
        <w:r w:rsidR="000C7297">
          <w:rPr>
            <w:noProof/>
            <w:webHidden/>
          </w:rPr>
          <w:tab/>
        </w:r>
        <w:r w:rsidR="000C7297">
          <w:rPr>
            <w:noProof/>
            <w:webHidden/>
          </w:rPr>
          <w:fldChar w:fldCharType="begin"/>
        </w:r>
        <w:r w:rsidR="000C7297">
          <w:rPr>
            <w:noProof/>
            <w:webHidden/>
          </w:rPr>
          <w:instrText xml:space="preserve"> PAGEREF _Toc34407437 \h </w:instrText>
        </w:r>
        <w:r w:rsidR="000C7297">
          <w:rPr>
            <w:noProof/>
            <w:webHidden/>
          </w:rPr>
        </w:r>
        <w:r w:rsidR="000C7297">
          <w:rPr>
            <w:noProof/>
            <w:webHidden/>
          </w:rPr>
          <w:fldChar w:fldCharType="separate"/>
        </w:r>
        <w:r w:rsidR="000C7297">
          <w:rPr>
            <w:noProof/>
            <w:webHidden/>
          </w:rPr>
          <w:t>43</w:t>
        </w:r>
        <w:r w:rsidR="000C7297">
          <w:rPr>
            <w:noProof/>
            <w:webHidden/>
          </w:rPr>
          <w:fldChar w:fldCharType="end"/>
        </w:r>
      </w:hyperlink>
    </w:p>
    <w:p w:rsidR="000C7297" w:rsidRDefault="005E104A">
      <w:pPr>
        <w:pStyle w:val="TOC2"/>
        <w:tabs>
          <w:tab w:val="left" w:pos="880"/>
          <w:tab w:val="right" w:leader="dot" w:pos="9629"/>
        </w:tabs>
        <w:rPr>
          <w:rFonts w:eastAsiaTheme="minorEastAsia" w:cstheme="minorBidi"/>
          <w:noProof/>
          <w:szCs w:val="22"/>
          <w:lang w:val="en-GB" w:eastAsia="en-GB"/>
        </w:rPr>
      </w:pPr>
      <w:hyperlink w:anchor="_Toc34407438" w:history="1">
        <w:r w:rsidR="000C7297" w:rsidRPr="006556BE">
          <w:rPr>
            <w:rStyle w:val="Hyperlink"/>
            <w:rFonts w:eastAsiaTheme="majorEastAsia"/>
            <w:noProof/>
          </w:rPr>
          <w:t>8.4</w:t>
        </w:r>
        <w:r w:rsidR="000C7297">
          <w:rPr>
            <w:rFonts w:eastAsiaTheme="minorEastAsia" w:cstheme="minorBidi"/>
            <w:noProof/>
            <w:szCs w:val="22"/>
            <w:lang w:val="en-GB" w:eastAsia="en-GB"/>
          </w:rPr>
          <w:tab/>
        </w:r>
        <w:r w:rsidR="000C7297" w:rsidRPr="006556BE">
          <w:rPr>
            <w:rStyle w:val="Hyperlink"/>
            <w:rFonts w:eastAsiaTheme="majorEastAsia"/>
            <w:noProof/>
          </w:rPr>
          <w:t>Berkshire Healthcare</w:t>
        </w:r>
        <w:r w:rsidR="000C7297">
          <w:rPr>
            <w:noProof/>
            <w:webHidden/>
          </w:rPr>
          <w:tab/>
        </w:r>
        <w:r w:rsidR="000C7297">
          <w:rPr>
            <w:noProof/>
            <w:webHidden/>
          </w:rPr>
          <w:fldChar w:fldCharType="begin"/>
        </w:r>
        <w:r w:rsidR="000C7297">
          <w:rPr>
            <w:noProof/>
            <w:webHidden/>
          </w:rPr>
          <w:instrText xml:space="preserve"> PAGEREF _Toc34407438 \h </w:instrText>
        </w:r>
        <w:r w:rsidR="000C7297">
          <w:rPr>
            <w:noProof/>
            <w:webHidden/>
          </w:rPr>
        </w:r>
        <w:r w:rsidR="000C7297">
          <w:rPr>
            <w:noProof/>
            <w:webHidden/>
          </w:rPr>
          <w:fldChar w:fldCharType="separate"/>
        </w:r>
        <w:r w:rsidR="000C7297">
          <w:rPr>
            <w:noProof/>
            <w:webHidden/>
          </w:rPr>
          <w:t>45</w:t>
        </w:r>
        <w:r w:rsidR="000C7297">
          <w:rPr>
            <w:noProof/>
            <w:webHidden/>
          </w:rPr>
          <w:fldChar w:fldCharType="end"/>
        </w:r>
      </w:hyperlink>
    </w:p>
    <w:p w:rsidR="00BA3B3E" w:rsidRPr="00280498" w:rsidRDefault="00AE5B3B" w:rsidP="0030036F">
      <w:pPr>
        <w:pStyle w:val="Heading1"/>
        <w:numPr>
          <w:ilvl w:val="0"/>
          <w:numId w:val="0"/>
        </w:numPr>
      </w:pPr>
      <w:r w:rsidRPr="00BB6E16">
        <w:rPr>
          <w:color w:val="FF0000"/>
        </w:rPr>
        <w:lastRenderedPageBreak/>
        <w:fldChar w:fldCharType="end"/>
      </w:r>
      <w:bookmarkStart w:id="2" w:name="_Toc34407405"/>
      <w:r w:rsidR="001165E6" w:rsidRPr="00280498">
        <w:t>Introduction</w:t>
      </w:r>
      <w:bookmarkEnd w:id="2"/>
    </w:p>
    <w:p w:rsidR="004C59FB" w:rsidRDefault="004C59FB" w:rsidP="004C59FB">
      <w:pPr>
        <w:rPr>
          <w:lang w:val="en-GB"/>
        </w:rPr>
      </w:pPr>
      <w:r w:rsidRPr="00280498">
        <w:rPr>
          <w:lang w:val="en-GB"/>
        </w:rPr>
        <w:t xml:space="preserve">Participation in research produces widespread benefits for patients and, more generally, improvements in quality of care.  Oxford </w:t>
      </w:r>
      <w:r w:rsidR="00E77AB3" w:rsidRPr="00280498">
        <w:rPr>
          <w:lang w:val="en-GB"/>
        </w:rPr>
        <w:t>H</w:t>
      </w:r>
      <w:r w:rsidRPr="00280498">
        <w:rPr>
          <w:lang w:val="en-GB"/>
        </w:rPr>
        <w:t xml:space="preserve">ealth NHS FT </w:t>
      </w:r>
      <w:r w:rsidR="00727051">
        <w:rPr>
          <w:lang w:val="en-GB"/>
        </w:rPr>
        <w:t xml:space="preserve">(OHFT) </w:t>
      </w:r>
      <w:r w:rsidR="00E77AB3" w:rsidRPr="00280498">
        <w:rPr>
          <w:lang w:val="en-GB"/>
        </w:rPr>
        <w:t xml:space="preserve">is a leading research-active mental and community trust </w:t>
      </w:r>
      <w:r w:rsidR="0097315C">
        <w:rPr>
          <w:lang w:val="en-GB"/>
        </w:rPr>
        <w:t>with s</w:t>
      </w:r>
      <w:r w:rsidRPr="00280498">
        <w:rPr>
          <w:lang w:val="en-GB"/>
        </w:rPr>
        <w:t xml:space="preserve">trong </w:t>
      </w:r>
      <w:r w:rsidR="00E77AB3" w:rsidRPr="00280498">
        <w:rPr>
          <w:lang w:val="en-GB"/>
        </w:rPr>
        <w:t xml:space="preserve">strategic research </w:t>
      </w:r>
      <w:r w:rsidRPr="00280498">
        <w:rPr>
          <w:lang w:val="en-GB"/>
        </w:rPr>
        <w:t xml:space="preserve">links </w:t>
      </w:r>
      <w:r w:rsidR="0097315C">
        <w:rPr>
          <w:lang w:val="en-GB"/>
        </w:rPr>
        <w:t xml:space="preserve">to </w:t>
      </w:r>
      <w:r w:rsidR="00E77AB3" w:rsidRPr="00280498">
        <w:rPr>
          <w:lang w:val="en-GB"/>
        </w:rPr>
        <w:t xml:space="preserve">both </w:t>
      </w:r>
      <w:r w:rsidRPr="00280498">
        <w:rPr>
          <w:lang w:val="en-GB"/>
        </w:rPr>
        <w:t xml:space="preserve">the University of Oxford, which </w:t>
      </w:r>
      <w:r w:rsidR="00E77AB3" w:rsidRPr="00280498">
        <w:rPr>
          <w:lang w:val="en-GB"/>
        </w:rPr>
        <w:t xml:space="preserve">is the top-rated University in the </w:t>
      </w:r>
      <w:proofErr w:type="spellStart"/>
      <w:r w:rsidRPr="00280498">
        <w:rPr>
          <w:lang w:val="en-GB"/>
        </w:rPr>
        <w:t>THE</w:t>
      </w:r>
      <w:proofErr w:type="spellEnd"/>
      <w:r w:rsidRPr="00280498">
        <w:rPr>
          <w:lang w:val="en-GB"/>
        </w:rPr>
        <w:t xml:space="preserve"> World University Rankings</w:t>
      </w:r>
      <w:r w:rsidR="00E77AB3" w:rsidRPr="00280498">
        <w:rPr>
          <w:lang w:val="en-GB"/>
        </w:rPr>
        <w:t xml:space="preserve"> and Oxford Brookes University. </w:t>
      </w:r>
      <w:r w:rsidRPr="00280498">
        <w:rPr>
          <w:lang w:val="en-GB"/>
        </w:rPr>
        <w:t xml:space="preserve"> </w:t>
      </w:r>
    </w:p>
    <w:p w:rsidR="00727051" w:rsidRDefault="00727051" w:rsidP="00727051">
      <w:pPr>
        <w:pStyle w:val="Heading1"/>
      </w:pPr>
      <w:bookmarkStart w:id="3" w:name="_Toc34407406"/>
      <w:r>
        <w:t>Strategy</w:t>
      </w:r>
      <w:bookmarkEnd w:id="3"/>
    </w:p>
    <w:p w:rsidR="00727051" w:rsidRDefault="00727051" w:rsidP="000D1C8A">
      <w:bookmarkStart w:id="4" w:name="_Hlk31282141"/>
      <w:bookmarkStart w:id="5" w:name="_Hlk31285268"/>
      <w:r>
        <w:t xml:space="preserve">The draft OHFT research strategy has the key objective </w:t>
      </w:r>
      <w:r w:rsidR="0097315C">
        <w:t xml:space="preserve">of </w:t>
      </w:r>
      <w:r>
        <w:t>“</w:t>
      </w:r>
      <w:r w:rsidRPr="00A303B6">
        <w:t>Oxford Health to be recogni</w:t>
      </w:r>
      <w:r w:rsidR="0097315C">
        <w:t>s</w:t>
      </w:r>
      <w:r w:rsidRPr="00A303B6">
        <w:t>ed as a leading research organisation, attracting the best staff and providing staff and patients with access to high quality research opportunities</w:t>
      </w:r>
      <w:r>
        <w:t>”</w:t>
      </w:r>
    </w:p>
    <w:p w:rsidR="00727051" w:rsidRDefault="0097315C" w:rsidP="00727051">
      <w:pPr>
        <w:pStyle w:val="Default"/>
        <w:rPr>
          <w:rFonts w:asciiTheme="minorHAnsi" w:hAnsiTheme="minorHAnsi" w:cstheme="minorBidi"/>
          <w:color w:val="auto"/>
          <w:sz w:val="22"/>
          <w:szCs w:val="22"/>
        </w:rPr>
      </w:pPr>
      <w:bookmarkStart w:id="6" w:name="_Hlk31284882"/>
      <w:r>
        <w:rPr>
          <w:rFonts w:asciiTheme="minorHAnsi" w:hAnsiTheme="minorHAnsi" w:cstheme="minorBidi"/>
          <w:color w:val="auto"/>
          <w:sz w:val="22"/>
          <w:szCs w:val="22"/>
        </w:rPr>
        <w:t xml:space="preserve">The following seven </w:t>
      </w:r>
      <w:r w:rsidR="00727051">
        <w:rPr>
          <w:rFonts w:asciiTheme="minorHAnsi" w:hAnsiTheme="minorHAnsi" w:cstheme="minorBidi"/>
          <w:color w:val="auto"/>
          <w:sz w:val="22"/>
          <w:szCs w:val="22"/>
        </w:rPr>
        <w:t xml:space="preserve">key </w:t>
      </w:r>
      <w:r w:rsidR="00727051" w:rsidRPr="00886CE9">
        <w:rPr>
          <w:rFonts w:asciiTheme="minorHAnsi" w:hAnsiTheme="minorHAnsi" w:cstheme="minorBidi"/>
          <w:color w:val="auto"/>
          <w:sz w:val="22"/>
          <w:szCs w:val="22"/>
        </w:rPr>
        <w:t xml:space="preserve">areas </w:t>
      </w:r>
      <w:r>
        <w:rPr>
          <w:rFonts w:asciiTheme="minorHAnsi" w:hAnsiTheme="minorHAnsi" w:cstheme="minorBidi"/>
          <w:color w:val="auto"/>
          <w:sz w:val="22"/>
          <w:szCs w:val="22"/>
        </w:rPr>
        <w:t>have been identified to support this;</w:t>
      </w:r>
    </w:p>
    <w:p w:rsidR="00727051" w:rsidRDefault="00727051" w:rsidP="00727051">
      <w:pPr>
        <w:pStyle w:val="Default"/>
        <w:rPr>
          <w:rFonts w:asciiTheme="minorHAnsi" w:hAnsiTheme="minorHAnsi" w:cstheme="minorBidi"/>
          <w:color w:val="auto"/>
          <w:sz w:val="22"/>
          <w:szCs w:val="22"/>
        </w:rPr>
      </w:pPr>
    </w:p>
    <w:p w:rsidR="00727051" w:rsidRDefault="0097315C" w:rsidP="0017480B">
      <w:pPr>
        <w:pStyle w:val="Default"/>
        <w:numPr>
          <w:ilvl w:val="0"/>
          <w:numId w:val="24"/>
        </w:numPr>
        <w:rPr>
          <w:rFonts w:asciiTheme="minorHAnsi" w:hAnsiTheme="minorHAnsi" w:cstheme="minorBidi"/>
          <w:color w:val="auto"/>
          <w:sz w:val="22"/>
          <w:szCs w:val="22"/>
        </w:rPr>
      </w:pPr>
      <w:r>
        <w:rPr>
          <w:rFonts w:asciiTheme="minorHAnsi" w:hAnsiTheme="minorHAnsi" w:cstheme="minorBidi"/>
          <w:color w:val="auto"/>
          <w:sz w:val="22"/>
          <w:szCs w:val="22"/>
        </w:rPr>
        <w:t xml:space="preserve">Developing the </w:t>
      </w:r>
      <w:r w:rsidR="00727051" w:rsidRPr="00886CE9">
        <w:rPr>
          <w:rFonts w:asciiTheme="minorHAnsi" w:hAnsiTheme="minorHAnsi" w:cstheme="minorBidi"/>
          <w:color w:val="auto"/>
          <w:sz w:val="22"/>
          <w:szCs w:val="22"/>
        </w:rPr>
        <w:t>Research Culture</w:t>
      </w:r>
    </w:p>
    <w:p w:rsidR="00727051" w:rsidRDefault="0097315C" w:rsidP="0017480B">
      <w:pPr>
        <w:pStyle w:val="Default"/>
        <w:numPr>
          <w:ilvl w:val="0"/>
          <w:numId w:val="24"/>
        </w:numPr>
        <w:rPr>
          <w:rFonts w:asciiTheme="minorHAnsi" w:hAnsiTheme="minorHAnsi" w:cstheme="minorBidi"/>
          <w:color w:val="auto"/>
          <w:sz w:val="22"/>
          <w:szCs w:val="22"/>
        </w:rPr>
      </w:pPr>
      <w:r>
        <w:rPr>
          <w:rFonts w:asciiTheme="minorHAnsi" w:hAnsiTheme="minorHAnsi" w:cstheme="minorBidi"/>
          <w:color w:val="auto"/>
          <w:sz w:val="22"/>
          <w:szCs w:val="22"/>
        </w:rPr>
        <w:t>Increasing r</w:t>
      </w:r>
      <w:r w:rsidR="00727051" w:rsidRPr="00886CE9">
        <w:rPr>
          <w:rFonts w:asciiTheme="minorHAnsi" w:hAnsiTheme="minorHAnsi" w:cstheme="minorBidi"/>
          <w:color w:val="auto"/>
          <w:sz w:val="22"/>
          <w:szCs w:val="22"/>
        </w:rPr>
        <w:t>esearch opportunities for patients</w:t>
      </w:r>
    </w:p>
    <w:p w:rsidR="00727051" w:rsidRDefault="00727051" w:rsidP="0017480B">
      <w:pPr>
        <w:pStyle w:val="Default"/>
        <w:numPr>
          <w:ilvl w:val="0"/>
          <w:numId w:val="24"/>
        </w:numPr>
        <w:rPr>
          <w:rFonts w:asciiTheme="minorHAnsi" w:hAnsiTheme="minorHAnsi" w:cstheme="minorBidi"/>
          <w:color w:val="auto"/>
          <w:sz w:val="22"/>
          <w:szCs w:val="22"/>
        </w:rPr>
      </w:pPr>
      <w:r>
        <w:rPr>
          <w:rFonts w:asciiTheme="minorHAnsi" w:hAnsiTheme="minorHAnsi" w:cstheme="minorBidi"/>
          <w:color w:val="auto"/>
          <w:sz w:val="22"/>
          <w:szCs w:val="22"/>
        </w:rPr>
        <w:t>E</w:t>
      </w:r>
      <w:r w:rsidRPr="00886CE9">
        <w:rPr>
          <w:rFonts w:asciiTheme="minorHAnsi" w:hAnsiTheme="minorHAnsi" w:cstheme="minorBidi"/>
          <w:color w:val="auto"/>
          <w:sz w:val="22"/>
          <w:szCs w:val="22"/>
        </w:rPr>
        <w:t>xploiting existing, identify</w:t>
      </w:r>
      <w:r>
        <w:rPr>
          <w:rFonts w:asciiTheme="minorHAnsi" w:hAnsiTheme="minorHAnsi" w:cstheme="minorBidi"/>
          <w:color w:val="auto"/>
          <w:sz w:val="22"/>
          <w:szCs w:val="22"/>
        </w:rPr>
        <w:t>ing</w:t>
      </w:r>
      <w:r w:rsidRPr="00886CE9">
        <w:rPr>
          <w:rFonts w:asciiTheme="minorHAnsi" w:hAnsiTheme="minorHAnsi" w:cstheme="minorBidi"/>
          <w:color w:val="auto"/>
          <w:sz w:val="22"/>
          <w:szCs w:val="22"/>
        </w:rPr>
        <w:t xml:space="preserve"> and develop</w:t>
      </w:r>
      <w:r>
        <w:rPr>
          <w:rFonts w:asciiTheme="minorHAnsi" w:hAnsiTheme="minorHAnsi" w:cstheme="minorBidi"/>
          <w:color w:val="auto"/>
          <w:sz w:val="22"/>
          <w:szCs w:val="22"/>
        </w:rPr>
        <w:t>ing</w:t>
      </w:r>
      <w:r w:rsidRPr="00886CE9">
        <w:rPr>
          <w:rFonts w:asciiTheme="minorHAnsi" w:hAnsiTheme="minorHAnsi" w:cstheme="minorBidi"/>
          <w:color w:val="auto"/>
          <w:sz w:val="22"/>
          <w:szCs w:val="22"/>
        </w:rPr>
        <w:t xml:space="preserve"> new research opportunities</w:t>
      </w:r>
    </w:p>
    <w:p w:rsidR="00727051" w:rsidRDefault="0097315C" w:rsidP="0017480B">
      <w:pPr>
        <w:pStyle w:val="Default"/>
        <w:numPr>
          <w:ilvl w:val="0"/>
          <w:numId w:val="24"/>
        </w:numPr>
        <w:rPr>
          <w:rFonts w:asciiTheme="minorHAnsi" w:hAnsiTheme="minorHAnsi" w:cstheme="minorBidi"/>
          <w:color w:val="auto"/>
          <w:sz w:val="22"/>
          <w:szCs w:val="22"/>
        </w:rPr>
      </w:pPr>
      <w:r>
        <w:rPr>
          <w:rFonts w:asciiTheme="minorHAnsi" w:hAnsiTheme="minorHAnsi" w:cstheme="minorBidi"/>
          <w:color w:val="auto"/>
          <w:sz w:val="22"/>
          <w:szCs w:val="22"/>
        </w:rPr>
        <w:t>Active l</w:t>
      </w:r>
      <w:r w:rsidR="00727051" w:rsidRPr="00886CE9">
        <w:rPr>
          <w:rFonts w:asciiTheme="minorHAnsi" w:hAnsiTheme="minorHAnsi" w:cstheme="minorBidi"/>
          <w:color w:val="auto"/>
          <w:sz w:val="22"/>
          <w:szCs w:val="22"/>
        </w:rPr>
        <w:t xml:space="preserve">eadership and </w:t>
      </w:r>
      <w:r>
        <w:rPr>
          <w:rFonts w:asciiTheme="minorHAnsi" w:hAnsiTheme="minorHAnsi" w:cstheme="minorBidi"/>
          <w:color w:val="auto"/>
          <w:sz w:val="22"/>
          <w:szCs w:val="22"/>
        </w:rPr>
        <w:t>m</w:t>
      </w:r>
      <w:r w:rsidR="00727051" w:rsidRPr="00886CE9">
        <w:rPr>
          <w:rFonts w:asciiTheme="minorHAnsi" w:hAnsiTheme="minorHAnsi" w:cstheme="minorBidi"/>
          <w:color w:val="auto"/>
          <w:sz w:val="22"/>
          <w:szCs w:val="22"/>
        </w:rPr>
        <w:t>anagement</w:t>
      </w:r>
    </w:p>
    <w:p w:rsidR="00727051" w:rsidRDefault="00727051" w:rsidP="0017480B">
      <w:pPr>
        <w:pStyle w:val="Default"/>
        <w:numPr>
          <w:ilvl w:val="0"/>
          <w:numId w:val="24"/>
        </w:numPr>
        <w:rPr>
          <w:rFonts w:asciiTheme="minorHAnsi" w:hAnsiTheme="minorHAnsi" w:cstheme="minorBidi"/>
          <w:color w:val="auto"/>
          <w:sz w:val="22"/>
          <w:szCs w:val="22"/>
        </w:rPr>
      </w:pPr>
      <w:r>
        <w:rPr>
          <w:rFonts w:asciiTheme="minorHAnsi" w:hAnsiTheme="minorHAnsi" w:cstheme="minorBidi"/>
          <w:color w:val="auto"/>
          <w:sz w:val="22"/>
          <w:szCs w:val="22"/>
        </w:rPr>
        <w:t xml:space="preserve">Developing a </w:t>
      </w:r>
      <w:r w:rsidRPr="00886CE9">
        <w:rPr>
          <w:rFonts w:asciiTheme="minorHAnsi" w:hAnsiTheme="minorHAnsi" w:cstheme="minorBidi"/>
          <w:color w:val="auto"/>
          <w:sz w:val="22"/>
          <w:szCs w:val="22"/>
        </w:rPr>
        <w:t>Research active workforce</w:t>
      </w:r>
    </w:p>
    <w:p w:rsidR="007521CC" w:rsidRDefault="0097315C" w:rsidP="0017480B">
      <w:pPr>
        <w:pStyle w:val="Default"/>
        <w:numPr>
          <w:ilvl w:val="0"/>
          <w:numId w:val="24"/>
        </w:numPr>
        <w:rPr>
          <w:rFonts w:asciiTheme="minorHAnsi" w:hAnsiTheme="minorHAnsi" w:cstheme="minorBidi"/>
          <w:color w:val="auto"/>
          <w:sz w:val="22"/>
          <w:szCs w:val="22"/>
        </w:rPr>
      </w:pPr>
      <w:r>
        <w:rPr>
          <w:rFonts w:asciiTheme="minorHAnsi" w:hAnsiTheme="minorHAnsi" w:cstheme="minorBidi"/>
          <w:color w:val="auto"/>
          <w:sz w:val="22"/>
          <w:szCs w:val="22"/>
        </w:rPr>
        <w:t>Building c</w:t>
      </w:r>
      <w:r w:rsidR="00727051" w:rsidRPr="00886CE9">
        <w:rPr>
          <w:rFonts w:asciiTheme="minorHAnsi" w:hAnsiTheme="minorHAnsi" w:cstheme="minorBidi"/>
          <w:color w:val="auto"/>
          <w:sz w:val="22"/>
          <w:szCs w:val="22"/>
        </w:rPr>
        <w:t>ollaboration</w:t>
      </w:r>
      <w:r w:rsidR="00727051">
        <w:rPr>
          <w:rFonts w:asciiTheme="minorHAnsi" w:hAnsiTheme="minorHAnsi" w:cstheme="minorBidi"/>
          <w:color w:val="auto"/>
          <w:sz w:val="22"/>
          <w:szCs w:val="22"/>
        </w:rPr>
        <w:t>s</w:t>
      </w:r>
    </w:p>
    <w:p w:rsidR="006E66EF" w:rsidRDefault="007521CC" w:rsidP="0017480B">
      <w:pPr>
        <w:pStyle w:val="Default"/>
        <w:numPr>
          <w:ilvl w:val="0"/>
          <w:numId w:val="24"/>
        </w:numPr>
        <w:rPr>
          <w:rFonts w:asciiTheme="minorHAnsi" w:hAnsiTheme="minorHAnsi" w:cstheme="minorBidi"/>
          <w:color w:val="auto"/>
          <w:sz w:val="22"/>
          <w:szCs w:val="22"/>
        </w:rPr>
      </w:pPr>
      <w:r>
        <w:rPr>
          <w:rFonts w:asciiTheme="minorHAnsi" w:hAnsiTheme="minorHAnsi" w:cstheme="minorBidi"/>
          <w:color w:val="auto"/>
          <w:sz w:val="22"/>
          <w:szCs w:val="22"/>
        </w:rPr>
        <w:t>M</w:t>
      </w:r>
      <w:r w:rsidR="00727051">
        <w:rPr>
          <w:rFonts w:asciiTheme="minorHAnsi" w:hAnsiTheme="minorHAnsi" w:cstheme="minorBidi"/>
          <w:color w:val="auto"/>
          <w:sz w:val="22"/>
          <w:szCs w:val="22"/>
        </w:rPr>
        <w:t xml:space="preserve">aximising </w:t>
      </w:r>
      <w:r w:rsidR="00727051" w:rsidRPr="00886CE9">
        <w:rPr>
          <w:rFonts w:asciiTheme="minorHAnsi" w:hAnsiTheme="minorHAnsi" w:cstheme="minorBidi"/>
          <w:color w:val="auto"/>
          <w:sz w:val="22"/>
          <w:szCs w:val="22"/>
        </w:rPr>
        <w:t>Digital o</w:t>
      </w:r>
      <w:r w:rsidR="00727051">
        <w:rPr>
          <w:rFonts w:asciiTheme="minorHAnsi" w:hAnsiTheme="minorHAnsi" w:cstheme="minorBidi"/>
          <w:color w:val="auto"/>
          <w:sz w:val="22"/>
          <w:szCs w:val="22"/>
        </w:rPr>
        <w:t>pportunities</w:t>
      </w:r>
    </w:p>
    <w:bookmarkEnd w:id="4"/>
    <w:bookmarkEnd w:id="6"/>
    <w:p w:rsidR="006E66EF" w:rsidRDefault="006E66EF" w:rsidP="006E66EF">
      <w:pPr>
        <w:pStyle w:val="Default"/>
        <w:rPr>
          <w:rFonts w:asciiTheme="minorHAnsi" w:hAnsiTheme="minorHAnsi" w:cstheme="minorBidi"/>
          <w:color w:val="auto"/>
          <w:sz w:val="22"/>
          <w:szCs w:val="22"/>
        </w:rPr>
      </w:pPr>
    </w:p>
    <w:bookmarkEnd w:id="5"/>
    <w:p w:rsidR="00727051" w:rsidRPr="00886CE9" w:rsidRDefault="006E66EF" w:rsidP="006E66EF">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This report has been restructured to reflect these areas, as has </w:t>
      </w:r>
      <w:r w:rsidR="0097315C">
        <w:rPr>
          <w:rFonts w:asciiTheme="minorHAnsi" w:hAnsiTheme="minorHAnsi" w:cstheme="minorBidi"/>
          <w:color w:val="auto"/>
          <w:sz w:val="22"/>
          <w:szCs w:val="22"/>
        </w:rPr>
        <w:t xml:space="preserve">the </w:t>
      </w:r>
      <w:r>
        <w:rPr>
          <w:rFonts w:asciiTheme="minorHAnsi" w:hAnsiTheme="minorHAnsi" w:cstheme="minorBidi"/>
          <w:color w:val="auto"/>
          <w:sz w:val="22"/>
          <w:szCs w:val="22"/>
        </w:rPr>
        <w:t xml:space="preserve">reporting to the Research Management Group </w:t>
      </w:r>
      <w:r w:rsidR="0097315C">
        <w:rPr>
          <w:rFonts w:asciiTheme="minorHAnsi" w:hAnsiTheme="minorHAnsi" w:cstheme="minorBidi"/>
          <w:color w:val="auto"/>
          <w:sz w:val="22"/>
          <w:szCs w:val="22"/>
        </w:rPr>
        <w:t xml:space="preserve">(RMG) and </w:t>
      </w:r>
      <w:r>
        <w:rPr>
          <w:rFonts w:asciiTheme="minorHAnsi" w:hAnsiTheme="minorHAnsi" w:cstheme="minorBidi"/>
          <w:color w:val="auto"/>
          <w:sz w:val="22"/>
          <w:szCs w:val="22"/>
        </w:rPr>
        <w:t xml:space="preserve">Quality Effectiveness sub-committee reporting. </w:t>
      </w:r>
      <w:r w:rsidR="00727051" w:rsidRPr="00886CE9">
        <w:rPr>
          <w:rFonts w:asciiTheme="minorHAnsi" w:hAnsiTheme="minorHAnsi" w:cstheme="minorBidi"/>
          <w:color w:val="auto"/>
          <w:sz w:val="22"/>
          <w:szCs w:val="22"/>
        </w:rPr>
        <w:t xml:space="preserve"> </w:t>
      </w:r>
    </w:p>
    <w:p w:rsidR="00727051" w:rsidRDefault="00727051" w:rsidP="00727051">
      <w:pPr>
        <w:pStyle w:val="Heading1"/>
      </w:pPr>
      <w:bookmarkStart w:id="7" w:name="_Toc34407407"/>
      <w:r>
        <w:t>Research Culture</w:t>
      </w:r>
      <w:bookmarkEnd w:id="7"/>
    </w:p>
    <w:p w:rsidR="0083751C" w:rsidRDefault="0083751C" w:rsidP="0083751C">
      <w:pPr>
        <w:pStyle w:val="Heading2"/>
      </w:pPr>
      <w:bookmarkStart w:id="8" w:name="_Toc34407408"/>
      <w:r w:rsidRPr="0083751C">
        <w:t>Staff Survey</w:t>
      </w:r>
      <w:bookmarkEnd w:id="8"/>
    </w:p>
    <w:p w:rsidR="00F40766" w:rsidRPr="00F40766" w:rsidRDefault="00F40766" w:rsidP="00F40766">
      <w:pPr>
        <w:rPr>
          <w:bCs/>
        </w:rPr>
      </w:pPr>
      <w:r w:rsidRPr="00F40766">
        <w:rPr>
          <w:bCs/>
        </w:rPr>
        <w:t xml:space="preserve">Three research related questions were included in the </w:t>
      </w:r>
      <w:r w:rsidR="0097315C">
        <w:rPr>
          <w:bCs/>
        </w:rPr>
        <w:t xml:space="preserve">2018 </w:t>
      </w:r>
      <w:r w:rsidRPr="00F40766">
        <w:rPr>
          <w:bCs/>
        </w:rPr>
        <w:t>staff survey</w:t>
      </w:r>
      <w:r w:rsidR="0097315C">
        <w:rPr>
          <w:bCs/>
        </w:rPr>
        <w:t xml:space="preserve">, where </w:t>
      </w:r>
      <w:r w:rsidRPr="00F40766">
        <w:rPr>
          <w:bCs/>
        </w:rPr>
        <w:t>over 85% of respondents thought research was important in improving the outcomes for our patients</w:t>
      </w:r>
      <w:r w:rsidR="0097315C">
        <w:rPr>
          <w:bCs/>
        </w:rPr>
        <w:t xml:space="preserve">. Work </w:t>
      </w:r>
      <w:r w:rsidRPr="00F40766">
        <w:rPr>
          <w:bCs/>
        </w:rPr>
        <w:t>need</w:t>
      </w:r>
      <w:r w:rsidR="0097315C">
        <w:rPr>
          <w:bCs/>
        </w:rPr>
        <w:t>s</w:t>
      </w:r>
      <w:r w:rsidRPr="00F40766">
        <w:rPr>
          <w:bCs/>
        </w:rPr>
        <w:t xml:space="preserve"> to</w:t>
      </w:r>
      <w:r w:rsidR="0097315C">
        <w:rPr>
          <w:bCs/>
        </w:rPr>
        <w:t xml:space="preserve"> be</w:t>
      </w:r>
      <w:r w:rsidRPr="00F40766">
        <w:rPr>
          <w:bCs/>
        </w:rPr>
        <w:t xml:space="preserve"> </w:t>
      </w:r>
      <w:r w:rsidR="0097315C">
        <w:rPr>
          <w:bCs/>
        </w:rPr>
        <w:t xml:space="preserve">undertaken to increase the knowledge of research </w:t>
      </w:r>
      <w:r w:rsidRPr="00F40766">
        <w:rPr>
          <w:bCs/>
        </w:rPr>
        <w:t xml:space="preserve">within the Trust (38.2% have no knowledge). This </w:t>
      </w:r>
      <w:r w:rsidR="00E27427">
        <w:rPr>
          <w:bCs/>
        </w:rPr>
        <w:t>will be addressed by a</w:t>
      </w:r>
      <w:r w:rsidRPr="00F40766">
        <w:rPr>
          <w:bCs/>
        </w:rPr>
        <w:t xml:space="preserve"> </w:t>
      </w:r>
      <w:r w:rsidR="00E27427">
        <w:rPr>
          <w:bCs/>
        </w:rPr>
        <w:t>communications strategy and ongoing engagement w</w:t>
      </w:r>
      <w:r w:rsidRPr="00F40766">
        <w:rPr>
          <w:bCs/>
        </w:rPr>
        <w:t xml:space="preserve">ork. </w:t>
      </w:r>
    </w:p>
    <w:p w:rsidR="0083751C" w:rsidRPr="000D1C8A" w:rsidRDefault="0083751C" w:rsidP="0083751C">
      <w:pPr>
        <w:pStyle w:val="Heading2"/>
      </w:pPr>
      <w:bookmarkStart w:id="9" w:name="_Toc34407409"/>
      <w:bookmarkStart w:id="10" w:name="_Hlk31283420"/>
      <w:r w:rsidRPr="000D1C8A">
        <w:t>Communications</w:t>
      </w:r>
      <w:bookmarkEnd w:id="9"/>
    </w:p>
    <w:p w:rsidR="002A517E" w:rsidRDefault="002A517E" w:rsidP="002A517E">
      <w:pPr>
        <w:rPr>
          <w:szCs w:val="22"/>
        </w:rPr>
      </w:pPr>
      <w:r w:rsidRPr="00026661">
        <w:rPr>
          <w:szCs w:val="22"/>
        </w:rPr>
        <w:t>Over the last six months</w:t>
      </w:r>
      <w:r>
        <w:rPr>
          <w:szCs w:val="22"/>
        </w:rPr>
        <w:t xml:space="preserve"> our communications and engagement activity for R&amp;D has built on the foundations laid in the first half of 2019. Working closely with colleagues in the communications team, BRC, R&amp;D and the University Department of Psychiatry, we have continued to develop and </w:t>
      </w:r>
      <w:r w:rsidR="000D1C8A">
        <w:rPr>
          <w:szCs w:val="22"/>
        </w:rPr>
        <w:t>execute</w:t>
      </w:r>
      <w:r>
        <w:rPr>
          <w:szCs w:val="22"/>
        </w:rPr>
        <w:t xml:space="preserve"> research communications with the twin objectives of </w:t>
      </w:r>
      <w:r w:rsidRPr="00C609CB">
        <w:rPr>
          <w:szCs w:val="22"/>
        </w:rPr>
        <w:t xml:space="preserve">demonstrating </w:t>
      </w:r>
      <w:r>
        <w:rPr>
          <w:szCs w:val="22"/>
        </w:rPr>
        <w:t xml:space="preserve">the </w:t>
      </w:r>
      <w:r w:rsidR="000D1C8A">
        <w:rPr>
          <w:szCs w:val="22"/>
        </w:rPr>
        <w:t>groundbreaking</w:t>
      </w:r>
      <w:r w:rsidRPr="00C609CB">
        <w:rPr>
          <w:szCs w:val="22"/>
        </w:rPr>
        <w:t xml:space="preserve"> impact</w:t>
      </w:r>
      <w:r>
        <w:rPr>
          <w:szCs w:val="22"/>
        </w:rPr>
        <w:t xml:space="preserve"> of our research and promoting research engagement within the trust.</w:t>
      </w:r>
    </w:p>
    <w:p w:rsidR="002A517E" w:rsidRDefault="002A517E" w:rsidP="002A517E">
      <w:pPr>
        <w:rPr>
          <w:szCs w:val="22"/>
        </w:rPr>
      </w:pPr>
      <w:r>
        <w:rPr>
          <w:szCs w:val="22"/>
        </w:rPr>
        <w:t xml:space="preserve">Collaborations with other research centres in Oxford have presented valuable opportunities to amplify the reach of our communications and, over the last six months, we have been active participants in two NIHR communications projects led by the TVSM CRN. </w:t>
      </w:r>
    </w:p>
    <w:p w:rsidR="002A517E" w:rsidRDefault="002A517E" w:rsidP="002A517E">
      <w:pPr>
        <w:rPr>
          <w:szCs w:val="22"/>
        </w:rPr>
      </w:pPr>
      <w:r>
        <w:rPr>
          <w:szCs w:val="22"/>
        </w:rPr>
        <w:t xml:space="preserve">The first of these projects is a new public facing magazine on health research - </w:t>
      </w:r>
      <w:r w:rsidRPr="00761C8D">
        <w:rPr>
          <w:i/>
          <w:iCs/>
          <w:szCs w:val="22"/>
        </w:rPr>
        <w:t>Research &amp; You</w:t>
      </w:r>
      <w:r>
        <w:rPr>
          <w:szCs w:val="22"/>
        </w:rPr>
        <w:t xml:space="preserve">.  The magazine is jointly created by the CRN, Thames Valley ARC and the two Oxford based BRCs. It will be published twice a year on an ongoing basis. In the first edition 5 out of 12 pages featured Oxford Health research, including the only double page spread in the publication and the front cover image. The magazine is available online via the trust website and has been distributed in hard copy across Oxford Health, partner organisations, GP </w:t>
      </w:r>
      <w:r>
        <w:rPr>
          <w:szCs w:val="22"/>
        </w:rPr>
        <w:lastRenderedPageBreak/>
        <w:t>surgeries and other public buildings in the Thames Valley.  The next edition is scheduled for publication in June.</w:t>
      </w:r>
    </w:p>
    <w:p w:rsidR="002A517E" w:rsidRDefault="002A517E" w:rsidP="002A517E">
      <w:pPr>
        <w:rPr>
          <w:szCs w:val="22"/>
        </w:rPr>
      </w:pPr>
      <w:r>
        <w:rPr>
          <w:szCs w:val="22"/>
        </w:rPr>
        <w:t xml:space="preserve">The second collaboration is a photographic exhibition </w:t>
      </w:r>
      <w:r w:rsidRPr="00ED5B04">
        <w:rPr>
          <w:i/>
          <w:iCs/>
          <w:szCs w:val="22"/>
        </w:rPr>
        <w:t xml:space="preserve">The Body Unlocked: how research </w:t>
      </w:r>
      <w:r>
        <w:rPr>
          <w:i/>
          <w:iCs/>
          <w:szCs w:val="22"/>
        </w:rPr>
        <w:t>is changing</w:t>
      </w:r>
      <w:r w:rsidRPr="00ED5B04">
        <w:rPr>
          <w:i/>
          <w:iCs/>
          <w:szCs w:val="22"/>
        </w:rPr>
        <w:t xml:space="preserve"> lives</w:t>
      </w:r>
      <w:r>
        <w:rPr>
          <w:szCs w:val="22"/>
        </w:rPr>
        <w:t>. Produced by the same group of NIHR funded organisations as the magazine, this exhibition of 12 photographic panels showcases NIHR research taking place in the region and will tour public and community venues. The exhibition features three panels related to Oxford Health research and opened on 18</w:t>
      </w:r>
      <w:r w:rsidRPr="00761C8D">
        <w:rPr>
          <w:szCs w:val="22"/>
          <w:vertAlign w:val="superscript"/>
        </w:rPr>
        <w:t>th</w:t>
      </w:r>
      <w:r>
        <w:rPr>
          <w:szCs w:val="22"/>
        </w:rPr>
        <w:t xml:space="preserve"> February in the Covered Market in central Oxford. A small press launch event generated substantial coverage in the local media and the exhibition will remain in Oxford until mid April when it is expected to move to </w:t>
      </w:r>
      <w:proofErr w:type="spellStart"/>
      <w:r>
        <w:rPr>
          <w:szCs w:val="22"/>
        </w:rPr>
        <w:t>Didcot</w:t>
      </w:r>
      <w:proofErr w:type="spellEnd"/>
      <w:r>
        <w:rPr>
          <w:szCs w:val="22"/>
        </w:rPr>
        <w:t xml:space="preserve"> Civic Hall.</w:t>
      </w:r>
    </w:p>
    <w:p w:rsidR="002A517E" w:rsidRDefault="002A517E" w:rsidP="002A517E">
      <w:pPr>
        <w:rPr>
          <w:szCs w:val="22"/>
        </w:rPr>
      </w:pPr>
      <w:r>
        <w:rPr>
          <w:szCs w:val="22"/>
        </w:rPr>
        <w:t>This collaborative approach to communications will continue over the next months as we plan our first joint open day with the Oxford BRC. This will be held in Oxford Town Hall on 24</w:t>
      </w:r>
      <w:r w:rsidRPr="0088248C">
        <w:rPr>
          <w:szCs w:val="22"/>
          <w:vertAlign w:val="superscript"/>
        </w:rPr>
        <w:t>th</w:t>
      </w:r>
      <w:r>
        <w:rPr>
          <w:szCs w:val="22"/>
        </w:rPr>
        <w:t xml:space="preserve"> June and will include a morning session for schools and an afternoon session open to the public. This joint event will enable us share resource with the Oxford BRC and demonstrate our </w:t>
      </w:r>
      <w:r w:rsidR="000D1C8A">
        <w:rPr>
          <w:szCs w:val="22"/>
        </w:rPr>
        <w:t>joined-up</w:t>
      </w:r>
      <w:r>
        <w:rPr>
          <w:szCs w:val="22"/>
        </w:rPr>
        <w:t xml:space="preserve"> approach to mental and physical health research.</w:t>
      </w:r>
    </w:p>
    <w:p w:rsidR="002A517E" w:rsidRDefault="002A517E" w:rsidP="002A517E">
      <w:pPr>
        <w:rPr>
          <w:szCs w:val="22"/>
        </w:rPr>
      </w:pPr>
      <w:r>
        <w:rPr>
          <w:szCs w:val="22"/>
        </w:rPr>
        <w:t xml:space="preserve">In the run up to the BRC midterm review in October there was a focus on updating the BRC’s website to ensure it fully represented the achievements of the previous two and a half years. Following the review, work on the website has continued in order to improve user experience and update its appearance in line with changes to the NIHR’s visual identity guidelines. A new events and training section </w:t>
      </w:r>
      <w:proofErr w:type="gramStart"/>
      <w:r>
        <w:rPr>
          <w:szCs w:val="22"/>
        </w:rPr>
        <w:t>has</w:t>
      </w:r>
      <w:proofErr w:type="gramEnd"/>
      <w:r>
        <w:rPr>
          <w:szCs w:val="22"/>
        </w:rPr>
        <w:t xml:space="preserve"> been added to the site to showcase the wide range of activities supported by the BRC including patient involvement, public engagement and training. </w:t>
      </w:r>
      <w:proofErr w:type="gramStart"/>
      <w:r>
        <w:rPr>
          <w:szCs w:val="22"/>
        </w:rPr>
        <w:t>Also</w:t>
      </w:r>
      <w:proofErr w:type="gramEnd"/>
      <w:r>
        <w:rPr>
          <w:szCs w:val="22"/>
        </w:rPr>
        <w:t xml:space="preserve"> on the BRC website we have been working with theme leads and their teams to develop microsites for individual NIHR funded labs and projects.  These are located in the new ‘Our work’ section of the site which currently includes sub sites for the Brain Health Centre and Oxford Precision Psychiatry Lab and is expected to be expanded over time.</w:t>
      </w:r>
    </w:p>
    <w:p w:rsidR="002A517E" w:rsidRDefault="002A517E" w:rsidP="002A517E">
      <w:pPr>
        <w:rPr>
          <w:szCs w:val="22"/>
        </w:rPr>
      </w:pPr>
      <w:r>
        <w:rPr>
          <w:szCs w:val="22"/>
        </w:rPr>
        <w:t>The achievements and ongoing aims of the BRC’s communication and engagement work were presented at the BRC mid term review and comments offered by the reviewers have been incorporated into the communications strategy for the second half of the BRC’s funding cycle. With additional input from internal stakeholders, our communications and engagement strategy for the next two years has been documented and is currently with senior management for review and approval.  The strategy identifies key areas for development including embedding a more robust pipeline for media stories and producing a range of multimedia content for use online and across our social media platforms.</w:t>
      </w:r>
    </w:p>
    <w:p w:rsidR="002A517E" w:rsidRDefault="002A517E" w:rsidP="002A517E">
      <w:pPr>
        <w:rPr>
          <w:szCs w:val="22"/>
        </w:rPr>
      </w:pPr>
      <w:r>
        <w:rPr>
          <w:szCs w:val="22"/>
        </w:rPr>
        <w:t xml:space="preserve">Internal communications to support research engagement within Oxford Health has been a communications priority over the last six months and a new quarterly </w:t>
      </w:r>
      <w:r w:rsidRPr="001D2722">
        <w:rPr>
          <w:i/>
          <w:iCs/>
          <w:szCs w:val="22"/>
        </w:rPr>
        <w:t>Focus on Research</w:t>
      </w:r>
      <w:r>
        <w:rPr>
          <w:szCs w:val="22"/>
        </w:rPr>
        <w:t xml:space="preserve"> bulletin for staff was launched in September to supplement the newly redeveloped R&amp;D intranet pages.  </w:t>
      </w:r>
      <w:r w:rsidRPr="000A565D">
        <w:rPr>
          <w:i/>
          <w:iCs/>
          <w:szCs w:val="22"/>
        </w:rPr>
        <w:t>Focus on Research</w:t>
      </w:r>
      <w:r>
        <w:rPr>
          <w:szCs w:val="22"/>
        </w:rPr>
        <w:t xml:space="preserve"> brings together research news from the previous three months and includes updates on research opportunities and resources.  The third edition will be published on the intranet in March and </w:t>
      </w:r>
      <w:proofErr w:type="spellStart"/>
      <w:r>
        <w:rPr>
          <w:szCs w:val="22"/>
        </w:rPr>
        <w:t>publicised</w:t>
      </w:r>
      <w:proofErr w:type="spellEnd"/>
      <w:r>
        <w:rPr>
          <w:szCs w:val="22"/>
        </w:rPr>
        <w:t xml:space="preserve"> to all staff in the trust weekly email. Research and development </w:t>
      </w:r>
      <w:proofErr w:type="gramStart"/>
      <w:r>
        <w:rPr>
          <w:szCs w:val="22"/>
        </w:rPr>
        <w:t>was</w:t>
      </w:r>
      <w:proofErr w:type="gramEnd"/>
      <w:r>
        <w:rPr>
          <w:szCs w:val="22"/>
        </w:rPr>
        <w:t xml:space="preserve"> also featured prominently in the trust’s </w:t>
      </w:r>
      <w:r w:rsidRPr="00D837FA">
        <w:rPr>
          <w:i/>
          <w:iCs/>
          <w:szCs w:val="22"/>
        </w:rPr>
        <w:t>Insight</w:t>
      </w:r>
      <w:r>
        <w:rPr>
          <w:szCs w:val="22"/>
        </w:rPr>
        <w:t xml:space="preserve"> magazine.  The magazine, which is distributed to staff, patients and the public and is also available in an electronic edition via the trust website, featured the Blue Ice app as its cover story.</w:t>
      </w:r>
    </w:p>
    <w:p w:rsidR="002A517E" w:rsidRDefault="002A517E" w:rsidP="002A517E">
      <w:pPr>
        <w:rPr>
          <w:szCs w:val="22"/>
        </w:rPr>
      </w:pPr>
      <w:r>
        <w:rPr>
          <w:szCs w:val="22"/>
        </w:rPr>
        <w:t xml:space="preserve">We have also continued to provide a range of communications support for specific events and projects including the BRC’s flagship </w:t>
      </w:r>
      <w:proofErr w:type="spellStart"/>
      <w:r>
        <w:rPr>
          <w:szCs w:val="22"/>
        </w:rPr>
        <w:t>OxCEMM</w:t>
      </w:r>
      <w:proofErr w:type="spellEnd"/>
      <w:r>
        <w:rPr>
          <w:szCs w:val="22"/>
        </w:rPr>
        <w:t xml:space="preserve"> course and nursing research events taking place as part of the trust’s 70@70 programme.</w:t>
      </w:r>
    </w:p>
    <w:p w:rsidR="00013955" w:rsidRDefault="00013955" w:rsidP="00013955">
      <w:pPr>
        <w:pStyle w:val="Heading2"/>
        <w:rPr>
          <w:lang w:val="en-GB"/>
        </w:rPr>
      </w:pPr>
      <w:bookmarkStart w:id="11" w:name="_Toc34407410"/>
      <w:bookmarkEnd w:id="10"/>
      <w:r>
        <w:rPr>
          <w:lang w:val="en-GB"/>
        </w:rPr>
        <w:t>Research Management Group (RMG)</w:t>
      </w:r>
      <w:bookmarkEnd w:id="11"/>
    </w:p>
    <w:p w:rsidR="00013955" w:rsidRPr="0065579D" w:rsidRDefault="00013955" w:rsidP="00013955">
      <w:r w:rsidRPr="0065579D">
        <w:t>The Research Management Group (RMG) is a high-level committee established to drive the collaborative research strategy across the Trust and local areas.  It is responsible for the strategic and scientific direction of the research undertaken with or in partnership with OHFT.</w:t>
      </w:r>
    </w:p>
    <w:p w:rsidR="00013955" w:rsidRPr="0065579D" w:rsidRDefault="00013955" w:rsidP="00013955">
      <w:r w:rsidRPr="0065579D">
        <w:lastRenderedPageBreak/>
        <w:t xml:space="preserve">The meetings </w:t>
      </w:r>
      <w:r w:rsidRPr="0065579D">
        <w:rPr>
          <w:lang w:val="en-GB"/>
        </w:rPr>
        <w:t>bring together academics and clinical services with mutual interest in particular projects or work streams to increase engagement between clinical services and research</w:t>
      </w:r>
      <w:r w:rsidRPr="0065579D">
        <w:t xml:space="preserve"> for open discussion about the synergistic and collaborative working to deliver patient benefit through research endeavors. </w:t>
      </w:r>
    </w:p>
    <w:p w:rsidR="00013955" w:rsidRPr="0065579D" w:rsidRDefault="00013955" w:rsidP="00013955">
      <w:r w:rsidRPr="0065579D">
        <w:t>The RMG receives information and assurances from the various research activities undertaken in conjunction with OHFT, including the OHFT BRC, CRF, CLAHRC, DEC, TV&amp;SM CRN, Case Records Interactive Search (CRIS), Research Feasibility, Set-Up, Delivery and Management (including quality assurance), Pharmacy and Research Finance.</w:t>
      </w:r>
    </w:p>
    <w:p w:rsidR="00013955" w:rsidRPr="0065579D" w:rsidRDefault="00013955" w:rsidP="00013955">
      <w:r w:rsidRPr="0065579D">
        <w:t>A summary of these reports is submitted to the Quality Sub Committee: Effectiveness on a quarterly basis.</w:t>
      </w:r>
    </w:p>
    <w:p w:rsidR="00F40766" w:rsidRDefault="00F40766" w:rsidP="00F40766">
      <w:pPr>
        <w:pStyle w:val="Heading1"/>
        <w:rPr>
          <w:rStyle w:val="Emphasis"/>
          <w:i w:val="0"/>
          <w:szCs w:val="28"/>
        </w:rPr>
      </w:pPr>
      <w:bookmarkStart w:id="12" w:name="_Toc34407411"/>
      <w:r w:rsidRPr="00F40766">
        <w:rPr>
          <w:rStyle w:val="Emphasis"/>
          <w:i w:val="0"/>
          <w:szCs w:val="28"/>
        </w:rPr>
        <w:t>Research opportunities for Patients</w:t>
      </w:r>
      <w:bookmarkEnd w:id="12"/>
    </w:p>
    <w:p w:rsidR="00013955" w:rsidRPr="00C43C6D" w:rsidRDefault="00013955" w:rsidP="00013955">
      <w:pPr>
        <w:pStyle w:val="Heading2"/>
      </w:pPr>
      <w:bookmarkStart w:id="13" w:name="_Toc3283619"/>
      <w:bookmarkStart w:id="14" w:name="_Toc34407412"/>
      <w:bookmarkStart w:id="15" w:name="_Hlk31283679"/>
      <w:r w:rsidRPr="00C43C6D">
        <w:t>Consent to discuss participation in research</w:t>
      </w:r>
      <w:bookmarkEnd w:id="13"/>
      <w:r w:rsidRPr="00C43C6D">
        <w:t xml:space="preserve"> (Lead Professor Andrea Cipriani)</w:t>
      </w:r>
      <w:bookmarkEnd w:id="14"/>
    </w:p>
    <w:p w:rsidR="00C43C6D" w:rsidRDefault="00C43C6D" w:rsidP="00C43C6D">
      <w:r>
        <w:t>Within OHFT, patients generally rely on finding out about research opportunities via their clinical care teams. This can mean that only research engaged clinicians communicate research study opportunities to patients, which can lead to inequitable standards of care in terms of research participation opportunities. As a consequence of this, in 2018 OHFT piloted an initiative to increase the proportion of patients who were offered opportunities to take part in research. The pilot was conducted in two memory clinics, an adult mental health team and an acute adult ward and aimed to documents patients’ research consent within the Trust’s electronic patient record (EPR) system so they could be contacted about research opportunities. However, the pilot found that clinical pressures and a lack of clinician engagement meant that minimal</w:t>
      </w:r>
      <w:r w:rsidRPr="00823402">
        <w:t xml:space="preserve"> patients</w:t>
      </w:r>
      <w:r>
        <w:t xml:space="preserve"> (11%) were</w:t>
      </w:r>
      <w:r w:rsidRPr="00823402">
        <w:t xml:space="preserve"> being offered opportunities to participate in research</w:t>
      </w:r>
      <w:r>
        <w:t xml:space="preserve">. </w:t>
      </w:r>
    </w:p>
    <w:p w:rsidR="00C43C6D" w:rsidRDefault="00C43C6D" w:rsidP="00C43C6D">
      <w:r>
        <w:t xml:space="preserve">As a result, alternative strategies for informing patients about research opportunities were considered. Within NHS Trusts across England, two main approaches to this are used. One is a clinician-led ‘opt-in’ approach and the other is an ‘opt-out’ approach.  </w:t>
      </w:r>
      <w:r w:rsidRPr="00945F70">
        <w:t>We wanted to explore which of these approaches would be best suited for implementation at OHFT.</w:t>
      </w:r>
      <w:r>
        <w:t xml:space="preserve"> Therefore, in 2019 a </w:t>
      </w:r>
      <w:r w:rsidRPr="00646AE6">
        <w:t>Quality Improvement project</w:t>
      </w:r>
      <w:r>
        <w:t xml:space="preserve"> with this aim was initiated, consisting of the following components:</w:t>
      </w:r>
    </w:p>
    <w:p w:rsidR="00C43C6D" w:rsidRDefault="00C43C6D" w:rsidP="0017480B">
      <w:pPr>
        <w:pStyle w:val="ListParagraph"/>
        <w:numPr>
          <w:ilvl w:val="0"/>
          <w:numId w:val="50"/>
        </w:numPr>
        <w:spacing w:before="0" w:after="0"/>
        <w:ind w:left="714" w:hanging="357"/>
        <w:jc w:val="left"/>
      </w:pPr>
      <w:r>
        <w:t xml:space="preserve">Appreciative Inquiry at four other NHS Trusts in England: AWP, Devon Partnership, </w:t>
      </w:r>
      <w:proofErr w:type="spellStart"/>
      <w:r>
        <w:t>SLaM</w:t>
      </w:r>
      <w:proofErr w:type="spellEnd"/>
      <w:r>
        <w:t>, Sussex Partnership</w:t>
      </w:r>
    </w:p>
    <w:p w:rsidR="00C43C6D" w:rsidRDefault="00C43C6D" w:rsidP="0017480B">
      <w:pPr>
        <w:pStyle w:val="ListParagraph"/>
        <w:numPr>
          <w:ilvl w:val="0"/>
          <w:numId w:val="50"/>
        </w:numPr>
        <w:spacing w:before="0" w:after="0"/>
        <w:ind w:left="714" w:hanging="357"/>
        <w:jc w:val="left"/>
      </w:pPr>
      <w:r>
        <w:t>Online survey with OHFT staff</w:t>
      </w:r>
    </w:p>
    <w:p w:rsidR="00C43C6D" w:rsidRDefault="00C43C6D" w:rsidP="0017480B">
      <w:pPr>
        <w:pStyle w:val="ListParagraph"/>
        <w:numPr>
          <w:ilvl w:val="0"/>
          <w:numId w:val="50"/>
        </w:numPr>
        <w:spacing w:before="0" w:after="0"/>
        <w:ind w:left="714" w:hanging="357"/>
        <w:jc w:val="left"/>
      </w:pPr>
      <w:r>
        <w:t>Online survey with the OHFT membership group</w:t>
      </w:r>
    </w:p>
    <w:p w:rsidR="00C43C6D" w:rsidRDefault="00C43C6D" w:rsidP="0017480B">
      <w:pPr>
        <w:pStyle w:val="ListParagraph"/>
        <w:numPr>
          <w:ilvl w:val="0"/>
          <w:numId w:val="50"/>
        </w:numPr>
        <w:spacing w:before="0" w:after="0"/>
        <w:ind w:left="714" w:hanging="357"/>
        <w:jc w:val="left"/>
      </w:pPr>
      <w:r>
        <w:t xml:space="preserve">Focus groups with patients </w:t>
      </w:r>
    </w:p>
    <w:p w:rsidR="00C43C6D" w:rsidRDefault="00C43C6D" w:rsidP="0017480B">
      <w:pPr>
        <w:pStyle w:val="ListParagraph"/>
        <w:numPr>
          <w:ilvl w:val="0"/>
          <w:numId w:val="50"/>
        </w:numPr>
        <w:spacing w:before="0" w:after="0"/>
        <w:ind w:left="714" w:hanging="357"/>
        <w:jc w:val="left"/>
      </w:pPr>
      <w:r>
        <w:t xml:space="preserve">Focus groups with staff </w:t>
      </w:r>
    </w:p>
    <w:p w:rsidR="00C43C6D" w:rsidRDefault="00C43C6D" w:rsidP="00C43C6D">
      <w:pPr>
        <w:rPr>
          <w:b/>
        </w:rPr>
      </w:pPr>
      <w:r w:rsidRPr="00B326F1">
        <w:rPr>
          <w:b/>
        </w:rPr>
        <w:t>Key Findings</w:t>
      </w:r>
    </w:p>
    <w:p w:rsidR="00C43C6D" w:rsidRPr="00F42E70" w:rsidRDefault="00C43C6D" w:rsidP="0017480B">
      <w:pPr>
        <w:pStyle w:val="ListParagraph"/>
        <w:numPr>
          <w:ilvl w:val="0"/>
          <w:numId w:val="51"/>
        </w:numPr>
        <w:spacing w:before="0" w:after="0"/>
        <w:jc w:val="left"/>
      </w:pPr>
      <w:r>
        <w:t>OHFT p</w:t>
      </w:r>
      <w:r w:rsidRPr="00F42E70">
        <w:t xml:space="preserve">atients want </w:t>
      </w:r>
      <w:r>
        <w:t xml:space="preserve">to be given the opportunity </w:t>
      </w:r>
      <w:r w:rsidRPr="00F42E70">
        <w:t>to hear about research opportunities</w:t>
      </w:r>
    </w:p>
    <w:p w:rsidR="00C43C6D" w:rsidRPr="00F42E70" w:rsidRDefault="00C43C6D" w:rsidP="0017480B">
      <w:pPr>
        <w:pStyle w:val="ListParagraph"/>
        <w:numPr>
          <w:ilvl w:val="0"/>
          <w:numId w:val="51"/>
        </w:numPr>
        <w:spacing w:before="0" w:after="0"/>
        <w:jc w:val="left"/>
      </w:pPr>
      <w:r>
        <w:t>Most OHFT staff</w:t>
      </w:r>
      <w:r w:rsidRPr="00F42E70">
        <w:t xml:space="preserve"> agree that all patients should be given the opportunity to hear about research that is relevant to their care</w:t>
      </w:r>
    </w:p>
    <w:p w:rsidR="00C43C6D" w:rsidRDefault="00C43C6D" w:rsidP="0017480B">
      <w:pPr>
        <w:pStyle w:val="ListParagraph"/>
        <w:numPr>
          <w:ilvl w:val="0"/>
          <w:numId w:val="51"/>
        </w:numPr>
        <w:spacing w:before="0" w:after="0"/>
        <w:jc w:val="left"/>
      </w:pPr>
      <w:r w:rsidRPr="00F42E70">
        <w:t xml:space="preserve">Currently, </w:t>
      </w:r>
      <w:r>
        <w:t>most OHFT</w:t>
      </w:r>
      <w:r w:rsidRPr="00F42E70">
        <w:t xml:space="preserve"> patients </w:t>
      </w:r>
      <w:r>
        <w:t>do not</w:t>
      </w:r>
      <w:r w:rsidRPr="00F42E70">
        <w:t xml:space="preserve"> hear about research</w:t>
      </w:r>
      <w:r>
        <w:t xml:space="preserve"> opportunities that are</w:t>
      </w:r>
      <w:r w:rsidRPr="00F42E70">
        <w:t xml:space="preserve"> relevant to their care</w:t>
      </w:r>
    </w:p>
    <w:p w:rsidR="00C43C6D" w:rsidRDefault="00C43C6D" w:rsidP="0017480B">
      <w:pPr>
        <w:pStyle w:val="ListParagraph"/>
        <w:numPr>
          <w:ilvl w:val="0"/>
          <w:numId w:val="51"/>
        </w:numPr>
        <w:spacing w:before="0" w:after="0"/>
        <w:jc w:val="left"/>
      </w:pPr>
      <w:r>
        <w:t>There is considerable variance across the Trust regarding levels of staff confidence in discussing research with patients</w:t>
      </w:r>
    </w:p>
    <w:p w:rsidR="00C43C6D" w:rsidRDefault="00C43C6D" w:rsidP="0017480B">
      <w:pPr>
        <w:pStyle w:val="ListParagraph"/>
        <w:numPr>
          <w:ilvl w:val="0"/>
          <w:numId w:val="51"/>
        </w:numPr>
        <w:spacing w:before="0" w:after="0"/>
        <w:jc w:val="left"/>
      </w:pPr>
      <w:r>
        <w:t>Almost all of the membership group, patients and staff are supportive of OHFT adopting an ‘opt-out’ approach to informing patients about research opportunities</w:t>
      </w:r>
    </w:p>
    <w:p w:rsidR="00C43C6D" w:rsidRDefault="00C43C6D" w:rsidP="0017480B">
      <w:pPr>
        <w:pStyle w:val="ListParagraph"/>
        <w:numPr>
          <w:ilvl w:val="0"/>
          <w:numId w:val="51"/>
        </w:numPr>
        <w:spacing w:before="0" w:after="0"/>
        <w:jc w:val="left"/>
      </w:pPr>
      <w:r>
        <w:t xml:space="preserve">Other NHS Trusts in England have demonstrated that an ‘opt-out’ approach to research information provision </w:t>
      </w:r>
      <w:r w:rsidRPr="00675142">
        <w:rPr>
          <w:b/>
          <w:i/>
        </w:rPr>
        <w:t>is</w:t>
      </w:r>
      <w:r>
        <w:t xml:space="preserve"> General Data Protection Regulation (GDPR) compliant</w:t>
      </w:r>
    </w:p>
    <w:p w:rsidR="00C43C6D" w:rsidRPr="00B326F1" w:rsidRDefault="00C43C6D" w:rsidP="00C43C6D">
      <w:pPr>
        <w:rPr>
          <w:b/>
        </w:rPr>
      </w:pPr>
      <w:r w:rsidRPr="00B326F1">
        <w:rPr>
          <w:b/>
        </w:rPr>
        <w:t>Recommendations:</w:t>
      </w:r>
    </w:p>
    <w:p w:rsidR="00C43C6D" w:rsidRDefault="00C43C6D" w:rsidP="00617A92">
      <w:pPr>
        <w:pStyle w:val="ListParagraph"/>
        <w:numPr>
          <w:ilvl w:val="0"/>
          <w:numId w:val="52"/>
        </w:numPr>
        <w:spacing w:before="0" w:after="0"/>
        <w:ind w:left="709" w:hanging="426"/>
        <w:jc w:val="left"/>
      </w:pPr>
      <w:bookmarkStart w:id="16" w:name="_Hlk31369825"/>
      <w:r>
        <w:lastRenderedPageBreak/>
        <w:t xml:space="preserve">Anyone using OHFT services should </w:t>
      </w:r>
      <w:r w:rsidRPr="008D50B1">
        <w:t>be given the opportunity to participate in relevant research studies</w:t>
      </w:r>
      <w:r>
        <w:t xml:space="preserve">, in accordance with the NHS constitution. To facilitate this, OHFT should move to an ‘opt-out’ approach to enable more patients to be informed about research opportunities. This approach is GDPR compliant and has the potential to greatly increase research engagement and awareness amongst staff, patients and the public.  </w:t>
      </w:r>
    </w:p>
    <w:p w:rsidR="00C43C6D" w:rsidRPr="00E57A83" w:rsidRDefault="00C43C6D" w:rsidP="00617A92">
      <w:pPr>
        <w:pStyle w:val="ListParagraph"/>
        <w:numPr>
          <w:ilvl w:val="0"/>
          <w:numId w:val="52"/>
        </w:numPr>
        <w:spacing w:before="0" w:after="0"/>
        <w:ind w:left="709" w:hanging="426"/>
        <w:jc w:val="left"/>
      </w:pPr>
      <w:r>
        <w:t xml:space="preserve">The Research and Development (R&amp;D) department should work with the Trust’s Information Governance (IG) lead to ensure that GDPR </w:t>
      </w:r>
      <w:r w:rsidRPr="00E57A83">
        <w:t xml:space="preserve">regulations are followed and ‘opt-out’ procedures are clearly established. </w:t>
      </w:r>
    </w:p>
    <w:p w:rsidR="00C43C6D" w:rsidRPr="00E57A83" w:rsidRDefault="00C43C6D" w:rsidP="00617A92">
      <w:pPr>
        <w:pStyle w:val="ListParagraph"/>
        <w:numPr>
          <w:ilvl w:val="0"/>
          <w:numId w:val="52"/>
        </w:numPr>
        <w:spacing w:before="0" w:after="0"/>
        <w:ind w:left="709" w:hanging="426"/>
        <w:jc w:val="left"/>
      </w:pPr>
      <w:r w:rsidRPr="00E57A83">
        <w:t>A Data Protection Impact Assessment (DPIA) should be undertaken within OHFT, prior to an ‘opt-out’ method being implemented. This should be completed in consultation with the Trust’s IG Lead.</w:t>
      </w:r>
    </w:p>
    <w:p w:rsidR="00C43C6D" w:rsidRPr="00E57A83" w:rsidRDefault="00C43C6D" w:rsidP="00617A92">
      <w:pPr>
        <w:pStyle w:val="ListParagraph"/>
        <w:numPr>
          <w:ilvl w:val="0"/>
          <w:numId w:val="52"/>
        </w:numPr>
        <w:spacing w:before="0" w:after="0"/>
        <w:ind w:left="709" w:hanging="426"/>
        <w:jc w:val="left"/>
      </w:pPr>
      <w:r w:rsidRPr="00E57A83">
        <w:t xml:space="preserve">The implementation of an ‘opt-out’ approach should be fully aligned with the Trust’s strategy for compliance with the National data opt-out. Consultation with the Trust’s IG Lead is fundamental to this. </w:t>
      </w:r>
    </w:p>
    <w:p w:rsidR="00C43C6D" w:rsidRDefault="00C43C6D" w:rsidP="00617A92">
      <w:pPr>
        <w:pStyle w:val="ListParagraph"/>
        <w:numPr>
          <w:ilvl w:val="0"/>
          <w:numId w:val="52"/>
        </w:numPr>
        <w:spacing w:before="0" w:after="0"/>
        <w:ind w:left="709" w:hanging="426"/>
        <w:jc w:val="left"/>
      </w:pPr>
      <w:r w:rsidRPr="00E57A83">
        <w:t xml:space="preserve">A move to an ‘opt-out’ approach should be accompanied by a comprehensive, Trust-wide communications plan </w:t>
      </w:r>
      <w:r>
        <w:t>as detailed below</w:t>
      </w:r>
    </w:p>
    <w:p w:rsidR="00C43C6D" w:rsidRDefault="00C43C6D" w:rsidP="00C43C6D">
      <w:r>
        <w:t xml:space="preserve">A range of planned communications activity will support the move over to opt-out consent for research contact. The messaging in our communications will </w:t>
      </w:r>
      <w:proofErr w:type="spellStart"/>
      <w:r>
        <w:t>emphasise</w:t>
      </w:r>
      <w:proofErr w:type="spellEnd"/>
      <w:r>
        <w:t xml:space="preserve"> that the main motivation for this change is to be more inclusive by making the opportunity to participate in research available to all our patients. This change represents a real opportunity for research communications.  It will provide a platform to raise the profile of research among our patient and public audiences during a campaign that will extend over several months. </w:t>
      </w:r>
    </w:p>
    <w:p w:rsidR="00C43C6D" w:rsidRDefault="00C43C6D" w:rsidP="00C43C6D">
      <w:r>
        <w:t xml:space="preserve">The communications plan will include: </w:t>
      </w:r>
    </w:p>
    <w:p w:rsidR="00C43C6D" w:rsidRDefault="00C43C6D" w:rsidP="0017480B">
      <w:pPr>
        <w:pStyle w:val="ListParagraph"/>
        <w:numPr>
          <w:ilvl w:val="0"/>
          <w:numId w:val="53"/>
        </w:numPr>
        <w:spacing w:before="0" w:after="0"/>
        <w:jc w:val="left"/>
      </w:pPr>
      <w:r>
        <w:t>Press release to local media</w:t>
      </w:r>
    </w:p>
    <w:p w:rsidR="00C43C6D" w:rsidRDefault="00C43C6D" w:rsidP="0017480B">
      <w:pPr>
        <w:pStyle w:val="ListParagraph"/>
        <w:numPr>
          <w:ilvl w:val="0"/>
          <w:numId w:val="53"/>
        </w:numPr>
        <w:spacing w:before="0" w:after="0"/>
        <w:jc w:val="left"/>
      </w:pPr>
      <w:r>
        <w:t>News stories on Oxford Health website (an initial announcement followed up by case study examples)</w:t>
      </w:r>
    </w:p>
    <w:p w:rsidR="00C43C6D" w:rsidRDefault="00C43C6D" w:rsidP="0017480B">
      <w:pPr>
        <w:pStyle w:val="ListParagraph"/>
        <w:numPr>
          <w:ilvl w:val="0"/>
          <w:numId w:val="53"/>
        </w:numPr>
        <w:spacing w:before="0" w:after="0"/>
        <w:jc w:val="left"/>
      </w:pPr>
      <w:r>
        <w:t>News stories in the trust’s publications including Insight magazine</w:t>
      </w:r>
    </w:p>
    <w:p w:rsidR="00C43C6D" w:rsidRDefault="00C43C6D" w:rsidP="0017480B">
      <w:pPr>
        <w:pStyle w:val="ListParagraph"/>
        <w:numPr>
          <w:ilvl w:val="0"/>
          <w:numId w:val="53"/>
        </w:numPr>
        <w:spacing w:before="0" w:after="0"/>
        <w:jc w:val="left"/>
      </w:pPr>
      <w:r>
        <w:t>A patient facing leaflet to be made widely available across the trust</w:t>
      </w:r>
    </w:p>
    <w:p w:rsidR="00C43C6D" w:rsidRDefault="00C43C6D" w:rsidP="0017480B">
      <w:pPr>
        <w:pStyle w:val="ListParagraph"/>
        <w:numPr>
          <w:ilvl w:val="0"/>
          <w:numId w:val="53"/>
        </w:numPr>
        <w:spacing w:before="0" w:after="0"/>
        <w:jc w:val="left"/>
      </w:pPr>
      <w:r>
        <w:t>An ongoing campaign across trust social media channels</w:t>
      </w:r>
    </w:p>
    <w:p w:rsidR="00C43C6D" w:rsidRDefault="00C43C6D" w:rsidP="0017480B">
      <w:pPr>
        <w:pStyle w:val="ListParagraph"/>
        <w:numPr>
          <w:ilvl w:val="0"/>
          <w:numId w:val="53"/>
        </w:numPr>
        <w:spacing w:before="0" w:after="0"/>
        <w:jc w:val="left"/>
      </w:pPr>
      <w:r>
        <w:t>An information campaign within the trust via the intranet and all staff email to inform staff of the change and equip them to answer questions from patients</w:t>
      </w:r>
    </w:p>
    <w:p w:rsidR="00C43C6D" w:rsidRDefault="00C43C6D" w:rsidP="0017480B">
      <w:pPr>
        <w:pStyle w:val="ListParagraph"/>
        <w:numPr>
          <w:ilvl w:val="0"/>
          <w:numId w:val="53"/>
        </w:numPr>
        <w:spacing w:before="0" w:after="0"/>
        <w:jc w:val="left"/>
      </w:pPr>
      <w:r>
        <w:t>Updated branding highlighting Oxford Health as a research active trust</w:t>
      </w:r>
    </w:p>
    <w:p w:rsidR="00C43C6D" w:rsidRDefault="00C43C6D" w:rsidP="00C43C6D">
      <w:r>
        <w:t>It will also be necessary to update key documents to reflect the change including:</w:t>
      </w:r>
    </w:p>
    <w:p w:rsidR="00C43C6D" w:rsidRDefault="00C43C6D" w:rsidP="0017480B">
      <w:pPr>
        <w:pStyle w:val="ListParagraph"/>
        <w:numPr>
          <w:ilvl w:val="0"/>
          <w:numId w:val="53"/>
        </w:numPr>
        <w:spacing w:before="0" w:after="0"/>
        <w:jc w:val="left"/>
      </w:pPr>
      <w:r>
        <w:t>The trust privacy statement</w:t>
      </w:r>
    </w:p>
    <w:p w:rsidR="00C43C6D" w:rsidRDefault="00C43C6D" w:rsidP="0017480B">
      <w:pPr>
        <w:pStyle w:val="ListParagraph"/>
        <w:numPr>
          <w:ilvl w:val="0"/>
          <w:numId w:val="53"/>
        </w:numPr>
        <w:spacing w:before="0" w:after="0"/>
        <w:jc w:val="left"/>
      </w:pPr>
      <w:r>
        <w:t>Headers and footers on trust correspondence</w:t>
      </w:r>
    </w:p>
    <w:p w:rsidR="00C43C6D" w:rsidRDefault="00C43C6D" w:rsidP="0017480B">
      <w:pPr>
        <w:pStyle w:val="ListParagraph"/>
        <w:numPr>
          <w:ilvl w:val="0"/>
          <w:numId w:val="53"/>
        </w:numPr>
        <w:spacing w:before="0" w:after="0"/>
        <w:jc w:val="left"/>
      </w:pPr>
      <w:r>
        <w:t>Relevant policy documents</w:t>
      </w:r>
    </w:p>
    <w:p w:rsidR="00C43C6D" w:rsidRDefault="00C43C6D" w:rsidP="00C43C6D">
      <w:r>
        <w:t>A decision will also need to be made about whether it is necessary to write to all 29,000 of the trust’s current patients informing them of the change.</w:t>
      </w:r>
      <w:bookmarkEnd w:id="16"/>
    </w:p>
    <w:p w:rsidR="00194DC1" w:rsidRPr="00194DC1" w:rsidRDefault="00194DC1" w:rsidP="00C43C6D">
      <w:r w:rsidRPr="00194DC1">
        <w:t>In February t</w:t>
      </w:r>
      <w:r w:rsidR="00617A92" w:rsidRPr="00194DC1">
        <w:t xml:space="preserve">hese recommendations were presented to a group which included the </w:t>
      </w:r>
      <w:r w:rsidRPr="00194DC1">
        <w:t>C</w:t>
      </w:r>
      <w:r w:rsidR="00617A92" w:rsidRPr="00194DC1">
        <w:t xml:space="preserve">hief </w:t>
      </w:r>
      <w:r w:rsidRPr="00194DC1">
        <w:t>E</w:t>
      </w:r>
      <w:r w:rsidR="00617A92" w:rsidRPr="00194DC1">
        <w:t xml:space="preserve">xecutive, </w:t>
      </w:r>
      <w:r w:rsidRPr="00194DC1">
        <w:t>M</w:t>
      </w:r>
      <w:r w:rsidR="00617A92" w:rsidRPr="00194DC1">
        <w:t xml:space="preserve">edical </w:t>
      </w:r>
      <w:r w:rsidRPr="00194DC1">
        <w:t>Director</w:t>
      </w:r>
      <w:r w:rsidR="00617A92" w:rsidRPr="00194DC1">
        <w:t xml:space="preserve"> and Head of </w:t>
      </w:r>
      <w:r w:rsidRPr="00194DC1">
        <w:t>I</w:t>
      </w:r>
      <w:r w:rsidR="00617A92" w:rsidRPr="00194DC1">
        <w:t xml:space="preserve">nformation </w:t>
      </w:r>
      <w:r w:rsidRPr="00194DC1">
        <w:t>G</w:t>
      </w:r>
      <w:r w:rsidR="00617A92" w:rsidRPr="00194DC1">
        <w:t xml:space="preserve">overnance. This group supported the ‘opt-out’ proposal being presented to the Trust executive for </w:t>
      </w:r>
      <w:r w:rsidRPr="00194DC1">
        <w:t>consideration in March.</w:t>
      </w:r>
    </w:p>
    <w:p w:rsidR="00951AF8" w:rsidRPr="00EB06DB" w:rsidRDefault="00951AF8" w:rsidP="00951AF8">
      <w:pPr>
        <w:pStyle w:val="Heading2"/>
      </w:pPr>
      <w:bookmarkStart w:id="17" w:name="_Toc34407413"/>
      <w:bookmarkEnd w:id="15"/>
      <w:r w:rsidRPr="00EB06DB">
        <w:t>NIHR Clinical Research Network (CRN) based performance</w:t>
      </w:r>
      <w:bookmarkEnd w:id="17"/>
    </w:p>
    <w:p w:rsidR="002A517E" w:rsidRDefault="002A517E" w:rsidP="002A517E">
      <w:bookmarkStart w:id="18" w:name="_Hlk31284070"/>
      <w:r w:rsidRPr="002A517E">
        <w:t>Nationally, whilst over 520,000 have been recruited YTD in 2019/20, this signals a likely slow-down on the prior year when a record breaking 870,250 participants took part in NIHR CRN supported clinical research studies.  The 2019/20 full year data will be available in May 2020.</w:t>
      </w:r>
    </w:p>
    <w:p w:rsidR="002A517E" w:rsidRPr="002A517E" w:rsidRDefault="002A517E" w:rsidP="002A517E">
      <w:r w:rsidRPr="002A517E">
        <w:t xml:space="preserve">LCRN recruitment across the Thames Valley &amp; South Midlands (TV&amp;SM) region remains strong. The 2019/20 full year target of 50,000 has already been met and </w:t>
      </w:r>
      <w:r w:rsidR="00194DC1">
        <w:t xml:space="preserve">the CRN </w:t>
      </w:r>
      <w:r w:rsidRPr="002A517E">
        <w:t xml:space="preserve">may come close to matching its 2018/19 </w:t>
      </w:r>
      <w:r w:rsidRPr="002A517E">
        <w:lastRenderedPageBreak/>
        <w:t>recruitment of 63,000 by the year end.  The TV&amp;SM is currently the highest recruiting network per head of population.  However, recruitment to Dementias and Neurodegeneration (</w:t>
      </w:r>
      <w:proofErr w:type="spellStart"/>
      <w:r w:rsidRPr="002A517E">
        <w:t>DeNDRoN</w:t>
      </w:r>
      <w:proofErr w:type="spellEnd"/>
      <w:r w:rsidRPr="002A517E">
        <w:t>) studies is struggling with only c750 recruits YTD against a full year target of 1,550.</w:t>
      </w:r>
    </w:p>
    <w:bookmarkEnd w:id="18"/>
    <w:p w:rsidR="00951AF8" w:rsidRDefault="002A517E" w:rsidP="00951AF8">
      <w:r w:rsidRPr="00C56314">
        <w:t xml:space="preserve">In 2018/18 </w:t>
      </w:r>
      <w:r w:rsidR="00951AF8" w:rsidRPr="00C56314">
        <w:t xml:space="preserve">Oxford Health were ranked 4th highest Mental Health Trust in 18/19 in terms of both the number of studies running and the number of participants recruited. </w:t>
      </w:r>
    </w:p>
    <w:p w:rsidR="0058488D" w:rsidRDefault="0058488D" w:rsidP="0058488D">
      <w:r>
        <w:t>At the end of January 2020</w:t>
      </w:r>
      <w:r w:rsidRPr="00C56314">
        <w:t xml:space="preserve"> Oxford Health were ranked </w:t>
      </w:r>
      <w:r>
        <w:t>3</w:t>
      </w:r>
      <w:r w:rsidRPr="0058488D">
        <w:rPr>
          <w:vertAlign w:val="superscript"/>
        </w:rPr>
        <w:t>rd</w:t>
      </w:r>
      <w:r>
        <w:t xml:space="preserve"> </w:t>
      </w:r>
      <w:r w:rsidRPr="00C56314">
        <w:t xml:space="preserve">highest Mental Health Trust in terms of both the number of studies running and the number of participants recruited. </w:t>
      </w:r>
    </w:p>
    <w:p w:rsidR="0058488D" w:rsidRPr="00C56314" w:rsidRDefault="0058488D" w:rsidP="00951AF8"/>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54"/>
        <w:gridCol w:w="992"/>
        <w:gridCol w:w="1276"/>
      </w:tblGrid>
      <w:tr w:rsidR="0058488D" w:rsidRPr="00C56314" w:rsidTr="0058488D">
        <w:trPr>
          <w:trHeight w:val="368"/>
        </w:trPr>
        <w:tc>
          <w:tcPr>
            <w:tcW w:w="5954" w:type="dxa"/>
            <w:shd w:val="clear" w:color="auto" w:fill="BFBFBF" w:themeFill="background1" w:themeFillShade="BF"/>
            <w:noWrap/>
            <w:tcMar>
              <w:top w:w="0" w:type="dxa"/>
              <w:left w:w="108" w:type="dxa"/>
              <w:bottom w:w="0" w:type="dxa"/>
              <w:right w:w="108" w:type="dxa"/>
            </w:tcMar>
            <w:hideMark/>
          </w:tcPr>
          <w:p w:rsidR="0058488D" w:rsidRPr="00C56314" w:rsidRDefault="0058488D" w:rsidP="009F7DF4">
            <w:pPr>
              <w:spacing w:before="0" w:after="0"/>
              <w:rPr>
                <w:rFonts w:eastAsiaTheme="minorHAnsi" w:cs="Arial"/>
                <w:b/>
                <w:bCs/>
                <w:szCs w:val="22"/>
              </w:rPr>
            </w:pPr>
            <w:r w:rsidRPr="00C56314">
              <w:rPr>
                <w:rFonts w:eastAsiaTheme="minorHAnsi" w:cs="Arial"/>
                <w:b/>
                <w:bCs/>
                <w:szCs w:val="22"/>
              </w:rPr>
              <w:t>Mental Health Trust</w:t>
            </w:r>
          </w:p>
        </w:tc>
        <w:tc>
          <w:tcPr>
            <w:tcW w:w="992" w:type="dxa"/>
            <w:shd w:val="clear" w:color="auto" w:fill="BFBFBF" w:themeFill="background1" w:themeFillShade="BF"/>
            <w:noWrap/>
            <w:tcMar>
              <w:top w:w="0" w:type="dxa"/>
              <w:left w:w="108" w:type="dxa"/>
              <w:bottom w:w="0" w:type="dxa"/>
              <w:right w:w="108" w:type="dxa"/>
            </w:tcMar>
            <w:hideMark/>
          </w:tcPr>
          <w:p w:rsidR="0058488D" w:rsidRPr="00C56314" w:rsidRDefault="0058488D" w:rsidP="009F7DF4">
            <w:pPr>
              <w:spacing w:before="0" w:after="0"/>
              <w:jc w:val="center"/>
              <w:rPr>
                <w:rFonts w:eastAsiaTheme="minorHAnsi" w:cs="Arial"/>
                <w:b/>
                <w:bCs/>
                <w:szCs w:val="22"/>
              </w:rPr>
            </w:pPr>
            <w:r w:rsidRPr="00C56314">
              <w:rPr>
                <w:rFonts w:eastAsiaTheme="minorHAnsi" w:cs="Arial"/>
                <w:b/>
                <w:bCs/>
                <w:szCs w:val="22"/>
              </w:rPr>
              <w:t>Studies</w:t>
            </w:r>
          </w:p>
        </w:tc>
        <w:tc>
          <w:tcPr>
            <w:tcW w:w="1276" w:type="dxa"/>
            <w:shd w:val="clear" w:color="auto" w:fill="BFBFBF" w:themeFill="background1" w:themeFillShade="BF"/>
          </w:tcPr>
          <w:p w:rsidR="0058488D" w:rsidRPr="00C56314" w:rsidRDefault="0058488D" w:rsidP="009F7DF4">
            <w:pPr>
              <w:spacing w:before="0" w:after="0"/>
              <w:jc w:val="center"/>
              <w:rPr>
                <w:rFonts w:eastAsiaTheme="minorHAnsi" w:cs="Arial"/>
                <w:b/>
                <w:bCs/>
                <w:szCs w:val="22"/>
              </w:rPr>
            </w:pPr>
            <w:r w:rsidRPr="00C56314">
              <w:rPr>
                <w:rFonts w:eastAsiaTheme="minorHAnsi" w:cs="Arial"/>
                <w:b/>
                <w:bCs/>
                <w:szCs w:val="22"/>
              </w:rPr>
              <w:t>Participants</w:t>
            </w:r>
          </w:p>
        </w:tc>
      </w:tr>
      <w:tr w:rsidR="0058488D" w:rsidRPr="00C56314" w:rsidTr="0058488D">
        <w:trPr>
          <w:trHeight w:val="200"/>
        </w:trPr>
        <w:tc>
          <w:tcPr>
            <w:tcW w:w="5954" w:type="dxa"/>
            <w:noWrap/>
            <w:tcMar>
              <w:top w:w="0" w:type="dxa"/>
              <w:left w:w="108" w:type="dxa"/>
              <w:bottom w:w="0" w:type="dxa"/>
              <w:right w:w="108" w:type="dxa"/>
            </w:tcMar>
            <w:hideMark/>
          </w:tcPr>
          <w:p w:rsidR="0058488D" w:rsidRPr="00C56314" w:rsidRDefault="0058488D" w:rsidP="009F7DF4">
            <w:pPr>
              <w:spacing w:before="0" w:after="0"/>
              <w:rPr>
                <w:rFonts w:eastAsiaTheme="minorHAnsi" w:cs="Arial"/>
                <w:bCs/>
                <w:szCs w:val="22"/>
              </w:rPr>
            </w:pPr>
            <w:r w:rsidRPr="00C56314">
              <w:rPr>
                <w:rFonts w:eastAsiaTheme="minorHAnsi" w:cs="Arial"/>
                <w:bCs/>
                <w:szCs w:val="22"/>
              </w:rPr>
              <w:t>South London and Maudsley NHS F</w:t>
            </w:r>
            <w:r>
              <w:rPr>
                <w:rFonts w:eastAsiaTheme="minorHAnsi" w:cs="Arial"/>
                <w:bCs/>
                <w:szCs w:val="22"/>
              </w:rPr>
              <w:t>T</w:t>
            </w:r>
          </w:p>
        </w:tc>
        <w:tc>
          <w:tcPr>
            <w:tcW w:w="992" w:type="dxa"/>
            <w:tcMar>
              <w:top w:w="0" w:type="dxa"/>
              <w:left w:w="108" w:type="dxa"/>
              <w:bottom w:w="0" w:type="dxa"/>
              <w:right w:w="108" w:type="dxa"/>
            </w:tcMar>
            <w:hideMark/>
          </w:tcPr>
          <w:p w:rsidR="0058488D" w:rsidRPr="00C56314" w:rsidRDefault="0058488D" w:rsidP="009F7DF4">
            <w:pPr>
              <w:spacing w:before="0" w:after="0"/>
              <w:jc w:val="center"/>
              <w:rPr>
                <w:rFonts w:eastAsiaTheme="minorHAnsi" w:cs="Arial"/>
                <w:bCs/>
                <w:szCs w:val="22"/>
              </w:rPr>
            </w:pPr>
            <w:r>
              <w:rPr>
                <w:rFonts w:eastAsiaTheme="minorHAnsi" w:cs="Arial"/>
                <w:bCs/>
                <w:szCs w:val="22"/>
              </w:rPr>
              <w:t>78</w:t>
            </w:r>
          </w:p>
        </w:tc>
        <w:tc>
          <w:tcPr>
            <w:tcW w:w="1276" w:type="dxa"/>
          </w:tcPr>
          <w:p w:rsidR="0058488D" w:rsidRPr="00C56314" w:rsidRDefault="0058488D" w:rsidP="009F7DF4">
            <w:pPr>
              <w:spacing w:before="0" w:after="0"/>
              <w:jc w:val="center"/>
              <w:rPr>
                <w:rFonts w:eastAsiaTheme="minorHAnsi" w:cs="Arial"/>
                <w:bCs/>
                <w:szCs w:val="22"/>
              </w:rPr>
            </w:pPr>
            <w:r>
              <w:rPr>
                <w:rFonts w:eastAsiaTheme="minorHAnsi" w:cs="Arial"/>
                <w:bCs/>
                <w:szCs w:val="22"/>
              </w:rPr>
              <w:t>12,573</w:t>
            </w:r>
          </w:p>
        </w:tc>
      </w:tr>
      <w:tr w:rsidR="0058488D" w:rsidRPr="00C56314" w:rsidTr="0058488D">
        <w:trPr>
          <w:trHeight w:val="200"/>
        </w:trPr>
        <w:tc>
          <w:tcPr>
            <w:tcW w:w="5954" w:type="dxa"/>
            <w:noWrap/>
            <w:tcMar>
              <w:top w:w="0" w:type="dxa"/>
              <w:left w:w="108" w:type="dxa"/>
              <w:bottom w:w="0" w:type="dxa"/>
              <w:right w:w="108" w:type="dxa"/>
            </w:tcMar>
            <w:hideMark/>
          </w:tcPr>
          <w:p w:rsidR="0058488D" w:rsidRPr="00C56314" w:rsidRDefault="0058488D" w:rsidP="009F7DF4">
            <w:pPr>
              <w:spacing w:before="0" w:after="0"/>
              <w:rPr>
                <w:rFonts w:eastAsiaTheme="minorHAnsi" w:cs="Arial"/>
                <w:bCs/>
                <w:szCs w:val="22"/>
              </w:rPr>
            </w:pPr>
            <w:r w:rsidRPr="00C56314">
              <w:rPr>
                <w:rFonts w:eastAsiaTheme="minorHAnsi" w:cs="Arial"/>
                <w:bCs/>
                <w:szCs w:val="22"/>
              </w:rPr>
              <w:t>Midlands Partnership NHS F</w:t>
            </w:r>
            <w:r>
              <w:rPr>
                <w:rFonts w:eastAsiaTheme="minorHAnsi" w:cs="Arial"/>
                <w:bCs/>
                <w:szCs w:val="22"/>
              </w:rPr>
              <w:t>T</w:t>
            </w:r>
          </w:p>
        </w:tc>
        <w:tc>
          <w:tcPr>
            <w:tcW w:w="992" w:type="dxa"/>
            <w:tcMar>
              <w:top w:w="0" w:type="dxa"/>
              <w:left w:w="108" w:type="dxa"/>
              <w:bottom w:w="0" w:type="dxa"/>
              <w:right w:w="108" w:type="dxa"/>
            </w:tcMar>
            <w:hideMark/>
          </w:tcPr>
          <w:p w:rsidR="0058488D" w:rsidRPr="00C56314" w:rsidRDefault="0058488D" w:rsidP="009F7DF4">
            <w:pPr>
              <w:spacing w:before="0" w:after="0"/>
              <w:jc w:val="center"/>
              <w:rPr>
                <w:rFonts w:eastAsiaTheme="minorHAnsi" w:cs="Arial"/>
                <w:bCs/>
                <w:szCs w:val="22"/>
              </w:rPr>
            </w:pPr>
            <w:r>
              <w:rPr>
                <w:rFonts w:eastAsiaTheme="minorHAnsi" w:cs="Arial"/>
                <w:bCs/>
                <w:szCs w:val="22"/>
              </w:rPr>
              <w:t>64</w:t>
            </w:r>
          </w:p>
        </w:tc>
        <w:tc>
          <w:tcPr>
            <w:tcW w:w="1276" w:type="dxa"/>
          </w:tcPr>
          <w:p w:rsidR="0058488D" w:rsidRPr="00C56314" w:rsidRDefault="0058488D" w:rsidP="009F7DF4">
            <w:pPr>
              <w:spacing w:before="0" w:after="0"/>
              <w:jc w:val="center"/>
              <w:rPr>
                <w:rFonts w:eastAsiaTheme="minorHAnsi" w:cs="Arial"/>
                <w:bCs/>
                <w:szCs w:val="22"/>
              </w:rPr>
            </w:pPr>
            <w:r>
              <w:rPr>
                <w:rFonts w:eastAsiaTheme="minorHAnsi" w:cs="Arial"/>
                <w:bCs/>
                <w:szCs w:val="22"/>
              </w:rPr>
              <w:t>3,583</w:t>
            </w:r>
          </w:p>
        </w:tc>
      </w:tr>
      <w:tr w:rsidR="0058488D" w:rsidRPr="00C56314" w:rsidTr="0058488D">
        <w:trPr>
          <w:trHeight w:val="200"/>
        </w:trPr>
        <w:tc>
          <w:tcPr>
            <w:tcW w:w="5954" w:type="dxa"/>
            <w:shd w:val="clear" w:color="auto" w:fill="auto"/>
            <w:noWrap/>
            <w:tcMar>
              <w:top w:w="0" w:type="dxa"/>
              <w:left w:w="108" w:type="dxa"/>
              <w:bottom w:w="0" w:type="dxa"/>
              <w:right w:w="108" w:type="dxa"/>
            </w:tcMar>
            <w:hideMark/>
          </w:tcPr>
          <w:p w:rsidR="0058488D" w:rsidRPr="00C56314" w:rsidRDefault="0058488D" w:rsidP="009F7DF4">
            <w:pPr>
              <w:spacing w:before="0" w:after="0"/>
              <w:rPr>
                <w:rFonts w:eastAsiaTheme="minorHAnsi" w:cs="Arial"/>
                <w:b/>
                <w:bCs/>
                <w:szCs w:val="22"/>
              </w:rPr>
            </w:pPr>
            <w:r w:rsidRPr="00C56314">
              <w:rPr>
                <w:rFonts w:eastAsiaTheme="minorHAnsi" w:cs="Arial"/>
                <w:b/>
                <w:bCs/>
                <w:szCs w:val="22"/>
              </w:rPr>
              <w:t>Oxford Health NHS F</w:t>
            </w:r>
            <w:r>
              <w:rPr>
                <w:rFonts w:eastAsiaTheme="minorHAnsi" w:cs="Arial"/>
                <w:b/>
                <w:bCs/>
                <w:szCs w:val="22"/>
              </w:rPr>
              <w:t>T</w:t>
            </w:r>
          </w:p>
        </w:tc>
        <w:tc>
          <w:tcPr>
            <w:tcW w:w="992" w:type="dxa"/>
            <w:shd w:val="clear" w:color="auto" w:fill="auto"/>
            <w:tcMar>
              <w:top w:w="0" w:type="dxa"/>
              <w:left w:w="108" w:type="dxa"/>
              <w:bottom w:w="0" w:type="dxa"/>
              <w:right w:w="108" w:type="dxa"/>
            </w:tcMar>
            <w:hideMark/>
          </w:tcPr>
          <w:p w:rsidR="0058488D" w:rsidRPr="00C56314" w:rsidRDefault="0058488D" w:rsidP="009F7DF4">
            <w:pPr>
              <w:spacing w:before="0" w:after="0"/>
              <w:jc w:val="center"/>
              <w:rPr>
                <w:rFonts w:eastAsiaTheme="minorHAnsi" w:cs="Arial"/>
                <w:b/>
                <w:bCs/>
                <w:szCs w:val="22"/>
              </w:rPr>
            </w:pPr>
            <w:r>
              <w:rPr>
                <w:rFonts w:eastAsiaTheme="minorHAnsi" w:cs="Arial"/>
                <w:b/>
                <w:bCs/>
                <w:szCs w:val="22"/>
              </w:rPr>
              <w:t>57</w:t>
            </w:r>
          </w:p>
        </w:tc>
        <w:tc>
          <w:tcPr>
            <w:tcW w:w="1276" w:type="dxa"/>
          </w:tcPr>
          <w:p w:rsidR="0058488D" w:rsidRPr="00C56314" w:rsidRDefault="0058488D" w:rsidP="009F7DF4">
            <w:pPr>
              <w:spacing w:before="0" w:after="0"/>
              <w:jc w:val="center"/>
              <w:rPr>
                <w:rFonts w:eastAsiaTheme="minorHAnsi" w:cs="Arial"/>
                <w:b/>
                <w:bCs/>
                <w:szCs w:val="22"/>
              </w:rPr>
            </w:pPr>
            <w:r>
              <w:rPr>
                <w:rFonts w:eastAsiaTheme="minorHAnsi" w:cs="Arial"/>
                <w:b/>
                <w:bCs/>
                <w:szCs w:val="22"/>
              </w:rPr>
              <w:t>2,150</w:t>
            </w:r>
          </w:p>
        </w:tc>
      </w:tr>
    </w:tbl>
    <w:p w:rsidR="00951AF8" w:rsidRPr="00C56314" w:rsidRDefault="00951AF8" w:rsidP="00951AF8">
      <w:pPr>
        <w:pStyle w:val="ListParagraph"/>
        <w:spacing w:before="0" w:after="160" w:line="252" w:lineRule="auto"/>
        <w:contextualSpacing/>
        <w:jc w:val="left"/>
        <w:rPr>
          <w:rFonts w:eastAsiaTheme="minorHAnsi" w:cs="Arial"/>
          <w:szCs w:val="22"/>
        </w:rPr>
      </w:pPr>
    </w:p>
    <w:p w:rsidR="0058488D" w:rsidRPr="0058488D" w:rsidRDefault="0058488D" w:rsidP="00951AF8">
      <w:pPr>
        <w:spacing w:after="0"/>
        <w:rPr>
          <w:rFonts w:eastAsiaTheme="minorHAnsi" w:cs="Arial"/>
          <w:bCs/>
          <w:sz w:val="18"/>
          <w:szCs w:val="18"/>
        </w:rPr>
      </w:pPr>
      <w:r w:rsidRPr="0058488D">
        <w:rPr>
          <w:rFonts w:eastAsiaTheme="minorHAnsi" w:cs="Arial"/>
          <w:sz w:val="18"/>
          <w:szCs w:val="18"/>
        </w:rPr>
        <w:t xml:space="preserve">Note: </w:t>
      </w:r>
      <w:r w:rsidRPr="0058488D">
        <w:rPr>
          <w:rFonts w:eastAsiaTheme="minorHAnsi" w:cs="Arial"/>
          <w:bCs/>
          <w:sz w:val="18"/>
          <w:szCs w:val="18"/>
        </w:rPr>
        <w:t>Midlands Partnership NHS FT reported 24 muscular skeletal</w:t>
      </w:r>
      <w:r>
        <w:rPr>
          <w:rFonts w:eastAsiaTheme="minorHAnsi" w:cs="Arial"/>
          <w:bCs/>
          <w:sz w:val="18"/>
          <w:szCs w:val="18"/>
        </w:rPr>
        <w:t xml:space="preserve"> </w:t>
      </w:r>
      <w:r w:rsidRPr="0058488D">
        <w:rPr>
          <w:rFonts w:eastAsiaTheme="minorHAnsi" w:cs="Arial"/>
          <w:bCs/>
          <w:sz w:val="18"/>
          <w:szCs w:val="18"/>
        </w:rPr>
        <w:t>s</w:t>
      </w:r>
      <w:r>
        <w:rPr>
          <w:rFonts w:eastAsiaTheme="minorHAnsi" w:cs="Arial"/>
          <w:bCs/>
          <w:sz w:val="18"/>
          <w:szCs w:val="18"/>
        </w:rPr>
        <w:t>t</w:t>
      </w:r>
      <w:r w:rsidRPr="0058488D">
        <w:rPr>
          <w:rFonts w:eastAsiaTheme="minorHAnsi" w:cs="Arial"/>
          <w:bCs/>
          <w:sz w:val="18"/>
          <w:szCs w:val="18"/>
        </w:rPr>
        <w:t>ud</w:t>
      </w:r>
      <w:r>
        <w:rPr>
          <w:rFonts w:eastAsiaTheme="minorHAnsi" w:cs="Arial"/>
          <w:bCs/>
          <w:sz w:val="18"/>
          <w:szCs w:val="18"/>
        </w:rPr>
        <w:t>i</w:t>
      </w:r>
      <w:r w:rsidRPr="0058488D">
        <w:rPr>
          <w:rFonts w:eastAsiaTheme="minorHAnsi" w:cs="Arial"/>
          <w:bCs/>
          <w:sz w:val="18"/>
          <w:szCs w:val="18"/>
        </w:rPr>
        <w:t>es with 414 recruits and</w:t>
      </w:r>
      <w:r>
        <w:rPr>
          <w:rFonts w:eastAsiaTheme="minorHAnsi" w:cs="Arial"/>
          <w:bCs/>
          <w:sz w:val="18"/>
          <w:szCs w:val="18"/>
        </w:rPr>
        <w:t xml:space="preserve"> </w:t>
      </w:r>
      <w:r w:rsidRPr="0058488D">
        <w:rPr>
          <w:rFonts w:eastAsiaTheme="minorHAnsi" w:cs="Arial"/>
          <w:bCs/>
          <w:sz w:val="18"/>
          <w:szCs w:val="18"/>
        </w:rPr>
        <w:t xml:space="preserve">1 Oral and Dental </w:t>
      </w:r>
      <w:r>
        <w:rPr>
          <w:rFonts w:eastAsiaTheme="minorHAnsi" w:cs="Arial"/>
          <w:bCs/>
          <w:sz w:val="18"/>
          <w:szCs w:val="18"/>
        </w:rPr>
        <w:t xml:space="preserve">study </w:t>
      </w:r>
      <w:r w:rsidRPr="0058488D">
        <w:rPr>
          <w:rFonts w:eastAsiaTheme="minorHAnsi" w:cs="Arial"/>
          <w:bCs/>
          <w:sz w:val="18"/>
          <w:szCs w:val="18"/>
        </w:rPr>
        <w:t>with 1,687 recruits</w:t>
      </w:r>
    </w:p>
    <w:p w:rsidR="007935F2" w:rsidRDefault="00C33205" w:rsidP="007935F2">
      <w:pPr>
        <w:pStyle w:val="Heading2"/>
        <w:rPr>
          <w:lang w:val="en-GB"/>
        </w:rPr>
      </w:pPr>
      <w:bookmarkStart w:id="19" w:name="_Toc34407414"/>
      <w:r>
        <w:rPr>
          <w:lang w:val="en-GB"/>
        </w:rPr>
        <w:t>Equality, Diversity and Inclusion (EDI)</w:t>
      </w:r>
      <w:bookmarkEnd w:id="19"/>
      <w:r w:rsidR="007935F2" w:rsidRPr="000D1C8A">
        <w:rPr>
          <w:lang w:val="en-GB"/>
        </w:rPr>
        <w:t xml:space="preserve">   </w:t>
      </w:r>
    </w:p>
    <w:p w:rsidR="00C33205" w:rsidRDefault="00C33205" w:rsidP="00701713">
      <w:pPr>
        <w:rPr>
          <w:lang w:val="en-GB"/>
        </w:rPr>
      </w:pPr>
      <w:r>
        <w:rPr>
          <w:lang w:val="en-GB"/>
        </w:rPr>
        <w:t xml:space="preserve">A group has been formed to look at improving access to research for all groups. </w:t>
      </w:r>
    </w:p>
    <w:p w:rsidR="00C33205" w:rsidRDefault="00C33205" w:rsidP="00701713">
      <w:pPr>
        <w:rPr>
          <w:lang w:val="en-GB"/>
        </w:rPr>
      </w:pPr>
      <w:r>
        <w:rPr>
          <w:lang w:val="en-GB"/>
        </w:rPr>
        <w:t>The initial key focus areas are;</w:t>
      </w:r>
    </w:p>
    <w:p w:rsidR="00C33205" w:rsidRPr="00A47691" w:rsidRDefault="00C33205" w:rsidP="00C33205">
      <w:pPr>
        <w:pStyle w:val="ListParagraph"/>
        <w:numPr>
          <w:ilvl w:val="0"/>
          <w:numId w:val="55"/>
        </w:numPr>
        <w:spacing w:before="0" w:after="160" w:line="259" w:lineRule="auto"/>
        <w:contextualSpacing/>
        <w:jc w:val="left"/>
      </w:pPr>
      <w:r w:rsidRPr="00A47691">
        <w:t>Staffing</w:t>
      </w:r>
      <w:r>
        <w:t>, the mix of staff within the R&amp;D function</w:t>
      </w:r>
    </w:p>
    <w:p w:rsidR="00C33205" w:rsidRPr="00A47691" w:rsidRDefault="00C33205" w:rsidP="00C33205">
      <w:pPr>
        <w:pStyle w:val="ListParagraph"/>
        <w:numPr>
          <w:ilvl w:val="0"/>
          <w:numId w:val="55"/>
        </w:numPr>
        <w:spacing w:before="0" w:after="160" w:line="259" w:lineRule="auto"/>
        <w:contextualSpacing/>
        <w:jc w:val="left"/>
      </w:pPr>
      <w:r w:rsidRPr="00A47691">
        <w:t>Research participation</w:t>
      </w:r>
      <w:r>
        <w:t>, creating a baseline position regarding the mix of participants</w:t>
      </w:r>
    </w:p>
    <w:p w:rsidR="00C33205" w:rsidRPr="00A47691" w:rsidRDefault="00C33205" w:rsidP="00C33205">
      <w:pPr>
        <w:pStyle w:val="ListParagraph"/>
        <w:numPr>
          <w:ilvl w:val="0"/>
          <w:numId w:val="55"/>
        </w:numPr>
        <w:spacing w:before="0" w:after="160" w:line="259" w:lineRule="auto"/>
        <w:contextualSpacing/>
        <w:jc w:val="left"/>
      </w:pPr>
      <w:r w:rsidRPr="00A47691">
        <w:t>Patient and Public Involvement</w:t>
      </w:r>
      <w:r>
        <w:t>, identifying geographic areas of interest and running community events</w:t>
      </w:r>
    </w:p>
    <w:p w:rsidR="00C33205" w:rsidRDefault="00C33205" w:rsidP="00701713">
      <w:pPr>
        <w:rPr>
          <w:lang w:val="en-GB"/>
        </w:rPr>
      </w:pPr>
      <w:r>
        <w:rPr>
          <w:lang w:val="en-GB"/>
        </w:rPr>
        <w:t xml:space="preserve">The work here will link with the BRC and CRF PPI functions and will be reported to the BRC steering committee and Research Management Group </w:t>
      </w:r>
    </w:p>
    <w:p w:rsidR="00F40766" w:rsidRPr="00F40766" w:rsidRDefault="007935F2" w:rsidP="00302A8E">
      <w:pPr>
        <w:pStyle w:val="Heading1"/>
        <w:rPr>
          <w:szCs w:val="28"/>
        </w:rPr>
      </w:pPr>
      <w:bookmarkStart w:id="20" w:name="_Toc34407415"/>
      <w:r>
        <w:rPr>
          <w:bCs/>
          <w:szCs w:val="28"/>
          <w:lang w:val="en-US"/>
        </w:rPr>
        <w:t>E</w:t>
      </w:r>
      <w:r w:rsidR="00F40766" w:rsidRPr="00F40766">
        <w:rPr>
          <w:bCs/>
          <w:szCs w:val="28"/>
          <w:lang w:val="en-US"/>
        </w:rPr>
        <w:t>xploit existing, identify and develop new research opportunities</w:t>
      </w:r>
      <w:bookmarkEnd w:id="20"/>
      <w:r w:rsidR="00F40766" w:rsidRPr="00F40766">
        <w:rPr>
          <w:bCs/>
          <w:szCs w:val="28"/>
          <w:lang w:val="en-US"/>
        </w:rPr>
        <w:t xml:space="preserve"> </w:t>
      </w:r>
    </w:p>
    <w:p w:rsidR="00D475F1" w:rsidRPr="000D1C8A" w:rsidRDefault="00D475F1" w:rsidP="00D475F1">
      <w:pPr>
        <w:pStyle w:val="Heading2"/>
      </w:pPr>
      <w:bookmarkStart w:id="21" w:name="_Toc34407416"/>
      <w:bookmarkStart w:id="22" w:name="_Hlk31284654"/>
      <w:r w:rsidRPr="000D1C8A">
        <w:t>NIHR Biomedical Research Centre (BRC)</w:t>
      </w:r>
      <w:bookmarkEnd w:id="21"/>
    </w:p>
    <w:p w:rsidR="00D24E67" w:rsidRPr="00710C8E" w:rsidRDefault="00D24E67" w:rsidP="00D24E67">
      <w:pPr>
        <w:spacing w:line="276" w:lineRule="auto"/>
      </w:pPr>
      <w:r w:rsidRPr="00710C8E">
        <w:t>The Oxford Health Biomedical Research Centre (OH-BRC), a partnership between O</w:t>
      </w:r>
      <w:r w:rsidR="001470DA">
        <w:t>HFT</w:t>
      </w:r>
      <w:r w:rsidRPr="00710C8E">
        <w:t xml:space="preserve"> and the University of Oxford commenced in April 2017 with funding of £12.8m (Apr 2017–Mar 2022).  An additional one-off £1m was awarded in FY19 to provide a sustainable solution to UK-CRIS.</w:t>
      </w:r>
    </w:p>
    <w:p w:rsidR="00D24E67" w:rsidRPr="00710C8E" w:rsidRDefault="00D24E67" w:rsidP="00D24E67">
      <w:pPr>
        <w:spacing w:line="276" w:lineRule="auto"/>
      </w:pPr>
      <w:r w:rsidRPr="00710C8E">
        <w:t>The hub of the new centre is at the Warneford Hospital site which also houses the University of Oxford’s Department of Psychiatry with associated research centers and facilities, and a Clinical Research Facility (CRF) hosting a wide portfolio of active studies for the OH-BRC, the TRUST and the University.</w:t>
      </w:r>
    </w:p>
    <w:p w:rsidR="00D24E67" w:rsidRPr="00710C8E" w:rsidRDefault="00D24E67" w:rsidP="00D24E67">
      <w:pPr>
        <w:spacing w:line="276" w:lineRule="auto"/>
      </w:pPr>
      <w:r w:rsidRPr="00710C8E">
        <w:t xml:space="preserve">The </w:t>
      </w:r>
      <w:r w:rsidR="001470DA">
        <w:t>OH-</w:t>
      </w:r>
      <w:r w:rsidRPr="00710C8E">
        <w:t>BRC</w:t>
      </w:r>
      <w:r w:rsidR="001470DA">
        <w:t xml:space="preserve"> is a </w:t>
      </w:r>
      <w:r w:rsidRPr="00710C8E">
        <w:t>strategic collaboration designed to identify and support the best science to understand the complex problems facing research into mental disorders and dementia, with the aim to translate this understanding into actual, scalable solutions to improve healthcare and to transform our discovery science into new treatments and diagnostic tools, delivering precision care that is strongly informed by patient involvement, ethical and economic considerations.</w:t>
      </w:r>
    </w:p>
    <w:p w:rsidR="00D475F1" w:rsidRPr="000D1C8A" w:rsidRDefault="00D475F1" w:rsidP="00D475F1">
      <w:pPr>
        <w:pStyle w:val="Heading3"/>
      </w:pPr>
      <w:r w:rsidRPr="000D1C8A">
        <w:lastRenderedPageBreak/>
        <w:t>Overview of Activity</w:t>
      </w:r>
    </w:p>
    <w:p w:rsidR="00D24E67" w:rsidRPr="00710C8E" w:rsidRDefault="00D24E67" w:rsidP="00D24E67">
      <w:pPr>
        <w:autoSpaceDE w:val="0"/>
        <w:autoSpaceDN w:val="0"/>
        <w:adjustRightInd w:val="0"/>
        <w:spacing w:line="276" w:lineRule="auto"/>
        <w:rPr>
          <w:rFonts w:cs="ArialMT"/>
          <w:b/>
          <w:szCs w:val="22"/>
          <w:lang w:val="en-GB" w:eastAsia="en-GB"/>
        </w:rPr>
      </w:pPr>
      <w:r w:rsidRPr="00710C8E">
        <w:rPr>
          <w:rFonts w:cs="ArialMT"/>
          <w:b/>
          <w:szCs w:val="22"/>
          <w:lang w:eastAsia="en-GB"/>
        </w:rPr>
        <w:t>Short –term objectives</w:t>
      </w:r>
    </w:p>
    <w:p w:rsidR="00D24E67" w:rsidRPr="00710C8E" w:rsidRDefault="00D24E67" w:rsidP="0017480B">
      <w:pPr>
        <w:pStyle w:val="ListParagraph"/>
        <w:numPr>
          <w:ilvl w:val="0"/>
          <w:numId w:val="8"/>
        </w:numPr>
        <w:autoSpaceDE w:val="0"/>
        <w:autoSpaceDN w:val="0"/>
        <w:adjustRightInd w:val="0"/>
        <w:spacing w:before="0" w:after="0" w:line="276" w:lineRule="auto"/>
        <w:ind w:left="426"/>
        <w:contextualSpacing/>
        <w:jc w:val="left"/>
        <w:rPr>
          <w:rFonts w:cs="ArialMT"/>
          <w:szCs w:val="22"/>
          <w:lang w:eastAsia="en-GB"/>
        </w:rPr>
      </w:pPr>
      <w:r w:rsidRPr="00710C8E">
        <w:rPr>
          <w:rFonts w:cs="ArialMT"/>
          <w:szCs w:val="22"/>
          <w:lang w:eastAsia="en-GB"/>
        </w:rPr>
        <w:t xml:space="preserve">Establish the </w:t>
      </w:r>
      <w:r>
        <w:rPr>
          <w:rFonts w:cs="ArialMT"/>
          <w:szCs w:val="22"/>
          <w:lang w:eastAsia="en-GB"/>
        </w:rPr>
        <w:t>OH-</w:t>
      </w:r>
      <w:r w:rsidRPr="00710C8E">
        <w:rPr>
          <w:rFonts w:cs="ArialMT"/>
          <w:szCs w:val="22"/>
          <w:lang w:eastAsia="en-GB"/>
        </w:rPr>
        <w:t>BRC with effective management structure and cross-theme collaboration, ensuring that infrastructure is developed to facilitate conduct of</w:t>
      </w:r>
      <w:r>
        <w:rPr>
          <w:rFonts w:cs="ArialMT"/>
          <w:szCs w:val="22"/>
          <w:lang w:eastAsia="en-GB"/>
        </w:rPr>
        <w:t xml:space="preserve"> </w:t>
      </w:r>
      <w:r w:rsidRPr="00710C8E">
        <w:rPr>
          <w:rFonts w:cs="ArialMT"/>
          <w:szCs w:val="22"/>
          <w:lang w:eastAsia="en-GB"/>
        </w:rPr>
        <w:t>externally funded research.</w:t>
      </w:r>
    </w:p>
    <w:p w:rsidR="00D24E67" w:rsidRPr="00710C8E" w:rsidRDefault="00D24E67" w:rsidP="0017480B">
      <w:pPr>
        <w:pStyle w:val="ListParagraph"/>
        <w:numPr>
          <w:ilvl w:val="0"/>
          <w:numId w:val="8"/>
        </w:numPr>
        <w:autoSpaceDE w:val="0"/>
        <w:autoSpaceDN w:val="0"/>
        <w:adjustRightInd w:val="0"/>
        <w:spacing w:before="0" w:after="0" w:line="276" w:lineRule="auto"/>
        <w:ind w:left="426"/>
        <w:contextualSpacing/>
        <w:jc w:val="left"/>
        <w:rPr>
          <w:rFonts w:cs="ArialMT"/>
          <w:szCs w:val="22"/>
          <w:lang w:eastAsia="en-GB"/>
        </w:rPr>
      </w:pPr>
      <w:r w:rsidRPr="00710C8E">
        <w:rPr>
          <w:rFonts w:cs="ArialMT"/>
          <w:szCs w:val="22"/>
          <w:lang w:eastAsia="en-GB"/>
        </w:rPr>
        <w:t xml:space="preserve">Deliver a fully developed Patient &amp; Public Involvement strategy </w:t>
      </w:r>
    </w:p>
    <w:p w:rsidR="00D24E67" w:rsidRPr="00710C8E" w:rsidRDefault="00D24E67" w:rsidP="0017480B">
      <w:pPr>
        <w:pStyle w:val="ListParagraph"/>
        <w:numPr>
          <w:ilvl w:val="0"/>
          <w:numId w:val="8"/>
        </w:numPr>
        <w:autoSpaceDE w:val="0"/>
        <w:autoSpaceDN w:val="0"/>
        <w:adjustRightInd w:val="0"/>
        <w:spacing w:before="0" w:after="0" w:line="276" w:lineRule="auto"/>
        <w:ind w:left="426"/>
        <w:contextualSpacing/>
        <w:jc w:val="left"/>
        <w:rPr>
          <w:rFonts w:cs="ArialMT"/>
          <w:szCs w:val="22"/>
          <w:lang w:eastAsia="en-GB"/>
        </w:rPr>
      </w:pPr>
      <w:r w:rsidRPr="00710C8E">
        <w:rPr>
          <w:rFonts w:cs="ArialMT"/>
          <w:szCs w:val="22"/>
          <w:lang w:eastAsia="en-GB"/>
        </w:rPr>
        <w:t xml:space="preserve">Establish an effective clinical interface for the </w:t>
      </w:r>
      <w:r>
        <w:rPr>
          <w:rFonts w:cs="ArialMT"/>
          <w:szCs w:val="22"/>
          <w:lang w:eastAsia="en-GB"/>
        </w:rPr>
        <w:t>OH-</w:t>
      </w:r>
      <w:r w:rsidRPr="00710C8E">
        <w:rPr>
          <w:rFonts w:cs="ArialMT"/>
          <w:szCs w:val="22"/>
          <w:lang w:eastAsia="en-GB"/>
        </w:rPr>
        <w:t>BRC between basic research and clinical care</w:t>
      </w:r>
    </w:p>
    <w:p w:rsidR="00D24E67" w:rsidRPr="00710C8E" w:rsidRDefault="00D24E67" w:rsidP="00D24E67">
      <w:pPr>
        <w:spacing w:line="276" w:lineRule="auto"/>
        <w:rPr>
          <w:rFonts w:cs="Arial"/>
          <w:b/>
          <w:szCs w:val="22"/>
        </w:rPr>
      </w:pPr>
      <w:r w:rsidRPr="00710C8E">
        <w:rPr>
          <w:rFonts w:cs="Arial"/>
          <w:b/>
          <w:szCs w:val="22"/>
        </w:rPr>
        <w:t>Progress towards short term objectives:</w:t>
      </w:r>
    </w:p>
    <w:p w:rsidR="00D24E67" w:rsidRPr="00710C8E" w:rsidRDefault="00D24E67" w:rsidP="0017480B">
      <w:pPr>
        <w:pStyle w:val="ListParagraph"/>
        <w:numPr>
          <w:ilvl w:val="0"/>
          <w:numId w:val="9"/>
        </w:numPr>
        <w:spacing w:line="276" w:lineRule="auto"/>
        <w:ind w:left="426" w:hanging="357"/>
        <w:contextualSpacing/>
        <w:rPr>
          <w:rFonts w:cs="Arial"/>
          <w:szCs w:val="22"/>
        </w:rPr>
      </w:pPr>
      <w:r w:rsidRPr="00710C8E">
        <w:rPr>
          <w:rFonts w:cs="Arial"/>
          <w:szCs w:val="22"/>
        </w:rPr>
        <w:t xml:space="preserve">The </w:t>
      </w:r>
      <w:r>
        <w:rPr>
          <w:rFonts w:cs="Arial"/>
          <w:szCs w:val="22"/>
        </w:rPr>
        <w:t>OH-</w:t>
      </w:r>
      <w:r w:rsidRPr="00710C8E">
        <w:rPr>
          <w:rFonts w:cs="Arial"/>
          <w:szCs w:val="22"/>
        </w:rPr>
        <w:t>BRC Steering Committee includes strong patient involvement and continues to provide strategic direction and oversight</w:t>
      </w:r>
      <w:r>
        <w:rPr>
          <w:rFonts w:cs="Arial"/>
          <w:szCs w:val="22"/>
        </w:rPr>
        <w:t>.</w:t>
      </w:r>
    </w:p>
    <w:p w:rsidR="00D24E67" w:rsidRPr="00710C8E" w:rsidRDefault="00D24E67" w:rsidP="0017480B">
      <w:pPr>
        <w:pStyle w:val="ListParagraph"/>
        <w:numPr>
          <w:ilvl w:val="0"/>
          <w:numId w:val="9"/>
        </w:numPr>
        <w:spacing w:line="276" w:lineRule="auto"/>
        <w:ind w:left="426" w:hanging="357"/>
        <w:contextualSpacing/>
        <w:rPr>
          <w:rFonts w:cs="Arial"/>
          <w:szCs w:val="22"/>
        </w:rPr>
      </w:pPr>
      <w:r w:rsidRPr="00710C8E">
        <w:rPr>
          <w:rFonts w:cs="Arial"/>
          <w:szCs w:val="22"/>
        </w:rPr>
        <w:t xml:space="preserve">Planned an </w:t>
      </w:r>
      <w:proofErr w:type="gramStart"/>
      <w:r w:rsidRPr="00710C8E">
        <w:rPr>
          <w:rFonts w:cs="Arial"/>
          <w:szCs w:val="22"/>
        </w:rPr>
        <w:t>externally-chaired</w:t>
      </w:r>
      <w:proofErr w:type="gramEnd"/>
      <w:r w:rsidRPr="00710C8E">
        <w:rPr>
          <w:rFonts w:cs="Arial"/>
          <w:szCs w:val="22"/>
        </w:rPr>
        <w:t xml:space="preserve">, peer-reviewed, mid-term review to ensure the </w:t>
      </w:r>
      <w:r>
        <w:rPr>
          <w:rFonts w:cs="Arial"/>
          <w:szCs w:val="22"/>
        </w:rPr>
        <w:t>OH-</w:t>
      </w:r>
      <w:r w:rsidRPr="00710C8E">
        <w:rPr>
          <w:rFonts w:cs="Arial"/>
          <w:szCs w:val="22"/>
        </w:rPr>
        <w:t xml:space="preserve">BRC continues to deliver world class research meeting mental health research priorities </w:t>
      </w:r>
    </w:p>
    <w:p w:rsidR="00D24E67" w:rsidRPr="00710C8E" w:rsidRDefault="00D24E67" w:rsidP="0017480B">
      <w:pPr>
        <w:pStyle w:val="ListParagraph"/>
        <w:numPr>
          <w:ilvl w:val="0"/>
          <w:numId w:val="9"/>
        </w:numPr>
        <w:spacing w:line="276" w:lineRule="auto"/>
        <w:ind w:left="426" w:hanging="357"/>
        <w:contextualSpacing/>
        <w:rPr>
          <w:rFonts w:cs="Arial"/>
          <w:szCs w:val="22"/>
        </w:rPr>
      </w:pPr>
      <w:r>
        <w:rPr>
          <w:rFonts w:cs="Arial"/>
          <w:szCs w:val="22"/>
        </w:rPr>
        <w:t>Regular OH-</w:t>
      </w:r>
      <w:r w:rsidRPr="00710C8E">
        <w:rPr>
          <w:rFonts w:cs="Arial"/>
          <w:szCs w:val="22"/>
        </w:rPr>
        <w:t xml:space="preserve">BRC Theme Leaders meetings </w:t>
      </w:r>
      <w:r>
        <w:rPr>
          <w:rFonts w:cs="Arial"/>
          <w:szCs w:val="22"/>
        </w:rPr>
        <w:t xml:space="preserve">where to </w:t>
      </w:r>
      <w:r w:rsidRPr="00710C8E">
        <w:rPr>
          <w:rFonts w:cs="Arial"/>
          <w:szCs w:val="22"/>
        </w:rPr>
        <w:t>identify collaboration opportunities and facilitate cross-theme funding of staff delivering high levels of efficiency and value for money.</w:t>
      </w:r>
    </w:p>
    <w:p w:rsidR="00D24E67" w:rsidRPr="00710C8E" w:rsidRDefault="00D24E67" w:rsidP="0017480B">
      <w:pPr>
        <w:pStyle w:val="ListParagraph"/>
        <w:numPr>
          <w:ilvl w:val="0"/>
          <w:numId w:val="9"/>
        </w:numPr>
        <w:spacing w:line="276" w:lineRule="auto"/>
        <w:ind w:left="426"/>
        <w:contextualSpacing/>
        <w:rPr>
          <w:rFonts w:cs="Arial"/>
          <w:szCs w:val="22"/>
        </w:rPr>
      </w:pPr>
      <w:r w:rsidRPr="00710C8E">
        <w:rPr>
          <w:rFonts w:cs="Arial"/>
          <w:szCs w:val="22"/>
        </w:rPr>
        <w:t xml:space="preserve">The BRC supported 156 studies in year 2 (83 in year 1), the submission of 23 (£11.6m) approved grants in year 2 (36 in year 1) and leveraged £15.8m of project funding in year 2 (£16,3m in year 1) as a result of the infrastructure and vision provided by the BRC </w:t>
      </w:r>
    </w:p>
    <w:p w:rsidR="00D24E67" w:rsidRPr="00710C8E" w:rsidRDefault="00D24E67" w:rsidP="0017480B">
      <w:pPr>
        <w:pStyle w:val="ListParagraph"/>
        <w:numPr>
          <w:ilvl w:val="0"/>
          <w:numId w:val="9"/>
        </w:numPr>
        <w:spacing w:line="276" w:lineRule="auto"/>
        <w:ind w:left="426" w:hanging="357"/>
        <w:contextualSpacing/>
        <w:rPr>
          <w:rFonts w:cs="Arial"/>
          <w:szCs w:val="22"/>
        </w:rPr>
      </w:pPr>
      <w:r w:rsidRPr="00710C8E">
        <w:rPr>
          <w:rFonts w:cs="Arial"/>
          <w:szCs w:val="22"/>
        </w:rPr>
        <w:t xml:space="preserve">The BRC has continued to support initiatives within the </w:t>
      </w:r>
      <w:r w:rsidRPr="00710C8E">
        <w:rPr>
          <w:rFonts w:cs="Arial"/>
          <w:b/>
          <w:szCs w:val="22"/>
        </w:rPr>
        <w:t xml:space="preserve">NIHR Oxford cognitive health CRF </w:t>
      </w:r>
      <w:r w:rsidRPr="00710C8E">
        <w:rPr>
          <w:rFonts w:cs="Arial"/>
          <w:szCs w:val="22"/>
        </w:rPr>
        <w:t xml:space="preserve">(CRF), including the development of </w:t>
      </w:r>
      <w:r w:rsidRPr="00710C8E">
        <w:rPr>
          <w:rFonts w:cs="Arial"/>
          <w:b/>
          <w:szCs w:val="22"/>
        </w:rPr>
        <w:t>Treatment Resistant Depression</w:t>
      </w:r>
      <w:r w:rsidRPr="00710C8E">
        <w:rPr>
          <w:rFonts w:cs="Arial"/>
          <w:szCs w:val="22"/>
        </w:rPr>
        <w:t xml:space="preserve"> (TRD) clinics to increase opportunities for patients to become involved in translational research</w:t>
      </w:r>
    </w:p>
    <w:p w:rsidR="00D24E67" w:rsidRPr="00710C8E" w:rsidRDefault="00D24E67" w:rsidP="0017480B">
      <w:pPr>
        <w:pStyle w:val="ListParagraph"/>
        <w:numPr>
          <w:ilvl w:val="0"/>
          <w:numId w:val="9"/>
        </w:numPr>
        <w:spacing w:line="276" w:lineRule="auto"/>
        <w:ind w:left="426" w:hanging="357"/>
        <w:contextualSpacing/>
        <w:rPr>
          <w:rFonts w:cs="Arial"/>
          <w:szCs w:val="22"/>
        </w:rPr>
      </w:pPr>
      <w:r w:rsidRPr="00710C8E">
        <w:rPr>
          <w:rFonts w:cs="Arial"/>
          <w:szCs w:val="22"/>
        </w:rPr>
        <w:t>The BRC has worked with the CRF to increase the services provided within the CRF to include IV infusions for experimental immunotherapy of psychosis</w:t>
      </w:r>
    </w:p>
    <w:p w:rsidR="00D24E67" w:rsidRPr="00710C8E" w:rsidRDefault="00D24E67" w:rsidP="0017480B">
      <w:pPr>
        <w:pStyle w:val="ListParagraph"/>
        <w:numPr>
          <w:ilvl w:val="0"/>
          <w:numId w:val="9"/>
        </w:numPr>
        <w:spacing w:line="276" w:lineRule="auto"/>
        <w:ind w:left="426" w:hanging="357"/>
        <w:contextualSpacing/>
        <w:rPr>
          <w:rFonts w:cs="Arial"/>
          <w:szCs w:val="22"/>
        </w:rPr>
      </w:pPr>
      <w:r w:rsidRPr="00710C8E">
        <w:rPr>
          <w:rFonts w:cs="Arial"/>
          <w:szCs w:val="22"/>
        </w:rPr>
        <w:t xml:space="preserve">The BRC Director has helped to create and is the deputy chair of the new </w:t>
      </w:r>
      <w:r w:rsidRPr="00710C8E">
        <w:rPr>
          <w:rFonts w:cs="Arial"/>
          <w:b/>
          <w:szCs w:val="22"/>
        </w:rPr>
        <w:t>Mental Health Translational Research Collaborative</w:t>
      </w:r>
      <w:r w:rsidRPr="00710C8E">
        <w:rPr>
          <w:rFonts w:cs="Arial"/>
          <w:szCs w:val="22"/>
        </w:rPr>
        <w:t xml:space="preserve"> (TRC) with the aim of which is to drive effective collaboration in experimental medicine across the UK via the NIHR BRC and CRF network and similar infrastructure in Wales and Scotland.  </w:t>
      </w:r>
    </w:p>
    <w:p w:rsidR="00D24E67" w:rsidRPr="00710C8E" w:rsidRDefault="00D24E67" w:rsidP="0017480B">
      <w:pPr>
        <w:pStyle w:val="ListParagraph"/>
        <w:numPr>
          <w:ilvl w:val="0"/>
          <w:numId w:val="9"/>
        </w:numPr>
        <w:spacing w:line="276" w:lineRule="auto"/>
        <w:ind w:left="426" w:hanging="357"/>
        <w:contextualSpacing/>
        <w:rPr>
          <w:rFonts w:cs="Arial"/>
          <w:szCs w:val="22"/>
        </w:rPr>
      </w:pPr>
      <w:r w:rsidRPr="00710C8E">
        <w:rPr>
          <w:rFonts w:cs="Arial"/>
          <w:szCs w:val="22"/>
        </w:rPr>
        <w:t xml:space="preserve">The BRC provided the project lead (Dr Michael Browning) for Treatment Resistant Depression as part of the </w:t>
      </w:r>
      <w:r w:rsidRPr="00710C8E">
        <w:rPr>
          <w:rFonts w:cs="Arial"/>
          <w:b/>
          <w:szCs w:val="22"/>
        </w:rPr>
        <w:t>Mental Health Translational Research Collaborative</w:t>
      </w:r>
      <w:r w:rsidRPr="00710C8E">
        <w:rPr>
          <w:rFonts w:cs="Arial"/>
          <w:szCs w:val="22"/>
        </w:rPr>
        <w:t xml:space="preserve"> (TRC) </w:t>
      </w:r>
    </w:p>
    <w:p w:rsidR="00D24E67" w:rsidRPr="00710C8E" w:rsidRDefault="00D24E67" w:rsidP="0017480B">
      <w:pPr>
        <w:pStyle w:val="ListParagraph"/>
        <w:numPr>
          <w:ilvl w:val="0"/>
          <w:numId w:val="9"/>
        </w:numPr>
        <w:spacing w:line="276" w:lineRule="auto"/>
        <w:ind w:left="426" w:hanging="357"/>
        <w:contextualSpacing/>
        <w:rPr>
          <w:rFonts w:cs="Arial"/>
          <w:szCs w:val="22"/>
        </w:rPr>
      </w:pPr>
      <w:r w:rsidRPr="00710C8E">
        <w:rPr>
          <w:rFonts w:cs="Arial"/>
          <w:szCs w:val="22"/>
        </w:rPr>
        <w:t xml:space="preserve">The BRC contributed to the Psychosis element of the </w:t>
      </w:r>
      <w:r w:rsidRPr="00710C8E">
        <w:rPr>
          <w:rFonts w:cs="Arial"/>
          <w:b/>
          <w:szCs w:val="22"/>
        </w:rPr>
        <w:t>Mental Health Translational Research Collaborative</w:t>
      </w:r>
      <w:r w:rsidRPr="00710C8E">
        <w:rPr>
          <w:rFonts w:cs="Arial"/>
          <w:szCs w:val="22"/>
        </w:rPr>
        <w:t xml:space="preserve"> (TRC) </w:t>
      </w:r>
    </w:p>
    <w:p w:rsidR="00D24E67" w:rsidRPr="00710C8E" w:rsidRDefault="00D24E67" w:rsidP="00D24E67">
      <w:pPr>
        <w:autoSpaceDE w:val="0"/>
        <w:autoSpaceDN w:val="0"/>
        <w:adjustRightInd w:val="0"/>
        <w:spacing w:line="276" w:lineRule="auto"/>
        <w:rPr>
          <w:rFonts w:cs="Arial"/>
          <w:b/>
          <w:szCs w:val="22"/>
          <w:lang w:eastAsia="en-GB"/>
        </w:rPr>
      </w:pPr>
      <w:r w:rsidRPr="00710C8E">
        <w:rPr>
          <w:rFonts w:cs="Arial"/>
          <w:b/>
          <w:szCs w:val="22"/>
          <w:lang w:eastAsia="en-GB"/>
        </w:rPr>
        <w:t>Longer term objectives</w:t>
      </w:r>
    </w:p>
    <w:p w:rsidR="00D24E67" w:rsidRPr="00710C8E" w:rsidRDefault="00D24E67" w:rsidP="00D24E67">
      <w:pPr>
        <w:autoSpaceDE w:val="0"/>
        <w:autoSpaceDN w:val="0"/>
        <w:adjustRightInd w:val="0"/>
        <w:spacing w:line="276" w:lineRule="auto"/>
        <w:rPr>
          <w:rFonts w:cs="Arial"/>
          <w:b/>
          <w:szCs w:val="22"/>
          <w:lang w:eastAsia="en-GB"/>
        </w:rPr>
      </w:pPr>
      <w:r w:rsidRPr="00710C8E">
        <w:rPr>
          <w:rFonts w:cs="Arial"/>
          <w:bCs/>
          <w:szCs w:val="22"/>
          <w:lang w:eastAsia="en-GB"/>
        </w:rPr>
        <w:t xml:space="preserve">Longer term objectives include realizing the vision of a Brain Health Centre on the Warneford site and </w:t>
      </w:r>
      <w:r w:rsidRPr="00710C8E">
        <w:rPr>
          <w:rFonts w:cs="Arial"/>
          <w:szCs w:val="22"/>
          <w:lang w:eastAsia="en-GB"/>
        </w:rPr>
        <w:t>w</w:t>
      </w:r>
      <w:r w:rsidRPr="00710C8E">
        <w:rPr>
          <w:rFonts w:cs="Arial"/>
          <w:szCs w:val="22"/>
        </w:rPr>
        <w:t>e have made significant progress towards the opening of the Brain Health Centre as a joint clinical-research service in Year 3.</w:t>
      </w:r>
    </w:p>
    <w:p w:rsidR="00D475F1" w:rsidRPr="006E6E1E" w:rsidRDefault="00D475F1" w:rsidP="00D475F1">
      <w:pPr>
        <w:pStyle w:val="Heading3"/>
      </w:pPr>
      <w:r w:rsidRPr="006E6E1E">
        <w:t>BRC Themes</w:t>
      </w:r>
    </w:p>
    <w:p w:rsidR="00D475F1" w:rsidRPr="001470DA" w:rsidRDefault="00D475F1" w:rsidP="00156856">
      <w:pPr>
        <w:pStyle w:val="Heading4"/>
        <w:numPr>
          <w:ilvl w:val="0"/>
          <w:numId w:val="0"/>
        </w:numPr>
        <w:ind w:left="864" w:hanging="864"/>
        <w:rPr>
          <w:b/>
          <w:sz w:val="24"/>
          <w:u w:val="none"/>
        </w:rPr>
      </w:pPr>
      <w:r w:rsidRPr="001470DA">
        <w:rPr>
          <w:b/>
          <w:sz w:val="24"/>
          <w:u w:val="none"/>
        </w:rPr>
        <w:t>Adult Mental Health: Innovation in Diagnosis and Treatment (</w:t>
      </w:r>
      <w:r w:rsidR="00102642" w:rsidRPr="001470DA">
        <w:rPr>
          <w:b/>
          <w:sz w:val="24"/>
          <w:u w:val="none"/>
        </w:rPr>
        <w:t xml:space="preserve">Theme </w:t>
      </w:r>
      <w:r w:rsidRPr="001470DA">
        <w:rPr>
          <w:b/>
          <w:sz w:val="24"/>
          <w:u w:val="none"/>
        </w:rPr>
        <w:t>Lead: Prof Paul Harrison)</w:t>
      </w:r>
    </w:p>
    <w:p w:rsidR="006E6E1E" w:rsidRPr="001470DA" w:rsidRDefault="006E6E1E" w:rsidP="006E6E1E">
      <w:pPr>
        <w:ind w:left="720" w:hanging="720"/>
        <w:rPr>
          <w:rFonts w:cs="Arial"/>
          <w:b/>
          <w:szCs w:val="22"/>
        </w:rPr>
      </w:pPr>
      <w:r w:rsidRPr="001470DA">
        <w:rPr>
          <w:rFonts w:cs="Arial"/>
          <w:b/>
          <w:szCs w:val="22"/>
        </w:rPr>
        <w:t>Progress against objectives</w:t>
      </w:r>
      <w:r w:rsidR="0089254A" w:rsidRPr="001470DA">
        <w:rPr>
          <w:rFonts w:cs="Arial"/>
          <w:b/>
          <w:szCs w:val="22"/>
        </w:rPr>
        <w:t>;</w:t>
      </w:r>
    </w:p>
    <w:p w:rsidR="0089254A" w:rsidRDefault="006E6E1E" w:rsidP="0089254A">
      <w:pPr>
        <w:spacing w:after="0"/>
        <w:ind w:left="352" w:hanging="284"/>
        <w:rPr>
          <w:rFonts w:cs="Arial"/>
          <w:szCs w:val="22"/>
        </w:rPr>
      </w:pPr>
      <w:r w:rsidRPr="00E53A71">
        <w:rPr>
          <w:rFonts w:cs="Arial"/>
          <w:szCs w:val="22"/>
        </w:rPr>
        <w:t>•</w:t>
      </w:r>
      <w:r w:rsidRPr="00E53A71">
        <w:rPr>
          <w:rFonts w:cs="Arial"/>
          <w:szCs w:val="22"/>
        </w:rPr>
        <w:tab/>
      </w:r>
      <w:r>
        <w:rPr>
          <w:rFonts w:cs="Arial"/>
          <w:szCs w:val="22"/>
        </w:rPr>
        <w:t>A</w:t>
      </w:r>
      <w:r w:rsidRPr="00E53A71">
        <w:rPr>
          <w:rFonts w:cs="Arial"/>
          <w:szCs w:val="22"/>
        </w:rPr>
        <w:t>dopted 8 new research studies (making a total of 30). Studies have received support in various forms, including ethics and R&amp;D applications, lab assays, tasks set-up and analysis, encapsulation, and neuroimaging data analysis;</w:t>
      </w:r>
    </w:p>
    <w:p w:rsidR="006E6E1E" w:rsidRPr="00E53A71" w:rsidRDefault="006E6E1E" w:rsidP="0089254A">
      <w:pPr>
        <w:spacing w:after="0"/>
        <w:ind w:left="352" w:hanging="284"/>
        <w:rPr>
          <w:rFonts w:cs="Arial"/>
          <w:szCs w:val="22"/>
        </w:rPr>
      </w:pPr>
      <w:r w:rsidRPr="00E53A71">
        <w:rPr>
          <w:rFonts w:cs="Arial"/>
          <w:szCs w:val="22"/>
        </w:rPr>
        <w:t>•</w:t>
      </w:r>
      <w:r w:rsidRPr="00E53A71">
        <w:rPr>
          <w:rFonts w:cs="Arial"/>
          <w:szCs w:val="22"/>
        </w:rPr>
        <w:tab/>
      </w:r>
      <w:r>
        <w:rPr>
          <w:rFonts w:cs="Arial"/>
          <w:szCs w:val="22"/>
        </w:rPr>
        <w:t>P</w:t>
      </w:r>
      <w:r w:rsidRPr="00E53A71">
        <w:rPr>
          <w:rFonts w:cs="Arial"/>
          <w:szCs w:val="22"/>
        </w:rPr>
        <w:t>rovided pilot funding for 2 new studies;</w:t>
      </w:r>
    </w:p>
    <w:p w:rsidR="006E6E1E" w:rsidRPr="00E53A71" w:rsidRDefault="006E6E1E" w:rsidP="0089254A">
      <w:pPr>
        <w:ind w:left="352" w:hanging="284"/>
        <w:rPr>
          <w:rFonts w:cs="Arial"/>
          <w:szCs w:val="22"/>
        </w:rPr>
      </w:pPr>
      <w:r w:rsidRPr="00E53A71">
        <w:rPr>
          <w:rFonts w:cs="Arial"/>
          <w:szCs w:val="22"/>
        </w:rPr>
        <w:lastRenderedPageBreak/>
        <w:t>•</w:t>
      </w:r>
      <w:r w:rsidRPr="00E53A71">
        <w:rPr>
          <w:rFonts w:cs="Arial"/>
          <w:szCs w:val="22"/>
        </w:rPr>
        <w:tab/>
      </w:r>
      <w:r>
        <w:rPr>
          <w:rFonts w:cs="Arial"/>
          <w:szCs w:val="22"/>
        </w:rPr>
        <w:t>P</w:t>
      </w:r>
      <w:r w:rsidRPr="00E53A71">
        <w:rPr>
          <w:rFonts w:cs="Arial"/>
          <w:szCs w:val="22"/>
        </w:rPr>
        <w:t>ublished 18 papers, including many in leading journals such as Lancet Psychiatry, Molecular Psychiatry and Biological Psychiatry;</w:t>
      </w:r>
    </w:p>
    <w:p w:rsidR="006E6E1E" w:rsidRPr="00E53A71" w:rsidRDefault="006E6E1E" w:rsidP="0089254A">
      <w:pPr>
        <w:ind w:left="352" w:hanging="284"/>
        <w:rPr>
          <w:rFonts w:cs="Arial"/>
          <w:szCs w:val="22"/>
        </w:rPr>
      </w:pPr>
      <w:r w:rsidRPr="00E53A71">
        <w:rPr>
          <w:rFonts w:cs="Arial"/>
          <w:szCs w:val="22"/>
        </w:rPr>
        <w:t>•</w:t>
      </w:r>
      <w:r w:rsidRPr="00E53A71">
        <w:rPr>
          <w:rFonts w:cs="Arial"/>
          <w:szCs w:val="22"/>
        </w:rPr>
        <w:tab/>
      </w:r>
      <w:r>
        <w:rPr>
          <w:rFonts w:cs="Arial"/>
          <w:szCs w:val="22"/>
        </w:rPr>
        <w:t>P</w:t>
      </w:r>
      <w:r w:rsidRPr="00E53A71">
        <w:rPr>
          <w:rFonts w:cs="Arial"/>
          <w:szCs w:val="22"/>
        </w:rPr>
        <w:t xml:space="preserve">roduced 3 new standard operating procedures (SOPs), making a total of 19 SOPs currently in place, with 3 additional SOPs in development; </w:t>
      </w:r>
    </w:p>
    <w:p w:rsidR="000D1C8A" w:rsidRDefault="006E6E1E" w:rsidP="0089254A">
      <w:pPr>
        <w:ind w:left="352" w:hanging="284"/>
        <w:rPr>
          <w:rFonts w:cs="Arial"/>
          <w:szCs w:val="22"/>
        </w:rPr>
      </w:pPr>
      <w:r w:rsidRPr="00E53A71">
        <w:rPr>
          <w:rFonts w:cs="Arial"/>
          <w:szCs w:val="22"/>
        </w:rPr>
        <w:t>•</w:t>
      </w:r>
      <w:r w:rsidRPr="00E53A71">
        <w:rPr>
          <w:rFonts w:cs="Arial"/>
          <w:szCs w:val="22"/>
        </w:rPr>
        <w:tab/>
        <w:t xml:space="preserve">Continued to work closely with the Patient and Public Involvement (PPI) theme: from all the OH BRC studies that have officially embedded PPI in their research, 40% (i.e. 12 studies out of 30) are from this theme; </w:t>
      </w:r>
    </w:p>
    <w:p w:rsidR="006E6E1E" w:rsidRPr="00E53A71" w:rsidRDefault="006E6E1E" w:rsidP="0089254A">
      <w:pPr>
        <w:ind w:left="352" w:hanging="284"/>
        <w:rPr>
          <w:rFonts w:cs="Arial"/>
          <w:szCs w:val="22"/>
        </w:rPr>
      </w:pPr>
      <w:r w:rsidRPr="00E53A71">
        <w:rPr>
          <w:rFonts w:cs="Arial"/>
          <w:szCs w:val="22"/>
        </w:rPr>
        <w:t>•</w:t>
      </w:r>
      <w:r w:rsidRPr="00E53A71">
        <w:rPr>
          <w:rFonts w:cs="Arial"/>
          <w:szCs w:val="22"/>
        </w:rPr>
        <w:tab/>
      </w:r>
      <w:r>
        <w:rPr>
          <w:rFonts w:cs="Arial"/>
          <w:szCs w:val="22"/>
        </w:rPr>
        <w:t>C</w:t>
      </w:r>
      <w:r w:rsidRPr="00E53A71">
        <w:rPr>
          <w:rFonts w:cs="Arial"/>
          <w:szCs w:val="22"/>
        </w:rPr>
        <w:t>ompleted our flagship ‘</w:t>
      </w:r>
      <w:proofErr w:type="spellStart"/>
      <w:r w:rsidRPr="00E53A71">
        <w:rPr>
          <w:rFonts w:cs="Arial"/>
          <w:szCs w:val="22"/>
        </w:rPr>
        <w:t>OxCAMS</w:t>
      </w:r>
      <w:proofErr w:type="spellEnd"/>
      <w:r w:rsidRPr="00E53A71">
        <w:rPr>
          <w:rFonts w:cs="Arial"/>
          <w:szCs w:val="22"/>
        </w:rPr>
        <w:t xml:space="preserve">’ experimental medicine study of a calcium channel blocker for mood instability, and are in the process of data analysis; </w:t>
      </w:r>
    </w:p>
    <w:p w:rsidR="006E6E1E" w:rsidRPr="00E53A71" w:rsidRDefault="006E6E1E" w:rsidP="0089254A">
      <w:pPr>
        <w:ind w:left="352" w:hanging="284"/>
        <w:rPr>
          <w:rFonts w:cs="Arial"/>
          <w:szCs w:val="22"/>
        </w:rPr>
      </w:pPr>
      <w:r w:rsidRPr="00E53A71">
        <w:rPr>
          <w:rFonts w:cs="Arial"/>
          <w:szCs w:val="22"/>
        </w:rPr>
        <w:t>•</w:t>
      </w:r>
      <w:r w:rsidRPr="00E53A71">
        <w:rPr>
          <w:rFonts w:cs="Arial"/>
          <w:szCs w:val="22"/>
        </w:rPr>
        <w:tab/>
      </w:r>
      <w:r>
        <w:rPr>
          <w:rFonts w:cs="Arial"/>
          <w:szCs w:val="22"/>
        </w:rPr>
        <w:t>M</w:t>
      </w:r>
      <w:r w:rsidRPr="00E53A71">
        <w:rPr>
          <w:rFonts w:cs="Arial"/>
          <w:szCs w:val="22"/>
        </w:rPr>
        <w:t xml:space="preserve">ade good progress on the underlying discovery science of calcium channels, with a major paper published in a top journal, and with an introductory piece on the BRC website; </w:t>
      </w:r>
    </w:p>
    <w:p w:rsidR="006E6E1E" w:rsidRPr="00E53A71" w:rsidRDefault="006E6E1E" w:rsidP="0089254A">
      <w:pPr>
        <w:ind w:left="352" w:hanging="284"/>
        <w:rPr>
          <w:rFonts w:cs="Arial"/>
          <w:szCs w:val="22"/>
        </w:rPr>
      </w:pPr>
      <w:r w:rsidRPr="00E53A71">
        <w:rPr>
          <w:rFonts w:cs="Arial"/>
          <w:szCs w:val="22"/>
        </w:rPr>
        <w:t>•</w:t>
      </w:r>
      <w:r w:rsidRPr="00E53A71">
        <w:rPr>
          <w:rFonts w:cs="Arial"/>
          <w:szCs w:val="22"/>
        </w:rPr>
        <w:tab/>
      </w:r>
      <w:r>
        <w:rPr>
          <w:rFonts w:cs="Arial"/>
          <w:szCs w:val="22"/>
        </w:rPr>
        <w:t>S</w:t>
      </w:r>
      <w:r w:rsidRPr="00E53A71">
        <w:rPr>
          <w:rFonts w:cs="Arial"/>
          <w:szCs w:val="22"/>
        </w:rPr>
        <w:t xml:space="preserve">upported a forthcoming international conference on the use of ketamine for depression, to be held in Oxford and led by Rupert McShane (an OH consultant psychiatrist, and part-funded by this BRC theme); </w:t>
      </w:r>
    </w:p>
    <w:p w:rsidR="006E6E1E" w:rsidRPr="00E53A71" w:rsidRDefault="006E6E1E" w:rsidP="0089254A">
      <w:pPr>
        <w:ind w:left="352" w:hanging="284"/>
        <w:rPr>
          <w:rFonts w:cs="Arial"/>
          <w:szCs w:val="22"/>
        </w:rPr>
      </w:pPr>
      <w:r w:rsidRPr="00E53A71">
        <w:rPr>
          <w:rFonts w:cs="Arial"/>
          <w:szCs w:val="22"/>
        </w:rPr>
        <w:t>•</w:t>
      </w:r>
      <w:r w:rsidRPr="00E53A71">
        <w:rPr>
          <w:rFonts w:cs="Arial"/>
          <w:szCs w:val="22"/>
        </w:rPr>
        <w:tab/>
      </w:r>
      <w:r>
        <w:rPr>
          <w:rFonts w:cs="Arial"/>
          <w:szCs w:val="22"/>
        </w:rPr>
        <w:t>C</w:t>
      </w:r>
      <w:r w:rsidRPr="00E53A71">
        <w:rPr>
          <w:rFonts w:cs="Arial"/>
          <w:szCs w:val="22"/>
        </w:rPr>
        <w:t xml:space="preserve">reated a research assistant post to work on existing theme-funded studies to facilitate data analysis and impact; </w:t>
      </w:r>
    </w:p>
    <w:p w:rsidR="006E6E1E" w:rsidRPr="00E53A71" w:rsidRDefault="006E6E1E" w:rsidP="0089254A">
      <w:pPr>
        <w:ind w:left="352" w:hanging="284"/>
        <w:rPr>
          <w:rFonts w:cs="Arial"/>
          <w:szCs w:val="22"/>
        </w:rPr>
      </w:pPr>
      <w:r w:rsidRPr="00E53A71">
        <w:rPr>
          <w:rFonts w:cs="Arial"/>
          <w:szCs w:val="22"/>
        </w:rPr>
        <w:t>•</w:t>
      </w:r>
      <w:r w:rsidRPr="00E53A71">
        <w:rPr>
          <w:rFonts w:cs="Arial"/>
          <w:szCs w:val="22"/>
        </w:rPr>
        <w:tab/>
      </w:r>
      <w:r>
        <w:rPr>
          <w:rFonts w:cs="Arial"/>
          <w:szCs w:val="22"/>
        </w:rPr>
        <w:t>A</w:t>
      </w:r>
      <w:r w:rsidRPr="00E53A71">
        <w:rPr>
          <w:rFonts w:cs="Arial"/>
          <w:szCs w:val="22"/>
        </w:rPr>
        <w:t xml:space="preserve">ppointed a replacement BRC lab manager, who works closely with all key staff within the BRC and the CRF. </w:t>
      </w:r>
    </w:p>
    <w:p w:rsidR="006E6E1E" w:rsidRPr="00E53A71" w:rsidRDefault="006E6E1E" w:rsidP="006E6E1E">
      <w:pPr>
        <w:ind w:left="720" w:hanging="720"/>
        <w:rPr>
          <w:rFonts w:cs="Arial"/>
          <w:b/>
          <w:szCs w:val="22"/>
        </w:rPr>
      </w:pPr>
      <w:r>
        <w:rPr>
          <w:rFonts w:cs="Arial"/>
          <w:b/>
          <w:szCs w:val="22"/>
        </w:rPr>
        <w:t>Plans for</w:t>
      </w:r>
      <w:r w:rsidRPr="00E53A71">
        <w:rPr>
          <w:rFonts w:cs="Arial"/>
          <w:b/>
          <w:szCs w:val="22"/>
        </w:rPr>
        <w:t xml:space="preserve"> the coming year</w:t>
      </w:r>
    </w:p>
    <w:p w:rsidR="006E6E1E" w:rsidRPr="0089254A" w:rsidRDefault="006E6E1E" w:rsidP="0089254A">
      <w:pPr>
        <w:autoSpaceDE w:val="0"/>
        <w:autoSpaceDN w:val="0"/>
        <w:adjustRightInd w:val="0"/>
        <w:spacing w:line="276" w:lineRule="auto"/>
        <w:rPr>
          <w:rFonts w:cs="Arial"/>
          <w:bCs/>
          <w:szCs w:val="22"/>
          <w:lang w:eastAsia="en-GB"/>
        </w:rPr>
      </w:pPr>
      <w:r w:rsidRPr="0089254A">
        <w:rPr>
          <w:rFonts w:cs="Arial"/>
          <w:bCs/>
          <w:szCs w:val="22"/>
          <w:lang w:eastAsia="en-GB"/>
        </w:rPr>
        <w:t xml:space="preserve">Our objectives for the remainder of the current BRC were revised as part of the mid-term review in October 2019, with a view to positioning ourselves for renewal. Reflecting these agreed changes, in the coming year: </w:t>
      </w:r>
    </w:p>
    <w:p w:rsidR="006E6E1E" w:rsidRPr="00E53A71" w:rsidRDefault="006E6E1E" w:rsidP="0089254A">
      <w:pPr>
        <w:ind w:left="352" w:hanging="284"/>
        <w:rPr>
          <w:rFonts w:cs="Arial"/>
          <w:szCs w:val="22"/>
        </w:rPr>
      </w:pPr>
      <w:r w:rsidRPr="00E53A71">
        <w:rPr>
          <w:rFonts w:cs="Arial"/>
          <w:szCs w:val="22"/>
        </w:rPr>
        <w:t>•</w:t>
      </w:r>
      <w:r w:rsidRPr="00E53A71">
        <w:rPr>
          <w:rFonts w:cs="Arial"/>
          <w:szCs w:val="22"/>
        </w:rPr>
        <w:tab/>
      </w:r>
      <w:r>
        <w:rPr>
          <w:rFonts w:cs="Arial"/>
          <w:szCs w:val="22"/>
        </w:rPr>
        <w:t>W</w:t>
      </w:r>
      <w:r w:rsidRPr="00E53A71">
        <w:rPr>
          <w:rFonts w:cs="Arial"/>
          <w:szCs w:val="22"/>
        </w:rPr>
        <w:t xml:space="preserve">e have created a research fellow post in psychiatric drug discovery; interviews are to be held next month. The theme will also interact closely with the Davys Chair in Neuroscience, which focuses on a similar area, and which is to be refilled in the coming months; </w:t>
      </w:r>
    </w:p>
    <w:p w:rsidR="006E6E1E" w:rsidRPr="00E53A71" w:rsidRDefault="006E6E1E" w:rsidP="0089254A">
      <w:pPr>
        <w:ind w:left="352" w:hanging="284"/>
        <w:rPr>
          <w:rFonts w:cs="Arial"/>
          <w:szCs w:val="22"/>
        </w:rPr>
      </w:pPr>
      <w:r w:rsidRPr="00E53A71">
        <w:rPr>
          <w:rFonts w:cs="Arial"/>
          <w:szCs w:val="22"/>
        </w:rPr>
        <w:t>•</w:t>
      </w:r>
      <w:r w:rsidRPr="00E53A71">
        <w:rPr>
          <w:rFonts w:cs="Arial"/>
          <w:szCs w:val="22"/>
        </w:rPr>
        <w:tab/>
      </w:r>
      <w:r>
        <w:rPr>
          <w:rFonts w:cs="Arial"/>
          <w:szCs w:val="22"/>
        </w:rPr>
        <w:t>W</w:t>
      </w:r>
      <w:r w:rsidRPr="00E53A71">
        <w:rPr>
          <w:rFonts w:cs="Arial"/>
          <w:szCs w:val="22"/>
        </w:rPr>
        <w:t>e will be convening and contributing to meetings on multi</w:t>
      </w:r>
      <w:r>
        <w:rPr>
          <w:rFonts w:cs="Arial"/>
          <w:szCs w:val="22"/>
        </w:rPr>
        <w:t>-</w:t>
      </w:r>
      <w:r w:rsidRPr="00E53A71">
        <w:rPr>
          <w:rFonts w:cs="Arial"/>
          <w:szCs w:val="22"/>
        </w:rPr>
        <w:t xml:space="preserve">morbidity, which will be a major priority of the next BRC; </w:t>
      </w:r>
    </w:p>
    <w:p w:rsidR="006E6E1E" w:rsidRPr="00E53A71" w:rsidRDefault="006E6E1E" w:rsidP="0089254A">
      <w:pPr>
        <w:ind w:left="352" w:hanging="284"/>
        <w:rPr>
          <w:rFonts w:cs="Arial"/>
          <w:szCs w:val="22"/>
        </w:rPr>
      </w:pPr>
      <w:r w:rsidRPr="00E53A71">
        <w:rPr>
          <w:rFonts w:cs="Arial"/>
          <w:szCs w:val="22"/>
        </w:rPr>
        <w:t>•</w:t>
      </w:r>
      <w:r w:rsidRPr="00E53A71">
        <w:rPr>
          <w:rFonts w:cs="Arial"/>
          <w:szCs w:val="22"/>
        </w:rPr>
        <w:tab/>
      </w:r>
      <w:r>
        <w:rPr>
          <w:rFonts w:cs="Arial"/>
          <w:szCs w:val="22"/>
        </w:rPr>
        <w:t>W</w:t>
      </w:r>
      <w:r w:rsidRPr="00E53A71">
        <w:rPr>
          <w:rFonts w:cs="Arial"/>
          <w:szCs w:val="22"/>
        </w:rPr>
        <w:t xml:space="preserve">e are supporting projects and staff after the end of the MRC Pathfinder grant, in collaboration with the Digital and Aging themes; this includes support for True Colours; </w:t>
      </w:r>
    </w:p>
    <w:p w:rsidR="006E6E1E" w:rsidRPr="00E53A71" w:rsidRDefault="006E6E1E" w:rsidP="0089254A">
      <w:pPr>
        <w:ind w:left="352" w:hanging="284"/>
        <w:rPr>
          <w:rFonts w:cs="Arial"/>
          <w:szCs w:val="22"/>
        </w:rPr>
      </w:pPr>
      <w:r w:rsidRPr="00E53A71">
        <w:rPr>
          <w:rFonts w:cs="Arial"/>
          <w:szCs w:val="22"/>
        </w:rPr>
        <w:t>•</w:t>
      </w:r>
      <w:r w:rsidRPr="00E53A71">
        <w:rPr>
          <w:rFonts w:cs="Arial"/>
          <w:szCs w:val="22"/>
        </w:rPr>
        <w:tab/>
      </w:r>
      <w:r>
        <w:rPr>
          <w:rFonts w:cs="Arial"/>
          <w:szCs w:val="22"/>
        </w:rPr>
        <w:t>W</w:t>
      </w:r>
      <w:r w:rsidRPr="00E53A71">
        <w:rPr>
          <w:rFonts w:cs="Arial"/>
          <w:szCs w:val="22"/>
        </w:rPr>
        <w:t xml:space="preserve">e will continue to contribute fully to the Translational Research Collaboration for Mental Health (TRC-MH), and co-fund the TRC-MH manager; </w:t>
      </w:r>
    </w:p>
    <w:p w:rsidR="006E6E1E" w:rsidRPr="00E53A71" w:rsidRDefault="006E6E1E" w:rsidP="0089254A">
      <w:pPr>
        <w:ind w:left="352" w:hanging="284"/>
        <w:rPr>
          <w:rFonts w:cs="Arial"/>
          <w:szCs w:val="22"/>
        </w:rPr>
      </w:pPr>
      <w:r w:rsidRPr="00E53A71">
        <w:rPr>
          <w:rFonts w:cs="Arial"/>
          <w:szCs w:val="22"/>
        </w:rPr>
        <w:t>•</w:t>
      </w:r>
      <w:r w:rsidRPr="00E53A71">
        <w:rPr>
          <w:rFonts w:cs="Arial"/>
          <w:szCs w:val="22"/>
        </w:rPr>
        <w:tab/>
      </w:r>
      <w:r>
        <w:rPr>
          <w:rFonts w:cs="Arial"/>
          <w:szCs w:val="22"/>
        </w:rPr>
        <w:t>O</w:t>
      </w:r>
      <w:r w:rsidRPr="00E53A71">
        <w:rPr>
          <w:rFonts w:cs="Arial"/>
          <w:szCs w:val="22"/>
        </w:rPr>
        <w:t xml:space="preserve">ur major new study is the NIHR EME-funded PAX-D clinical trial (of pramipexole for treatment-resistant depression), which is led from Oxford and is due to commence shortly. We will also be supporting PAX-BD (pramipexole for bipolar depression), with Oxford being one of the centres, and also due to start recruitment soon; </w:t>
      </w:r>
    </w:p>
    <w:p w:rsidR="006E6E1E" w:rsidRPr="00E53A71" w:rsidRDefault="006E6E1E" w:rsidP="0089254A">
      <w:pPr>
        <w:ind w:left="352" w:hanging="284"/>
        <w:rPr>
          <w:rFonts w:cs="Arial"/>
          <w:szCs w:val="22"/>
        </w:rPr>
      </w:pPr>
      <w:r w:rsidRPr="00E53A71">
        <w:rPr>
          <w:rFonts w:cs="Arial"/>
          <w:szCs w:val="22"/>
        </w:rPr>
        <w:t>•</w:t>
      </w:r>
      <w:r w:rsidRPr="00E53A71">
        <w:rPr>
          <w:rFonts w:cs="Arial"/>
          <w:szCs w:val="22"/>
        </w:rPr>
        <w:tab/>
      </w:r>
      <w:r>
        <w:rPr>
          <w:rFonts w:cs="Arial"/>
          <w:szCs w:val="22"/>
        </w:rPr>
        <w:t>T</w:t>
      </w:r>
      <w:r w:rsidRPr="00E53A71">
        <w:rPr>
          <w:rFonts w:cs="Arial"/>
          <w:szCs w:val="22"/>
        </w:rPr>
        <w:t xml:space="preserve">he Oxford Brain Health Centre has become a reality for patients with dementia (See Aging theme). We will explore how the concept and the practicalities can be extended to include aspects of adult mental health; </w:t>
      </w:r>
    </w:p>
    <w:p w:rsidR="006E6E1E" w:rsidRPr="00E53A71" w:rsidRDefault="006E6E1E" w:rsidP="0089254A">
      <w:pPr>
        <w:ind w:left="352" w:hanging="284"/>
        <w:rPr>
          <w:rFonts w:cs="Arial"/>
          <w:szCs w:val="22"/>
        </w:rPr>
      </w:pPr>
      <w:r w:rsidRPr="00E53A71">
        <w:rPr>
          <w:rFonts w:cs="Arial"/>
          <w:szCs w:val="22"/>
        </w:rPr>
        <w:t>•</w:t>
      </w:r>
      <w:r w:rsidRPr="00E53A71">
        <w:rPr>
          <w:rFonts w:cs="Arial"/>
          <w:szCs w:val="22"/>
        </w:rPr>
        <w:tab/>
      </w:r>
      <w:r>
        <w:rPr>
          <w:rFonts w:cs="Arial"/>
          <w:szCs w:val="22"/>
        </w:rPr>
        <w:t>W</w:t>
      </w:r>
      <w:r w:rsidRPr="00E53A71">
        <w:rPr>
          <w:rFonts w:cs="Arial"/>
          <w:szCs w:val="22"/>
        </w:rPr>
        <w:t xml:space="preserve">e hope to be part of anticipated large-scale initiatives on first-episode psychosis, building on the local expertise of the first episode service and the academic leadership of Professor Belinda Lennox. At present it is unclear how the funding opportunities will develop, but we will continue to be proactive in this important area;  </w:t>
      </w:r>
    </w:p>
    <w:p w:rsidR="006E6E1E" w:rsidRPr="00E53A71" w:rsidRDefault="006E6E1E" w:rsidP="0089254A">
      <w:pPr>
        <w:ind w:left="352" w:hanging="284"/>
        <w:rPr>
          <w:rFonts w:cs="Arial"/>
          <w:szCs w:val="22"/>
        </w:rPr>
      </w:pPr>
      <w:r w:rsidRPr="00E53A71">
        <w:rPr>
          <w:rFonts w:cs="Arial"/>
          <w:szCs w:val="22"/>
        </w:rPr>
        <w:t>•</w:t>
      </w:r>
      <w:r w:rsidRPr="00E53A71">
        <w:rPr>
          <w:rFonts w:cs="Arial"/>
          <w:szCs w:val="22"/>
        </w:rPr>
        <w:tab/>
      </w:r>
      <w:r>
        <w:rPr>
          <w:rFonts w:cs="Arial"/>
          <w:szCs w:val="22"/>
        </w:rPr>
        <w:t>W</w:t>
      </w:r>
      <w:r w:rsidRPr="00E53A71">
        <w:rPr>
          <w:rFonts w:cs="Arial"/>
          <w:szCs w:val="22"/>
        </w:rPr>
        <w:t>e will continue to work closely with, and hold regular meetings with, the Experimental Medicine and Digital themes, in addition to the broader Theme Leader meetings. Progress against objectives</w:t>
      </w:r>
    </w:p>
    <w:p w:rsidR="00D475F1" w:rsidRPr="001470DA" w:rsidRDefault="00D475F1" w:rsidP="00156856">
      <w:pPr>
        <w:pStyle w:val="Heading4"/>
        <w:numPr>
          <w:ilvl w:val="0"/>
          <w:numId w:val="0"/>
        </w:numPr>
        <w:ind w:left="864" w:hanging="864"/>
        <w:rPr>
          <w:b/>
          <w:sz w:val="24"/>
          <w:u w:val="none"/>
        </w:rPr>
      </w:pPr>
      <w:r w:rsidRPr="001470DA">
        <w:rPr>
          <w:b/>
          <w:sz w:val="24"/>
          <w:u w:val="none"/>
        </w:rPr>
        <w:lastRenderedPageBreak/>
        <w:t>Older adults and dementia (</w:t>
      </w:r>
      <w:r w:rsidR="00102642" w:rsidRPr="001470DA">
        <w:rPr>
          <w:b/>
          <w:sz w:val="24"/>
          <w:u w:val="none"/>
        </w:rPr>
        <w:t xml:space="preserve">Theme </w:t>
      </w:r>
      <w:r w:rsidRPr="001470DA">
        <w:rPr>
          <w:b/>
          <w:sz w:val="24"/>
          <w:u w:val="none"/>
        </w:rPr>
        <w:t xml:space="preserve">Lead: Professor Clare Mackay) </w:t>
      </w:r>
    </w:p>
    <w:p w:rsidR="006E6E1E" w:rsidRPr="001470DA" w:rsidRDefault="006E6E1E" w:rsidP="006E6E1E">
      <w:pPr>
        <w:ind w:left="720" w:hanging="720"/>
        <w:rPr>
          <w:rFonts w:cs="Arial"/>
          <w:b/>
          <w:szCs w:val="22"/>
        </w:rPr>
      </w:pPr>
      <w:r w:rsidRPr="001470DA">
        <w:rPr>
          <w:rFonts w:cs="Arial"/>
          <w:b/>
          <w:szCs w:val="22"/>
        </w:rPr>
        <w:t>Progress against objectives</w:t>
      </w:r>
      <w:r w:rsidR="0089254A" w:rsidRPr="001470DA">
        <w:rPr>
          <w:rFonts w:cs="Arial"/>
          <w:b/>
          <w:szCs w:val="22"/>
        </w:rPr>
        <w:t>;</w:t>
      </w:r>
    </w:p>
    <w:p w:rsidR="006E6E1E" w:rsidRPr="009344FF" w:rsidRDefault="006E6E1E" w:rsidP="006E6E1E">
      <w:pPr>
        <w:rPr>
          <w:rFonts w:cs="Arial"/>
          <w:b/>
          <w:szCs w:val="22"/>
        </w:rPr>
      </w:pPr>
      <w:r w:rsidRPr="009344FF">
        <w:rPr>
          <w:rFonts w:cs="Arial"/>
          <w:b/>
          <w:szCs w:val="22"/>
        </w:rPr>
        <w:t>Brain Health Centre:</w:t>
      </w:r>
    </w:p>
    <w:p w:rsidR="006E6E1E" w:rsidRPr="009344FF" w:rsidRDefault="006E6E1E" w:rsidP="006E6E1E">
      <w:pPr>
        <w:spacing w:before="0" w:after="0" w:line="276" w:lineRule="auto"/>
        <w:contextualSpacing/>
        <w:jc w:val="left"/>
        <w:rPr>
          <w:rFonts w:cs="Arial"/>
          <w:szCs w:val="22"/>
        </w:rPr>
      </w:pPr>
      <w:r w:rsidRPr="009344FF">
        <w:rPr>
          <w:rFonts w:cs="Arial"/>
          <w:szCs w:val="22"/>
        </w:rPr>
        <w:t>The pilot of our integrated clinical-research service for memory clinic patients is on track to start spring 2020. We have:</w:t>
      </w:r>
    </w:p>
    <w:p w:rsidR="006E6E1E" w:rsidRPr="009344FF" w:rsidRDefault="006E6E1E" w:rsidP="0017480B">
      <w:pPr>
        <w:numPr>
          <w:ilvl w:val="0"/>
          <w:numId w:val="23"/>
        </w:numPr>
        <w:spacing w:before="0" w:after="0" w:line="276" w:lineRule="auto"/>
        <w:ind w:left="428"/>
        <w:contextualSpacing/>
        <w:jc w:val="left"/>
        <w:rPr>
          <w:rFonts w:cs="Arial"/>
          <w:szCs w:val="22"/>
        </w:rPr>
      </w:pPr>
      <w:r w:rsidRPr="009344FF">
        <w:rPr>
          <w:rFonts w:cs="Arial"/>
          <w:szCs w:val="22"/>
        </w:rPr>
        <w:t>Developed a database to track the clinical pathway and provide an electronic case report form</w:t>
      </w:r>
    </w:p>
    <w:p w:rsidR="006E6E1E" w:rsidRPr="009344FF" w:rsidRDefault="006E6E1E" w:rsidP="0017480B">
      <w:pPr>
        <w:numPr>
          <w:ilvl w:val="0"/>
          <w:numId w:val="23"/>
        </w:numPr>
        <w:spacing w:before="0" w:after="0" w:line="276" w:lineRule="auto"/>
        <w:ind w:left="428"/>
        <w:contextualSpacing/>
        <w:jc w:val="left"/>
        <w:rPr>
          <w:rFonts w:cs="Arial"/>
          <w:szCs w:val="22"/>
        </w:rPr>
      </w:pPr>
      <w:r w:rsidRPr="009344FF">
        <w:rPr>
          <w:rFonts w:cs="Arial"/>
          <w:szCs w:val="22"/>
        </w:rPr>
        <w:t>Installed the clinical pathway database within the OH IT system</w:t>
      </w:r>
    </w:p>
    <w:p w:rsidR="006E6E1E" w:rsidRPr="009344FF" w:rsidRDefault="006E6E1E" w:rsidP="0017480B">
      <w:pPr>
        <w:numPr>
          <w:ilvl w:val="0"/>
          <w:numId w:val="23"/>
        </w:numPr>
        <w:spacing w:before="0" w:after="0" w:line="276" w:lineRule="auto"/>
        <w:ind w:left="428"/>
        <w:contextualSpacing/>
        <w:jc w:val="left"/>
        <w:rPr>
          <w:rFonts w:cs="Arial"/>
          <w:szCs w:val="22"/>
        </w:rPr>
      </w:pPr>
      <w:r w:rsidRPr="009344FF">
        <w:rPr>
          <w:rFonts w:cs="Arial"/>
          <w:szCs w:val="22"/>
        </w:rPr>
        <w:t>Developed the research database (within the University IT system) to manage research data and the registry of patients for recontact</w:t>
      </w:r>
    </w:p>
    <w:p w:rsidR="006E6E1E" w:rsidRPr="009344FF" w:rsidRDefault="006E6E1E" w:rsidP="0017480B">
      <w:pPr>
        <w:numPr>
          <w:ilvl w:val="0"/>
          <w:numId w:val="23"/>
        </w:numPr>
        <w:spacing w:before="0" w:after="0" w:line="276" w:lineRule="auto"/>
        <w:ind w:left="428"/>
        <w:contextualSpacing/>
        <w:jc w:val="left"/>
        <w:rPr>
          <w:rFonts w:cs="Arial"/>
          <w:szCs w:val="22"/>
        </w:rPr>
      </w:pPr>
      <w:r w:rsidRPr="009344FF">
        <w:rPr>
          <w:rFonts w:cs="Arial"/>
          <w:szCs w:val="22"/>
        </w:rPr>
        <w:t xml:space="preserve">Developed optimized assessments, including imaging, cognitive tests and questionnaires, with the Cognitive Neuroscience and Neuroimaging theme </w:t>
      </w:r>
    </w:p>
    <w:p w:rsidR="006E6E1E" w:rsidRPr="009344FF" w:rsidRDefault="006E6E1E" w:rsidP="0017480B">
      <w:pPr>
        <w:numPr>
          <w:ilvl w:val="0"/>
          <w:numId w:val="23"/>
        </w:numPr>
        <w:spacing w:before="0" w:after="0" w:line="276" w:lineRule="auto"/>
        <w:ind w:left="428"/>
        <w:contextualSpacing/>
        <w:jc w:val="left"/>
        <w:rPr>
          <w:rFonts w:cs="Arial"/>
          <w:szCs w:val="22"/>
        </w:rPr>
      </w:pPr>
      <w:r w:rsidRPr="009344FF">
        <w:rPr>
          <w:rFonts w:cs="Arial"/>
          <w:szCs w:val="22"/>
        </w:rPr>
        <w:t>Established the workflow for MR safety and reporting by OUH neuroradiology, including a standardized in-depth radiology report template</w:t>
      </w:r>
    </w:p>
    <w:p w:rsidR="006E6E1E" w:rsidRPr="009344FF" w:rsidRDefault="006E6E1E" w:rsidP="0017480B">
      <w:pPr>
        <w:numPr>
          <w:ilvl w:val="0"/>
          <w:numId w:val="23"/>
        </w:numPr>
        <w:spacing w:before="0" w:after="0" w:line="276" w:lineRule="auto"/>
        <w:ind w:left="428"/>
        <w:contextualSpacing/>
        <w:jc w:val="left"/>
        <w:rPr>
          <w:rFonts w:cs="Arial"/>
          <w:szCs w:val="22"/>
        </w:rPr>
      </w:pPr>
      <w:r w:rsidRPr="009344FF">
        <w:rPr>
          <w:rFonts w:cs="Arial"/>
          <w:szCs w:val="22"/>
        </w:rPr>
        <w:t>Submitted the ethical application and data access policies to set up the BHC research database and attended the REC meeting</w:t>
      </w:r>
    </w:p>
    <w:p w:rsidR="006E6E1E" w:rsidRPr="009344FF" w:rsidRDefault="006E6E1E" w:rsidP="0017480B">
      <w:pPr>
        <w:numPr>
          <w:ilvl w:val="0"/>
          <w:numId w:val="23"/>
        </w:numPr>
        <w:spacing w:before="0" w:after="0" w:line="276" w:lineRule="auto"/>
        <w:ind w:left="428"/>
        <w:contextualSpacing/>
        <w:jc w:val="left"/>
        <w:rPr>
          <w:rFonts w:cs="Arial"/>
          <w:szCs w:val="22"/>
        </w:rPr>
      </w:pPr>
      <w:r w:rsidRPr="009344FF">
        <w:rPr>
          <w:rFonts w:cs="Arial"/>
          <w:szCs w:val="22"/>
        </w:rPr>
        <w:t>Expanded the team by establishing an operational team that will run the BHC service, including clinical coordinators and clinical research assistants</w:t>
      </w:r>
    </w:p>
    <w:p w:rsidR="006E6E1E" w:rsidRPr="009344FF" w:rsidRDefault="006E6E1E" w:rsidP="0017480B">
      <w:pPr>
        <w:numPr>
          <w:ilvl w:val="0"/>
          <w:numId w:val="23"/>
        </w:numPr>
        <w:spacing w:before="0" w:after="0" w:line="276" w:lineRule="auto"/>
        <w:ind w:left="428"/>
        <w:contextualSpacing/>
        <w:jc w:val="left"/>
        <w:rPr>
          <w:rFonts w:cs="Arial"/>
          <w:szCs w:val="22"/>
        </w:rPr>
      </w:pPr>
      <w:r w:rsidRPr="009344FF">
        <w:rPr>
          <w:rFonts w:cs="Arial"/>
          <w:szCs w:val="22"/>
        </w:rPr>
        <w:t>Expanded the PPI advisory group (details below)</w:t>
      </w:r>
    </w:p>
    <w:p w:rsidR="006E6E1E" w:rsidRPr="009344FF" w:rsidRDefault="006E6E1E" w:rsidP="0017480B">
      <w:pPr>
        <w:numPr>
          <w:ilvl w:val="0"/>
          <w:numId w:val="23"/>
        </w:numPr>
        <w:spacing w:before="0" w:after="0" w:line="276" w:lineRule="auto"/>
        <w:ind w:left="428"/>
        <w:contextualSpacing/>
        <w:jc w:val="left"/>
        <w:rPr>
          <w:rFonts w:cs="Arial"/>
          <w:szCs w:val="22"/>
        </w:rPr>
      </w:pPr>
      <w:r w:rsidRPr="009344FF">
        <w:rPr>
          <w:rFonts w:cs="Arial"/>
          <w:szCs w:val="22"/>
        </w:rPr>
        <w:t>Provided training on the use and potential for MRI in the memory clinic, by presenting to Old Age Psychiatry CPD meetings and Older Adults Clinical Psychology teams</w:t>
      </w:r>
    </w:p>
    <w:p w:rsidR="006E6E1E" w:rsidRPr="009344FF" w:rsidRDefault="006E6E1E" w:rsidP="0017480B">
      <w:pPr>
        <w:numPr>
          <w:ilvl w:val="0"/>
          <w:numId w:val="23"/>
        </w:numPr>
        <w:spacing w:before="0" w:after="0" w:line="276" w:lineRule="auto"/>
        <w:ind w:left="428"/>
        <w:contextualSpacing/>
        <w:jc w:val="left"/>
        <w:rPr>
          <w:rFonts w:cs="Arial"/>
          <w:szCs w:val="22"/>
        </w:rPr>
      </w:pPr>
      <w:r w:rsidRPr="009344FF">
        <w:rPr>
          <w:rFonts w:cs="Arial"/>
          <w:szCs w:val="22"/>
        </w:rPr>
        <w:t>Launched the BHC website</w:t>
      </w:r>
    </w:p>
    <w:p w:rsidR="006E6E1E" w:rsidRPr="009344FF" w:rsidRDefault="006E6E1E" w:rsidP="006E6E1E">
      <w:pPr>
        <w:rPr>
          <w:rFonts w:cs="Arial"/>
          <w:b/>
          <w:szCs w:val="22"/>
        </w:rPr>
      </w:pPr>
      <w:r w:rsidRPr="009344FF">
        <w:rPr>
          <w:rFonts w:cs="Arial"/>
          <w:b/>
          <w:szCs w:val="22"/>
        </w:rPr>
        <w:t xml:space="preserve">Pharmacological interventions: </w:t>
      </w:r>
    </w:p>
    <w:p w:rsidR="006E6E1E" w:rsidRPr="009344FF" w:rsidRDefault="006E6E1E" w:rsidP="0017480B">
      <w:pPr>
        <w:numPr>
          <w:ilvl w:val="0"/>
          <w:numId w:val="10"/>
        </w:numPr>
        <w:spacing w:before="0" w:after="0" w:line="276" w:lineRule="auto"/>
        <w:ind w:left="428"/>
        <w:contextualSpacing/>
        <w:jc w:val="left"/>
        <w:rPr>
          <w:rFonts w:cs="Arial"/>
          <w:szCs w:val="22"/>
        </w:rPr>
      </w:pPr>
      <w:r w:rsidRPr="009344FF">
        <w:rPr>
          <w:rFonts w:cs="Arial"/>
          <w:szCs w:val="22"/>
        </w:rPr>
        <w:t xml:space="preserve">Follow-up assessment is ongoing for the PREVENT study and is nearing completion for the European Prevention of Alzheimer’s Disease (EPAD) study. </w:t>
      </w:r>
    </w:p>
    <w:p w:rsidR="006E6E1E" w:rsidRPr="009344FF" w:rsidRDefault="006E6E1E" w:rsidP="0017480B">
      <w:pPr>
        <w:numPr>
          <w:ilvl w:val="0"/>
          <w:numId w:val="10"/>
        </w:numPr>
        <w:spacing w:before="0" w:after="0" w:line="276" w:lineRule="auto"/>
        <w:ind w:left="428"/>
        <w:contextualSpacing/>
        <w:jc w:val="left"/>
        <w:rPr>
          <w:rFonts w:cs="Arial"/>
          <w:szCs w:val="22"/>
        </w:rPr>
      </w:pPr>
      <w:r w:rsidRPr="009344FF">
        <w:rPr>
          <w:rFonts w:cs="Arial"/>
          <w:szCs w:val="22"/>
        </w:rPr>
        <w:t xml:space="preserve">The Deep and Frequent Phenotyping (DFP) study has screened its first participants, who will be recruited to the year-long study </w:t>
      </w:r>
    </w:p>
    <w:p w:rsidR="006E6E1E" w:rsidRPr="009344FF" w:rsidRDefault="006E6E1E" w:rsidP="0017480B">
      <w:pPr>
        <w:numPr>
          <w:ilvl w:val="0"/>
          <w:numId w:val="10"/>
        </w:numPr>
        <w:spacing w:before="0" w:after="0" w:line="276" w:lineRule="auto"/>
        <w:ind w:left="428"/>
        <w:contextualSpacing/>
        <w:jc w:val="left"/>
        <w:rPr>
          <w:rFonts w:cs="Arial"/>
          <w:szCs w:val="22"/>
        </w:rPr>
      </w:pPr>
      <w:r w:rsidRPr="009344FF">
        <w:rPr>
          <w:rFonts w:cs="Arial"/>
          <w:szCs w:val="22"/>
        </w:rPr>
        <w:t xml:space="preserve">The Dementias Platform UK (DPUK) celebrated it’s 5-year anniversary, and hosted a number of </w:t>
      </w:r>
      <w:proofErr w:type="spellStart"/>
      <w:r w:rsidRPr="009344FF">
        <w:rPr>
          <w:rFonts w:cs="Arial"/>
          <w:szCs w:val="22"/>
        </w:rPr>
        <w:t>datathons</w:t>
      </w:r>
      <w:proofErr w:type="spellEnd"/>
      <w:r w:rsidRPr="009344FF">
        <w:rPr>
          <w:rFonts w:cs="Arial"/>
          <w:szCs w:val="22"/>
        </w:rPr>
        <w:t xml:space="preserve"> across the UK </w:t>
      </w:r>
    </w:p>
    <w:p w:rsidR="006E6E1E" w:rsidRPr="009344FF" w:rsidRDefault="006E6E1E" w:rsidP="0017480B">
      <w:pPr>
        <w:numPr>
          <w:ilvl w:val="0"/>
          <w:numId w:val="10"/>
        </w:numPr>
        <w:spacing w:before="0" w:after="0" w:line="276" w:lineRule="auto"/>
        <w:ind w:left="428"/>
        <w:contextualSpacing/>
        <w:jc w:val="left"/>
        <w:rPr>
          <w:rFonts w:cs="Arial"/>
          <w:szCs w:val="22"/>
        </w:rPr>
      </w:pPr>
      <w:r w:rsidRPr="009344FF">
        <w:rPr>
          <w:rFonts w:cs="Arial"/>
          <w:szCs w:val="22"/>
        </w:rPr>
        <w:t xml:space="preserve">Several new large-scale projects are currently being set up, including a DPUK funded study of Tau PET and the ‘Brain </w:t>
      </w:r>
      <w:proofErr w:type="spellStart"/>
      <w:r w:rsidRPr="009344FF">
        <w:rPr>
          <w:rFonts w:cs="Arial"/>
          <w:szCs w:val="22"/>
        </w:rPr>
        <w:t>Helath</w:t>
      </w:r>
      <w:proofErr w:type="spellEnd"/>
      <w:r w:rsidRPr="009344FF">
        <w:rPr>
          <w:rFonts w:cs="Arial"/>
          <w:szCs w:val="22"/>
        </w:rPr>
        <w:t xml:space="preserve"> through Action on Insulin resistance’ ‘Amyloid Imaging in PREVENT’ (AIP), (sub-set of the PREVENT participants to undergo PET-CT), and ‘Microglial CSF1R in Alzheimer’s Disease’ (MICAD), - an RCT to </w:t>
      </w:r>
      <w:proofErr w:type="spellStart"/>
      <w:r w:rsidRPr="009344FF">
        <w:rPr>
          <w:rFonts w:cs="Arial"/>
          <w:szCs w:val="22"/>
        </w:rPr>
        <w:t>characterise</w:t>
      </w:r>
      <w:proofErr w:type="spellEnd"/>
      <w:r w:rsidRPr="009344FF">
        <w:rPr>
          <w:rFonts w:cs="Arial"/>
          <w:szCs w:val="22"/>
        </w:rPr>
        <w:t xml:space="preserve"> the biomarker effects of a CSF-1 receptor agonist in participants with MCI.</w:t>
      </w:r>
    </w:p>
    <w:p w:rsidR="006E6E1E" w:rsidRPr="009344FF" w:rsidRDefault="006E6E1E" w:rsidP="006E6E1E">
      <w:pPr>
        <w:rPr>
          <w:rFonts w:cs="Arial"/>
          <w:b/>
          <w:szCs w:val="22"/>
        </w:rPr>
      </w:pPr>
      <w:r w:rsidRPr="009344FF">
        <w:rPr>
          <w:rFonts w:cs="Arial"/>
          <w:b/>
          <w:szCs w:val="22"/>
        </w:rPr>
        <w:t>Non-pharmacological interventions:</w:t>
      </w:r>
    </w:p>
    <w:p w:rsidR="006E6E1E" w:rsidRPr="009344FF" w:rsidRDefault="006E6E1E" w:rsidP="0017480B">
      <w:pPr>
        <w:numPr>
          <w:ilvl w:val="0"/>
          <w:numId w:val="11"/>
        </w:numPr>
        <w:spacing w:before="100" w:after="0" w:line="276" w:lineRule="auto"/>
        <w:ind w:left="428"/>
        <w:jc w:val="left"/>
        <w:rPr>
          <w:rFonts w:cs="Arial"/>
          <w:szCs w:val="22"/>
        </w:rPr>
      </w:pPr>
      <w:r w:rsidRPr="009344FF">
        <w:rPr>
          <w:rFonts w:cs="Arial"/>
          <w:szCs w:val="22"/>
        </w:rPr>
        <w:t xml:space="preserve">Data collection is now completed for the </w:t>
      </w:r>
      <w:proofErr w:type="spellStart"/>
      <w:r w:rsidRPr="009344FF">
        <w:rPr>
          <w:rFonts w:cs="Arial"/>
          <w:szCs w:val="22"/>
        </w:rPr>
        <w:t>REtirement</w:t>
      </w:r>
      <w:proofErr w:type="spellEnd"/>
      <w:r w:rsidRPr="009344FF">
        <w:rPr>
          <w:rFonts w:cs="Arial"/>
          <w:szCs w:val="22"/>
        </w:rPr>
        <w:t xml:space="preserve"> in </w:t>
      </w:r>
      <w:proofErr w:type="spellStart"/>
      <w:r w:rsidRPr="009344FF">
        <w:rPr>
          <w:rFonts w:cs="Arial"/>
          <w:szCs w:val="22"/>
        </w:rPr>
        <w:t>ACTion</w:t>
      </w:r>
      <w:proofErr w:type="spellEnd"/>
      <w:r w:rsidRPr="009344FF">
        <w:rPr>
          <w:rFonts w:cs="Arial"/>
          <w:szCs w:val="22"/>
        </w:rPr>
        <w:t xml:space="preserve"> (REACT) MRI sub-study, with results under embargo until completion of the full trial. The DISCO study produced significant improvements in sleep and subjective cognitive functioning following online CBT for insomnia (paper in preparation).  </w:t>
      </w:r>
    </w:p>
    <w:p w:rsidR="006E6E1E" w:rsidRPr="009344FF" w:rsidRDefault="006E6E1E" w:rsidP="0017480B">
      <w:pPr>
        <w:numPr>
          <w:ilvl w:val="0"/>
          <w:numId w:val="11"/>
        </w:numPr>
        <w:spacing w:before="0" w:after="0" w:line="276" w:lineRule="auto"/>
        <w:ind w:left="428"/>
        <w:contextualSpacing/>
        <w:jc w:val="left"/>
        <w:rPr>
          <w:rFonts w:cs="Arial"/>
          <w:szCs w:val="22"/>
        </w:rPr>
      </w:pPr>
      <w:r w:rsidRPr="009344FF">
        <w:rPr>
          <w:rFonts w:cs="Arial"/>
          <w:szCs w:val="22"/>
        </w:rPr>
        <w:t xml:space="preserve">The </w:t>
      </w:r>
      <w:proofErr w:type="spellStart"/>
      <w:r w:rsidRPr="009344FF">
        <w:rPr>
          <w:rFonts w:cs="Arial"/>
          <w:szCs w:val="22"/>
        </w:rPr>
        <w:t>LifeBrain</w:t>
      </w:r>
      <w:proofErr w:type="spellEnd"/>
      <w:r w:rsidRPr="009344FF">
        <w:rPr>
          <w:rFonts w:cs="Arial"/>
          <w:szCs w:val="22"/>
        </w:rPr>
        <w:t xml:space="preserve"> consortium’s qualitative assessment of adults understanding of concepts of brain health and preventative adoption of lifestyle changes has now led to the international ‘Global Brain Health Survey’</w:t>
      </w:r>
    </w:p>
    <w:p w:rsidR="006E6E1E" w:rsidRPr="009344FF" w:rsidRDefault="006E6E1E" w:rsidP="0017480B">
      <w:pPr>
        <w:numPr>
          <w:ilvl w:val="0"/>
          <w:numId w:val="11"/>
        </w:numPr>
        <w:spacing w:before="0" w:after="0" w:line="276" w:lineRule="auto"/>
        <w:ind w:left="428"/>
        <w:contextualSpacing/>
        <w:jc w:val="left"/>
        <w:rPr>
          <w:rFonts w:cs="Arial"/>
          <w:szCs w:val="22"/>
        </w:rPr>
      </w:pPr>
      <w:r w:rsidRPr="009344FF">
        <w:rPr>
          <w:rFonts w:cs="Arial"/>
          <w:szCs w:val="22"/>
        </w:rPr>
        <w:lastRenderedPageBreak/>
        <w:t>A number of studies in preparation last year have now opened recruitment, including the Heart-Brain study and the Mobile Technologies for Assessment of Cognition (MTAC) PREVENT sub-study</w:t>
      </w:r>
    </w:p>
    <w:p w:rsidR="006E6E1E" w:rsidRPr="009344FF" w:rsidRDefault="006E6E1E" w:rsidP="0017480B">
      <w:pPr>
        <w:numPr>
          <w:ilvl w:val="0"/>
          <w:numId w:val="11"/>
        </w:numPr>
        <w:spacing w:before="0" w:after="0" w:line="276" w:lineRule="auto"/>
        <w:ind w:left="428"/>
        <w:contextualSpacing/>
        <w:jc w:val="left"/>
        <w:rPr>
          <w:rFonts w:cs="Arial"/>
          <w:szCs w:val="22"/>
        </w:rPr>
      </w:pPr>
      <w:r w:rsidRPr="009344FF">
        <w:rPr>
          <w:rFonts w:cs="Arial"/>
          <w:szCs w:val="22"/>
        </w:rPr>
        <w:t xml:space="preserve">Several new projects investigating modifiable factors on later life brain health are in preparation, including a PREVENT sub-study looking at entorhinal cortex and hippocampal circuit in relation to spatial navigation and dementia risk.  </w:t>
      </w:r>
    </w:p>
    <w:p w:rsidR="006E6E1E" w:rsidRPr="009344FF" w:rsidRDefault="006E6E1E" w:rsidP="006E6E1E">
      <w:pPr>
        <w:rPr>
          <w:rFonts w:cs="Arial"/>
          <w:b/>
          <w:szCs w:val="22"/>
        </w:rPr>
      </w:pPr>
      <w:r w:rsidRPr="009344FF">
        <w:rPr>
          <w:rFonts w:cs="Arial"/>
          <w:b/>
          <w:szCs w:val="22"/>
        </w:rPr>
        <w:t>Patient and Public Involvement (PPI; further details in PPIE section of report):</w:t>
      </w:r>
    </w:p>
    <w:p w:rsidR="006E6E1E" w:rsidRPr="009344FF" w:rsidRDefault="006E6E1E" w:rsidP="0017480B">
      <w:pPr>
        <w:numPr>
          <w:ilvl w:val="0"/>
          <w:numId w:val="12"/>
        </w:numPr>
        <w:shd w:val="clear" w:color="auto" w:fill="FFFFFF"/>
        <w:spacing w:before="0" w:after="0" w:line="276" w:lineRule="auto"/>
        <w:ind w:left="428"/>
        <w:contextualSpacing/>
        <w:jc w:val="left"/>
        <w:rPr>
          <w:rFonts w:cs="Arial"/>
          <w:szCs w:val="22"/>
        </w:rPr>
      </w:pPr>
      <w:r w:rsidRPr="009344FF">
        <w:rPr>
          <w:rFonts w:cs="Arial"/>
          <w:szCs w:val="22"/>
        </w:rPr>
        <w:t xml:space="preserve">The BHC has continued to develop its PPI advisory panel, adding patients and relatives that have been through the current OH memory clinic service to the group of people living with dementia, </w:t>
      </w:r>
      <w:proofErr w:type="spellStart"/>
      <w:r w:rsidRPr="009344FF">
        <w:rPr>
          <w:rFonts w:cs="Arial"/>
          <w:szCs w:val="22"/>
        </w:rPr>
        <w:t>carers</w:t>
      </w:r>
      <w:proofErr w:type="spellEnd"/>
      <w:r w:rsidRPr="009344FF">
        <w:rPr>
          <w:rFonts w:cs="Arial"/>
          <w:szCs w:val="22"/>
        </w:rPr>
        <w:t xml:space="preserve"> and interested members of the public. In 2019-20, the BHC advisory panel contributed to a grant application, provided feedback on BHC appointment letters and information sheets, and taken part in ‘dry runs’ to provide feedback on the BHC patient journey. The BHC advisory group also co-developed a poster about PPI and the BHC, which was presented at the Alzheimer’s Society conference in May 2019</w:t>
      </w:r>
    </w:p>
    <w:p w:rsidR="006E6E1E" w:rsidRPr="009344FF" w:rsidRDefault="006E6E1E" w:rsidP="0017480B">
      <w:pPr>
        <w:numPr>
          <w:ilvl w:val="0"/>
          <w:numId w:val="12"/>
        </w:numPr>
        <w:spacing w:line="276" w:lineRule="auto"/>
        <w:ind w:left="428"/>
        <w:rPr>
          <w:rFonts w:cs="Arial"/>
          <w:b/>
          <w:bCs/>
          <w:sz w:val="20"/>
          <w:szCs w:val="20"/>
        </w:rPr>
      </w:pPr>
      <w:r w:rsidRPr="009344FF">
        <w:rPr>
          <w:rFonts w:cs="Arial"/>
          <w:szCs w:val="22"/>
        </w:rPr>
        <w:t xml:space="preserve">The Friends of </w:t>
      </w:r>
      <w:proofErr w:type="spellStart"/>
      <w:r w:rsidRPr="009344FF">
        <w:rPr>
          <w:rFonts w:cs="Arial"/>
          <w:szCs w:val="22"/>
        </w:rPr>
        <w:t>OxDARE</w:t>
      </w:r>
      <w:proofErr w:type="spellEnd"/>
      <w:r w:rsidRPr="009344FF">
        <w:rPr>
          <w:rFonts w:cs="Arial"/>
          <w:szCs w:val="22"/>
        </w:rPr>
        <w:t xml:space="preserve"> (Oxford Ageing and Dementia Research) registry continues to support ongoing research studies in this and other BRC themes</w:t>
      </w:r>
      <w:r w:rsidRPr="009344FF">
        <w:rPr>
          <w:rFonts w:cs="Arial"/>
          <w:sz w:val="20"/>
          <w:szCs w:val="20"/>
        </w:rPr>
        <w:t xml:space="preserve">, and the team recently won the Department of Psychiatry’s public engagement award. </w:t>
      </w:r>
    </w:p>
    <w:p w:rsidR="00D475F1" w:rsidRPr="001470DA" w:rsidRDefault="00D475F1" w:rsidP="00156856">
      <w:pPr>
        <w:pStyle w:val="Heading4"/>
        <w:numPr>
          <w:ilvl w:val="0"/>
          <w:numId w:val="0"/>
        </w:numPr>
        <w:ind w:left="864" w:hanging="864"/>
        <w:rPr>
          <w:b/>
          <w:sz w:val="24"/>
          <w:u w:val="none"/>
        </w:rPr>
      </w:pPr>
      <w:r w:rsidRPr="001470DA">
        <w:rPr>
          <w:b/>
          <w:sz w:val="24"/>
          <w:u w:val="none"/>
        </w:rPr>
        <w:t>Precision Psychological Treatments (</w:t>
      </w:r>
      <w:r w:rsidR="00102642" w:rsidRPr="001470DA">
        <w:rPr>
          <w:b/>
          <w:sz w:val="24"/>
          <w:u w:val="none"/>
        </w:rPr>
        <w:t xml:space="preserve">Theme </w:t>
      </w:r>
      <w:r w:rsidRPr="001470DA">
        <w:rPr>
          <w:b/>
          <w:sz w:val="24"/>
          <w:u w:val="none"/>
        </w:rPr>
        <w:t xml:space="preserve">Lead: Professor </w:t>
      </w:r>
      <w:proofErr w:type="spellStart"/>
      <w:r w:rsidRPr="001470DA">
        <w:rPr>
          <w:b/>
          <w:sz w:val="24"/>
          <w:u w:val="none"/>
        </w:rPr>
        <w:t>Anke</w:t>
      </w:r>
      <w:proofErr w:type="spellEnd"/>
      <w:r w:rsidRPr="001470DA">
        <w:rPr>
          <w:b/>
          <w:sz w:val="24"/>
          <w:u w:val="none"/>
        </w:rPr>
        <w:t xml:space="preserve"> Ehlers) </w:t>
      </w:r>
    </w:p>
    <w:p w:rsidR="00EE2606" w:rsidRPr="001470DA" w:rsidRDefault="00EE2606" w:rsidP="00EE2606">
      <w:pPr>
        <w:tabs>
          <w:tab w:val="left" w:pos="360"/>
        </w:tabs>
        <w:spacing w:line="276" w:lineRule="auto"/>
        <w:ind w:left="720" w:hanging="720"/>
        <w:rPr>
          <w:rFonts w:ascii="Arial" w:hAnsi="Arial" w:cs="Arial"/>
          <w:b/>
          <w:bCs/>
          <w:color w:val="000000" w:themeColor="text1"/>
          <w:szCs w:val="22"/>
          <w:lang w:val="en-GB"/>
        </w:rPr>
      </w:pPr>
      <w:r w:rsidRPr="001470DA">
        <w:rPr>
          <w:rFonts w:cs="Arial"/>
          <w:b/>
          <w:bCs/>
          <w:color w:val="000000" w:themeColor="text1"/>
          <w:szCs w:val="22"/>
        </w:rPr>
        <w:t>Progress against objectives</w:t>
      </w:r>
    </w:p>
    <w:p w:rsidR="00EE2606" w:rsidRPr="009E13C5" w:rsidRDefault="00EE2606" w:rsidP="00EE2606">
      <w:pPr>
        <w:autoSpaceDE w:val="0"/>
        <w:autoSpaceDN w:val="0"/>
        <w:adjustRightInd w:val="0"/>
        <w:spacing w:line="276" w:lineRule="auto"/>
        <w:rPr>
          <w:rFonts w:cs="Arial"/>
          <w:b/>
          <w:color w:val="000000" w:themeColor="text1"/>
          <w:szCs w:val="22"/>
        </w:rPr>
      </w:pPr>
      <w:r w:rsidRPr="009E13C5">
        <w:rPr>
          <w:rFonts w:cs="Arial"/>
          <w:b/>
          <w:color w:val="000000" w:themeColor="text1"/>
          <w:szCs w:val="22"/>
        </w:rPr>
        <w:t>Virtual reality (VR) lab and digital platform for psychological therapies</w:t>
      </w:r>
    </w:p>
    <w:p w:rsidR="00EE2606" w:rsidRPr="009E13C5" w:rsidRDefault="00EE2606" w:rsidP="0017480B">
      <w:pPr>
        <w:numPr>
          <w:ilvl w:val="0"/>
          <w:numId w:val="13"/>
        </w:numPr>
        <w:autoSpaceDE w:val="0"/>
        <w:autoSpaceDN w:val="0"/>
        <w:adjustRightInd w:val="0"/>
        <w:spacing w:before="240" w:after="240" w:line="276" w:lineRule="auto"/>
        <w:ind w:left="428"/>
        <w:contextualSpacing/>
        <w:rPr>
          <w:rFonts w:cs="Arial"/>
          <w:b/>
          <w:color w:val="000000" w:themeColor="text1"/>
          <w:szCs w:val="22"/>
        </w:rPr>
      </w:pPr>
      <w:r w:rsidRPr="009E13C5">
        <w:rPr>
          <w:rFonts w:cs="Arial"/>
          <w:color w:val="000000" w:themeColor="text1"/>
          <w:szCs w:val="22"/>
        </w:rPr>
        <w:t xml:space="preserve">The BRC-funded </w:t>
      </w:r>
      <w:r w:rsidRPr="009E13C5">
        <w:rPr>
          <w:rFonts w:cs="Arial"/>
          <w:b/>
          <w:color w:val="000000" w:themeColor="text1"/>
          <w:szCs w:val="22"/>
        </w:rPr>
        <w:t>virtual reality</w:t>
      </w:r>
      <w:r w:rsidRPr="009E13C5">
        <w:rPr>
          <w:rFonts w:cs="Arial"/>
          <w:color w:val="000000" w:themeColor="text1"/>
          <w:szCs w:val="22"/>
        </w:rPr>
        <w:t xml:space="preserve"> Laboratory (Dr. </w:t>
      </w:r>
      <w:proofErr w:type="spellStart"/>
      <w:r w:rsidRPr="009E13C5">
        <w:rPr>
          <w:rFonts w:cs="Arial"/>
          <w:color w:val="000000" w:themeColor="text1"/>
          <w:szCs w:val="22"/>
        </w:rPr>
        <w:t>Avitor</w:t>
      </w:r>
      <w:proofErr w:type="spellEnd"/>
      <w:r w:rsidRPr="009E13C5">
        <w:rPr>
          <w:rFonts w:cs="Arial"/>
          <w:color w:val="000000" w:themeColor="text1"/>
          <w:szCs w:val="22"/>
        </w:rPr>
        <w:t xml:space="preserve"> </w:t>
      </w:r>
      <w:proofErr w:type="spellStart"/>
      <w:r w:rsidRPr="009E13C5">
        <w:rPr>
          <w:rFonts w:cs="Arial"/>
          <w:color w:val="000000" w:themeColor="text1"/>
          <w:szCs w:val="22"/>
        </w:rPr>
        <w:t>Rovira</w:t>
      </w:r>
      <w:proofErr w:type="spellEnd"/>
      <w:r w:rsidRPr="009E13C5">
        <w:rPr>
          <w:rFonts w:cs="Arial"/>
          <w:color w:val="000000" w:themeColor="text1"/>
          <w:szCs w:val="22"/>
        </w:rPr>
        <w:t xml:space="preserve">) facilitates the use of VR in the treatment of psychological problems. Current projects include Freeman’s work on VR in paranoia, Stein’s work on parental training, Stein and Bowes’ work on bullying, and Murphy’s work on binge eating. </w:t>
      </w:r>
    </w:p>
    <w:p w:rsidR="00EE2606" w:rsidRPr="009E13C5" w:rsidRDefault="00EE2606" w:rsidP="0017480B">
      <w:pPr>
        <w:numPr>
          <w:ilvl w:val="0"/>
          <w:numId w:val="13"/>
        </w:numPr>
        <w:autoSpaceDE w:val="0"/>
        <w:autoSpaceDN w:val="0"/>
        <w:adjustRightInd w:val="0"/>
        <w:spacing w:before="240" w:after="240" w:line="276" w:lineRule="auto"/>
        <w:ind w:left="428"/>
        <w:contextualSpacing/>
        <w:rPr>
          <w:rFonts w:cs="Arial"/>
          <w:b/>
          <w:color w:val="000000" w:themeColor="text1"/>
          <w:szCs w:val="22"/>
        </w:rPr>
      </w:pPr>
      <w:r w:rsidRPr="009E13C5">
        <w:rPr>
          <w:rFonts w:cs="Arial"/>
          <w:color w:val="000000" w:themeColor="text1"/>
          <w:szCs w:val="22"/>
        </w:rPr>
        <w:t xml:space="preserve">Recruitment of a web developer for the </w:t>
      </w:r>
      <w:r w:rsidRPr="009E13C5">
        <w:rPr>
          <w:rFonts w:cs="Arial"/>
          <w:b/>
          <w:color w:val="000000" w:themeColor="text1"/>
          <w:szCs w:val="22"/>
        </w:rPr>
        <w:t>development of a digital platform</w:t>
      </w:r>
      <w:r w:rsidRPr="009E13C5">
        <w:rPr>
          <w:rFonts w:cs="Arial"/>
          <w:color w:val="000000" w:themeColor="text1"/>
          <w:szCs w:val="22"/>
        </w:rPr>
        <w:t xml:space="preserve"> for psychological treatments has not been possible due to lack of qualified applicants. We have therefore worked with two IT companies (FRY-IT and Whiskered Wizard) to create a generic version of the online treatment programmes developed by Clark and Ehlers in </w:t>
      </w:r>
      <w:proofErr w:type="spellStart"/>
      <w:r w:rsidRPr="009E13C5">
        <w:rPr>
          <w:rFonts w:cs="Arial"/>
          <w:color w:val="000000" w:themeColor="text1"/>
          <w:szCs w:val="22"/>
        </w:rPr>
        <w:t>Wellcome</w:t>
      </w:r>
      <w:proofErr w:type="spellEnd"/>
      <w:r w:rsidRPr="009E13C5">
        <w:rPr>
          <w:rFonts w:cs="Arial"/>
          <w:color w:val="000000" w:themeColor="text1"/>
          <w:szCs w:val="22"/>
        </w:rPr>
        <w:t xml:space="preserve"> Trust funded research, now used for several projects. Current studies focus on online psychological therapies for PTSD, social anxiety disorder, prolonged grief and perinatal anxiety and depression.</w:t>
      </w:r>
    </w:p>
    <w:p w:rsidR="00EE2606" w:rsidRPr="009E13C5" w:rsidRDefault="00EE2606" w:rsidP="00EE2606">
      <w:pPr>
        <w:autoSpaceDE w:val="0"/>
        <w:autoSpaceDN w:val="0"/>
        <w:adjustRightInd w:val="0"/>
        <w:ind w:left="720"/>
        <w:contextualSpacing/>
        <w:rPr>
          <w:rFonts w:cs="Arial"/>
          <w:b/>
          <w:color w:val="000000" w:themeColor="text1"/>
          <w:szCs w:val="22"/>
        </w:rPr>
      </w:pPr>
    </w:p>
    <w:p w:rsidR="00EE2606" w:rsidRPr="009E13C5" w:rsidRDefault="00EE2606" w:rsidP="00EE2606">
      <w:pPr>
        <w:autoSpaceDE w:val="0"/>
        <w:autoSpaceDN w:val="0"/>
        <w:adjustRightInd w:val="0"/>
        <w:rPr>
          <w:rFonts w:cs="Arial"/>
          <w:b/>
          <w:color w:val="000000" w:themeColor="text1"/>
          <w:szCs w:val="22"/>
        </w:rPr>
      </w:pPr>
      <w:r w:rsidRPr="009E13C5">
        <w:rPr>
          <w:rFonts w:cs="Arial"/>
          <w:b/>
          <w:color w:val="000000" w:themeColor="text1"/>
          <w:szCs w:val="22"/>
        </w:rPr>
        <w:t>Development of novel internet implementations of psychological therapies</w:t>
      </w:r>
    </w:p>
    <w:p w:rsidR="00EE2606" w:rsidRPr="009E13C5" w:rsidRDefault="00EE2606" w:rsidP="00EE2606">
      <w:pPr>
        <w:autoSpaceDE w:val="0"/>
        <w:autoSpaceDN w:val="0"/>
        <w:adjustRightInd w:val="0"/>
        <w:spacing w:line="276" w:lineRule="auto"/>
        <w:rPr>
          <w:rFonts w:cs="Arial"/>
          <w:color w:val="000000" w:themeColor="text1"/>
          <w:szCs w:val="22"/>
        </w:rPr>
      </w:pPr>
      <w:r w:rsidRPr="009E13C5">
        <w:rPr>
          <w:rFonts w:cs="Arial"/>
          <w:color w:val="000000" w:themeColor="text1"/>
          <w:szCs w:val="22"/>
        </w:rPr>
        <w:t>We have made good progress with developing a range of new online treatments:</w:t>
      </w:r>
    </w:p>
    <w:p w:rsidR="00EE2606" w:rsidRPr="009E13C5" w:rsidRDefault="00EE2606" w:rsidP="0017480B">
      <w:pPr>
        <w:numPr>
          <w:ilvl w:val="0"/>
          <w:numId w:val="14"/>
        </w:numPr>
        <w:autoSpaceDE w:val="0"/>
        <w:autoSpaceDN w:val="0"/>
        <w:adjustRightInd w:val="0"/>
        <w:spacing w:before="240" w:after="240" w:line="276" w:lineRule="auto"/>
        <w:ind w:left="428"/>
        <w:contextualSpacing/>
        <w:rPr>
          <w:rFonts w:cs="Arial"/>
          <w:color w:val="000000" w:themeColor="text1"/>
          <w:szCs w:val="22"/>
        </w:rPr>
      </w:pPr>
      <w:r w:rsidRPr="009E13C5">
        <w:rPr>
          <w:rFonts w:cs="Arial"/>
          <w:color w:val="000000" w:themeColor="text1"/>
          <w:szCs w:val="22"/>
        </w:rPr>
        <w:t xml:space="preserve">A </w:t>
      </w:r>
      <w:r w:rsidRPr="009E13C5">
        <w:rPr>
          <w:rFonts w:cs="Arial"/>
          <w:b/>
          <w:color w:val="000000" w:themeColor="text1"/>
          <w:szCs w:val="22"/>
        </w:rPr>
        <w:t>therapist-assisted</w:t>
      </w:r>
      <w:r w:rsidRPr="009E13C5">
        <w:rPr>
          <w:rFonts w:cs="Arial"/>
          <w:color w:val="000000" w:themeColor="text1"/>
          <w:szCs w:val="22"/>
        </w:rPr>
        <w:t xml:space="preserve"> </w:t>
      </w:r>
      <w:r w:rsidRPr="009E13C5">
        <w:rPr>
          <w:rFonts w:cs="Arial"/>
          <w:b/>
          <w:color w:val="000000" w:themeColor="text1"/>
          <w:szCs w:val="22"/>
        </w:rPr>
        <w:t>internet-delivered cognitive therapy programme for social anxiety disorder in adolescents</w:t>
      </w:r>
      <w:r w:rsidRPr="009E13C5">
        <w:rPr>
          <w:rFonts w:cs="Arial"/>
          <w:color w:val="000000" w:themeColor="text1"/>
          <w:szCs w:val="22"/>
        </w:rPr>
        <w:t xml:space="preserve"> (Clark and Leigh) and a stand-alone </w:t>
      </w:r>
      <w:r w:rsidRPr="009E13C5">
        <w:rPr>
          <w:rFonts w:cs="Arial"/>
          <w:b/>
          <w:color w:val="000000" w:themeColor="text1"/>
          <w:szCs w:val="22"/>
        </w:rPr>
        <w:t xml:space="preserve">digital CBT for binge eating disorder </w:t>
      </w:r>
      <w:r w:rsidRPr="009E13C5">
        <w:rPr>
          <w:rFonts w:cs="Arial"/>
          <w:color w:val="000000" w:themeColor="text1"/>
          <w:szCs w:val="22"/>
        </w:rPr>
        <w:t>(Murphy and Fairburn)</w:t>
      </w:r>
      <w:r w:rsidRPr="009E13C5">
        <w:rPr>
          <w:rFonts w:cs="Arial"/>
          <w:b/>
          <w:color w:val="000000" w:themeColor="text1"/>
          <w:szCs w:val="22"/>
        </w:rPr>
        <w:t xml:space="preserve"> </w:t>
      </w:r>
      <w:r w:rsidRPr="009E13C5">
        <w:rPr>
          <w:rFonts w:cs="Arial"/>
          <w:color w:val="000000" w:themeColor="text1"/>
          <w:szCs w:val="22"/>
        </w:rPr>
        <w:t>were developed and successfully piloted. The binge eating programme has been extended to allow therapists to view the content of the patients’ entries.</w:t>
      </w:r>
    </w:p>
    <w:p w:rsidR="00EE2606" w:rsidRPr="009E13C5" w:rsidRDefault="00EE2606" w:rsidP="0017480B">
      <w:pPr>
        <w:numPr>
          <w:ilvl w:val="0"/>
          <w:numId w:val="14"/>
        </w:numPr>
        <w:autoSpaceDE w:val="0"/>
        <w:autoSpaceDN w:val="0"/>
        <w:adjustRightInd w:val="0"/>
        <w:spacing w:before="240" w:after="240" w:line="276" w:lineRule="auto"/>
        <w:ind w:left="428"/>
        <w:contextualSpacing/>
        <w:rPr>
          <w:rFonts w:cs="Arial"/>
          <w:color w:val="000000" w:themeColor="text1"/>
          <w:szCs w:val="22"/>
        </w:rPr>
      </w:pPr>
      <w:r w:rsidRPr="009E13C5">
        <w:rPr>
          <w:rFonts w:cs="Arial"/>
          <w:color w:val="000000" w:themeColor="text1"/>
          <w:szCs w:val="22"/>
        </w:rPr>
        <w:t xml:space="preserve">Freeman’s group worked with patients to design a new VR automated treatment for patients with </w:t>
      </w:r>
      <w:r w:rsidRPr="009E13C5">
        <w:rPr>
          <w:rFonts w:cs="Arial"/>
          <w:b/>
          <w:color w:val="000000" w:themeColor="text1"/>
          <w:szCs w:val="22"/>
        </w:rPr>
        <w:t>psychosis</w:t>
      </w:r>
      <w:r w:rsidRPr="009E13C5">
        <w:rPr>
          <w:rFonts w:cs="Arial"/>
          <w:color w:val="000000" w:themeColor="text1"/>
          <w:szCs w:val="22"/>
        </w:rPr>
        <w:t xml:space="preserve"> who have withdrawn from everyday activities, which will be tested in a large multi-centre trial, funded by the NIHR i4i programme.</w:t>
      </w:r>
    </w:p>
    <w:p w:rsidR="00EE2606" w:rsidRPr="009E13C5" w:rsidRDefault="00EE2606" w:rsidP="0017480B">
      <w:pPr>
        <w:numPr>
          <w:ilvl w:val="0"/>
          <w:numId w:val="14"/>
        </w:numPr>
        <w:autoSpaceDE w:val="0"/>
        <w:autoSpaceDN w:val="0"/>
        <w:adjustRightInd w:val="0"/>
        <w:spacing w:before="240" w:after="240" w:line="276" w:lineRule="auto"/>
        <w:ind w:left="428"/>
        <w:contextualSpacing/>
        <w:rPr>
          <w:rFonts w:cs="Arial"/>
          <w:color w:val="000000" w:themeColor="text1"/>
          <w:szCs w:val="22"/>
        </w:rPr>
      </w:pPr>
      <w:r w:rsidRPr="009E13C5">
        <w:rPr>
          <w:rFonts w:cs="Arial"/>
          <w:color w:val="000000" w:themeColor="text1"/>
          <w:szCs w:val="22"/>
        </w:rPr>
        <w:t xml:space="preserve">Stein and Rovira are working on the development of a VR programme for parents with </w:t>
      </w:r>
      <w:r w:rsidRPr="009E13C5">
        <w:rPr>
          <w:rFonts w:cs="Arial"/>
          <w:b/>
          <w:color w:val="000000" w:themeColor="text1"/>
          <w:szCs w:val="22"/>
        </w:rPr>
        <w:t>depression or anxiety in the perinatal period</w:t>
      </w:r>
      <w:r w:rsidRPr="009E13C5">
        <w:rPr>
          <w:rFonts w:cs="Arial"/>
          <w:color w:val="000000" w:themeColor="text1"/>
          <w:szCs w:val="22"/>
        </w:rPr>
        <w:t xml:space="preserve"> that is designed to enhance their responses to infant facial expressions. </w:t>
      </w:r>
      <w:r w:rsidRPr="009E13C5">
        <w:rPr>
          <w:rFonts w:cs="Arial"/>
          <w:color w:val="000000" w:themeColor="text1"/>
          <w:szCs w:val="22"/>
        </w:rPr>
        <w:lastRenderedPageBreak/>
        <w:t xml:space="preserve">Stein’s group have also developed an online version of their </w:t>
      </w:r>
      <w:proofErr w:type="spellStart"/>
      <w:r w:rsidRPr="009E13C5">
        <w:rPr>
          <w:rFonts w:cs="Arial"/>
          <w:color w:val="000000" w:themeColor="text1"/>
          <w:szCs w:val="22"/>
        </w:rPr>
        <w:t>behavioural</w:t>
      </w:r>
      <w:proofErr w:type="spellEnd"/>
      <w:r w:rsidRPr="009E13C5">
        <w:rPr>
          <w:rFonts w:cs="Arial"/>
          <w:color w:val="000000" w:themeColor="text1"/>
          <w:szCs w:val="22"/>
        </w:rPr>
        <w:t xml:space="preserve"> activation manual and materials for perinatal </w:t>
      </w:r>
      <w:r w:rsidRPr="009E13C5">
        <w:rPr>
          <w:rFonts w:cs="Arial"/>
          <w:b/>
          <w:color w:val="000000" w:themeColor="text1"/>
          <w:szCs w:val="22"/>
        </w:rPr>
        <w:t>depression</w:t>
      </w:r>
      <w:r w:rsidRPr="009E13C5">
        <w:rPr>
          <w:rFonts w:cs="Arial"/>
          <w:color w:val="000000" w:themeColor="text1"/>
          <w:szCs w:val="22"/>
        </w:rPr>
        <w:t>.</w:t>
      </w:r>
    </w:p>
    <w:p w:rsidR="00EE2606" w:rsidRPr="009E13C5" w:rsidRDefault="00EE2606" w:rsidP="0017480B">
      <w:pPr>
        <w:numPr>
          <w:ilvl w:val="0"/>
          <w:numId w:val="14"/>
        </w:numPr>
        <w:autoSpaceDE w:val="0"/>
        <w:autoSpaceDN w:val="0"/>
        <w:adjustRightInd w:val="0"/>
        <w:spacing w:before="240" w:after="240" w:line="276" w:lineRule="auto"/>
        <w:ind w:left="428"/>
        <w:contextualSpacing/>
        <w:rPr>
          <w:rFonts w:cs="Arial"/>
          <w:color w:val="000000" w:themeColor="text1"/>
          <w:szCs w:val="22"/>
        </w:rPr>
      </w:pPr>
      <w:r w:rsidRPr="009E13C5">
        <w:rPr>
          <w:rFonts w:cs="Arial"/>
          <w:b/>
          <w:color w:val="000000" w:themeColor="text1"/>
          <w:szCs w:val="22"/>
        </w:rPr>
        <w:t xml:space="preserve">Internet-delivered cognitive therapy for prolonged grief disorder </w:t>
      </w:r>
      <w:r w:rsidRPr="009E13C5">
        <w:rPr>
          <w:rFonts w:cs="Arial"/>
          <w:color w:val="000000" w:themeColor="text1"/>
          <w:szCs w:val="22"/>
        </w:rPr>
        <w:t xml:space="preserve">(Ehlers and Smith), </w:t>
      </w:r>
      <w:r w:rsidRPr="009E13C5">
        <w:rPr>
          <w:rFonts w:cs="Arial"/>
          <w:b/>
          <w:color w:val="000000" w:themeColor="text1"/>
          <w:szCs w:val="22"/>
        </w:rPr>
        <w:t xml:space="preserve">Internet-delivered cognitive therapy for PTSD in military populations </w:t>
      </w:r>
      <w:r w:rsidRPr="009E13C5">
        <w:rPr>
          <w:rFonts w:cs="Arial"/>
          <w:color w:val="000000" w:themeColor="text1"/>
          <w:szCs w:val="22"/>
        </w:rPr>
        <w:t>(Ehlers, Murray and Wild) are in development.</w:t>
      </w:r>
    </w:p>
    <w:p w:rsidR="00EE2606" w:rsidRPr="009E13C5" w:rsidRDefault="00EE2606" w:rsidP="0017480B">
      <w:pPr>
        <w:numPr>
          <w:ilvl w:val="0"/>
          <w:numId w:val="14"/>
        </w:numPr>
        <w:spacing w:before="240" w:after="240" w:line="276" w:lineRule="auto"/>
        <w:ind w:left="428"/>
        <w:contextualSpacing/>
        <w:rPr>
          <w:rFonts w:cs="Arial"/>
          <w:b/>
          <w:color w:val="000000" w:themeColor="text1"/>
          <w:szCs w:val="22"/>
        </w:rPr>
      </w:pPr>
      <w:proofErr w:type="spellStart"/>
      <w:r w:rsidRPr="009E13C5">
        <w:rPr>
          <w:rFonts w:cs="Arial"/>
          <w:color w:val="000000" w:themeColor="text1"/>
          <w:szCs w:val="22"/>
        </w:rPr>
        <w:t>Kuyken’s</w:t>
      </w:r>
      <w:proofErr w:type="spellEnd"/>
      <w:r w:rsidRPr="009E13C5">
        <w:rPr>
          <w:rFonts w:cs="Arial"/>
          <w:color w:val="000000" w:themeColor="text1"/>
          <w:szCs w:val="22"/>
        </w:rPr>
        <w:t xml:space="preserve"> group are developing a series of</w:t>
      </w:r>
      <w:r w:rsidRPr="009E13C5">
        <w:rPr>
          <w:rFonts w:cs="Arial"/>
          <w:b/>
          <w:color w:val="000000" w:themeColor="text1"/>
          <w:szCs w:val="22"/>
        </w:rPr>
        <w:t xml:space="preserve"> </w:t>
      </w:r>
      <w:r w:rsidRPr="009E13C5">
        <w:rPr>
          <w:rFonts w:cs="Arial"/>
          <w:b/>
          <w:bCs/>
          <w:color w:val="000000" w:themeColor="text1"/>
          <w:szCs w:val="22"/>
        </w:rPr>
        <w:t>digital resources on mindfulness for young people</w:t>
      </w:r>
      <w:r w:rsidRPr="009E13C5">
        <w:rPr>
          <w:rFonts w:cs="Arial"/>
          <w:b/>
          <w:color w:val="000000" w:themeColor="text1"/>
          <w:szCs w:val="22"/>
        </w:rPr>
        <w:t xml:space="preserve"> </w:t>
      </w:r>
      <w:r w:rsidRPr="009E13C5">
        <w:rPr>
          <w:rFonts w:cs="Arial"/>
          <w:color w:val="000000" w:themeColor="text1"/>
          <w:szCs w:val="22"/>
        </w:rPr>
        <w:t>to communicate what mindfulness is and how it might be used to support mental health and wellbeing to young people.</w:t>
      </w:r>
    </w:p>
    <w:p w:rsidR="00EE2606" w:rsidRPr="009E13C5" w:rsidRDefault="00EE2606" w:rsidP="0017480B">
      <w:pPr>
        <w:numPr>
          <w:ilvl w:val="0"/>
          <w:numId w:val="14"/>
        </w:numPr>
        <w:spacing w:before="240" w:after="240" w:line="276" w:lineRule="auto"/>
        <w:ind w:left="428"/>
        <w:contextualSpacing/>
        <w:rPr>
          <w:rFonts w:cs="Arial"/>
          <w:b/>
          <w:color w:val="000000" w:themeColor="text1"/>
          <w:szCs w:val="22"/>
        </w:rPr>
      </w:pPr>
      <w:r w:rsidRPr="009E13C5">
        <w:rPr>
          <w:color w:val="000000" w:themeColor="text1"/>
        </w:rPr>
        <w:t>Creswell’s group are adapting their online parent-led CBT for child anxiety disorders for delivery within school settings.</w:t>
      </w:r>
    </w:p>
    <w:p w:rsidR="00EE2606" w:rsidRPr="009E13C5" w:rsidRDefault="00EE2606" w:rsidP="00EE2606">
      <w:pPr>
        <w:autoSpaceDE w:val="0"/>
        <w:autoSpaceDN w:val="0"/>
        <w:adjustRightInd w:val="0"/>
        <w:ind w:left="284"/>
        <w:contextualSpacing/>
        <w:rPr>
          <w:rFonts w:cs="Arial"/>
          <w:b/>
          <w:color w:val="000000" w:themeColor="text1"/>
          <w:szCs w:val="22"/>
        </w:rPr>
      </w:pPr>
    </w:p>
    <w:p w:rsidR="00EE2606" w:rsidRPr="009E13C5" w:rsidRDefault="00EE2606" w:rsidP="00EE2606">
      <w:pPr>
        <w:autoSpaceDE w:val="0"/>
        <w:autoSpaceDN w:val="0"/>
        <w:adjustRightInd w:val="0"/>
        <w:rPr>
          <w:rFonts w:cs="Arial"/>
          <w:b/>
          <w:color w:val="000000" w:themeColor="text1"/>
          <w:szCs w:val="22"/>
        </w:rPr>
      </w:pPr>
      <w:r w:rsidRPr="009E13C5">
        <w:rPr>
          <w:rFonts w:cs="Arial"/>
          <w:b/>
          <w:color w:val="000000" w:themeColor="text1"/>
          <w:szCs w:val="22"/>
        </w:rPr>
        <w:t>Randomised controlled trials (RCTs)</w:t>
      </w:r>
    </w:p>
    <w:p w:rsidR="00EE2606" w:rsidRPr="009E13C5" w:rsidRDefault="00EE2606" w:rsidP="00EE2606">
      <w:pPr>
        <w:autoSpaceDE w:val="0"/>
        <w:autoSpaceDN w:val="0"/>
        <w:adjustRightInd w:val="0"/>
        <w:spacing w:line="276" w:lineRule="auto"/>
        <w:rPr>
          <w:rFonts w:cs="Arial"/>
          <w:color w:val="000000" w:themeColor="text1"/>
          <w:szCs w:val="22"/>
        </w:rPr>
      </w:pPr>
      <w:r w:rsidRPr="009E13C5">
        <w:rPr>
          <w:rFonts w:cs="Arial"/>
          <w:color w:val="000000" w:themeColor="text1"/>
          <w:szCs w:val="22"/>
        </w:rPr>
        <w:t>The theme supported several RCTs of digital interventions:</w:t>
      </w:r>
    </w:p>
    <w:p w:rsidR="00EE2606" w:rsidRPr="009E13C5" w:rsidRDefault="00EE2606" w:rsidP="0017480B">
      <w:pPr>
        <w:numPr>
          <w:ilvl w:val="0"/>
          <w:numId w:val="15"/>
        </w:numPr>
        <w:spacing w:before="240" w:after="240" w:line="276" w:lineRule="auto"/>
        <w:ind w:left="428"/>
        <w:contextualSpacing/>
        <w:rPr>
          <w:rFonts w:cs="Arial"/>
          <w:color w:val="000000" w:themeColor="text1"/>
          <w:szCs w:val="22"/>
          <w:lang w:val="en-GB"/>
        </w:rPr>
      </w:pPr>
      <w:r w:rsidRPr="009E13C5">
        <w:rPr>
          <w:rFonts w:cs="Arial"/>
          <w:color w:val="000000" w:themeColor="text1"/>
          <w:szCs w:val="22"/>
        </w:rPr>
        <w:t xml:space="preserve">Freeman’s group completed a trial of virtual reality (VR) therapy of </w:t>
      </w:r>
      <w:r w:rsidRPr="009E13C5">
        <w:rPr>
          <w:rFonts w:cs="Arial"/>
          <w:b/>
          <w:color w:val="000000" w:themeColor="text1"/>
          <w:szCs w:val="22"/>
        </w:rPr>
        <w:t>height phobia</w:t>
      </w:r>
      <w:r w:rsidRPr="009E13C5">
        <w:rPr>
          <w:rFonts w:cs="Arial"/>
          <w:color w:val="000000" w:themeColor="text1"/>
          <w:szCs w:val="22"/>
        </w:rPr>
        <w:t xml:space="preserve"> (Freeman et al., 2018), which showed large treatment effects.</w:t>
      </w:r>
    </w:p>
    <w:p w:rsidR="00EE2606" w:rsidRPr="009E13C5" w:rsidRDefault="00EE2606" w:rsidP="0017480B">
      <w:pPr>
        <w:numPr>
          <w:ilvl w:val="0"/>
          <w:numId w:val="15"/>
        </w:numPr>
        <w:spacing w:before="240" w:after="240" w:line="276" w:lineRule="auto"/>
        <w:ind w:left="428"/>
        <w:contextualSpacing/>
        <w:rPr>
          <w:rFonts w:cs="Arial"/>
          <w:color w:val="000000" w:themeColor="text1"/>
          <w:szCs w:val="22"/>
        </w:rPr>
      </w:pPr>
      <w:r w:rsidRPr="009E13C5">
        <w:rPr>
          <w:rFonts w:cs="Arial"/>
          <w:color w:val="000000" w:themeColor="text1"/>
          <w:szCs w:val="22"/>
        </w:rPr>
        <w:t xml:space="preserve">Clark and </w:t>
      </w:r>
      <w:proofErr w:type="spellStart"/>
      <w:r w:rsidRPr="009E13C5">
        <w:rPr>
          <w:rFonts w:cs="Arial"/>
          <w:color w:val="000000" w:themeColor="text1"/>
          <w:szCs w:val="22"/>
        </w:rPr>
        <w:t>Thew’s</w:t>
      </w:r>
      <w:proofErr w:type="spellEnd"/>
      <w:r w:rsidRPr="009E13C5">
        <w:rPr>
          <w:rFonts w:cs="Arial"/>
          <w:color w:val="000000" w:themeColor="text1"/>
          <w:szCs w:val="22"/>
        </w:rPr>
        <w:t xml:space="preserve"> trial found that therapist-assisted digital cognitive therapy for </w:t>
      </w:r>
      <w:r w:rsidRPr="009E13C5">
        <w:rPr>
          <w:rFonts w:cs="Arial"/>
          <w:b/>
          <w:color w:val="000000" w:themeColor="text1"/>
          <w:szCs w:val="22"/>
        </w:rPr>
        <w:t>social anxiety disorder</w:t>
      </w:r>
      <w:r w:rsidRPr="009E13C5">
        <w:rPr>
          <w:rFonts w:cs="Arial"/>
          <w:color w:val="000000" w:themeColor="text1"/>
          <w:szCs w:val="22"/>
        </w:rPr>
        <w:t xml:space="preserve"> is as effective in an Asian cultural context (Hong-Kong) as in a previous UK-based trial. A new study is planned for a Japanese translation.</w:t>
      </w:r>
    </w:p>
    <w:p w:rsidR="00EE2606" w:rsidRPr="009E13C5" w:rsidRDefault="00EE2606" w:rsidP="0017480B">
      <w:pPr>
        <w:numPr>
          <w:ilvl w:val="0"/>
          <w:numId w:val="15"/>
        </w:numPr>
        <w:spacing w:before="240" w:after="240" w:line="276" w:lineRule="auto"/>
        <w:ind w:left="428"/>
        <w:contextualSpacing/>
        <w:rPr>
          <w:rFonts w:cs="Arial"/>
          <w:color w:val="000000" w:themeColor="text1"/>
          <w:szCs w:val="22"/>
        </w:rPr>
      </w:pPr>
      <w:r w:rsidRPr="009E13C5">
        <w:rPr>
          <w:rFonts w:cs="Arial"/>
          <w:color w:val="000000" w:themeColor="text1"/>
          <w:szCs w:val="22"/>
        </w:rPr>
        <w:t xml:space="preserve">Leigh and Clark are conducting </w:t>
      </w:r>
      <w:proofErr w:type="gramStart"/>
      <w:r w:rsidRPr="009E13C5">
        <w:rPr>
          <w:rFonts w:cs="Arial"/>
          <w:color w:val="000000" w:themeColor="text1"/>
          <w:szCs w:val="22"/>
        </w:rPr>
        <w:t>a</w:t>
      </w:r>
      <w:proofErr w:type="gramEnd"/>
      <w:r w:rsidRPr="009E13C5">
        <w:rPr>
          <w:rFonts w:cs="Arial"/>
          <w:color w:val="000000" w:themeColor="text1"/>
          <w:szCs w:val="22"/>
        </w:rPr>
        <w:t xml:space="preserve"> RCT of </w:t>
      </w:r>
      <w:r w:rsidRPr="009E13C5">
        <w:rPr>
          <w:rFonts w:cs="Arial"/>
          <w:b/>
          <w:color w:val="000000" w:themeColor="text1"/>
          <w:szCs w:val="22"/>
        </w:rPr>
        <w:t>therapist-assisted digital cognitive therapy for</w:t>
      </w:r>
      <w:r w:rsidRPr="009E13C5">
        <w:rPr>
          <w:rFonts w:cs="Arial"/>
          <w:color w:val="000000" w:themeColor="text1"/>
          <w:szCs w:val="22"/>
        </w:rPr>
        <w:t xml:space="preserve"> </w:t>
      </w:r>
      <w:r w:rsidRPr="009E13C5">
        <w:rPr>
          <w:rFonts w:cs="Arial"/>
          <w:b/>
          <w:color w:val="000000" w:themeColor="text1"/>
          <w:szCs w:val="22"/>
        </w:rPr>
        <w:t>social anxiety disorder for adolescents.</w:t>
      </w:r>
    </w:p>
    <w:p w:rsidR="00EE2606" w:rsidRPr="009E13C5" w:rsidRDefault="00EE2606" w:rsidP="0017480B">
      <w:pPr>
        <w:numPr>
          <w:ilvl w:val="0"/>
          <w:numId w:val="15"/>
        </w:numPr>
        <w:spacing w:before="240" w:after="240" w:line="276" w:lineRule="auto"/>
        <w:ind w:left="428"/>
        <w:contextualSpacing/>
        <w:rPr>
          <w:rFonts w:cs="Arial"/>
          <w:color w:val="000000" w:themeColor="text1"/>
          <w:szCs w:val="22"/>
        </w:rPr>
      </w:pPr>
      <w:proofErr w:type="spellStart"/>
      <w:r w:rsidRPr="009E13C5">
        <w:rPr>
          <w:rFonts w:cs="Arial"/>
          <w:color w:val="000000" w:themeColor="text1"/>
          <w:szCs w:val="22"/>
        </w:rPr>
        <w:t>Espie’s</w:t>
      </w:r>
      <w:proofErr w:type="spellEnd"/>
      <w:r w:rsidRPr="009E13C5">
        <w:rPr>
          <w:rFonts w:cs="Arial"/>
          <w:color w:val="000000" w:themeColor="text1"/>
          <w:szCs w:val="22"/>
        </w:rPr>
        <w:t xml:space="preserve"> group completed the DIALS trial of online treatment for </w:t>
      </w:r>
      <w:r w:rsidRPr="009E13C5">
        <w:rPr>
          <w:rFonts w:cs="Arial"/>
          <w:b/>
          <w:color w:val="000000" w:themeColor="text1"/>
          <w:szCs w:val="22"/>
        </w:rPr>
        <w:t>insomnia</w:t>
      </w:r>
      <w:r w:rsidRPr="009E13C5">
        <w:rPr>
          <w:rFonts w:cs="Arial"/>
          <w:color w:val="000000" w:themeColor="text1"/>
          <w:szCs w:val="22"/>
        </w:rPr>
        <w:t xml:space="preserve"> (</w:t>
      </w:r>
      <w:proofErr w:type="spellStart"/>
      <w:r w:rsidRPr="009E13C5">
        <w:rPr>
          <w:rFonts w:cs="Arial"/>
          <w:color w:val="000000" w:themeColor="text1"/>
          <w:szCs w:val="22"/>
        </w:rPr>
        <w:t>Espie</w:t>
      </w:r>
      <w:proofErr w:type="spellEnd"/>
      <w:r w:rsidRPr="009E13C5">
        <w:rPr>
          <w:rFonts w:cs="Arial"/>
          <w:color w:val="000000" w:themeColor="text1"/>
          <w:szCs w:val="22"/>
        </w:rPr>
        <w:t xml:space="preserve"> et al., 2018).</w:t>
      </w:r>
    </w:p>
    <w:p w:rsidR="00EE2606" w:rsidRPr="009E13C5" w:rsidRDefault="00EE2606" w:rsidP="0017480B">
      <w:pPr>
        <w:numPr>
          <w:ilvl w:val="0"/>
          <w:numId w:val="15"/>
        </w:numPr>
        <w:spacing w:before="240" w:after="240" w:line="276" w:lineRule="auto"/>
        <w:ind w:left="428"/>
        <w:contextualSpacing/>
        <w:rPr>
          <w:rFonts w:cs="Arial"/>
          <w:color w:val="000000" w:themeColor="text1"/>
          <w:szCs w:val="22"/>
          <w:lang w:val="en-GB"/>
        </w:rPr>
      </w:pPr>
      <w:r w:rsidRPr="009E13C5">
        <w:rPr>
          <w:rFonts w:cs="Arial"/>
          <w:color w:val="000000" w:themeColor="text1"/>
          <w:szCs w:val="22"/>
        </w:rPr>
        <w:t xml:space="preserve">Freeman’s group started a VR treatment trial (THRIVE) of automated therapy for patients with </w:t>
      </w:r>
      <w:r w:rsidRPr="009E13C5">
        <w:rPr>
          <w:rFonts w:cs="Arial"/>
          <w:b/>
          <w:color w:val="000000" w:themeColor="text1"/>
          <w:szCs w:val="22"/>
        </w:rPr>
        <w:t xml:space="preserve">psychosis </w:t>
      </w:r>
      <w:r w:rsidRPr="009E13C5">
        <w:rPr>
          <w:rFonts w:cs="Arial"/>
          <w:color w:val="000000" w:themeColor="text1"/>
          <w:szCs w:val="22"/>
        </w:rPr>
        <w:t xml:space="preserve">who have persecutory delusions, focusing on dropping </w:t>
      </w:r>
      <w:proofErr w:type="spellStart"/>
      <w:r w:rsidRPr="009E13C5">
        <w:rPr>
          <w:rFonts w:cs="Arial"/>
          <w:color w:val="000000" w:themeColor="text1"/>
          <w:szCs w:val="22"/>
        </w:rPr>
        <w:t>defence</w:t>
      </w:r>
      <w:proofErr w:type="spellEnd"/>
      <w:r w:rsidRPr="009E13C5">
        <w:rPr>
          <w:rFonts w:cs="Arial"/>
          <w:color w:val="000000" w:themeColor="text1"/>
          <w:szCs w:val="22"/>
        </w:rPr>
        <w:t xml:space="preserve"> behaviours in social situations. </w:t>
      </w:r>
    </w:p>
    <w:p w:rsidR="00EE2606" w:rsidRPr="009E13C5" w:rsidRDefault="00EE2606" w:rsidP="0017480B">
      <w:pPr>
        <w:numPr>
          <w:ilvl w:val="0"/>
          <w:numId w:val="15"/>
        </w:numPr>
        <w:spacing w:before="240" w:after="240" w:line="276" w:lineRule="auto"/>
        <w:ind w:left="428"/>
        <w:contextualSpacing/>
        <w:rPr>
          <w:rFonts w:cs="Arial"/>
          <w:color w:val="000000" w:themeColor="text1"/>
          <w:szCs w:val="22"/>
          <w:lang w:val="en-GB"/>
        </w:rPr>
      </w:pPr>
      <w:r w:rsidRPr="009E13C5">
        <w:rPr>
          <w:rFonts w:cs="Arial"/>
          <w:color w:val="000000" w:themeColor="text1"/>
          <w:szCs w:val="22"/>
          <w:lang w:val="en-GB"/>
        </w:rPr>
        <w:t xml:space="preserve">Another trial recruiting </w:t>
      </w:r>
      <w:proofErr w:type="gramStart"/>
      <w:r w:rsidRPr="009E13C5">
        <w:rPr>
          <w:rFonts w:cs="Arial"/>
          <w:color w:val="000000" w:themeColor="text1"/>
          <w:szCs w:val="22"/>
          <w:lang w:val="en-GB"/>
        </w:rPr>
        <w:t>patients</w:t>
      </w:r>
      <w:proofErr w:type="gramEnd"/>
      <w:r w:rsidRPr="009E13C5">
        <w:rPr>
          <w:rFonts w:cs="Arial"/>
          <w:color w:val="000000" w:themeColor="text1"/>
          <w:szCs w:val="22"/>
          <w:lang w:val="en-GB"/>
        </w:rPr>
        <w:t xml:space="preserve"> with </w:t>
      </w:r>
      <w:r w:rsidRPr="009E13C5">
        <w:rPr>
          <w:rFonts w:cs="Arial"/>
          <w:b/>
          <w:color w:val="000000" w:themeColor="text1"/>
          <w:szCs w:val="22"/>
          <w:lang w:val="en-GB"/>
        </w:rPr>
        <w:t xml:space="preserve">psychosis </w:t>
      </w:r>
      <w:r w:rsidRPr="009E13C5">
        <w:rPr>
          <w:rFonts w:cs="Arial"/>
          <w:color w:val="000000" w:themeColor="text1"/>
          <w:szCs w:val="22"/>
          <w:lang w:val="en-GB"/>
        </w:rPr>
        <w:t>(GAMECHANGE) aims to increase patients’ confidence in everyday life with automated VR treatment.</w:t>
      </w:r>
    </w:p>
    <w:p w:rsidR="00EE2606" w:rsidRPr="009E13C5" w:rsidRDefault="00EE2606" w:rsidP="0017480B">
      <w:pPr>
        <w:numPr>
          <w:ilvl w:val="0"/>
          <w:numId w:val="15"/>
        </w:numPr>
        <w:spacing w:before="240" w:after="240" w:line="276" w:lineRule="auto"/>
        <w:ind w:left="428"/>
        <w:contextualSpacing/>
        <w:rPr>
          <w:rFonts w:cs="Arial"/>
          <w:color w:val="000000" w:themeColor="text1"/>
          <w:szCs w:val="22"/>
        </w:rPr>
      </w:pPr>
      <w:r w:rsidRPr="009E13C5">
        <w:rPr>
          <w:rFonts w:cs="Arial"/>
          <w:color w:val="000000" w:themeColor="text1"/>
          <w:szCs w:val="22"/>
        </w:rPr>
        <w:t xml:space="preserve">Ehlers’s STOP-PTSD trial compares the efficacy of internet-delivered cognitive therapy for </w:t>
      </w:r>
      <w:r w:rsidRPr="009E13C5">
        <w:rPr>
          <w:rFonts w:cs="Arial"/>
          <w:b/>
          <w:color w:val="000000" w:themeColor="text1"/>
          <w:szCs w:val="22"/>
        </w:rPr>
        <w:t>PTSD</w:t>
      </w:r>
      <w:r w:rsidRPr="009E13C5">
        <w:rPr>
          <w:rFonts w:cs="Arial"/>
          <w:color w:val="000000" w:themeColor="text1"/>
          <w:szCs w:val="22"/>
        </w:rPr>
        <w:t>, internet-delivered stress management therapy for PTSD, and a wait-list condition.</w:t>
      </w:r>
    </w:p>
    <w:p w:rsidR="00EE2606" w:rsidRPr="009E13C5" w:rsidRDefault="00EE2606" w:rsidP="0017480B">
      <w:pPr>
        <w:numPr>
          <w:ilvl w:val="0"/>
          <w:numId w:val="15"/>
        </w:numPr>
        <w:spacing w:before="240" w:after="240" w:line="276" w:lineRule="auto"/>
        <w:ind w:left="428"/>
        <w:contextualSpacing/>
        <w:rPr>
          <w:rFonts w:cs="Arial"/>
          <w:color w:val="000000" w:themeColor="text1"/>
          <w:szCs w:val="22"/>
        </w:rPr>
      </w:pPr>
      <w:proofErr w:type="spellStart"/>
      <w:r w:rsidRPr="009E13C5">
        <w:rPr>
          <w:rFonts w:cs="Arial"/>
          <w:color w:val="000000" w:themeColor="text1"/>
          <w:szCs w:val="22"/>
        </w:rPr>
        <w:t>Kuyken’s</w:t>
      </w:r>
      <w:proofErr w:type="spellEnd"/>
      <w:r w:rsidRPr="009E13C5">
        <w:rPr>
          <w:rFonts w:cs="Arial"/>
          <w:color w:val="000000" w:themeColor="text1"/>
          <w:szCs w:val="22"/>
        </w:rPr>
        <w:t xml:space="preserve"> trial is investigating the effects of low intensity </w:t>
      </w:r>
      <w:r w:rsidRPr="009E13C5">
        <w:rPr>
          <w:rFonts w:cs="Arial"/>
          <w:b/>
          <w:color w:val="000000" w:themeColor="text1"/>
          <w:szCs w:val="22"/>
        </w:rPr>
        <w:t>mindfulness training</w:t>
      </w:r>
      <w:r w:rsidRPr="009E13C5">
        <w:rPr>
          <w:rFonts w:cs="Arial"/>
          <w:color w:val="000000" w:themeColor="text1"/>
          <w:szCs w:val="22"/>
        </w:rPr>
        <w:t xml:space="preserve"> (Finding Peace in a Frantic World) on student mental health and wellbeing. </w:t>
      </w:r>
    </w:p>
    <w:p w:rsidR="00EE2606" w:rsidRPr="009E13C5" w:rsidRDefault="00EE2606" w:rsidP="0017480B">
      <w:pPr>
        <w:numPr>
          <w:ilvl w:val="0"/>
          <w:numId w:val="15"/>
        </w:numPr>
        <w:spacing w:before="240" w:after="240" w:line="276" w:lineRule="auto"/>
        <w:ind w:left="428"/>
        <w:contextualSpacing/>
        <w:rPr>
          <w:rFonts w:cs="Arial"/>
          <w:color w:val="000000" w:themeColor="text1"/>
          <w:szCs w:val="22"/>
        </w:rPr>
      </w:pPr>
      <w:r w:rsidRPr="009E13C5">
        <w:rPr>
          <w:rFonts w:cs="Arial"/>
          <w:color w:val="000000" w:themeColor="text1"/>
          <w:szCs w:val="22"/>
        </w:rPr>
        <w:t xml:space="preserve">Wild’s PREVENT-PTSD trial investigates the efficacy of a new </w:t>
      </w:r>
      <w:r w:rsidRPr="009E13C5">
        <w:rPr>
          <w:rFonts w:cs="Arial"/>
          <w:b/>
          <w:color w:val="000000" w:themeColor="text1"/>
          <w:szCs w:val="22"/>
        </w:rPr>
        <w:t>online resilience training</w:t>
      </w:r>
      <w:r w:rsidRPr="009E13C5">
        <w:rPr>
          <w:rFonts w:cs="Arial"/>
          <w:color w:val="000000" w:themeColor="text1"/>
          <w:szCs w:val="22"/>
        </w:rPr>
        <w:t xml:space="preserve"> the prevention of PTSD and depression in paramedics. </w:t>
      </w:r>
    </w:p>
    <w:p w:rsidR="00EE2606" w:rsidRPr="009E13C5" w:rsidRDefault="00EE2606" w:rsidP="0017480B">
      <w:pPr>
        <w:numPr>
          <w:ilvl w:val="0"/>
          <w:numId w:val="15"/>
        </w:numPr>
        <w:spacing w:before="240" w:after="240" w:line="276" w:lineRule="auto"/>
        <w:ind w:left="428"/>
        <w:contextualSpacing/>
        <w:rPr>
          <w:rFonts w:cs="Arial"/>
          <w:color w:val="000000" w:themeColor="text1"/>
          <w:szCs w:val="22"/>
        </w:rPr>
      </w:pPr>
      <w:r w:rsidRPr="009E13C5">
        <w:rPr>
          <w:rFonts w:cs="Arial"/>
          <w:color w:val="000000" w:themeColor="text1"/>
          <w:szCs w:val="22"/>
        </w:rPr>
        <w:t xml:space="preserve">Stein’s </w:t>
      </w:r>
      <w:proofErr w:type="spellStart"/>
      <w:r w:rsidRPr="009E13C5">
        <w:rPr>
          <w:rFonts w:cs="Arial"/>
          <w:color w:val="000000" w:themeColor="text1"/>
          <w:szCs w:val="22"/>
        </w:rPr>
        <w:t>Insika</w:t>
      </w:r>
      <w:proofErr w:type="spellEnd"/>
      <w:r w:rsidRPr="009E13C5">
        <w:rPr>
          <w:rFonts w:cs="Arial"/>
          <w:color w:val="000000" w:themeColor="text1"/>
          <w:szCs w:val="22"/>
        </w:rPr>
        <w:t xml:space="preserve"> </w:t>
      </w:r>
      <w:proofErr w:type="spellStart"/>
      <w:r w:rsidRPr="009E13C5">
        <w:rPr>
          <w:rFonts w:cs="Arial"/>
          <w:color w:val="000000" w:themeColor="text1"/>
          <w:szCs w:val="22"/>
        </w:rPr>
        <w:t>Yomama</w:t>
      </w:r>
      <w:proofErr w:type="spellEnd"/>
      <w:r w:rsidRPr="009E13C5">
        <w:rPr>
          <w:rFonts w:cs="Arial"/>
          <w:color w:val="000000" w:themeColor="text1"/>
          <w:szCs w:val="22"/>
        </w:rPr>
        <w:t xml:space="preserve"> cluster </w:t>
      </w:r>
      <w:proofErr w:type="spellStart"/>
      <w:r w:rsidRPr="009E13C5">
        <w:rPr>
          <w:rFonts w:cs="Arial"/>
          <w:color w:val="000000" w:themeColor="text1"/>
          <w:szCs w:val="22"/>
        </w:rPr>
        <w:t>randomised</w:t>
      </w:r>
      <w:proofErr w:type="spellEnd"/>
      <w:r w:rsidRPr="009E13C5">
        <w:rPr>
          <w:rFonts w:cs="Arial"/>
          <w:color w:val="000000" w:themeColor="text1"/>
          <w:szCs w:val="22"/>
        </w:rPr>
        <w:t xml:space="preserve"> trial investigates whether the combined intervention of </w:t>
      </w:r>
      <w:proofErr w:type="spellStart"/>
      <w:r w:rsidRPr="009E13C5">
        <w:rPr>
          <w:rFonts w:cs="Arial"/>
          <w:color w:val="000000" w:themeColor="text1"/>
          <w:szCs w:val="22"/>
        </w:rPr>
        <w:t>behavioural</w:t>
      </w:r>
      <w:proofErr w:type="spellEnd"/>
      <w:r w:rsidRPr="009E13C5">
        <w:rPr>
          <w:rFonts w:cs="Arial"/>
          <w:color w:val="000000" w:themeColor="text1"/>
          <w:szCs w:val="22"/>
        </w:rPr>
        <w:t xml:space="preserve"> activation and a parenting programme for HIV-positive mothers with </w:t>
      </w:r>
      <w:r w:rsidRPr="009E13C5">
        <w:rPr>
          <w:rFonts w:cs="Arial"/>
          <w:b/>
          <w:color w:val="000000" w:themeColor="text1"/>
          <w:szCs w:val="22"/>
        </w:rPr>
        <w:t xml:space="preserve">perinatal depression </w:t>
      </w:r>
      <w:r w:rsidRPr="009E13C5">
        <w:rPr>
          <w:rFonts w:cs="Arial"/>
          <w:color w:val="000000" w:themeColor="text1"/>
          <w:szCs w:val="22"/>
        </w:rPr>
        <w:t>leads to reductions in depression and improved infant cognitive development</w:t>
      </w:r>
    </w:p>
    <w:p w:rsidR="00EE2606" w:rsidRPr="009E13C5" w:rsidRDefault="00EE2606" w:rsidP="00EE2606">
      <w:pPr>
        <w:ind w:left="720" w:hanging="720"/>
        <w:contextualSpacing/>
        <w:rPr>
          <w:rFonts w:cs="Arial"/>
          <w:color w:val="000000" w:themeColor="text1"/>
          <w:szCs w:val="22"/>
        </w:rPr>
      </w:pPr>
    </w:p>
    <w:p w:rsidR="00EE2606" w:rsidRPr="009E13C5" w:rsidRDefault="00EE2606" w:rsidP="00EE2606">
      <w:pPr>
        <w:ind w:left="720" w:hanging="720"/>
        <w:contextualSpacing/>
        <w:rPr>
          <w:rFonts w:cs="Arial"/>
          <w:b/>
          <w:color w:val="000000" w:themeColor="text1"/>
          <w:szCs w:val="22"/>
        </w:rPr>
      </w:pPr>
      <w:r w:rsidRPr="009E13C5">
        <w:rPr>
          <w:rFonts w:cs="Arial"/>
          <w:b/>
          <w:color w:val="000000" w:themeColor="text1"/>
          <w:szCs w:val="22"/>
        </w:rPr>
        <w:t>Analyses to identify moderators and mediators of outcomes:</w:t>
      </w:r>
    </w:p>
    <w:p w:rsidR="00EE2606" w:rsidRPr="009E13C5" w:rsidRDefault="00EE2606" w:rsidP="0017480B">
      <w:pPr>
        <w:pStyle w:val="ListParagraph"/>
        <w:numPr>
          <w:ilvl w:val="0"/>
          <w:numId w:val="15"/>
        </w:numPr>
        <w:spacing w:line="276" w:lineRule="auto"/>
        <w:ind w:left="428"/>
        <w:contextualSpacing/>
        <w:jc w:val="left"/>
        <w:rPr>
          <w:rFonts w:cs="Arial"/>
          <w:color w:val="000000" w:themeColor="text1"/>
          <w:szCs w:val="22"/>
          <w:lang w:val="en-GB"/>
        </w:rPr>
      </w:pPr>
      <w:proofErr w:type="spellStart"/>
      <w:r w:rsidRPr="009E13C5">
        <w:rPr>
          <w:rFonts w:cs="Arial"/>
          <w:color w:val="000000" w:themeColor="text1"/>
          <w:szCs w:val="22"/>
        </w:rPr>
        <w:t>Kuyken’s</w:t>
      </w:r>
      <w:proofErr w:type="spellEnd"/>
      <w:r w:rsidRPr="009E13C5">
        <w:rPr>
          <w:rFonts w:cs="Arial"/>
          <w:color w:val="000000" w:themeColor="text1"/>
          <w:szCs w:val="22"/>
        </w:rPr>
        <w:t xml:space="preserve"> group is </w:t>
      </w:r>
      <w:proofErr w:type="spellStart"/>
      <w:r w:rsidRPr="009E13C5">
        <w:rPr>
          <w:rFonts w:cs="Arial"/>
          <w:color w:val="000000" w:themeColor="text1"/>
          <w:szCs w:val="22"/>
        </w:rPr>
        <w:t>analysing</w:t>
      </w:r>
      <w:proofErr w:type="spellEnd"/>
      <w:r w:rsidRPr="009E13C5">
        <w:rPr>
          <w:rFonts w:cs="Arial"/>
          <w:color w:val="000000" w:themeColor="text1"/>
          <w:szCs w:val="22"/>
        </w:rPr>
        <w:t xml:space="preserve"> data from the MYRIAD Trial to examine the role of school-level factors (such as school climate and quality, school-level deprivation, school size and school support for personal, social, health and economic education) on changes in mental health over a 1-year follow-up period.</w:t>
      </w:r>
    </w:p>
    <w:p w:rsidR="00EE2606" w:rsidRPr="009E13C5" w:rsidRDefault="00EE2606" w:rsidP="0017480B">
      <w:pPr>
        <w:pStyle w:val="ListParagraph"/>
        <w:numPr>
          <w:ilvl w:val="0"/>
          <w:numId w:val="16"/>
        </w:numPr>
        <w:spacing w:before="0" w:after="0" w:line="276" w:lineRule="auto"/>
        <w:ind w:left="428"/>
        <w:contextualSpacing/>
        <w:jc w:val="left"/>
        <w:rPr>
          <w:rFonts w:cs="Arial"/>
          <w:color w:val="000000" w:themeColor="text1"/>
          <w:szCs w:val="22"/>
        </w:rPr>
      </w:pPr>
      <w:r w:rsidRPr="009E13C5">
        <w:rPr>
          <w:rFonts w:cs="Arial"/>
          <w:color w:val="000000" w:themeColor="text1"/>
          <w:szCs w:val="22"/>
        </w:rPr>
        <w:t>Ehlers and Clark’s group are investigating processes of change in cognitive therapy for social anxiety disorder and PTSD.</w:t>
      </w:r>
    </w:p>
    <w:p w:rsidR="00EE2606" w:rsidRPr="009E13C5" w:rsidRDefault="00EE2606" w:rsidP="00EE2606">
      <w:pPr>
        <w:autoSpaceDE w:val="0"/>
        <w:autoSpaceDN w:val="0"/>
        <w:adjustRightInd w:val="0"/>
        <w:rPr>
          <w:rFonts w:cs="Arial"/>
          <w:b/>
          <w:color w:val="000000" w:themeColor="text1"/>
          <w:szCs w:val="22"/>
        </w:rPr>
      </w:pPr>
      <w:r w:rsidRPr="009E13C5">
        <w:rPr>
          <w:rFonts w:cs="Arial"/>
          <w:b/>
          <w:color w:val="000000" w:themeColor="text1"/>
          <w:szCs w:val="22"/>
        </w:rPr>
        <w:t>Development of internet-based therapist training</w:t>
      </w:r>
    </w:p>
    <w:p w:rsidR="00EE2606" w:rsidRPr="009E13C5" w:rsidRDefault="00EE2606" w:rsidP="0017480B">
      <w:pPr>
        <w:numPr>
          <w:ilvl w:val="0"/>
          <w:numId w:val="17"/>
        </w:numPr>
        <w:autoSpaceDE w:val="0"/>
        <w:autoSpaceDN w:val="0"/>
        <w:adjustRightInd w:val="0"/>
        <w:spacing w:before="240" w:after="240" w:line="276" w:lineRule="auto"/>
        <w:ind w:left="428"/>
        <w:contextualSpacing/>
        <w:rPr>
          <w:rFonts w:cs="Arial"/>
          <w:b/>
          <w:color w:val="000000" w:themeColor="text1"/>
          <w:szCs w:val="22"/>
        </w:rPr>
      </w:pPr>
      <w:r w:rsidRPr="009E13C5">
        <w:rPr>
          <w:rFonts w:cs="Arial"/>
          <w:color w:val="000000" w:themeColor="text1"/>
          <w:szCs w:val="22"/>
        </w:rPr>
        <w:lastRenderedPageBreak/>
        <w:t xml:space="preserve">Clark’s and Ehlers’s groups are developing an online training site for the implementation of effective treatments for </w:t>
      </w:r>
      <w:r w:rsidRPr="009E13C5">
        <w:rPr>
          <w:rFonts w:cs="Arial"/>
          <w:b/>
          <w:color w:val="000000" w:themeColor="text1"/>
          <w:szCs w:val="22"/>
        </w:rPr>
        <w:t xml:space="preserve">anxiety disorders </w:t>
      </w:r>
      <w:r w:rsidRPr="009E13C5">
        <w:rPr>
          <w:rFonts w:cs="Arial"/>
          <w:color w:val="000000" w:themeColor="text1"/>
          <w:szCs w:val="22"/>
        </w:rPr>
        <w:t>(</w:t>
      </w:r>
      <w:hyperlink r:id="rId9" w:history="1">
        <w:r w:rsidRPr="009E13C5">
          <w:rPr>
            <w:rStyle w:val="Hyperlink"/>
            <w:rFonts w:cs="Arial"/>
            <w:color w:val="000000" w:themeColor="text1"/>
            <w:szCs w:val="22"/>
          </w:rPr>
          <w:t>https://oxcadatresources.com</w:t>
        </w:r>
      </w:hyperlink>
      <w:r w:rsidRPr="009E13C5">
        <w:rPr>
          <w:rFonts w:cs="Arial"/>
          <w:color w:val="000000" w:themeColor="text1"/>
          <w:szCs w:val="22"/>
        </w:rPr>
        <w:t>). So far, 6333 therapists from 110 countries have signed up for the website.</w:t>
      </w:r>
    </w:p>
    <w:p w:rsidR="00EE2606" w:rsidRPr="009E13C5" w:rsidRDefault="00EE2606" w:rsidP="00EE2606">
      <w:pPr>
        <w:autoSpaceDE w:val="0"/>
        <w:autoSpaceDN w:val="0"/>
        <w:adjustRightInd w:val="0"/>
        <w:spacing w:before="240" w:after="240"/>
        <w:contextualSpacing/>
        <w:rPr>
          <w:rFonts w:cs="Arial"/>
          <w:b/>
          <w:color w:val="000000" w:themeColor="text1"/>
          <w:szCs w:val="22"/>
        </w:rPr>
      </w:pPr>
    </w:p>
    <w:p w:rsidR="00EE2606" w:rsidRPr="009E13C5" w:rsidRDefault="00EE2606" w:rsidP="00EE2606">
      <w:pPr>
        <w:autoSpaceDE w:val="0"/>
        <w:autoSpaceDN w:val="0"/>
        <w:adjustRightInd w:val="0"/>
        <w:spacing w:before="240" w:after="240"/>
        <w:contextualSpacing/>
        <w:rPr>
          <w:rFonts w:cs="Arial"/>
          <w:b/>
          <w:color w:val="000000" w:themeColor="text1"/>
          <w:szCs w:val="22"/>
        </w:rPr>
      </w:pPr>
      <w:r w:rsidRPr="009E13C5">
        <w:rPr>
          <w:rFonts w:cs="Arial"/>
          <w:b/>
          <w:color w:val="000000" w:themeColor="text1"/>
          <w:szCs w:val="22"/>
        </w:rPr>
        <w:t xml:space="preserve">New PIs and training the next generation of clinical academic </w:t>
      </w:r>
    </w:p>
    <w:p w:rsidR="00EE2606" w:rsidRPr="001D333C" w:rsidRDefault="00EE2606" w:rsidP="0017480B">
      <w:pPr>
        <w:pStyle w:val="ListParagraph"/>
        <w:numPr>
          <w:ilvl w:val="0"/>
          <w:numId w:val="17"/>
        </w:numPr>
        <w:autoSpaceDE w:val="0"/>
        <w:autoSpaceDN w:val="0"/>
        <w:adjustRightInd w:val="0"/>
        <w:spacing w:before="240" w:after="240" w:line="276" w:lineRule="auto"/>
        <w:ind w:left="428"/>
        <w:contextualSpacing/>
        <w:rPr>
          <w:rFonts w:cs="Arial"/>
          <w:b/>
          <w:color w:val="000000" w:themeColor="text1"/>
          <w:szCs w:val="22"/>
        </w:rPr>
      </w:pPr>
      <w:r w:rsidRPr="009E13C5">
        <w:rPr>
          <w:rFonts w:cs="Arial"/>
          <w:b/>
          <w:color w:val="000000" w:themeColor="text1"/>
          <w:szCs w:val="22"/>
        </w:rPr>
        <w:t xml:space="preserve">Professor Cathy Creswell </w:t>
      </w:r>
      <w:r w:rsidRPr="009E13C5">
        <w:rPr>
          <w:rFonts w:cs="Arial"/>
          <w:color w:val="000000" w:themeColor="text1"/>
          <w:szCs w:val="22"/>
        </w:rPr>
        <w:t>and</w:t>
      </w:r>
      <w:r w:rsidRPr="009E13C5">
        <w:rPr>
          <w:rFonts w:cs="Arial"/>
          <w:b/>
          <w:color w:val="000000" w:themeColor="text1"/>
          <w:szCs w:val="22"/>
        </w:rPr>
        <w:t xml:space="preserve"> Professor Paul Salkovskis </w:t>
      </w:r>
      <w:r w:rsidRPr="009E13C5">
        <w:rPr>
          <w:rFonts w:cs="Arial"/>
          <w:color w:val="000000" w:themeColor="text1"/>
          <w:szCs w:val="22"/>
        </w:rPr>
        <w:t>have joined the theme. This strengthen the theme’s expertise and research activity in the treatment of children and adolescents and obsessive-compulsive disorder and health anxiety.</w:t>
      </w:r>
    </w:p>
    <w:p w:rsidR="00EE2606" w:rsidRPr="009E13C5" w:rsidRDefault="00EE2606" w:rsidP="0017480B">
      <w:pPr>
        <w:pStyle w:val="ListParagraph"/>
        <w:numPr>
          <w:ilvl w:val="0"/>
          <w:numId w:val="17"/>
        </w:numPr>
        <w:autoSpaceDE w:val="0"/>
        <w:autoSpaceDN w:val="0"/>
        <w:adjustRightInd w:val="0"/>
        <w:spacing w:before="240" w:after="240" w:line="276" w:lineRule="auto"/>
        <w:ind w:left="428"/>
        <w:contextualSpacing/>
        <w:rPr>
          <w:rFonts w:cs="Arial"/>
          <w:b/>
          <w:color w:val="000000" w:themeColor="text1"/>
          <w:szCs w:val="22"/>
        </w:rPr>
      </w:pPr>
      <w:r>
        <w:rPr>
          <w:rFonts w:cs="Arial"/>
          <w:b/>
          <w:color w:val="000000" w:themeColor="text1"/>
          <w:szCs w:val="22"/>
        </w:rPr>
        <w:t xml:space="preserve">Professor Cathy Creswell </w:t>
      </w:r>
      <w:r>
        <w:rPr>
          <w:rFonts w:cs="Arial"/>
          <w:color w:val="000000" w:themeColor="text1"/>
          <w:szCs w:val="22"/>
        </w:rPr>
        <w:t>has just been nominated NIHR Senior Investigator 2020.</w:t>
      </w:r>
    </w:p>
    <w:p w:rsidR="00EE2606" w:rsidRPr="009E13C5" w:rsidRDefault="00EE2606" w:rsidP="0017480B">
      <w:pPr>
        <w:pStyle w:val="ListParagraph"/>
        <w:numPr>
          <w:ilvl w:val="0"/>
          <w:numId w:val="17"/>
        </w:numPr>
        <w:autoSpaceDE w:val="0"/>
        <w:autoSpaceDN w:val="0"/>
        <w:adjustRightInd w:val="0"/>
        <w:spacing w:before="240" w:after="240" w:line="276" w:lineRule="auto"/>
        <w:ind w:left="428"/>
        <w:contextualSpacing/>
        <w:rPr>
          <w:rFonts w:cs="Arial"/>
          <w:color w:val="000000" w:themeColor="text1"/>
          <w:szCs w:val="22"/>
        </w:rPr>
      </w:pPr>
      <w:r w:rsidRPr="009E13C5">
        <w:rPr>
          <w:rFonts w:cs="Arial"/>
          <w:color w:val="000000" w:themeColor="text1"/>
          <w:szCs w:val="22"/>
        </w:rPr>
        <w:t xml:space="preserve">The theme created a new </w:t>
      </w:r>
      <w:r w:rsidRPr="009E13C5">
        <w:rPr>
          <w:rFonts w:cs="Arial"/>
          <w:b/>
          <w:color w:val="000000" w:themeColor="text1"/>
          <w:szCs w:val="22"/>
        </w:rPr>
        <w:t>Clinical Academic</w:t>
      </w:r>
      <w:r w:rsidRPr="009E13C5">
        <w:rPr>
          <w:rFonts w:cs="Arial"/>
          <w:color w:val="000000" w:themeColor="text1"/>
          <w:szCs w:val="22"/>
        </w:rPr>
        <w:t xml:space="preserve"> post, which is partly funded by the BRC and partly by the Trust’s Improving Access to Psychological Therapies Services. </w:t>
      </w:r>
      <w:r w:rsidRPr="009E13C5">
        <w:rPr>
          <w:rFonts w:cs="Arial"/>
          <w:b/>
          <w:color w:val="000000" w:themeColor="text1"/>
          <w:szCs w:val="22"/>
        </w:rPr>
        <w:t xml:space="preserve">Dr Graham </w:t>
      </w:r>
      <w:proofErr w:type="spellStart"/>
      <w:r w:rsidRPr="009E13C5">
        <w:rPr>
          <w:rFonts w:cs="Arial"/>
          <w:b/>
          <w:color w:val="000000" w:themeColor="text1"/>
          <w:szCs w:val="22"/>
        </w:rPr>
        <w:t>Thew</w:t>
      </w:r>
      <w:proofErr w:type="spellEnd"/>
      <w:r w:rsidRPr="009E13C5">
        <w:rPr>
          <w:rFonts w:cs="Arial"/>
          <w:b/>
          <w:color w:val="000000" w:themeColor="text1"/>
          <w:szCs w:val="22"/>
        </w:rPr>
        <w:t xml:space="preserve"> </w:t>
      </w:r>
      <w:r w:rsidRPr="009E13C5">
        <w:rPr>
          <w:rFonts w:cs="Arial"/>
          <w:color w:val="000000" w:themeColor="text1"/>
          <w:szCs w:val="22"/>
        </w:rPr>
        <w:t>was appointed.</w:t>
      </w:r>
    </w:p>
    <w:p w:rsidR="00EE2606" w:rsidRPr="009E13C5" w:rsidRDefault="00EE2606" w:rsidP="0017480B">
      <w:pPr>
        <w:pStyle w:val="ListParagraph"/>
        <w:numPr>
          <w:ilvl w:val="0"/>
          <w:numId w:val="17"/>
        </w:numPr>
        <w:autoSpaceDE w:val="0"/>
        <w:autoSpaceDN w:val="0"/>
        <w:adjustRightInd w:val="0"/>
        <w:spacing w:before="240" w:after="240" w:line="276" w:lineRule="auto"/>
        <w:ind w:left="428"/>
        <w:contextualSpacing/>
        <w:rPr>
          <w:rFonts w:cs="Arial"/>
          <w:color w:val="000000" w:themeColor="text1"/>
          <w:szCs w:val="22"/>
        </w:rPr>
      </w:pPr>
      <w:r w:rsidRPr="009E13C5">
        <w:rPr>
          <w:rFonts w:cs="Arial"/>
          <w:b/>
          <w:color w:val="000000" w:themeColor="text1"/>
          <w:szCs w:val="22"/>
        </w:rPr>
        <w:t>Dr Felicity Waite</w:t>
      </w:r>
      <w:r w:rsidRPr="009E13C5">
        <w:rPr>
          <w:rFonts w:cs="Arial"/>
          <w:color w:val="000000" w:themeColor="text1"/>
          <w:szCs w:val="22"/>
        </w:rPr>
        <w:t xml:space="preserve"> was awarded a prestigious </w:t>
      </w:r>
      <w:proofErr w:type="spellStart"/>
      <w:r w:rsidRPr="009E13C5">
        <w:rPr>
          <w:rFonts w:cs="Arial"/>
          <w:color w:val="000000" w:themeColor="text1"/>
          <w:szCs w:val="22"/>
        </w:rPr>
        <w:t>Wellcome</w:t>
      </w:r>
      <w:proofErr w:type="spellEnd"/>
      <w:r w:rsidRPr="009E13C5">
        <w:rPr>
          <w:rFonts w:cs="Arial"/>
          <w:color w:val="000000" w:themeColor="text1"/>
          <w:szCs w:val="22"/>
        </w:rPr>
        <w:t xml:space="preserve"> Trust DPhil Training Fellowship to continue her work on improving confidence in psychosis in the VR lab.</w:t>
      </w:r>
    </w:p>
    <w:p w:rsidR="00EE2606" w:rsidRPr="009E13C5" w:rsidRDefault="00EE2606" w:rsidP="0017480B">
      <w:pPr>
        <w:pStyle w:val="ListParagraph"/>
        <w:numPr>
          <w:ilvl w:val="0"/>
          <w:numId w:val="17"/>
        </w:numPr>
        <w:autoSpaceDE w:val="0"/>
        <w:autoSpaceDN w:val="0"/>
        <w:adjustRightInd w:val="0"/>
        <w:spacing w:before="240" w:after="240" w:line="276" w:lineRule="auto"/>
        <w:ind w:left="428"/>
        <w:contextualSpacing/>
        <w:rPr>
          <w:rFonts w:cs="Arial"/>
          <w:color w:val="000000" w:themeColor="text1"/>
          <w:szCs w:val="22"/>
        </w:rPr>
      </w:pPr>
      <w:r w:rsidRPr="009E13C5">
        <w:rPr>
          <w:rFonts w:cs="Arial"/>
          <w:color w:val="000000" w:themeColor="text1"/>
          <w:szCs w:val="22"/>
        </w:rPr>
        <w:t>The theme has supported three further promising clinicians who have submitted/ are about to submit fellowship applications: Dr Rebecca Murphy, Dr Kirsten Smith and Dr Jennifer Wild.</w:t>
      </w:r>
    </w:p>
    <w:p w:rsidR="00800F66" w:rsidRPr="00CD4363" w:rsidRDefault="00800F66" w:rsidP="00800F66">
      <w:pPr>
        <w:autoSpaceDE w:val="0"/>
        <w:autoSpaceDN w:val="0"/>
        <w:adjustRightInd w:val="0"/>
        <w:spacing w:before="240" w:after="240"/>
        <w:ind w:left="720"/>
        <w:contextualSpacing/>
        <w:rPr>
          <w:rFonts w:cs="Arial"/>
          <w:color w:val="FF0000"/>
          <w:szCs w:val="22"/>
        </w:rPr>
      </w:pPr>
    </w:p>
    <w:p w:rsidR="00D475F1" w:rsidRPr="001470DA" w:rsidRDefault="00D475F1" w:rsidP="00D475F1">
      <w:pPr>
        <w:keepNext/>
        <w:keepLines/>
        <w:numPr>
          <w:ilvl w:val="2"/>
          <w:numId w:val="3"/>
        </w:numPr>
        <w:tabs>
          <w:tab w:val="num" w:pos="360"/>
        </w:tabs>
        <w:spacing w:before="200" w:after="0"/>
        <w:ind w:left="0" w:firstLine="0"/>
        <w:outlineLvl w:val="2"/>
        <w:rPr>
          <w:rFonts w:eastAsiaTheme="majorEastAsia" w:cstheme="majorBidi"/>
          <w:b/>
          <w:bCs/>
          <w:sz w:val="24"/>
        </w:rPr>
      </w:pPr>
      <w:r w:rsidRPr="001470DA">
        <w:rPr>
          <w:rFonts w:eastAsiaTheme="majorEastAsia" w:cstheme="majorBidi"/>
          <w:b/>
          <w:bCs/>
          <w:sz w:val="24"/>
        </w:rPr>
        <w:t>BRC Cross Cutting Themes</w:t>
      </w:r>
    </w:p>
    <w:p w:rsidR="00D475F1" w:rsidRPr="001470DA" w:rsidRDefault="00D475F1" w:rsidP="00156856">
      <w:pPr>
        <w:pStyle w:val="Heading4"/>
        <w:numPr>
          <w:ilvl w:val="0"/>
          <w:numId w:val="0"/>
        </w:numPr>
        <w:ind w:left="864" w:hanging="864"/>
        <w:rPr>
          <w:b/>
          <w:sz w:val="24"/>
          <w:u w:val="none"/>
        </w:rPr>
      </w:pPr>
      <w:r w:rsidRPr="001470DA">
        <w:rPr>
          <w:b/>
          <w:sz w:val="24"/>
          <w:u w:val="none"/>
        </w:rPr>
        <w:t>Informatics/digital health (</w:t>
      </w:r>
      <w:r w:rsidR="00102642" w:rsidRPr="001470DA">
        <w:rPr>
          <w:b/>
          <w:sz w:val="24"/>
          <w:u w:val="none"/>
        </w:rPr>
        <w:t xml:space="preserve">Theme </w:t>
      </w:r>
      <w:r w:rsidRPr="001470DA">
        <w:rPr>
          <w:b/>
          <w:sz w:val="24"/>
          <w:u w:val="none"/>
        </w:rPr>
        <w:t>Lead: Professor Andrea Cipriani</w:t>
      </w:r>
      <w:r w:rsidR="00E92A23" w:rsidRPr="001470DA">
        <w:rPr>
          <w:b/>
          <w:sz w:val="24"/>
          <w:u w:val="none"/>
        </w:rPr>
        <w:t>)</w:t>
      </w:r>
    </w:p>
    <w:p w:rsidR="000D244B" w:rsidRPr="001470DA" w:rsidDel="00061C7F" w:rsidRDefault="000D244B" w:rsidP="000D244B">
      <w:pPr>
        <w:rPr>
          <w:rFonts w:cs="Arial"/>
          <w:b/>
          <w:bCs/>
          <w:szCs w:val="22"/>
          <w:lang w:val="en-GB"/>
        </w:rPr>
      </w:pPr>
      <w:r w:rsidRPr="001470DA" w:rsidDel="00061C7F">
        <w:rPr>
          <w:rFonts w:cs="Arial"/>
          <w:b/>
          <w:bCs/>
          <w:szCs w:val="22"/>
          <w:lang w:val="en-GB"/>
        </w:rPr>
        <w:t>Progress against objectives</w:t>
      </w:r>
    </w:p>
    <w:p w:rsidR="000D244B" w:rsidRPr="0010732E" w:rsidRDefault="000D244B" w:rsidP="000D244B">
      <w:pPr>
        <w:rPr>
          <w:rFonts w:cs="Arial"/>
          <w:szCs w:val="22"/>
          <w:lang w:val="en-GB"/>
        </w:rPr>
      </w:pPr>
      <w:r w:rsidRPr="0010732E">
        <w:rPr>
          <w:rFonts w:cs="Arial"/>
          <w:szCs w:val="22"/>
          <w:lang w:val="en-GB"/>
        </w:rPr>
        <w:t xml:space="preserve">The overall aim of the Informatics and Digital Health theme is to develop advanced analytics approaches to support BRC research themes as well as developing data driven initiatives of its own. Between January and July 2019, the theme carried out a critical review and redesign of its organisational structure, content and programme aims, which we outline below together with some of the </w:t>
      </w:r>
      <w:proofErr w:type="gramStart"/>
      <w:r w:rsidRPr="0010732E">
        <w:rPr>
          <w:rFonts w:cs="Arial"/>
          <w:szCs w:val="22"/>
          <w:lang w:val="en-GB"/>
        </w:rPr>
        <w:t>themes</w:t>
      </w:r>
      <w:proofErr w:type="gramEnd"/>
      <w:r w:rsidRPr="0010732E">
        <w:rPr>
          <w:rFonts w:cs="Arial"/>
          <w:szCs w:val="22"/>
          <w:lang w:val="en-GB"/>
        </w:rPr>
        <w:t xml:space="preserve"> key achievements. </w:t>
      </w:r>
    </w:p>
    <w:p w:rsidR="000D244B" w:rsidRPr="0010732E" w:rsidRDefault="000D244B" w:rsidP="000D244B">
      <w:pPr>
        <w:rPr>
          <w:rFonts w:cs="Arial"/>
          <w:i/>
          <w:szCs w:val="22"/>
          <w:lang w:val="en-GB"/>
        </w:rPr>
      </w:pPr>
      <w:r w:rsidRPr="0010732E">
        <w:rPr>
          <w:rFonts w:cs="Arial"/>
          <w:i/>
          <w:szCs w:val="22"/>
          <w:lang w:val="en-GB"/>
        </w:rPr>
        <w:t>Organisation:</w:t>
      </w:r>
    </w:p>
    <w:p w:rsidR="000D244B" w:rsidRPr="0010732E" w:rsidRDefault="000D244B" w:rsidP="0017480B">
      <w:pPr>
        <w:numPr>
          <w:ilvl w:val="0"/>
          <w:numId w:val="18"/>
        </w:numPr>
        <w:spacing w:before="0" w:after="0"/>
        <w:ind w:left="428"/>
        <w:jc w:val="left"/>
        <w:rPr>
          <w:rFonts w:cs="Arial"/>
          <w:szCs w:val="22"/>
          <w:lang w:val="en-GB"/>
        </w:rPr>
      </w:pPr>
      <w:r w:rsidRPr="0010732E">
        <w:rPr>
          <w:rFonts w:cs="Arial"/>
          <w:szCs w:val="22"/>
          <w:lang w:val="en-GB"/>
        </w:rPr>
        <w:t xml:space="preserve">A change in leadership presented an opportunity to redefine clear lines of responsibility for the overall theme and subthemes. </w:t>
      </w:r>
    </w:p>
    <w:p w:rsidR="000D244B" w:rsidRPr="0010732E" w:rsidRDefault="000D244B" w:rsidP="0017480B">
      <w:pPr>
        <w:numPr>
          <w:ilvl w:val="0"/>
          <w:numId w:val="18"/>
        </w:numPr>
        <w:spacing w:before="0" w:after="0"/>
        <w:ind w:left="428"/>
        <w:jc w:val="left"/>
        <w:rPr>
          <w:rFonts w:cs="Arial"/>
          <w:szCs w:val="22"/>
          <w:lang w:val="en-GB"/>
        </w:rPr>
      </w:pPr>
      <w:r w:rsidRPr="0010732E">
        <w:rPr>
          <w:rFonts w:cs="Arial"/>
          <w:szCs w:val="22"/>
          <w:lang w:val="en-GB"/>
        </w:rPr>
        <w:t>A theme coordinator was recruited.</w:t>
      </w:r>
    </w:p>
    <w:p w:rsidR="000D244B" w:rsidRPr="0010732E" w:rsidRDefault="000D244B" w:rsidP="0017480B">
      <w:pPr>
        <w:numPr>
          <w:ilvl w:val="0"/>
          <w:numId w:val="18"/>
        </w:numPr>
        <w:spacing w:before="0" w:after="0"/>
        <w:ind w:left="428"/>
        <w:jc w:val="left"/>
        <w:rPr>
          <w:rFonts w:cs="Arial"/>
          <w:szCs w:val="22"/>
          <w:lang w:val="en-GB"/>
        </w:rPr>
      </w:pPr>
      <w:r w:rsidRPr="0010732E">
        <w:rPr>
          <w:rFonts w:cs="Arial"/>
          <w:szCs w:val="22"/>
          <w:lang w:val="en-GB"/>
        </w:rPr>
        <w:t>Subtheme leads were defined.</w:t>
      </w:r>
    </w:p>
    <w:p w:rsidR="000D244B" w:rsidRPr="0010732E" w:rsidRDefault="000D244B" w:rsidP="0017480B">
      <w:pPr>
        <w:numPr>
          <w:ilvl w:val="0"/>
          <w:numId w:val="18"/>
        </w:numPr>
        <w:spacing w:before="0" w:after="0"/>
        <w:ind w:left="428"/>
        <w:jc w:val="left"/>
        <w:rPr>
          <w:rFonts w:cs="Arial"/>
          <w:szCs w:val="22"/>
          <w:lang w:val="en-GB"/>
        </w:rPr>
      </w:pPr>
      <w:r w:rsidRPr="0010732E">
        <w:rPr>
          <w:rFonts w:cs="Arial"/>
          <w:szCs w:val="22"/>
          <w:lang w:val="en-GB"/>
        </w:rPr>
        <w:t xml:space="preserve">We established a more balanced representation of trust and departmental personnel. </w:t>
      </w:r>
    </w:p>
    <w:p w:rsidR="000D244B" w:rsidRPr="0010732E" w:rsidRDefault="000D244B" w:rsidP="000D244B">
      <w:pPr>
        <w:rPr>
          <w:rFonts w:cs="Arial"/>
          <w:i/>
          <w:szCs w:val="22"/>
          <w:lang w:val="en-GB"/>
        </w:rPr>
      </w:pPr>
      <w:r w:rsidRPr="0010732E">
        <w:rPr>
          <w:rFonts w:cs="Arial"/>
          <w:i/>
          <w:szCs w:val="22"/>
          <w:lang w:val="en-GB"/>
        </w:rPr>
        <w:t xml:space="preserve">Content: </w:t>
      </w:r>
    </w:p>
    <w:p w:rsidR="000D244B" w:rsidRPr="0010732E" w:rsidRDefault="000D244B" w:rsidP="000D244B">
      <w:pPr>
        <w:rPr>
          <w:rFonts w:cs="Arial"/>
          <w:szCs w:val="22"/>
          <w:lang w:val="en-GB"/>
        </w:rPr>
      </w:pPr>
      <w:r w:rsidRPr="0010732E">
        <w:rPr>
          <w:rFonts w:cs="Arial"/>
          <w:szCs w:val="22"/>
          <w:lang w:val="en-GB"/>
        </w:rPr>
        <w:t>The core team reviewed the projects adopted by the theme and</w:t>
      </w:r>
      <w:r w:rsidRPr="0010732E">
        <w:rPr>
          <w:rFonts w:cs="Arial"/>
          <w:b/>
          <w:szCs w:val="22"/>
          <w:lang w:val="en-GB"/>
        </w:rPr>
        <w:t xml:space="preserve"> </w:t>
      </w:r>
      <w:r w:rsidRPr="0010732E">
        <w:rPr>
          <w:rFonts w:cs="Arial"/>
          <w:szCs w:val="22"/>
          <w:lang w:val="en-GB"/>
        </w:rPr>
        <w:t xml:space="preserve">made the decision to focus on fewer but high impact projects, which met a well-considered selection of BRC </w:t>
      </w:r>
      <w:r w:rsidRPr="0010732E">
        <w:rPr>
          <w:rFonts w:cs="Arial"/>
          <w:b/>
          <w:szCs w:val="22"/>
          <w:lang w:val="en-GB"/>
        </w:rPr>
        <w:t>relevant criteria</w:t>
      </w:r>
      <w:r w:rsidRPr="0010732E">
        <w:rPr>
          <w:rFonts w:cs="Arial"/>
          <w:szCs w:val="22"/>
          <w:lang w:val="en-GB"/>
        </w:rPr>
        <w:t>, most importantly: Innovation based on original work; Oxford style leadership expression; Alignment with our trust digital strategy.</w:t>
      </w:r>
    </w:p>
    <w:p w:rsidR="000D244B" w:rsidRPr="0010732E" w:rsidRDefault="000D244B" w:rsidP="000D244B">
      <w:pPr>
        <w:rPr>
          <w:rFonts w:cs="Arial"/>
          <w:szCs w:val="22"/>
          <w:lang w:val="en-GB"/>
        </w:rPr>
      </w:pPr>
      <w:r w:rsidRPr="0010732E">
        <w:rPr>
          <w:rFonts w:cs="Arial"/>
          <w:szCs w:val="22"/>
          <w:lang w:val="en-GB"/>
        </w:rPr>
        <w:t>Five projects were selected to be the initial focus of the theme’s work (</w:t>
      </w:r>
      <w:r w:rsidRPr="0010732E">
        <w:rPr>
          <w:rFonts w:cs="Arial"/>
          <w:b/>
          <w:szCs w:val="22"/>
          <w:lang w:val="en-GB"/>
        </w:rPr>
        <w:t>Flagship Projects</w:t>
      </w:r>
      <w:r w:rsidRPr="0010732E">
        <w:rPr>
          <w:rFonts w:cs="Arial"/>
          <w:szCs w:val="22"/>
          <w:lang w:val="en-GB"/>
        </w:rPr>
        <w:t xml:space="preserve">), and these were presented to the trust digital strategy board: </w:t>
      </w:r>
    </w:p>
    <w:p w:rsidR="000D244B" w:rsidRPr="0010732E" w:rsidRDefault="000D244B" w:rsidP="0017480B">
      <w:pPr>
        <w:numPr>
          <w:ilvl w:val="0"/>
          <w:numId w:val="18"/>
        </w:numPr>
        <w:spacing w:before="0" w:after="0"/>
        <w:ind w:left="425" w:hanging="357"/>
        <w:jc w:val="left"/>
        <w:rPr>
          <w:rFonts w:cs="Arial"/>
          <w:szCs w:val="22"/>
          <w:lang w:val="en-GB"/>
        </w:rPr>
      </w:pPr>
      <w:r w:rsidRPr="0010732E">
        <w:rPr>
          <w:rFonts w:cs="Arial"/>
          <w:szCs w:val="22"/>
          <w:lang w:val="en-GB"/>
        </w:rPr>
        <w:t xml:space="preserve">PETRUSHKA: </w:t>
      </w:r>
      <w:proofErr w:type="spellStart"/>
      <w:r w:rsidRPr="0010732E">
        <w:rPr>
          <w:rFonts w:cs="Arial"/>
          <w:szCs w:val="22"/>
        </w:rPr>
        <w:t>Personalise</w:t>
      </w:r>
      <w:proofErr w:type="spellEnd"/>
      <w:r w:rsidRPr="0010732E">
        <w:rPr>
          <w:rFonts w:cs="Arial"/>
          <w:szCs w:val="22"/>
        </w:rPr>
        <w:t xml:space="preserve"> </w:t>
      </w:r>
      <w:proofErr w:type="spellStart"/>
      <w:r w:rsidRPr="0010732E">
        <w:rPr>
          <w:rFonts w:cs="Arial"/>
          <w:szCs w:val="22"/>
        </w:rPr>
        <w:t>antidEpressant</w:t>
      </w:r>
      <w:proofErr w:type="spellEnd"/>
      <w:r w:rsidRPr="0010732E">
        <w:rPr>
          <w:rFonts w:cs="Arial"/>
          <w:szCs w:val="22"/>
        </w:rPr>
        <w:t xml:space="preserve"> </w:t>
      </w:r>
      <w:proofErr w:type="spellStart"/>
      <w:r w:rsidRPr="0010732E">
        <w:rPr>
          <w:rFonts w:cs="Arial"/>
          <w:szCs w:val="22"/>
        </w:rPr>
        <w:t>TReatment</w:t>
      </w:r>
      <w:proofErr w:type="spellEnd"/>
      <w:r w:rsidRPr="0010732E">
        <w:rPr>
          <w:rFonts w:cs="Arial"/>
          <w:szCs w:val="22"/>
        </w:rPr>
        <w:t xml:space="preserve"> for Unipolar </w:t>
      </w:r>
      <w:proofErr w:type="spellStart"/>
      <w:r w:rsidRPr="0010732E">
        <w:rPr>
          <w:rFonts w:cs="Arial"/>
          <w:szCs w:val="22"/>
        </w:rPr>
        <w:t>depreSsion</w:t>
      </w:r>
      <w:proofErr w:type="spellEnd"/>
      <w:r w:rsidRPr="0010732E">
        <w:rPr>
          <w:rFonts w:cs="Arial"/>
          <w:szCs w:val="22"/>
        </w:rPr>
        <w:t xml:space="preserve"> combining individual </w:t>
      </w:r>
      <w:proofErr w:type="spellStart"/>
      <w:r w:rsidRPr="0010732E">
        <w:rPr>
          <w:rFonts w:cs="Arial"/>
          <w:szCs w:val="22"/>
        </w:rPr>
        <w:t>cHoices</w:t>
      </w:r>
      <w:proofErr w:type="spellEnd"/>
      <w:r w:rsidRPr="0010732E">
        <w:rPr>
          <w:rFonts w:cs="Arial"/>
          <w:szCs w:val="22"/>
        </w:rPr>
        <w:t xml:space="preserve">, </w:t>
      </w:r>
      <w:proofErr w:type="spellStart"/>
      <w:r w:rsidRPr="0010732E">
        <w:rPr>
          <w:rFonts w:cs="Arial"/>
          <w:szCs w:val="22"/>
        </w:rPr>
        <w:t>risKs</w:t>
      </w:r>
      <w:proofErr w:type="spellEnd"/>
      <w:r w:rsidRPr="0010732E">
        <w:rPr>
          <w:rFonts w:cs="Arial"/>
          <w:szCs w:val="22"/>
        </w:rPr>
        <w:t xml:space="preserve"> and big </w:t>
      </w:r>
      <w:proofErr w:type="spellStart"/>
      <w:r w:rsidRPr="0010732E">
        <w:rPr>
          <w:rFonts w:cs="Arial"/>
          <w:szCs w:val="22"/>
        </w:rPr>
        <w:t>datA</w:t>
      </w:r>
      <w:proofErr w:type="spellEnd"/>
      <w:r w:rsidRPr="0010732E">
        <w:rPr>
          <w:rFonts w:cs="Arial"/>
          <w:szCs w:val="22"/>
          <w:lang w:val="en-GB"/>
        </w:rPr>
        <w:t>.</w:t>
      </w:r>
    </w:p>
    <w:p w:rsidR="000D244B" w:rsidRPr="0010732E" w:rsidRDefault="000D244B" w:rsidP="0017480B">
      <w:pPr>
        <w:numPr>
          <w:ilvl w:val="0"/>
          <w:numId w:val="18"/>
        </w:numPr>
        <w:spacing w:before="0" w:after="0"/>
        <w:ind w:left="425" w:hanging="357"/>
        <w:rPr>
          <w:rFonts w:cs="Arial"/>
          <w:szCs w:val="22"/>
          <w:lang w:val="en-GB"/>
        </w:rPr>
      </w:pPr>
      <w:r w:rsidRPr="0010732E">
        <w:rPr>
          <w:rFonts w:cs="Arial"/>
          <w:szCs w:val="22"/>
          <w:lang w:val="en-GB"/>
        </w:rPr>
        <w:t xml:space="preserve">Risk Stratification: applying AI to real-world data for structured risk assessment, to stratify patients at risk of suicide with proposed intervention. </w:t>
      </w:r>
    </w:p>
    <w:p w:rsidR="000D244B" w:rsidRPr="0010732E" w:rsidRDefault="000D244B" w:rsidP="0017480B">
      <w:pPr>
        <w:numPr>
          <w:ilvl w:val="0"/>
          <w:numId w:val="18"/>
        </w:numPr>
        <w:spacing w:before="0" w:after="0"/>
        <w:ind w:left="425" w:hanging="357"/>
        <w:rPr>
          <w:rFonts w:cs="Arial"/>
          <w:szCs w:val="22"/>
          <w:lang w:val="en-GB"/>
        </w:rPr>
      </w:pPr>
      <w:r w:rsidRPr="0010732E">
        <w:rPr>
          <w:rFonts w:cs="Arial"/>
          <w:szCs w:val="22"/>
          <w:lang w:val="en-GB"/>
        </w:rPr>
        <w:t xml:space="preserve">EMOTIVE: </w:t>
      </w:r>
      <w:proofErr w:type="spellStart"/>
      <w:r w:rsidRPr="0010732E">
        <w:rPr>
          <w:rFonts w:cs="Arial"/>
          <w:szCs w:val="22"/>
          <w:lang w:val="en-GB"/>
        </w:rPr>
        <w:t>accuratE</w:t>
      </w:r>
      <w:proofErr w:type="spellEnd"/>
      <w:r w:rsidRPr="0010732E">
        <w:rPr>
          <w:rFonts w:cs="Arial"/>
          <w:szCs w:val="22"/>
          <w:lang w:val="en-GB"/>
        </w:rPr>
        <w:t xml:space="preserve"> </w:t>
      </w:r>
      <w:proofErr w:type="spellStart"/>
      <w:r w:rsidRPr="0010732E">
        <w:rPr>
          <w:rFonts w:cs="Arial"/>
          <w:szCs w:val="22"/>
          <w:lang w:val="en-GB"/>
        </w:rPr>
        <w:t>MOod</w:t>
      </w:r>
      <w:proofErr w:type="spellEnd"/>
      <w:r w:rsidRPr="0010732E">
        <w:rPr>
          <w:rFonts w:cs="Arial"/>
          <w:szCs w:val="22"/>
          <w:lang w:val="en-GB"/>
        </w:rPr>
        <w:t xml:space="preserve"> profiling/</w:t>
      </w:r>
      <w:proofErr w:type="spellStart"/>
      <w:r w:rsidRPr="0010732E">
        <w:rPr>
          <w:rFonts w:cs="Arial"/>
          <w:szCs w:val="22"/>
          <w:lang w:val="en-GB"/>
        </w:rPr>
        <w:t>forecasTIng</w:t>
      </w:r>
      <w:proofErr w:type="spellEnd"/>
      <w:r w:rsidRPr="0010732E">
        <w:rPr>
          <w:rFonts w:cs="Arial"/>
          <w:szCs w:val="22"/>
          <w:lang w:val="en-GB"/>
        </w:rPr>
        <w:t xml:space="preserve"> from multi-modal 3D face data (Video) </w:t>
      </w:r>
      <w:proofErr w:type="spellStart"/>
      <w:r w:rsidRPr="0010732E">
        <w:rPr>
          <w:rFonts w:cs="Arial"/>
          <w:szCs w:val="22"/>
          <w:lang w:val="en-GB"/>
        </w:rPr>
        <w:t>strEams</w:t>
      </w:r>
      <w:proofErr w:type="spellEnd"/>
      <w:r w:rsidRPr="0010732E">
        <w:rPr>
          <w:rFonts w:cs="Arial"/>
          <w:szCs w:val="22"/>
          <w:lang w:val="en-GB"/>
        </w:rPr>
        <w:t>.</w:t>
      </w:r>
    </w:p>
    <w:p w:rsidR="000D244B" w:rsidRPr="0010732E" w:rsidRDefault="000D244B" w:rsidP="0017480B">
      <w:pPr>
        <w:numPr>
          <w:ilvl w:val="0"/>
          <w:numId w:val="18"/>
        </w:numPr>
        <w:spacing w:before="0" w:after="0"/>
        <w:ind w:left="425" w:hanging="357"/>
        <w:jc w:val="left"/>
        <w:rPr>
          <w:rFonts w:cs="Arial"/>
          <w:szCs w:val="22"/>
          <w:lang w:val="en-GB"/>
        </w:rPr>
      </w:pPr>
      <w:proofErr w:type="spellStart"/>
      <w:r w:rsidRPr="0010732E">
        <w:rPr>
          <w:rFonts w:cs="Arial"/>
          <w:szCs w:val="22"/>
          <w:lang w:val="en-GB"/>
        </w:rPr>
        <w:lastRenderedPageBreak/>
        <w:t>iSAM</w:t>
      </w:r>
      <w:proofErr w:type="spellEnd"/>
      <w:r w:rsidRPr="0010732E">
        <w:rPr>
          <w:rFonts w:cs="Arial"/>
          <w:szCs w:val="22"/>
          <w:lang w:val="en-GB"/>
        </w:rPr>
        <w:t>: informatics Solution for Adolescent Mental Health – enabling a platform with the aim to prevent and reduce mental health problems</w:t>
      </w:r>
    </w:p>
    <w:p w:rsidR="000D244B" w:rsidRPr="0010732E" w:rsidRDefault="000D244B" w:rsidP="0017480B">
      <w:pPr>
        <w:numPr>
          <w:ilvl w:val="0"/>
          <w:numId w:val="18"/>
        </w:numPr>
        <w:spacing w:before="0" w:after="0"/>
        <w:ind w:left="425" w:hanging="357"/>
        <w:jc w:val="left"/>
        <w:rPr>
          <w:rFonts w:cs="Arial"/>
          <w:szCs w:val="22"/>
          <w:lang w:val="en-GB"/>
        </w:rPr>
      </w:pPr>
      <w:r w:rsidRPr="0010732E">
        <w:rPr>
          <w:rFonts w:cs="Arial"/>
          <w:szCs w:val="22"/>
          <w:lang w:val="en-GB"/>
        </w:rPr>
        <w:t>Biomarkers: – blood-based biomarker to detect the earliest stage of AD at much lower cost than current techniques</w:t>
      </w:r>
    </w:p>
    <w:p w:rsidR="000D244B" w:rsidRPr="0010732E" w:rsidRDefault="000D244B" w:rsidP="000D244B">
      <w:pPr>
        <w:rPr>
          <w:rFonts w:cs="Arial"/>
          <w:szCs w:val="22"/>
          <w:lang w:val="en-GB"/>
        </w:rPr>
      </w:pPr>
      <w:r w:rsidRPr="0010732E">
        <w:rPr>
          <w:rFonts w:cs="Arial"/>
          <w:szCs w:val="22"/>
          <w:lang w:val="en-GB"/>
        </w:rPr>
        <w:t xml:space="preserve">In order to understand the theme’s </w:t>
      </w:r>
      <w:r w:rsidRPr="0010732E">
        <w:rPr>
          <w:rFonts w:cs="Arial"/>
          <w:b/>
          <w:szCs w:val="22"/>
          <w:lang w:val="en-GB"/>
        </w:rPr>
        <w:t>cross-cutting objectives</w:t>
      </w:r>
      <w:r w:rsidRPr="0010732E">
        <w:rPr>
          <w:rFonts w:cs="Arial"/>
          <w:szCs w:val="22"/>
          <w:lang w:val="en-GB"/>
        </w:rPr>
        <w:t>, in the Summer of 2019</w:t>
      </w:r>
      <w:r w:rsidRPr="0010732E">
        <w:rPr>
          <w:rFonts w:cs="Arial"/>
          <w:b/>
          <w:szCs w:val="22"/>
          <w:lang w:val="en-GB"/>
        </w:rPr>
        <w:t xml:space="preserve"> </w:t>
      </w:r>
      <w:r w:rsidRPr="0010732E">
        <w:rPr>
          <w:rFonts w:cs="Arial"/>
          <w:szCs w:val="22"/>
          <w:lang w:val="en-GB"/>
        </w:rPr>
        <w:t xml:space="preserve">we conducted a </w:t>
      </w:r>
      <w:proofErr w:type="gramStart"/>
      <w:r w:rsidRPr="0010732E">
        <w:rPr>
          <w:rFonts w:cs="Arial"/>
          <w:b/>
          <w:szCs w:val="22"/>
          <w:lang w:val="en-GB"/>
        </w:rPr>
        <w:t>market place</w:t>
      </w:r>
      <w:proofErr w:type="gramEnd"/>
      <w:r w:rsidRPr="0010732E">
        <w:rPr>
          <w:rFonts w:cs="Arial"/>
          <w:szCs w:val="22"/>
          <w:lang w:val="en-GB"/>
        </w:rPr>
        <w:t xml:space="preserve"> and invited each of the other themes to discuss the digital aspects of their work. This was an opportunity to identify the support we could offer to the other themes, but also to present the work of the digital theme.</w:t>
      </w:r>
    </w:p>
    <w:p w:rsidR="000D244B" w:rsidRPr="0010732E" w:rsidRDefault="000D244B" w:rsidP="000D244B">
      <w:pPr>
        <w:rPr>
          <w:rFonts w:cs="Arial"/>
          <w:i/>
          <w:szCs w:val="22"/>
          <w:lang w:val="en-GB"/>
        </w:rPr>
      </w:pPr>
      <w:r w:rsidRPr="0010732E">
        <w:rPr>
          <w:rFonts w:cs="Arial"/>
          <w:i/>
          <w:szCs w:val="22"/>
          <w:lang w:val="en-GB"/>
        </w:rPr>
        <w:t>Programme aims:</w:t>
      </w:r>
    </w:p>
    <w:p w:rsidR="000D244B" w:rsidRPr="0010732E" w:rsidRDefault="000D244B" w:rsidP="000D244B">
      <w:pPr>
        <w:rPr>
          <w:rFonts w:cs="Arial"/>
          <w:szCs w:val="22"/>
          <w:lang w:val="en-GB"/>
        </w:rPr>
      </w:pPr>
      <w:r w:rsidRPr="0010732E">
        <w:rPr>
          <w:rFonts w:cs="Arial"/>
          <w:szCs w:val="22"/>
          <w:lang w:val="en-GB"/>
        </w:rPr>
        <w:t>The outcome of the review process described above and the redefined program</w:t>
      </w:r>
      <w:r>
        <w:rPr>
          <w:rFonts w:cs="Arial"/>
          <w:szCs w:val="22"/>
          <w:lang w:val="en-GB"/>
        </w:rPr>
        <w:t xml:space="preserve"> </w:t>
      </w:r>
      <w:r w:rsidRPr="0010732E">
        <w:rPr>
          <w:rFonts w:cs="Arial"/>
          <w:szCs w:val="22"/>
          <w:lang w:val="en-GB"/>
        </w:rPr>
        <w:t xml:space="preserve">me (plans and approach) were presented during the BRC’s mid term review in October 2019, during which the Informatics and Digital Health theme received helpful and positive feedback. The new focus of the theme is to </w:t>
      </w:r>
      <w:proofErr w:type="gramStart"/>
      <w:r w:rsidRPr="0010732E">
        <w:rPr>
          <w:rFonts w:cs="Arial"/>
          <w:szCs w:val="22"/>
          <w:lang w:val="en-GB"/>
        </w:rPr>
        <w:t>plan ahead</w:t>
      </w:r>
      <w:proofErr w:type="gramEnd"/>
      <w:r w:rsidRPr="0010732E">
        <w:rPr>
          <w:rFonts w:cs="Arial"/>
          <w:szCs w:val="22"/>
          <w:lang w:val="en-GB"/>
        </w:rPr>
        <w:t xml:space="preserve"> for the renewal application in 2021, which involves:</w:t>
      </w:r>
    </w:p>
    <w:p w:rsidR="000D244B" w:rsidRPr="0010732E" w:rsidRDefault="000D244B" w:rsidP="0017480B">
      <w:pPr>
        <w:pStyle w:val="ListParagraph"/>
        <w:numPr>
          <w:ilvl w:val="0"/>
          <w:numId w:val="25"/>
        </w:numPr>
        <w:spacing w:before="0" w:after="0"/>
        <w:ind w:left="425" w:hanging="357"/>
        <w:rPr>
          <w:rFonts w:cs="Arial"/>
          <w:szCs w:val="22"/>
          <w:lang w:val="en-GB"/>
        </w:rPr>
      </w:pPr>
      <w:r w:rsidRPr="0010732E">
        <w:rPr>
          <w:rFonts w:cs="Arial"/>
          <w:szCs w:val="22"/>
          <w:lang w:val="en-GB"/>
        </w:rPr>
        <w:t>continuous review of the projects supported by the theme;</w:t>
      </w:r>
    </w:p>
    <w:p w:rsidR="000D244B" w:rsidRPr="0010732E" w:rsidRDefault="000D244B" w:rsidP="0017480B">
      <w:pPr>
        <w:pStyle w:val="ListParagraph"/>
        <w:numPr>
          <w:ilvl w:val="0"/>
          <w:numId w:val="25"/>
        </w:numPr>
        <w:spacing w:before="0" w:after="0"/>
        <w:ind w:left="425" w:hanging="357"/>
        <w:rPr>
          <w:rFonts w:cs="Arial"/>
          <w:szCs w:val="22"/>
          <w:lang w:val="en-GB"/>
        </w:rPr>
      </w:pPr>
      <w:r w:rsidRPr="0010732E">
        <w:rPr>
          <w:rFonts w:cs="Arial"/>
          <w:szCs w:val="22"/>
          <w:lang w:val="en-GB"/>
        </w:rPr>
        <w:t>plans to work with international world-class partners (University of Toronto and CAMH);</w:t>
      </w:r>
    </w:p>
    <w:p w:rsidR="000D244B" w:rsidRPr="0010732E" w:rsidRDefault="000D244B" w:rsidP="0017480B">
      <w:pPr>
        <w:pStyle w:val="ListParagraph"/>
        <w:numPr>
          <w:ilvl w:val="0"/>
          <w:numId w:val="25"/>
        </w:numPr>
        <w:spacing w:before="0" w:after="0"/>
        <w:ind w:left="425" w:hanging="357"/>
        <w:rPr>
          <w:rFonts w:cs="Arial"/>
          <w:szCs w:val="22"/>
          <w:lang w:val="en-GB"/>
        </w:rPr>
      </w:pPr>
      <w:r w:rsidRPr="0010732E">
        <w:rPr>
          <w:rFonts w:cs="Arial"/>
          <w:szCs w:val="22"/>
          <w:lang w:val="en-GB"/>
        </w:rPr>
        <w:t>actively seeking industry partners that could benefit progress and increase opportunities;</w:t>
      </w:r>
    </w:p>
    <w:p w:rsidR="000D244B" w:rsidRPr="0010732E" w:rsidRDefault="000D244B" w:rsidP="0017480B">
      <w:pPr>
        <w:pStyle w:val="ListParagraph"/>
        <w:numPr>
          <w:ilvl w:val="0"/>
          <w:numId w:val="25"/>
        </w:numPr>
        <w:spacing w:before="0" w:after="0"/>
        <w:ind w:left="425" w:hanging="357"/>
        <w:rPr>
          <w:rFonts w:cs="Arial"/>
          <w:szCs w:val="22"/>
          <w:lang w:val="en-GB"/>
        </w:rPr>
      </w:pPr>
      <w:r w:rsidRPr="0010732E">
        <w:rPr>
          <w:rFonts w:cs="Arial"/>
          <w:szCs w:val="22"/>
          <w:lang w:val="en-GB"/>
        </w:rPr>
        <w:t>Integration of the 3 subthemes (real-world data, informatics, digital phenotyping), whereby the combined value should exceed the sum of the separate subthemes, working towards a personalised care approach.</w:t>
      </w:r>
    </w:p>
    <w:p w:rsidR="000D244B" w:rsidRPr="0010732E" w:rsidRDefault="000D244B" w:rsidP="000D244B">
      <w:pPr>
        <w:rPr>
          <w:rFonts w:cs="Arial"/>
          <w:i/>
          <w:szCs w:val="22"/>
          <w:lang w:val="en-GB"/>
        </w:rPr>
      </w:pPr>
      <w:r w:rsidRPr="0010732E">
        <w:rPr>
          <w:rFonts w:cs="Arial"/>
          <w:i/>
          <w:szCs w:val="22"/>
          <w:lang w:val="en-GB"/>
        </w:rPr>
        <w:t>Key achievements:</w:t>
      </w:r>
    </w:p>
    <w:p w:rsidR="000D244B" w:rsidRPr="0089254A" w:rsidRDefault="000D244B" w:rsidP="0017480B">
      <w:pPr>
        <w:pStyle w:val="ListParagraph"/>
        <w:numPr>
          <w:ilvl w:val="0"/>
          <w:numId w:val="35"/>
        </w:numPr>
        <w:ind w:left="428"/>
        <w:rPr>
          <w:rFonts w:cs="Arial"/>
          <w:szCs w:val="22"/>
          <w:lang w:val="en-GB"/>
        </w:rPr>
      </w:pPr>
      <w:r w:rsidRPr="0089254A">
        <w:rPr>
          <w:rFonts w:cs="Arial"/>
          <w:szCs w:val="22"/>
          <w:lang w:val="en-GB"/>
        </w:rPr>
        <w:t xml:space="preserve">The </w:t>
      </w:r>
      <w:r w:rsidRPr="0089254A">
        <w:rPr>
          <w:rFonts w:cs="Arial"/>
          <w:b/>
          <w:szCs w:val="22"/>
          <w:lang w:val="en-GB"/>
        </w:rPr>
        <w:t xml:space="preserve">UKCRIS </w:t>
      </w:r>
      <w:r w:rsidRPr="0089254A">
        <w:rPr>
          <w:rFonts w:cs="Arial"/>
          <w:szCs w:val="22"/>
          <w:lang w:val="en-GB"/>
        </w:rPr>
        <w:t xml:space="preserve">initiative progressed in scaling the collaboration network, augmenting the data set, and sustainability. 12 NHS Trusts are now in partnership with 2.8m de-identified records. A team was established to enhance data management and data science, 3 research studies are approved with UK Biobank, and integration is completed with IAPT data and HIC acute data at OUH BRC. Work is underway to link with True Colours and a national primary care database. A sustainability model has been developed to enable long-term value proposition for the NHS, in partnership with industry, and academia. </w:t>
      </w:r>
      <w:proofErr w:type="spellStart"/>
      <w:r w:rsidRPr="0089254A">
        <w:rPr>
          <w:rFonts w:cs="Arial"/>
          <w:szCs w:val="22"/>
          <w:lang w:val="en-GB"/>
        </w:rPr>
        <w:t>CRIStal</w:t>
      </w:r>
      <w:proofErr w:type="spellEnd"/>
      <w:r w:rsidRPr="0089254A">
        <w:rPr>
          <w:rFonts w:cs="Arial"/>
          <w:szCs w:val="22"/>
          <w:lang w:val="en-GB"/>
        </w:rPr>
        <w:t xml:space="preserve"> Health Ltd was incorporated in May 2019 with private sector investment. A launch of the company’s new brand ‘Akrivia Health’ was held in December 2019.</w:t>
      </w:r>
    </w:p>
    <w:p w:rsidR="000D244B" w:rsidRPr="0010732E" w:rsidRDefault="000D244B" w:rsidP="0017480B">
      <w:pPr>
        <w:pStyle w:val="ListParagraph"/>
        <w:numPr>
          <w:ilvl w:val="0"/>
          <w:numId w:val="35"/>
        </w:numPr>
        <w:ind w:left="428"/>
        <w:rPr>
          <w:rFonts w:cs="Arial"/>
          <w:szCs w:val="22"/>
          <w:lang w:val="en-GB"/>
        </w:rPr>
      </w:pPr>
      <w:r w:rsidRPr="0010732E">
        <w:rPr>
          <w:rFonts w:cs="Arial"/>
          <w:szCs w:val="22"/>
          <w:lang w:val="en-GB"/>
        </w:rPr>
        <w:t xml:space="preserve">The BRC continues to lead development of </w:t>
      </w:r>
      <w:r w:rsidRPr="0089254A">
        <w:rPr>
          <w:rFonts w:cs="Arial"/>
          <w:szCs w:val="22"/>
          <w:lang w:val="en-GB"/>
        </w:rPr>
        <w:t xml:space="preserve">True Colours </w:t>
      </w:r>
      <w:r w:rsidRPr="0010732E">
        <w:rPr>
          <w:rFonts w:cs="Arial"/>
          <w:szCs w:val="22"/>
          <w:lang w:val="en-GB"/>
        </w:rPr>
        <w:t>in both research and service contexts. Despite more than 30000 users, and being shortlisted for a BMJ digital innovation award, True Colours lacked a sustainability model. However, after a 6-month programme led by Mike Denis, the relevant stakeholders committed to resourcing True Colours sustainably, involving both Oxford NHS Trusts, with a potential long-term outcome of a spinoff company. A new joint leadership team has been established, with members from the trust and the Department of Psychiatry.</w:t>
      </w:r>
    </w:p>
    <w:p w:rsidR="000D244B" w:rsidRPr="0010732E" w:rsidRDefault="000D244B" w:rsidP="0017480B">
      <w:pPr>
        <w:pStyle w:val="ListParagraph"/>
        <w:numPr>
          <w:ilvl w:val="0"/>
          <w:numId w:val="35"/>
        </w:numPr>
        <w:ind w:left="428"/>
        <w:rPr>
          <w:rFonts w:cs="Arial"/>
          <w:szCs w:val="22"/>
          <w:lang w:val="en-GB"/>
        </w:rPr>
      </w:pPr>
      <w:r w:rsidRPr="0010732E">
        <w:rPr>
          <w:rFonts w:cs="Arial"/>
          <w:szCs w:val="22"/>
          <w:lang w:val="en-GB"/>
        </w:rPr>
        <w:t>We are developing an internet-based system to help doctors and patients choose the best antidepressant</w:t>
      </w:r>
      <w:r w:rsidRPr="0089254A">
        <w:rPr>
          <w:rFonts w:cs="Arial"/>
          <w:szCs w:val="22"/>
          <w:lang w:val="en-GB"/>
        </w:rPr>
        <w:t xml:space="preserve"> (PETRUSHKA)</w:t>
      </w:r>
      <w:r w:rsidRPr="0010732E">
        <w:rPr>
          <w:rFonts w:cs="Arial"/>
          <w:szCs w:val="22"/>
          <w:lang w:val="en-GB"/>
        </w:rPr>
        <w:t xml:space="preserve">. With advanced analysis of existing data, considering efficacy, adverse events, and patient specifics and preferences, we will tailor the choice of medication to the individual. We have developed innovative statistical and artificial intelligence approaches to analyse the data and are linking relevant observational datasets: CRIS and </w:t>
      </w:r>
      <w:proofErr w:type="spellStart"/>
      <w:r w:rsidRPr="0010732E">
        <w:rPr>
          <w:rFonts w:cs="Arial"/>
          <w:szCs w:val="22"/>
          <w:lang w:val="en-GB"/>
        </w:rPr>
        <w:t>QResearch</w:t>
      </w:r>
      <w:proofErr w:type="spellEnd"/>
      <w:r w:rsidRPr="0010732E">
        <w:rPr>
          <w:rFonts w:cs="Arial"/>
          <w:szCs w:val="22"/>
          <w:lang w:val="en-GB"/>
        </w:rPr>
        <w:t xml:space="preserve">. We have published the protocol of the project and explored qualitatively the value of the digital decision support tool. </w:t>
      </w:r>
    </w:p>
    <w:p w:rsidR="000D244B" w:rsidRPr="0010732E" w:rsidRDefault="000D244B" w:rsidP="0017480B">
      <w:pPr>
        <w:pStyle w:val="ListParagraph"/>
        <w:numPr>
          <w:ilvl w:val="0"/>
          <w:numId w:val="35"/>
        </w:numPr>
        <w:ind w:left="428"/>
        <w:rPr>
          <w:rFonts w:cs="Arial"/>
          <w:szCs w:val="22"/>
          <w:lang w:val="en-GB"/>
        </w:rPr>
      </w:pPr>
      <w:r w:rsidRPr="0010732E">
        <w:rPr>
          <w:rFonts w:cs="Arial"/>
          <w:szCs w:val="22"/>
          <w:lang w:val="en-GB"/>
        </w:rPr>
        <w:t>The</w:t>
      </w:r>
      <w:r w:rsidRPr="0089254A">
        <w:rPr>
          <w:rFonts w:cs="Arial"/>
          <w:szCs w:val="22"/>
          <w:lang w:val="en-GB"/>
        </w:rPr>
        <w:t xml:space="preserve"> </w:t>
      </w:r>
      <w:r w:rsidRPr="0010732E">
        <w:rPr>
          <w:rFonts w:cs="Arial"/>
          <w:szCs w:val="22"/>
          <w:lang w:val="en-GB"/>
        </w:rPr>
        <w:t>long-term aim of the</w:t>
      </w:r>
      <w:r w:rsidRPr="0089254A">
        <w:rPr>
          <w:rFonts w:cs="Arial"/>
          <w:szCs w:val="22"/>
          <w:lang w:val="en-GB"/>
        </w:rPr>
        <w:t xml:space="preserve"> </w:t>
      </w:r>
      <w:proofErr w:type="spellStart"/>
      <w:r w:rsidRPr="0089254A">
        <w:rPr>
          <w:rFonts w:cs="Arial"/>
          <w:szCs w:val="22"/>
          <w:lang w:val="en-GB"/>
        </w:rPr>
        <w:t>eMOTIVE</w:t>
      </w:r>
      <w:proofErr w:type="spellEnd"/>
      <w:r w:rsidRPr="0010732E">
        <w:rPr>
          <w:rFonts w:cs="Arial"/>
          <w:szCs w:val="22"/>
          <w:lang w:val="en-GB"/>
        </w:rPr>
        <w:t xml:space="preserve"> project is to develop personalised intervention and management tools for patients with mood disorders, incorporating automated analysis of passive data collected from facial expressions and speech. We have developed both an experimental task and a mobile phone app to capture 3D data on mood whilst preserving privacy. We are currently collecting multi-modal data from patients and healthy volunteers, whilst working with the Alan Turing Institute to develop techniques to extract structured information on mood that can inform accurate diagnosis and </w:t>
      </w:r>
      <w:r w:rsidRPr="0010732E">
        <w:rPr>
          <w:rFonts w:cs="Arial"/>
          <w:szCs w:val="22"/>
          <w:lang w:val="en-GB"/>
        </w:rPr>
        <w:lastRenderedPageBreak/>
        <w:t xml:space="preserve">personalised care. This study (protocol name APFEMA) has CRN portfolio adoption and has already attracted other external funding. </w:t>
      </w:r>
    </w:p>
    <w:p w:rsidR="000D244B" w:rsidRPr="0010732E" w:rsidRDefault="000D244B" w:rsidP="0017480B">
      <w:pPr>
        <w:pStyle w:val="ListParagraph"/>
        <w:numPr>
          <w:ilvl w:val="0"/>
          <w:numId w:val="35"/>
        </w:numPr>
        <w:ind w:left="428"/>
        <w:rPr>
          <w:rFonts w:cs="Arial"/>
          <w:szCs w:val="22"/>
          <w:lang w:val="en-GB"/>
        </w:rPr>
      </w:pPr>
      <w:proofErr w:type="spellStart"/>
      <w:r w:rsidRPr="0089254A">
        <w:rPr>
          <w:rFonts w:cs="Arial"/>
          <w:szCs w:val="22"/>
          <w:lang w:val="en-GB"/>
        </w:rPr>
        <w:t>iSAM</w:t>
      </w:r>
      <w:proofErr w:type="spellEnd"/>
      <w:r w:rsidRPr="0010732E">
        <w:rPr>
          <w:rFonts w:cs="Arial"/>
          <w:szCs w:val="22"/>
          <w:lang w:val="en-GB"/>
        </w:rPr>
        <w:t xml:space="preserve"> is developing a platform of real-world data from children and adolescents, with the long-term aim to prevent and reduce mental health problems. We are working with Oxford Health NHS Foundation Trust to link several data sources to facilitate both research and patient care. We have also collected online survey data from 4450 school pupils in 2019 to inform our understanding of mental health needs in Oxfordshire, have secured external support from Public Health at Oxfordshire County Council to rerun and develop the survey in 2020 and 2021, and are already working with 3 other local authorities to align with their pupil surveys and make the similar data from 4 counties accessible for analysis on a platform. </w:t>
      </w:r>
    </w:p>
    <w:p w:rsidR="000D244B" w:rsidRPr="0010732E" w:rsidRDefault="000D244B" w:rsidP="0017480B">
      <w:pPr>
        <w:pStyle w:val="ListParagraph"/>
        <w:numPr>
          <w:ilvl w:val="0"/>
          <w:numId w:val="35"/>
        </w:numPr>
        <w:ind w:left="428"/>
        <w:rPr>
          <w:rFonts w:cs="Arial"/>
          <w:szCs w:val="22"/>
          <w:lang w:val="en-GB"/>
        </w:rPr>
      </w:pPr>
      <w:r w:rsidRPr="0010732E">
        <w:rPr>
          <w:rFonts w:cs="Arial"/>
          <w:szCs w:val="22"/>
          <w:lang w:val="en-GB"/>
        </w:rPr>
        <w:t xml:space="preserve">We are currently using machine learning to further validate blood </w:t>
      </w:r>
      <w:r w:rsidRPr="0089254A">
        <w:rPr>
          <w:rFonts w:cs="Arial"/>
          <w:szCs w:val="22"/>
          <w:lang w:val="en-GB"/>
        </w:rPr>
        <w:t>biomarkers</w:t>
      </w:r>
      <w:r w:rsidRPr="0010732E">
        <w:rPr>
          <w:rFonts w:cs="Arial"/>
          <w:szCs w:val="22"/>
          <w:lang w:val="en-GB"/>
        </w:rPr>
        <w:t xml:space="preserve"> that identify dementia prior to the onset of symptoms. The biomarker has already been successful in 2 independent datasets. Current plans are to test the biomarker in samples collected during past clinical trials, to assess the efficacy of the biomarker as a predictor of treatment response. If successful, the biomarker could be incorporated in future clinical trials, as a measure of the biological response to drug treatment.</w:t>
      </w:r>
    </w:p>
    <w:p w:rsidR="000D244B" w:rsidRPr="0010732E" w:rsidRDefault="000D244B" w:rsidP="0017480B">
      <w:pPr>
        <w:pStyle w:val="ListParagraph"/>
        <w:numPr>
          <w:ilvl w:val="0"/>
          <w:numId w:val="35"/>
        </w:numPr>
        <w:ind w:left="428"/>
        <w:rPr>
          <w:rFonts w:cs="Arial"/>
          <w:szCs w:val="22"/>
          <w:lang w:val="en-GB"/>
        </w:rPr>
      </w:pPr>
      <w:r w:rsidRPr="0010732E">
        <w:rPr>
          <w:rFonts w:cs="Arial"/>
          <w:szCs w:val="22"/>
          <w:lang w:val="en-GB"/>
        </w:rPr>
        <w:t>Other key achievements involve our close collaboration with the trust digital strategy board, strengthening the link between state-of-the-art research and patient care. This collaboration has led to a critical review of the trust’s policy for inviting patients to participate in research, and better trust alignment for the theme’s flagship projects. The theme has also recruited a new clinical academic - Dan Joyce - who is currently in the process of applying for funding and seeking support from the trust to develop his own ideas for improving patient care, using clinician-facing and patient-facing apps to structure and visualise clinical data in a meaningful way.</w:t>
      </w:r>
    </w:p>
    <w:p w:rsidR="00D475F1" w:rsidRPr="001470DA" w:rsidRDefault="00D475F1" w:rsidP="00156856">
      <w:pPr>
        <w:pStyle w:val="Heading4"/>
        <w:numPr>
          <w:ilvl w:val="0"/>
          <w:numId w:val="0"/>
        </w:numPr>
        <w:ind w:left="864" w:hanging="864"/>
        <w:rPr>
          <w:b/>
          <w:sz w:val="24"/>
          <w:u w:val="none"/>
        </w:rPr>
      </w:pPr>
      <w:r w:rsidRPr="001470DA">
        <w:rPr>
          <w:b/>
          <w:sz w:val="24"/>
          <w:u w:val="none"/>
        </w:rPr>
        <w:t>Neuroimaging and Cognitive Neuroscience (</w:t>
      </w:r>
      <w:r w:rsidR="00102642" w:rsidRPr="001470DA">
        <w:rPr>
          <w:b/>
          <w:sz w:val="24"/>
          <w:u w:val="none"/>
        </w:rPr>
        <w:t xml:space="preserve">Theme </w:t>
      </w:r>
      <w:r w:rsidRPr="001470DA">
        <w:rPr>
          <w:b/>
          <w:sz w:val="24"/>
          <w:u w:val="none"/>
        </w:rPr>
        <w:t xml:space="preserve">Lead: Professor Kia Nobre) </w:t>
      </w:r>
    </w:p>
    <w:p w:rsidR="00F42FEF" w:rsidRPr="001470DA" w:rsidRDefault="00F42FEF" w:rsidP="00F42FEF">
      <w:pPr>
        <w:rPr>
          <w:rFonts w:cs="Arial"/>
          <w:b/>
          <w:bCs/>
          <w:szCs w:val="22"/>
        </w:rPr>
      </w:pPr>
      <w:r w:rsidRPr="001470DA">
        <w:rPr>
          <w:rFonts w:cs="Arial"/>
          <w:b/>
          <w:bCs/>
          <w:szCs w:val="22"/>
        </w:rPr>
        <w:t>Progress against objectives</w:t>
      </w:r>
    </w:p>
    <w:p w:rsidR="00F42FEF" w:rsidRPr="009344FF" w:rsidRDefault="00F42FEF" w:rsidP="0017480B">
      <w:pPr>
        <w:numPr>
          <w:ilvl w:val="0"/>
          <w:numId w:val="12"/>
        </w:numPr>
        <w:ind w:left="360"/>
        <w:rPr>
          <w:rFonts w:cs="Arial"/>
          <w:b/>
          <w:szCs w:val="22"/>
        </w:rPr>
      </w:pPr>
      <w:r w:rsidRPr="009344FF">
        <w:rPr>
          <w:rFonts w:cs="Arial"/>
          <w:b/>
          <w:szCs w:val="22"/>
        </w:rPr>
        <w:t>Development of a suite of sensitive fine-grained cognitive and imaging measures of brain structure and function:</w:t>
      </w:r>
    </w:p>
    <w:p w:rsidR="00F42FEF" w:rsidRPr="009344FF" w:rsidRDefault="00F42FEF" w:rsidP="0089254A">
      <w:pPr>
        <w:ind w:left="360"/>
        <w:rPr>
          <w:rFonts w:cs="Arial"/>
          <w:szCs w:val="22"/>
        </w:rPr>
      </w:pPr>
      <w:r w:rsidRPr="009344FF">
        <w:rPr>
          <w:rFonts w:cs="Arial"/>
          <w:szCs w:val="22"/>
        </w:rPr>
        <w:t>The theme continued to develop and refine sensitive cognitive measures of spatial memory, sustained attention, emotional deficits, and timing, which have or will shortly be applied in a range of patient populations. The new program of work developing virtual reality platforms for cognitive phenotyping is well underway.</w:t>
      </w:r>
    </w:p>
    <w:p w:rsidR="00F42FEF" w:rsidRPr="009344FF" w:rsidRDefault="00F42FEF" w:rsidP="0089254A">
      <w:pPr>
        <w:ind w:left="360"/>
        <w:rPr>
          <w:rFonts w:cs="Arial"/>
          <w:szCs w:val="22"/>
        </w:rPr>
      </w:pPr>
      <w:r w:rsidRPr="009344FF">
        <w:rPr>
          <w:rFonts w:cs="Arial"/>
          <w:szCs w:val="22"/>
        </w:rPr>
        <w:t xml:space="preserve">The Heart-Brain study, part of </w:t>
      </w:r>
      <w:r w:rsidRPr="009344FF">
        <w:rPr>
          <w:rFonts w:cs="Arial"/>
          <w:szCs w:val="22"/>
          <w:shd w:val="clear" w:color="auto" w:fill="FFFFFF"/>
        </w:rPr>
        <w:t xml:space="preserve">Sana Suri’s Alzheimer’s Society Fellowship has opened recruitment and </w:t>
      </w:r>
      <w:r w:rsidRPr="009344FF">
        <w:rPr>
          <w:rFonts w:cs="Arial"/>
          <w:szCs w:val="22"/>
        </w:rPr>
        <w:t>will </w:t>
      </w:r>
      <w:r w:rsidRPr="009344FF">
        <w:rPr>
          <w:rFonts w:cs="Arial"/>
          <w:szCs w:val="22"/>
          <w:shd w:val="clear" w:color="auto" w:fill="FFFFFF"/>
        </w:rPr>
        <w:t xml:space="preserve">investigate the association of mid-life cardiovascular health with brain health in later life. This work aims to evaluate novel MRI biomarkers for dementia clinical trials and inform </w:t>
      </w:r>
      <w:proofErr w:type="spellStart"/>
      <w:r w:rsidRPr="009344FF">
        <w:rPr>
          <w:rFonts w:cs="Arial"/>
          <w:szCs w:val="22"/>
          <w:shd w:val="clear" w:color="auto" w:fill="FFFFFF"/>
        </w:rPr>
        <w:t>personalised</w:t>
      </w:r>
      <w:proofErr w:type="spellEnd"/>
      <w:r w:rsidRPr="009344FF">
        <w:rPr>
          <w:rFonts w:cs="Arial"/>
          <w:szCs w:val="22"/>
          <w:shd w:val="clear" w:color="auto" w:fill="FFFFFF"/>
        </w:rPr>
        <w:t> strategies for managing cardiovascular health to delay dementia.</w:t>
      </w:r>
    </w:p>
    <w:p w:rsidR="00F42FEF" w:rsidRPr="009344FF" w:rsidRDefault="00F42FEF" w:rsidP="0017480B">
      <w:pPr>
        <w:numPr>
          <w:ilvl w:val="0"/>
          <w:numId w:val="12"/>
        </w:numPr>
        <w:ind w:left="360"/>
        <w:rPr>
          <w:rFonts w:cs="Arial"/>
          <w:b/>
          <w:szCs w:val="22"/>
        </w:rPr>
      </w:pPr>
      <w:r w:rsidRPr="009344FF">
        <w:rPr>
          <w:rFonts w:cs="Arial"/>
          <w:b/>
          <w:szCs w:val="22"/>
        </w:rPr>
        <w:t>Establish an apps- and web-based platform for cognitive testing:</w:t>
      </w:r>
    </w:p>
    <w:p w:rsidR="00F42FEF" w:rsidRPr="009344FF" w:rsidRDefault="00F42FEF" w:rsidP="0089254A">
      <w:pPr>
        <w:ind w:left="360"/>
        <w:rPr>
          <w:rFonts w:cs="Arial"/>
          <w:szCs w:val="22"/>
        </w:rPr>
      </w:pPr>
      <w:r w:rsidRPr="009344FF">
        <w:rPr>
          <w:rFonts w:cs="Arial"/>
          <w:szCs w:val="22"/>
        </w:rPr>
        <w:t xml:space="preserve">A set of online cognitive assessments developed within the theme is currently being tested via an online study. </w:t>
      </w:r>
    </w:p>
    <w:p w:rsidR="00F42FEF" w:rsidRPr="009344FF" w:rsidRDefault="00F42FEF" w:rsidP="0089254A">
      <w:pPr>
        <w:ind w:left="360"/>
        <w:rPr>
          <w:rFonts w:cs="Arial"/>
          <w:szCs w:val="22"/>
        </w:rPr>
      </w:pPr>
      <w:r w:rsidRPr="009344FF">
        <w:rPr>
          <w:rFonts w:cs="Arial"/>
          <w:szCs w:val="22"/>
        </w:rPr>
        <w:t xml:space="preserve">A standardized battery of sensitive cognitive measures for the Brain Health Centre (BHC) has been </w:t>
      </w:r>
      <w:proofErr w:type="gramStart"/>
      <w:r w:rsidRPr="009344FF">
        <w:rPr>
          <w:rFonts w:cs="Arial"/>
          <w:szCs w:val="22"/>
        </w:rPr>
        <w:t>developed, and</w:t>
      </w:r>
      <w:proofErr w:type="gramEnd"/>
      <w:r w:rsidRPr="009344FF">
        <w:rPr>
          <w:rFonts w:cs="Arial"/>
          <w:szCs w:val="22"/>
        </w:rPr>
        <w:t xml:space="preserve"> has had received PPI feedback. This battery will used in the upcoming BHC pilot, and will eventually be hosted online, which will facilitate ‘waiting-list’ assessment and remote follow-ups for BHC patients, and remote testing of large numbers of research participants more generally.</w:t>
      </w:r>
    </w:p>
    <w:p w:rsidR="00F42FEF" w:rsidRPr="009344FF" w:rsidRDefault="00F42FEF" w:rsidP="0017480B">
      <w:pPr>
        <w:numPr>
          <w:ilvl w:val="0"/>
          <w:numId w:val="19"/>
        </w:numPr>
        <w:ind w:left="360"/>
        <w:rPr>
          <w:rFonts w:cs="Arial"/>
          <w:szCs w:val="22"/>
        </w:rPr>
      </w:pPr>
      <w:r w:rsidRPr="009344FF">
        <w:rPr>
          <w:rFonts w:cs="Arial"/>
          <w:b/>
          <w:bCs/>
          <w:szCs w:val="22"/>
        </w:rPr>
        <w:t>Apply magnetoencephalography (MEG) methods for charactering functional connectivity in brain networks and dynamics of brain states:</w:t>
      </w:r>
    </w:p>
    <w:p w:rsidR="00F42FEF" w:rsidRPr="009344FF" w:rsidRDefault="00F42FEF" w:rsidP="0089254A">
      <w:pPr>
        <w:ind w:left="360"/>
        <w:rPr>
          <w:rFonts w:cs="Arial"/>
          <w:szCs w:val="22"/>
        </w:rPr>
      </w:pPr>
      <w:r w:rsidRPr="009344FF">
        <w:rPr>
          <w:rFonts w:cs="Arial"/>
          <w:szCs w:val="22"/>
        </w:rPr>
        <w:t xml:space="preserve">MEG has continued to be applied in clinical populations with mood disorders, Parkinson’s disease, motor neuron disease, and Alzheimer’s disease. The New Therapeutics in Alzheimer’s Disease study, which will </w:t>
      </w:r>
      <w:r w:rsidRPr="009344FF">
        <w:rPr>
          <w:rFonts w:cs="Arial"/>
          <w:szCs w:val="22"/>
        </w:rPr>
        <w:lastRenderedPageBreak/>
        <w:t xml:space="preserve">use MEG to identify reliable, sensitive and tractable biomarkers of abnormal brain activity in Alzheimer’s, is in the final pilot stage and will open recruitment in the next few weeks. </w:t>
      </w:r>
    </w:p>
    <w:p w:rsidR="00F42FEF" w:rsidRPr="009344FF" w:rsidRDefault="00F42FEF" w:rsidP="0089254A">
      <w:pPr>
        <w:ind w:left="360"/>
        <w:rPr>
          <w:rFonts w:cs="Arial"/>
          <w:szCs w:val="22"/>
        </w:rPr>
      </w:pPr>
      <w:r w:rsidRPr="009344FF">
        <w:rPr>
          <w:rFonts w:cs="Arial"/>
          <w:szCs w:val="22"/>
        </w:rPr>
        <w:t>Work is ongoing to establish novel MEG analysis methods to explore changes in spontaneous and task-modulated neuronal oscillations in a range of clinical disorders. </w:t>
      </w:r>
      <w:r w:rsidRPr="009344FF">
        <w:rPr>
          <w:rFonts w:cs="Arial"/>
          <w:szCs w:val="22"/>
          <w:shd w:val="clear" w:color="auto" w:fill="FFFFFF"/>
        </w:rPr>
        <w:t xml:space="preserve">We have published a tutorial paper detailing the analysis pipeline for dynamic functional connectivity analysis (Quinn et al., 2018), which has since been applied to a range of clinical datasets including the Oxford contribution to the </w:t>
      </w:r>
      <w:proofErr w:type="spellStart"/>
      <w:r w:rsidRPr="009344FF">
        <w:rPr>
          <w:rFonts w:cs="Arial"/>
          <w:szCs w:val="22"/>
          <w:shd w:val="clear" w:color="auto" w:fill="FFFFFF"/>
        </w:rPr>
        <w:t>BioFIND</w:t>
      </w:r>
      <w:proofErr w:type="spellEnd"/>
      <w:r w:rsidRPr="009344FF">
        <w:rPr>
          <w:rFonts w:cs="Arial"/>
          <w:szCs w:val="22"/>
          <w:shd w:val="clear" w:color="auto" w:fill="FFFFFF"/>
        </w:rPr>
        <w:t xml:space="preserve"> project and the COMET project on mood-instability.</w:t>
      </w:r>
    </w:p>
    <w:p w:rsidR="00F42FEF" w:rsidRPr="009344FF" w:rsidRDefault="00F42FEF" w:rsidP="0017480B">
      <w:pPr>
        <w:numPr>
          <w:ilvl w:val="0"/>
          <w:numId w:val="19"/>
        </w:numPr>
        <w:spacing w:before="200"/>
        <w:ind w:left="360"/>
        <w:rPr>
          <w:rFonts w:cs="Arial"/>
          <w:szCs w:val="22"/>
        </w:rPr>
      </w:pPr>
      <w:r w:rsidRPr="009344FF">
        <w:rPr>
          <w:rFonts w:cs="Arial"/>
          <w:b/>
          <w:bCs/>
          <w:szCs w:val="22"/>
        </w:rPr>
        <w:t>Applying cognitive-phenotyping tests to large populations for validation and for identification of cognitive markers of risk and of progression of disorders of mental health</w:t>
      </w:r>
    </w:p>
    <w:p w:rsidR="00F42FEF" w:rsidRPr="009344FF" w:rsidRDefault="00F42FEF" w:rsidP="0089254A">
      <w:pPr>
        <w:ind w:left="360"/>
        <w:rPr>
          <w:rFonts w:cs="Arial"/>
          <w:szCs w:val="22"/>
        </w:rPr>
      </w:pPr>
      <w:r w:rsidRPr="009344FF">
        <w:rPr>
          <w:rFonts w:cs="Arial"/>
          <w:szCs w:val="22"/>
        </w:rPr>
        <w:t xml:space="preserve">Cognitive-phenotyping tests </w:t>
      </w:r>
      <w:proofErr w:type="spellStart"/>
      <w:r w:rsidRPr="009344FF">
        <w:rPr>
          <w:rFonts w:cs="Arial"/>
          <w:szCs w:val="22"/>
        </w:rPr>
        <w:t>characterising</w:t>
      </w:r>
      <w:proofErr w:type="spellEnd"/>
      <w:r w:rsidRPr="009344FF">
        <w:rPr>
          <w:rFonts w:cs="Arial"/>
          <w:szCs w:val="22"/>
        </w:rPr>
        <w:t xml:space="preserve"> changes with age developed by this theme have been applied to over 2000 participants from the NIHR </w:t>
      </w:r>
      <w:proofErr w:type="spellStart"/>
      <w:r w:rsidRPr="009344FF">
        <w:rPr>
          <w:rFonts w:cs="Arial"/>
          <w:szCs w:val="22"/>
        </w:rPr>
        <w:t>BioResources</w:t>
      </w:r>
      <w:proofErr w:type="spellEnd"/>
      <w:r w:rsidRPr="009344FF">
        <w:rPr>
          <w:rFonts w:cs="Arial"/>
          <w:szCs w:val="22"/>
        </w:rPr>
        <w:t xml:space="preserve"> using tablet-based tests.</w:t>
      </w:r>
    </w:p>
    <w:p w:rsidR="00F42FEF" w:rsidRPr="009344FF" w:rsidRDefault="00F42FEF" w:rsidP="0089254A">
      <w:pPr>
        <w:ind w:left="360"/>
        <w:rPr>
          <w:rFonts w:cs="Arial"/>
          <w:szCs w:val="22"/>
        </w:rPr>
      </w:pPr>
      <w:r w:rsidRPr="009344FF">
        <w:rPr>
          <w:rFonts w:cs="Arial"/>
          <w:szCs w:val="22"/>
        </w:rPr>
        <w:t>Work on cognitive phenotyping of genetic susceptibly for Alzheimer’s disease (</w:t>
      </w:r>
      <w:proofErr w:type="spellStart"/>
      <w:r w:rsidRPr="009344FF">
        <w:rPr>
          <w:rFonts w:cs="Arial"/>
          <w:szCs w:val="22"/>
        </w:rPr>
        <w:t>Zokaei</w:t>
      </w:r>
      <w:proofErr w:type="spellEnd"/>
      <w:r w:rsidRPr="009344FF">
        <w:rPr>
          <w:rFonts w:cs="Arial"/>
          <w:szCs w:val="22"/>
        </w:rPr>
        <w:t xml:space="preserve"> et al., 2018, 2019) is being expanded in a new project testing a large sample from the Oxford Biobank with mobile phone-based tests of working memory and long-term memory.</w:t>
      </w:r>
    </w:p>
    <w:p w:rsidR="00F42FEF" w:rsidRPr="009344FF" w:rsidRDefault="00F42FEF" w:rsidP="0017480B">
      <w:pPr>
        <w:numPr>
          <w:ilvl w:val="0"/>
          <w:numId w:val="19"/>
        </w:numPr>
        <w:ind w:left="360"/>
        <w:rPr>
          <w:rFonts w:cs="Arial"/>
          <w:szCs w:val="22"/>
        </w:rPr>
      </w:pPr>
      <w:r w:rsidRPr="009344FF">
        <w:rPr>
          <w:rFonts w:cs="Arial"/>
          <w:b/>
          <w:bCs/>
          <w:szCs w:val="22"/>
        </w:rPr>
        <w:t>Establishing a pipeline for integrating imaging measures into clinically relevant tools</w:t>
      </w:r>
    </w:p>
    <w:p w:rsidR="00F42FEF" w:rsidRPr="009344FF" w:rsidRDefault="00F42FEF" w:rsidP="0089254A">
      <w:pPr>
        <w:ind w:left="360"/>
        <w:rPr>
          <w:rFonts w:cs="Arial"/>
          <w:szCs w:val="22"/>
        </w:rPr>
      </w:pPr>
      <w:r w:rsidRPr="009344FF">
        <w:rPr>
          <w:rFonts w:cs="Arial"/>
          <w:szCs w:val="22"/>
        </w:rPr>
        <w:t xml:space="preserve">The theme developed the BHC’s MRI imaging protocol, which will be aligned with the UK Biobank (UKB) to facilitate use of the existing large cohort as normative population data. The ethical application to scan a number of healthy volunteers at the BHC to facilitate harmonization between BHC patient scans and the UKB normative scans is due to be submitted in the next few weeks. </w:t>
      </w:r>
    </w:p>
    <w:p w:rsidR="00F42FEF" w:rsidRPr="009344FF" w:rsidRDefault="00F42FEF" w:rsidP="0089254A">
      <w:pPr>
        <w:ind w:left="360"/>
        <w:rPr>
          <w:rFonts w:cs="Arial"/>
          <w:szCs w:val="22"/>
        </w:rPr>
      </w:pPr>
      <w:r w:rsidRPr="009344FF">
        <w:rPr>
          <w:rFonts w:cs="Arial"/>
          <w:szCs w:val="22"/>
        </w:rPr>
        <w:t xml:space="preserve">Collaboration with colleagues in OUH </w:t>
      </w:r>
      <w:proofErr w:type="spellStart"/>
      <w:r w:rsidRPr="009344FF">
        <w:rPr>
          <w:rFonts w:cs="Arial"/>
          <w:szCs w:val="22"/>
        </w:rPr>
        <w:t>Neuroradiolgy</w:t>
      </w:r>
      <w:proofErr w:type="spellEnd"/>
      <w:r w:rsidRPr="009344FF">
        <w:rPr>
          <w:rFonts w:cs="Arial"/>
          <w:szCs w:val="22"/>
        </w:rPr>
        <w:t xml:space="preserve"> and the NIHR Oxford BRC Imaging Cross-Cutting theme has led to the development of a standardized reporting template that will go on the NHS CRIS image reporting IT </w:t>
      </w:r>
      <w:proofErr w:type="gramStart"/>
      <w:r w:rsidRPr="009344FF">
        <w:rPr>
          <w:rFonts w:cs="Arial"/>
          <w:szCs w:val="22"/>
        </w:rPr>
        <w:t>system, and</w:t>
      </w:r>
      <w:proofErr w:type="gramEnd"/>
      <w:r w:rsidRPr="009344FF">
        <w:rPr>
          <w:rFonts w:cs="Arial"/>
          <w:szCs w:val="22"/>
        </w:rPr>
        <w:t xml:space="preserve"> will be used for patients coming to the BHC. Ongoing collaboration will develop this report to include quantitative brain information.</w:t>
      </w:r>
    </w:p>
    <w:p w:rsidR="00F42FEF" w:rsidRPr="009344FF" w:rsidRDefault="00F42FEF" w:rsidP="0089254A">
      <w:pPr>
        <w:ind w:left="360"/>
        <w:rPr>
          <w:rFonts w:cs="Arial"/>
          <w:szCs w:val="22"/>
        </w:rPr>
      </w:pPr>
      <w:r w:rsidRPr="009344FF">
        <w:rPr>
          <w:rFonts w:cs="Arial"/>
          <w:szCs w:val="22"/>
        </w:rPr>
        <w:t xml:space="preserve">Ongoing work with colleagues in the NIHR Oxford BRC Imaging Cross-cutting theme on </w:t>
      </w:r>
      <w:proofErr w:type="spellStart"/>
      <w:r w:rsidRPr="009344FF">
        <w:rPr>
          <w:rFonts w:cs="Arial"/>
          <w:szCs w:val="22"/>
        </w:rPr>
        <w:t>harmonisation</w:t>
      </w:r>
      <w:proofErr w:type="spellEnd"/>
      <w:r w:rsidRPr="009344FF">
        <w:rPr>
          <w:rFonts w:cs="Arial"/>
          <w:szCs w:val="22"/>
        </w:rPr>
        <w:t xml:space="preserve"> of MRI measures in the Dementias Platform UK (DPUK) will facilitate large-scale analyses of combined cohort data.</w:t>
      </w:r>
    </w:p>
    <w:p w:rsidR="00F42FEF" w:rsidRPr="009344FF" w:rsidRDefault="00F42FEF" w:rsidP="0089254A">
      <w:pPr>
        <w:ind w:left="292"/>
        <w:rPr>
          <w:rFonts w:cs="Arial"/>
          <w:sz w:val="20"/>
          <w:szCs w:val="20"/>
        </w:rPr>
      </w:pPr>
      <w:r w:rsidRPr="009344FF">
        <w:rPr>
          <w:rFonts w:cs="Arial"/>
          <w:szCs w:val="22"/>
        </w:rPr>
        <w:t xml:space="preserve">The installation of the new TRIUX neo MEG scanner at OHBA is now complete. The University of Oxford is the first in Europe to acquire this latest technology in functional brain imaging.  The new scanner also includes an integrated closed loop helium recycler, completely avoiding helium loss, addressing environmental issues and concerns for future finite supplies of helium. </w:t>
      </w:r>
    </w:p>
    <w:p w:rsidR="00D475F1" w:rsidRPr="001470DA" w:rsidRDefault="00D475F1" w:rsidP="00156856">
      <w:pPr>
        <w:pStyle w:val="Heading4"/>
        <w:numPr>
          <w:ilvl w:val="0"/>
          <w:numId w:val="0"/>
        </w:numPr>
        <w:ind w:left="864" w:hanging="864"/>
        <w:rPr>
          <w:b/>
          <w:sz w:val="24"/>
          <w:u w:val="none"/>
        </w:rPr>
      </w:pPr>
      <w:r w:rsidRPr="001470DA">
        <w:rPr>
          <w:b/>
          <w:sz w:val="24"/>
          <w:u w:val="none"/>
        </w:rPr>
        <w:t xml:space="preserve">Clinical research infrastructure and experimental medicine (Theme Lead: Prof Catherine Harmer) </w:t>
      </w:r>
    </w:p>
    <w:p w:rsidR="00F42FEF" w:rsidRPr="009344FF" w:rsidRDefault="00F42FEF" w:rsidP="00F42FEF">
      <w:pPr>
        <w:rPr>
          <w:rFonts w:cs="Arial"/>
          <w:szCs w:val="22"/>
        </w:rPr>
      </w:pPr>
      <w:r w:rsidRPr="009344FF">
        <w:rPr>
          <w:rFonts w:cs="Arial"/>
          <w:szCs w:val="22"/>
        </w:rPr>
        <w:t>Progress against objectives</w:t>
      </w:r>
    </w:p>
    <w:p w:rsidR="00F42FEF" w:rsidRPr="009344FF" w:rsidRDefault="00F42FEF" w:rsidP="0017480B">
      <w:pPr>
        <w:pStyle w:val="ListParagraph"/>
        <w:numPr>
          <w:ilvl w:val="0"/>
          <w:numId w:val="19"/>
        </w:numPr>
        <w:ind w:left="360"/>
        <w:rPr>
          <w:rFonts w:cs="Arial"/>
          <w:szCs w:val="22"/>
        </w:rPr>
      </w:pPr>
      <w:r w:rsidRPr="009344FF">
        <w:rPr>
          <w:rFonts w:cs="Arial"/>
          <w:szCs w:val="22"/>
        </w:rPr>
        <w:t xml:space="preserve">In the last year, we have developed our </w:t>
      </w:r>
      <w:r w:rsidRPr="009344FF">
        <w:rPr>
          <w:rFonts w:cs="Arial"/>
          <w:b/>
          <w:szCs w:val="22"/>
        </w:rPr>
        <w:t xml:space="preserve">experimental medicine capability </w:t>
      </w:r>
      <w:r w:rsidRPr="009344FF">
        <w:rPr>
          <w:rFonts w:cs="Arial"/>
          <w:szCs w:val="22"/>
        </w:rPr>
        <w:t>by:</w:t>
      </w:r>
    </w:p>
    <w:p w:rsidR="00F42FEF" w:rsidRPr="009344FF" w:rsidRDefault="00F42FEF" w:rsidP="0089254A">
      <w:pPr>
        <w:spacing w:line="276" w:lineRule="auto"/>
        <w:ind w:left="360"/>
        <w:contextualSpacing/>
        <w:rPr>
          <w:rFonts w:cs="Arial"/>
          <w:szCs w:val="22"/>
          <w:lang w:eastAsia="en-GB"/>
        </w:rPr>
      </w:pPr>
      <w:r w:rsidRPr="009344FF">
        <w:rPr>
          <w:rFonts w:cs="Arial"/>
          <w:szCs w:val="22"/>
          <w:lang w:eastAsia="en-GB"/>
        </w:rPr>
        <w:t xml:space="preserve">The appointment of a neuroimaging support specialist for experimental medicine studies who has also developed structures for open science, archiving and sharing code, sequences and paradigms, using the open science framework resources to facilitate transparency and reproducibility. We have set up fortnightly ‘drop-in’ analysis clinics and started a new journal club (translational neuroimaging) to facilitate collaboration between preclinical and clinical imaging applications and to ensure our clinical studies in patients are based on the best discovery science. This has resulted in an increase in expertise in neuroimaging techniques and the quality of our translational work. </w:t>
      </w:r>
    </w:p>
    <w:p w:rsidR="00F42FEF" w:rsidRPr="009344FF" w:rsidRDefault="00F42FEF" w:rsidP="0089254A">
      <w:pPr>
        <w:spacing w:line="276" w:lineRule="auto"/>
        <w:ind w:left="360"/>
        <w:rPr>
          <w:rFonts w:cs="Arial"/>
          <w:szCs w:val="22"/>
          <w:lang w:eastAsia="en-GB"/>
        </w:rPr>
      </w:pPr>
      <w:r w:rsidRPr="009344FF">
        <w:rPr>
          <w:rFonts w:cs="Arial"/>
          <w:szCs w:val="22"/>
          <w:lang w:eastAsia="en-GB"/>
        </w:rPr>
        <w:t>Funding a statistician dedicated to experimental medicine and early clinical trials (</w:t>
      </w:r>
      <w:proofErr w:type="spellStart"/>
      <w:r w:rsidRPr="009344FF">
        <w:rPr>
          <w:rFonts w:cs="Arial"/>
          <w:szCs w:val="22"/>
          <w:lang w:eastAsia="en-GB"/>
        </w:rPr>
        <w:t>Milensu</w:t>
      </w:r>
      <w:proofErr w:type="spellEnd"/>
      <w:r w:rsidRPr="009344FF">
        <w:rPr>
          <w:rFonts w:cs="Arial"/>
          <w:szCs w:val="22"/>
          <w:lang w:eastAsia="en-GB"/>
        </w:rPr>
        <w:t xml:space="preserve"> </w:t>
      </w:r>
      <w:proofErr w:type="spellStart"/>
      <w:r w:rsidRPr="009344FF">
        <w:rPr>
          <w:rFonts w:cs="Arial"/>
          <w:szCs w:val="22"/>
          <w:lang w:eastAsia="en-GB"/>
        </w:rPr>
        <w:t>Shanyinde</w:t>
      </w:r>
      <w:proofErr w:type="spellEnd"/>
      <w:r w:rsidRPr="009344FF">
        <w:rPr>
          <w:rFonts w:cs="Arial"/>
          <w:szCs w:val="22"/>
          <w:lang w:eastAsia="en-GB"/>
        </w:rPr>
        <w:t xml:space="preserve">). This has helped to leverage funding including our recent successful bid for </w:t>
      </w:r>
      <w:proofErr w:type="gramStart"/>
      <w:r w:rsidRPr="009344FF">
        <w:rPr>
          <w:rFonts w:cs="Arial"/>
          <w:szCs w:val="22"/>
          <w:lang w:eastAsia="en-GB"/>
        </w:rPr>
        <w:t>a</w:t>
      </w:r>
      <w:proofErr w:type="gramEnd"/>
      <w:r w:rsidRPr="009344FF">
        <w:rPr>
          <w:rFonts w:cs="Arial"/>
          <w:szCs w:val="22"/>
          <w:lang w:eastAsia="en-GB"/>
        </w:rPr>
        <w:t xml:space="preserve"> MRC Experimental Medicine Challenge Grant (1.2M).</w:t>
      </w:r>
    </w:p>
    <w:p w:rsidR="00F42FEF" w:rsidRPr="009344FF" w:rsidRDefault="00F42FEF" w:rsidP="0089254A">
      <w:pPr>
        <w:spacing w:line="276" w:lineRule="auto"/>
        <w:ind w:left="360"/>
        <w:rPr>
          <w:rFonts w:cs="Arial"/>
          <w:szCs w:val="22"/>
          <w:lang w:eastAsia="en-GB"/>
        </w:rPr>
      </w:pPr>
      <w:r w:rsidRPr="009344FF">
        <w:rPr>
          <w:rFonts w:cs="Arial"/>
          <w:szCs w:val="22"/>
          <w:lang w:eastAsia="en-GB"/>
        </w:rPr>
        <w:lastRenderedPageBreak/>
        <w:t xml:space="preserve">Adopting 23 studies in the experimental medicine theme, and these have been supported by our project manager including the development and use of standard operating procedures for good practice in experimental medicine. </w:t>
      </w:r>
    </w:p>
    <w:p w:rsidR="00F42FEF" w:rsidRPr="009344FF" w:rsidRDefault="00F42FEF" w:rsidP="0089254A">
      <w:pPr>
        <w:spacing w:line="276" w:lineRule="auto"/>
        <w:ind w:left="360"/>
        <w:rPr>
          <w:rFonts w:cs="Arial"/>
          <w:szCs w:val="22"/>
          <w:lang w:eastAsia="en-GB"/>
        </w:rPr>
      </w:pPr>
      <w:r w:rsidRPr="009344FF">
        <w:rPr>
          <w:rFonts w:cs="Arial"/>
          <w:szCs w:val="22"/>
          <w:lang w:eastAsia="en-GB"/>
        </w:rPr>
        <w:t>Increasing the capacity of our pharmacy: 5 BRC medicines trials are currently open (2 CTIMPs and 3 non-CTIMPS); four of which are dispensed from the pharmacy.  These are single site studies; all lead pharmacy site activities take place locally. Pharmacy has also supported planning for two 2 large CTIMPs in preparation (PAX-D and ATP).</w:t>
      </w:r>
    </w:p>
    <w:p w:rsidR="00F42FEF" w:rsidRPr="009344FF" w:rsidRDefault="00F42FEF" w:rsidP="0017480B">
      <w:pPr>
        <w:pStyle w:val="ListParagraph"/>
        <w:numPr>
          <w:ilvl w:val="0"/>
          <w:numId w:val="20"/>
        </w:numPr>
        <w:autoSpaceDE w:val="0"/>
        <w:autoSpaceDN w:val="0"/>
        <w:adjustRightInd w:val="0"/>
        <w:ind w:left="360"/>
        <w:contextualSpacing/>
        <w:jc w:val="left"/>
        <w:rPr>
          <w:rFonts w:cs="Arial"/>
          <w:b/>
          <w:szCs w:val="22"/>
          <w:lang w:eastAsia="en-GB"/>
        </w:rPr>
      </w:pPr>
      <w:r w:rsidRPr="009344FF">
        <w:rPr>
          <w:rFonts w:cs="Arial"/>
          <w:b/>
          <w:szCs w:val="22"/>
          <w:lang w:eastAsia="en-GB"/>
        </w:rPr>
        <w:t>Validate experimental medicine models of established pharmacological and psychological treatments across mood disorders, psychosis, cognitive impairment, insomnia and anxiety.</w:t>
      </w:r>
    </w:p>
    <w:p w:rsidR="00F42FEF" w:rsidRPr="009344FF" w:rsidRDefault="00F42FEF" w:rsidP="0089254A">
      <w:pPr>
        <w:pStyle w:val="ListParagraph"/>
        <w:autoSpaceDE w:val="0"/>
        <w:autoSpaceDN w:val="0"/>
        <w:adjustRightInd w:val="0"/>
        <w:ind w:left="360"/>
        <w:contextualSpacing/>
        <w:jc w:val="left"/>
        <w:rPr>
          <w:rFonts w:cs="Arial"/>
          <w:sz w:val="20"/>
          <w:szCs w:val="20"/>
          <w:lang w:eastAsia="en-GB"/>
        </w:rPr>
      </w:pPr>
    </w:p>
    <w:p w:rsidR="00F42FEF" w:rsidRDefault="00F42FEF" w:rsidP="0089254A">
      <w:pPr>
        <w:pStyle w:val="ListParagraph"/>
        <w:ind w:left="360"/>
        <w:contextualSpacing/>
        <w:jc w:val="left"/>
        <w:rPr>
          <w:rFonts w:cs="Arial"/>
          <w:szCs w:val="22"/>
          <w:lang w:eastAsia="en-GB"/>
        </w:rPr>
      </w:pPr>
      <w:r w:rsidRPr="009344FF">
        <w:rPr>
          <w:rFonts w:cs="Arial"/>
          <w:szCs w:val="22"/>
          <w:lang w:eastAsia="en-GB"/>
        </w:rPr>
        <w:t xml:space="preserve">In February 2019, awarded a 1.2M joint grant from MRC and J&amp;J to develop experimental medicine models for fast acting antidepressant treatments.  Current models for screening new treatments in depression are based on the effects of SSRI antidepressants which take time before they improve symptoms, whereas emerging work supports a new generation of treatments which work much faster.  This programme of work will validate new markers for use in screening programmes of novel fast acting agents. </w:t>
      </w:r>
    </w:p>
    <w:p w:rsidR="00772C22" w:rsidRPr="009344FF" w:rsidRDefault="00772C22" w:rsidP="0089254A">
      <w:pPr>
        <w:pStyle w:val="ListParagraph"/>
        <w:ind w:left="360"/>
        <w:contextualSpacing/>
        <w:jc w:val="left"/>
        <w:rPr>
          <w:rFonts w:cs="Arial"/>
          <w:szCs w:val="22"/>
          <w:lang w:eastAsia="en-GB"/>
        </w:rPr>
      </w:pPr>
    </w:p>
    <w:p w:rsidR="00F42FEF" w:rsidRDefault="00F42FEF" w:rsidP="0089254A">
      <w:pPr>
        <w:pStyle w:val="ListParagraph"/>
        <w:ind w:left="360"/>
        <w:contextualSpacing/>
        <w:jc w:val="left"/>
        <w:rPr>
          <w:rFonts w:cs="Arial"/>
          <w:szCs w:val="22"/>
          <w:lang w:eastAsia="en-GB"/>
        </w:rPr>
      </w:pPr>
      <w:r w:rsidRPr="009344FF">
        <w:rPr>
          <w:rFonts w:cs="Arial"/>
          <w:szCs w:val="22"/>
          <w:lang w:eastAsia="en-GB"/>
        </w:rPr>
        <w:t>Completed phase 1 of the UCB grant developing novel experimental medicine markers for cognitive impairment in Parkinson’s Disease and are in the planning stage of applying these models to new molecule discovery programmes with UCB, Belgium.</w:t>
      </w:r>
    </w:p>
    <w:p w:rsidR="00772C22" w:rsidRPr="009344FF" w:rsidRDefault="00772C22" w:rsidP="0089254A">
      <w:pPr>
        <w:pStyle w:val="ListParagraph"/>
        <w:ind w:left="360"/>
        <w:contextualSpacing/>
        <w:jc w:val="left"/>
        <w:rPr>
          <w:rFonts w:cs="Arial"/>
          <w:szCs w:val="22"/>
          <w:lang w:eastAsia="en-GB"/>
        </w:rPr>
      </w:pPr>
    </w:p>
    <w:p w:rsidR="00F42FEF" w:rsidRPr="009344FF" w:rsidRDefault="00F42FEF" w:rsidP="0089254A">
      <w:pPr>
        <w:pStyle w:val="ListParagraph"/>
        <w:ind w:left="360"/>
        <w:contextualSpacing/>
        <w:jc w:val="left"/>
        <w:rPr>
          <w:rFonts w:cs="Arial"/>
          <w:szCs w:val="22"/>
          <w:lang w:eastAsia="en-GB"/>
        </w:rPr>
      </w:pPr>
      <w:r w:rsidRPr="009344FF">
        <w:rPr>
          <w:rFonts w:cs="Arial"/>
          <w:szCs w:val="22"/>
          <w:lang w:eastAsia="en-GB"/>
        </w:rPr>
        <w:t>During this first year of the BRC award developed a new model to explore the effects of established and novel agents on markers of stress. This new task validated in Oxford has now been incorporated into a J&amp;J Phase 1 study for novel compound development and the results are being presented at the British Association for Psychopharmacology meeting 2019.</w:t>
      </w:r>
    </w:p>
    <w:p w:rsidR="00F42FEF" w:rsidRPr="009344FF" w:rsidRDefault="00F42FEF" w:rsidP="0089254A">
      <w:pPr>
        <w:pStyle w:val="ListParagraph"/>
        <w:autoSpaceDE w:val="0"/>
        <w:autoSpaceDN w:val="0"/>
        <w:adjustRightInd w:val="0"/>
        <w:spacing w:before="0" w:after="0"/>
        <w:ind w:left="360"/>
        <w:contextualSpacing/>
        <w:jc w:val="left"/>
        <w:rPr>
          <w:rFonts w:cs="Arial"/>
          <w:sz w:val="20"/>
          <w:szCs w:val="20"/>
          <w:lang w:eastAsia="en-GB"/>
        </w:rPr>
      </w:pPr>
    </w:p>
    <w:p w:rsidR="00F42FEF" w:rsidRPr="009344FF" w:rsidRDefault="00F42FEF" w:rsidP="0017480B">
      <w:pPr>
        <w:pStyle w:val="ListParagraph"/>
        <w:numPr>
          <w:ilvl w:val="0"/>
          <w:numId w:val="20"/>
        </w:numPr>
        <w:autoSpaceDE w:val="0"/>
        <w:autoSpaceDN w:val="0"/>
        <w:adjustRightInd w:val="0"/>
        <w:spacing w:before="0" w:after="0"/>
        <w:ind w:left="360"/>
        <w:contextualSpacing/>
        <w:jc w:val="left"/>
        <w:rPr>
          <w:rFonts w:cs="Arial"/>
          <w:b/>
          <w:szCs w:val="22"/>
          <w:lang w:eastAsia="en-GB"/>
        </w:rPr>
      </w:pPr>
      <w:r w:rsidRPr="009344FF">
        <w:rPr>
          <w:rFonts w:cs="Arial"/>
          <w:b/>
          <w:szCs w:val="22"/>
          <w:lang w:eastAsia="en-GB"/>
        </w:rPr>
        <w:t xml:space="preserve">Work with the </w:t>
      </w:r>
      <w:r w:rsidRPr="009344FF">
        <w:rPr>
          <w:rFonts w:cs="Arial"/>
          <w:b/>
          <w:bCs/>
          <w:szCs w:val="22"/>
          <w:lang w:eastAsia="en-GB"/>
        </w:rPr>
        <w:t xml:space="preserve">Precision Psychological Therapies theme </w:t>
      </w:r>
      <w:r w:rsidRPr="009344FF">
        <w:rPr>
          <w:rFonts w:cs="Arial"/>
          <w:b/>
          <w:szCs w:val="22"/>
          <w:lang w:eastAsia="en-GB"/>
        </w:rPr>
        <w:t>to support the collection of cognitive measures of efficacy and response prediction within on-line data capture platforms</w:t>
      </w:r>
    </w:p>
    <w:p w:rsidR="00F42FEF" w:rsidRPr="009344FF" w:rsidRDefault="00F42FEF" w:rsidP="0089254A">
      <w:pPr>
        <w:pStyle w:val="ListParagraph"/>
        <w:spacing w:before="0" w:after="0"/>
        <w:ind w:left="360"/>
        <w:contextualSpacing/>
        <w:jc w:val="left"/>
        <w:rPr>
          <w:rFonts w:cs="Arial"/>
          <w:szCs w:val="22"/>
          <w:lang w:eastAsia="en-GB"/>
        </w:rPr>
      </w:pPr>
    </w:p>
    <w:p w:rsidR="00F42FEF" w:rsidRPr="009344FF" w:rsidRDefault="00F42FEF" w:rsidP="0089254A">
      <w:pPr>
        <w:pStyle w:val="ListParagraph"/>
        <w:spacing w:before="0" w:after="0"/>
        <w:ind w:left="360"/>
        <w:contextualSpacing/>
        <w:jc w:val="left"/>
        <w:rPr>
          <w:rFonts w:cs="Arial"/>
          <w:szCs w:val="22"/>
          <w:lang w:eastAsia="en-GB"/>
        </w:rPr>
      </w:pPr>
      <w:r w:rsidRPr="009344FF">
        <w:rPr>
          <w:rFonts w:cs="Arial"/>
          <w:szCs w:val="22"/>
          <w:lang w:eastAsia="en-GB"/>
        </w:rPr>
        <w:t xml:space="preserve">Our objective was to reduce the division between psychological and pharmacological treatment research across disorders and to </w:t>
      </w:r>
      <w:proofErr w:type="spellStart"/>
      <w:r w:rsidRPr="009344FF">
        <w:rPr>
          <w:rFonts w:cs="Arial"/>
          <w:szCs w:val="22"/>
          <w:lang w:eastAsia="en-GB"/>
        </w:rPr>
        <w:t>harmonise</w:t>
      </w:r>
      <w:proofErr w:type="spellEnd"/>
      <w:r w:rsidRPr="009344FF">
        <w:rPr>
          <w:rFonts w:cs="Arial"/>
          <w:szCs w:val="22"/>
          <w:lang w:eastAsia="en-GB"/>
        </w:rPr>
        <w:t xml:space="preserve"> frameworks and methods for assessment, thereby building a foundation for the future generation of joint treatment approaches.  </w:t>
      </w:r>
    </w:p>
    <w:p w:rsidR="00F42FEF" w:rsidRPr="009344FF" w:rsidRDefault="00F42FEF" w:rsidP="0089254A">
      <w:pPr>
        <w:pStyle w:val="ListParagraph"/>
        <w:spacing w:before="0" w:after="0"/>
        <w:ind w:left="360"/>
        <w:contextualSpacing/>
        <w:jc w:val="left"/>
        <w:rPr>
          <w:rFonts w:cs="Arial"/>
          <w:szCs w:val="22"/>
          <w:lang w:eastAsia="en-GB"/>
        </w:rPr>
      </w:pPr>
    </w:p>
    <w:p w:rsidR="00F42FEF" w:rsidRPr="009344FF" w:rsidRDefault="00F42FEF" w:rsidP="0089254A">
      <w:pPr>
        <w:pStyle w:val="ListParagraph"/>
        <w:spacing w:before="0" w:after="0"/>
        <w:ind w:left="360"/>
        <w:contextualSpacing/>
        <w:jc w:val="left"/>
        <w:rPr>
          <w:rFonts w:cs="Arial"/>
          <w:b/>
          <w:szCs w:val="22"/>
          <w:lang w:eastAsia="en-GB"/>
        </w:rPr>
      </w:pPr>
      <w:r w:rsidRPr="009344FF">
        <w:rPr>
          <w:rFonts w:cs="Arial"/>
          <w:szCs w:val="22"/>
          <w:lang w:eastAsia="en-GB"/>
        </w:rPr>
        <w:t xml:space="preserve">We have collaborated and supplied experimental medicine markers for a large online trial of CBT for insomnia (Kyle; </w:t>
      </w:r>
      <w:proofErr w:type="spellStart"/>
      <w:r w:rsidRPr="009344FF">
        <w:rPr>
          <w:rFonts w:cs="Arial"/>
          <w:szCs w:val="22"/>
          <w:lang w:eastAsia="en-GB"/>
        </w:rPr>
        <w:t>Espie</w:t>
      </w:r>
      <w:proofErr w:type="spellEnd"/>
      <w:r w:rsidRPr="009344FF">
        <w:rPr>
          <w:rFonts w:cs="Arial"/>
          <w:szCs w:val="22"/>
          <w:lang w:eastAsia="en-GB"/>
        </w:rPr>
        <w:t>); as well as a marker of relapse prevention in depression with mindfulness treatment (</w:t>
      </w:r>
      <w:proofErr w:type="spellStart"/>
      <w:r w:rsidRPr="009344FF">
        <w:rPr>
          <w:rFonts w:cs="Arial"/>
          <w:szCs w:val="22"/>
          <w:lang w:eastAsia="en-GB"/>
        </w:rPr>
        <w:t>Kuyken</w:t>
      </w:r>
      <w:proofErr w:type="spellEnd"/>
      <w:r w:rsidRPr="009344FF">
        <w:rPr>
          <w:rFonts w:cs="Arial"/>
          <w:szCs w:val="22"/>
          <w:lang w:eastAsia="en-GB"/>
        </w:rPr>
        <w:t>). We have completed a study exploring the potential for a positive psychological intervention (</w:t>
      </w:r>
      <w:proofErr w:type="spellStart"/>
      <w:r w:rsidRPr="009344FF">
        <w:rPr>
          <w:rFonts w:cs="Arial"/>
          <w:szCs w:val="22"/>
          <w:lang w:eastAsia="en-GB"/>
        </w:rPr>
        <w:t>Kaltenboek</w:t>
      </w:r>
      <w:proofErr w:type="spellEnd"/>
      <w:r w:rsidRPr="009344FF">
        <w:rPr>
          <w:rFonts w:cs="Arial"/>
          <w:szCs w:val="22"/>
          <w:lang w:eastAsia="en-GB"/>
        </w:rPr>
        <w:t>) and in the combination of pharmacological and psychological treatments for anxiety (Reinecke)</w:t>
      </w:r>
    </w:p>
    <w:p w:rsidR="00D475F1" w:rsidRPr="001470DA" w:rsidRDefault="00D475F1" w:rsidP="00156856">
      <w:pPr>
        <w:pStyle w:val="Heading4"/>
        <w:numPr>
          <w:ilvl w:val="0"/>
          <w:numId w:val="0"/>
        </w:numPr>
        <w:ind w:left="864" w:hanging="864"/>
        <w:rPr>
          <w:b/>
          <w:sz w:val="24"/>
          <w:u w:val="none"/>
        </w:rPr>
      </w:pPr>
      <w:r w:rsidRPr="001470DA">
        <w:rPr>
          <w:b/>
          <w:sz w:val="24"/>
          <w:u w:val="none"/>
        </w:rPr>
        <w:t>Patient and Public Involvement and Ethics (</w:t>
      </w:r>
      <w:r w:rsidR="00102642" w:rsidRPr="001470DA">
        <w:rPr>
          <w:b/>
          <w:sz w:val="24"/>
          <w:u w:val="none"/>
        </w:rPr>
        <w:t xml:space="preserve">Theme </w:t>
      </w:r>
      <w:r w:rsidRPr="001470DA">
        <w:rPr>
          <w:b/>
          <w:sz w:val="24"/>
          <w:u w:val="none"/>
        </w:rPr>
        <w:t xml:space="preserve">Lead: Professor Ilina Singh)  </w:t>
      </w:r>
    </w:p>
    <w:p w:rsidR="009B18BE" w:rsidRPr="009344FF" w:rsidRDefault="009B18BE" w:rsidP="009B18BE">
      <w:pPr>
        <w:rPr>
          <w:rFonts w:eastAsiaTheme="minorHAnsi" w:cstheme="minorBidi"/>
          <w:sz w:val="24"/>
        </w:rPr>
      </w:pPr>
      <w:r w:rsidRPr="009344FF">
        <w:rPr>
          <w:rFonts w:cs="Arial"/>
          <w:szCs w:val="22"/>
        </w:rPr>
        <w:t>Progress against objectives</w:t>
      </w:r>
      <w:r>
        <w:rPr>
          <w:rFonts w:cs="Arial"/>
          <w:szCs w:val="22"/>
        </w:rPr>
        <w:t xml:space="preserve"> </w:t>
      </w:r>
      <w:r w:rsidRPr="009344FF">
        <w:rPr>
          <w:rFonts w:eastAsiaTheme="minorHAnsi" w:cstheme="minorBidi"/>
          <w:sz w:val="24"/>
        </w:rPr>
        <w:t xml:space="preserve">set out in the </w:t>
      </w:r>
      <w:hyperlink r:id="rId10" w:history="1">
        <w:r w:rsidRPr="009344FF">
          <w:rPr>
            <w:rFonts w:eastAsiaTheme="minorHAnsi" w:cstheme="minorBidi"/>
            <w:color w:val="0000FF" w:themeColor="hyperlink"/>
            <w:sz w:val="24"/>
            <w:u w:val="single"/>
          </w:rPr>
          <w:t>Patient and Public Involvement and Engagement Strategy</w:t>
        </w:r>
      </w:hyperlink>
      <w:r w:rsidRPr="009344FF">
        <w:rPr>
          <w:rFonts w:eastAsiaTheme="minorHAnsi" w:cstheme="minorBidi"/>
          <w:sz w:val="24"/>
        </w:rPr>
        <w:t>.</w:t>
      </w:r>
    </w:p>
    <w:p w:rsidR="009B18BE" w:rsidRPr="000D1C8A" w:rsidRDefault="009B18BE" w:rsidP="009B18BE">
      <w:pPr>
        <w:spacing w:before="0" w:after="160" w:line="259" w:lineRule="auto"/>
        <w:jc w:val="left"/>
        <w:rPr>
          <w:rFonts w:eastAsiaTheme="minorHAnsi" w:cstheme="minorBidi"/>
          <w:color w:val="C00000"/>
          <w:szCs w:val="22"/>
          <w:lang w:val="en-GB"/>
        </w:rPr>
      </w:pPr>
      <w:r w:rsidRPr="000D1C8A">
        <w:rPr>
          <w:rFonts w:eastAsiaTheme="minorHAnsi" w:cstheme="minorBidi"/>
          <w:szCs w:val="22"/>
        </w:rPr>
        <w:t xml:space="preserve">Delivery of the strategy is supported by our Patients and Research Group (PAR). PAR has ten patient, </w:t>
      </w:r>
      <w:proofErr w:type="spellStart"/>
      <w:r w:rsidRPr="000D1C8A">
        <w:rPr>
          <w:rFonts w:eastAsiaTheme="minorHAnsi" w:cstheme="minorBidi"/>
          <w:szCs w:val="22"/>
        </w:rPr>
        <w:t>carer</w:t>
      </w:r>
      <w:proofErr w:type="spellEnd"/>
      <w:r w:rsidRPr="000D1C8A">
        <w:rPr>
          <w:rFonts w:eastAsiaTheme="minorHAnsi" w:cstheme="minorBidi"/>
          <w:szCs w:val="22"/>
        </w:rPr>
        <w:t xml:space="preserve"> and public members and six research staff members. It is co-chaired by a patient/</w:t>
      </w:r>
      <w:proofErr w:type="spellStart"/>
      <w:r w:rsidRPr="000D1C8A">
        <w:rPr>
          <w:rFonts w:eastAsiaTheme="minorHAnsi" w:cstheme="minorBidi"/>
          <w:szCs w:val="22"/>
        </w:rPr>
        <w:t>carer</w:t>
      </w:r>
      <w:proofErr w:type="spellEnd"/>
      <w:r w:rsidRPr="000D1C8A">
        <w:rPr>
          <w:rFonts w:eastAsiaTheme="minorHAnsi" w:cstheme="minorBidi"/>
          <w:szCs w:val="22"/>
        </w:rPr>
        <w:t xml:space="preserve"> member and a staff member, with support from the PPI Manager and PPI Theme Lead.</w:t>
      </w:r>
      <w:r w:rsidRPr="000D1C8A">
        <w:rPr>
          <w:rFonts w:eastAsiaTheme="minorHAnsi" w:cstheme="minorBidi"/>
          <w:color w:val="C00000"/>
          <w:szCs w:val="22"/>
          <w:lang w:val="en-GB"/>
        </w:rPr>
        <w:t xml:space="preserve"> </w:t>
      </w:r>
    </w:p>
    <w:p w:rsidR="009B18BE" w:rsidRPr="000D1C8A" w:rsidRDefault="009B18BE" w:rsidP="009B18BE">
      <w:pPr>
        <w:spacing w:before="0" w:after="160" w:line="259" w:lineRule="auto"/>
        <w:jc w:val="left"/>
        <w:rPr>
          <w:rFonts w:eastAsiaTheme="minorHAnsi" w:cstheme="minorBidi"/>
          <w:szCs w:val="22"/>
        </w:rPr>
      </w:pPr>
      <w:r w:rsidRPr="000D1C8A">
        <w:rPr>
          <w:rFonts w:eastAsiaTheme="minorHAnsi" w:cstheme="minorBidi"/>
          <w:szCs w:val="22"/>
        </w:rPr>
        <w:t xml:space="preserve">In November 2019 we held an Away Day with the PAR group to review priorities for the second half of the BRC and have identified the following focus areas for 2020/21: increasing diversity within PPI; embedding PPI at an </w:t>
      </w:r>
      <w:proofErr w:type="spellStart"/>
      <w:r w:rsidRPr="000D1C8A">
        <w:rPr>
          <w:rFonts w:eastAsiaTheme="minorHAnsi" w:cstheme="minorBidi"/>
          <w:szCs w:val="22"/>
        </w:rPr>
        <w:t>organisational</w:t>
      </w:r>
      <w:proofErr w:type="spellEnd"/>
      <w:r w:rsidRPr="000D1C8A">
        <w:rPr>
          <w:rFonts w:eastAsiaTheme="minorHAnsi" w:cstheme="minorBidi"/>
          <w:szCs w:val="22"/>
        </w:rPr>
        <w:t xml:space="preserve"> level; evaluating the impact of the PPI Theme. </w:t>
      </w:r>
    </w:p>
    <w:p w:rsidR="009B18BE" w:rsidRPr="000D1C8A" w:rsidRDefault="009B18BE" w:rsidP="009B18BE">
      <w:pPr>
        <w:spacing w:before="0" w:after="160" w:line="259" w:lineRule="auto"/>
        <w:jc w:val="left"/>
        <w:rPr>
          <w:rFonts w:eastAsiaTheme="minorHAnsi" w:cstheme="minorBidi"/>
          <w:szCs w:val="22"/>
        </w:rPr>
      </w:pPr>
      <w:r w:rsidRPr="000D1C8A">
        <w:rPr>
          <w:rFonts w:eastAsiaTheme="minorHAnsi" w:cstheme="minorBidi"/>
          <w:szCs w:val="22"/>
        </w:rPr>
        <w:lastRenderedPageBreak/>
        <w:t>Key activities in the last period have included:</w:t>
      </w:r>
    </w:p>
    <w:p w:rsidR="009B18BE" w:rsidRPr="000D1C8A" w:rsidRDefault="009B18BE" w:rsidP="009B18BE">
      <w:pPr>
        <w:spacing w:before="0" w:after="160" w:line="259" w:lineRule="auto"/>
        <w:jc w:val="left"/>
        <w:rPr>
          <w:rFonts w:eastAsiaTheme="minorHAnsi" w:cstheme="minorBidi"/>
          <w:b/>
          <w:bCs/>
          <w:szCs w:val="22"/>
        </w:rPr>
      </w:pPr>
      <w:r w:rsidRPr="000D1C8A">
        <w:rPr>
          <w:rFonts w:eastAsiaTheme="minorHAnsi" w:cstheme="minorBidi"/>
          <w:b/>
          <w:bCs/>
          <w:szCs w:val="22"/>
        </w:rPr>
        <w:t>Objective 1: Support</w:t>
      </w:r>
    </w:p>
    <w:p w:rsidR="009B18BE" w:rsidRPr="000D1C8A" w:rsidRDefault="009B18BE" w:rsidP="0017480B">
      <w:pPr>
        <w:numPr>
          <w:ilvl w:val="0"/>
          <w:numId w:val="26"/>
        </w:numPr>
        <w:spacing w:line="276" w:lineRule="auto"/>
        <w:ind w:left="428"/>
        <w:contextualSpacing/>
        <w:jc w:val="left"/>
        <w:rPr>
          <w:rFonts w:eastAsiaTheme="minorHAnsi" w:cstheme="minorBidi"/>
          <w:szCs w:val="22"/>
        </w:rPr>
      </w:pPr>
      <w:r w:rsidRPr="000D1C8A">
        <w:rPr>
          <w:rFonts w:eastAsiaTheme="minorHAnsi" w:cstheme="minorBidi"/>
          <w:szCs w:val="22"/>
        </w:rPr>
        <w:t>Between April 2019 and January 2020, the PPI Theme has provided direct PPI support to 31 projects and engaged around 40 patient and public involvement contributors. We ran a feedback survey with our PPI contributors (December 2019) to ask about their experience, training needs and how we could improve our PPI.</w:t>
      </w:r>
    </w:p>
    <w:p w:rsidR="009B18BE" w:rsidRPr="000D1C8A" w:rsidRDefault="009B18BE" w:rsidP="0017480B">
      <w:pPr>
        <w:numPr>
          <w:ilvl w:val="0"/>
          <w:numId w:val="26"/>
        </w:numPr>
        <w:spacing w:line="276" w:lineRule="auto"/>
        <w:ind w:left="428"/>
        <w:contextualSpacing/>
        <w:jc w:val="left"/>
        <w:rPr>
          <w:rFonts w:eastAsiaTheme="minorHAnsi" w:cstheme="minorBidi"/>
          <w:szCs w:val="22"/>
        </w:rPr>
      </w:pPr>
      <w:r w:rsidRPr="000D1C8A">
        <w:rPr>
          <w:rFonts w:eastAsiaTheme="minorHAnsi" w:cstheme="minorBidi"/>
          <w:szCs w:val="22"/>
        </w:rPr>
        <w:t>We launched a series of PPI Research Meetings to facilitate the involvement of PPI contributors in the development of research projects. These were co-developed with PPI contributors and research staff. The first meeting took place on 29 November 2019. It was attended by 10 PPI contributors and two researchers presented their projects for discussion. Positive feedback was received from all meeting contributors, and comments from researchers included:</w:t>
      </w:r>
    </w:p>
    <w:p w:rsidR="009B18BE" w:rsidRPr="000D1C8A" w:rsidRDefault="009B18BE" w:rsidP="00772C22">
      <w:pPr>
        <w:spacing w:line="276" w:lineRule="auto"/>
        <w:ind w:left="68"/>
        <w:contextualSpacing/>
        <w:jc w:val="left"/>
        <w:rPr>
          <w:rFonts w:eastAsiaTheme="minorHAnsi" w:cstheme="minorBidi"/>
          <w:szCs w:val="22"/>
        </w:rPr>
      </w:pPr>
    </w:p>
    <w:p w:rsidR="009B18BE" w:rsidRPr="000D1C8A" w:rsidRDefault="009B18BE" w:rsidP="0017480B">
      <w:pPr>
        <w:numPr>
          <w:ilvl w:val="2"/>
          <w:numId w:val="26"/>
        </w:numPr>
        <w:spacing w:line="276" w:lineRule="auto"/>
        <w:ind w:left="927"/>
        <w:contextualSpacing/>
        <w:jc w:val="left"/>
        <w:rPr>
          <w:rFonts w:eastAsiaTheme="minorHAnsi" w:cstheme="minorHAnsi"/>
          <w:szCs w:val="22"/>
        </w:rPr>
      </w:pPr>
      <w:r w:rsidRPr="000D1C8A">
        <w:rPr>
          <w:rFonts w:eastAsiaTheme="minorHAnsi" w:cstheme="minorHAnsi"/>
          <w:i/>
          <w:iCs/>
          <w:szCs w:val="22"/>
          <w:shd w:val="clear" w:color="auto" w:fill="FFFFFF"/>
          <w:lang w:val="en-GB"/>
        </w:rPr>
        <w:t>I was able to gain insight into public perception surrounding depression, dementia and pharmacological interventions. This has changed the idea of my future work and I think for the better.</w:t>
      </w:r>
    </w:p>
    <w:p w:rsidR="009B18BE" w:rsidRPr="000D1C8A" w:rsidRDefault="009B18BE" w:rsidP="0017480B">
      <w:pPr>
        <w:numPr>
          <w:ilvl w:val="2"/>
          <w:numId w:val="26"/>
        </w:numPr>
        <w:spacing w:line="276" w:lineRule="auto"/>
        <w:ind w:left="927"/>
        <w:contextualSpacing/>
        <w:jc w:val="left"/>
        <w:rPr>
          <w:rFonts w:eastAsiaTheme="minorHAnsi" w:cstheme="minorHAnsi"/>
          <w:szCs w:val="22"/>
        </w:rPr>
      </w:pPr>
      <w:r w:rsidRPr="000D1C8A">
        <w:rPr>
          <w:rFonts w:eastAsiaTheme="minorHAnsi" w:cstheme="minorHAnsi"/>
          <w:i/>
          <w:iCs/>
          <w:szCs w:val="22"/>
          <w:shd w:val="clear" w:color="auto" w:fill="FFFFFF"/>
          <w:lang w:val="en-GB"/>
        </w:rPr>
        <w:t xml:space="preserve">I would </w:t>
      </w:r>
      <w:proofErr w:type="gramStart"/>
      <w:r w:rsidRPr="000D1C8A">
        <w:rPr>
          <w:rFonts w:eastAsiaTheme="minorHAnsi" w:cstheme="minorHAnsi"/>
          <w:i/>
          <w:iCs/>
          <w:szCs w:val="22"/>
          <w:shd w:val="clear" w:color="auto" w:fill="FFFFFF"/>
          <w:lang w:val="en-GB"/>
        </w:rPr>
        <w:t>definitely recommend</w:t>
      </w:r>
      <w:proofErr w:type="gramEnd"/>
      <w:r w:rsidRPr="000D1C8A">
        <w:rPr>
          <w:rFonts w:eastAsiaTheme="minorHAnsi" w:cstheme="minorHAnsi"/>
          <w:i/>
          <w:iCs/>
          <w:szCs w:val="22"/>
          <w:shd w:val="clear" w:color="auto" w:fill="FFFFFF"/>
          <w:lang w:val="en-GB"/>
        </w:rPr>
        <w:t xml:space="preserve"> these meetings for other researchers. Not only is it an excellent structure for getting PPI input but also a </w:t>
      </w:r>
      <w:proofErr w:type="gramStart"/>
      <w:r w:rsidRPr="000D1C8A">
        <w:rPr>
          <w:rFonts w:eastAsiaTheme="minorHAnsi" w:cstheme="minorHAnsi"/>
          <w:i/>
          <w:iCs/>
          <w:szCs w:val="22"/>
          <w:shd w:val="clear" w:color="auto" w:fill="FFFFFF"/>
          <w:lang w:val="en-GB"/>
        </w:rPr>
        <w:t>really nice</w:t>
      </w:r>
      <w:proofErr w:type="gramEnd"/>
      <w:r w:rsidRPr="000D1C8A">
        <w:rPr>
          <w:rFonts w:eastAsiaTheme="minorHAnsi" w:cstheme="minorHAnsi"/>
          <w:i/>
          <w:iCs/>
          <w:szCs w:val="22"/>
          <w:shd w:val="clear" w:color="auto" w:fill="FFFFFF"/>
          <w:lang w:val="en-GB"/>
        </w:rPr>
        <w:t xml:space="preserve"> environment to develop public engagement skills.</w:t>
      </w:r>
    </w:p>
    <w:p w:rsidR="009B18BE" w:rsidRPr="000D1C8A" w:rsidRDefault="009B18BE" w:rsidP="00772C22">
      <w:pPr>
        <w:spacing w:line="276" w:lineRule="auto"/>
        <w:ind w:left="68"/>
        <w:contextualSpacing/>
        <w:jc w:val="left"/>
        <w:rPr>
          <w:rFonts w:eastAsiaTheme="minorHAnsi" w:cstheme="minorBidi"/>
          <w:szCs w:val="22"/>
        </w:rPr>
      </w:pPr>
    </w:p>
    <w:p w:rsidR="009B18BE" w:rsidRPr="000D1C8A" w:rsidRDefault="009B18BE" w:rsidP="0017480B">
      <w:pPr>
        <w:numPr>
          <w:ilvl w:val="0"/>
          <w:numId w:val="26"/>
        </w:numPr>
        <w:spacing w:line="276" w:lineRule="auto"/>
        <w:ind w:left="428"/>
        <w:contextualSpacing/>
        <w:jc w:val="left"/>
        <w:rPr>
          <w:rFonts w:eastAsiaTheme="minorHAnsi" w:cstheme="minorBidi"/>
          <w:szCs w:val="22"/>
        </w:rPr>
      </w:pPr>
      <w:r w:rsidRPr="000D1C8A">
        <w:rPr>
          <w:rFonts w:eastAsiaTheme="minorHAnsi" w:cstheme="minorBidi"/>
          <w:szCs w:val="22"/>
        </w:rPr>
        <w:t>The PPI Small Grants Programme received reports from projects it funded in March 2019. PPI has delivered learning that will influence the design of studies including how and where studies are advertised, the information that is included on Participant Information Sheets, the wording of questionnaires, the order of study tasks and the information provided to participants about study tasks.</w:t>
      </w:r>
    </w:p>
    <w:p w:rsidR="009B18BE" w:rsidRPr="000D1C8A" w:rsidRDefault="009B18BE" w:rsidP="00772C22">
      <w:pPr>
        <w:spacing w:line="276" w:lineRule="auto"/>
        <w:ind w:left="68"/>
        <w:contextualSpacing/>
        <w:jc w:val="left"/>
        <w:rPr>
          <w:rFonts w:eastAsiaTheme="minorHAnsi" w:cstheme="minorBidi"/>
          <w:szCs w:val="22"/>
        </w:rPr>
      </w:pPr>
    </w:p>
    <w:p w:rsidR="009B18BE" w:rsidRPr="000D1C8A" w:rsidRDefault="009B18BE" w:rsidP="009B18BE">
      <w:pPr>
        <w:spacing w:before="0" w:after="160" w:line="259" w:lineRule="auto"/>
        <w:jc w:val="left"/>
        <w:rPr>
          <w:rFonts w:eastAsiaTheme="minorHAnsi" w:cstheme="minorBidi"/>
          <w:b/>
          <w:bCs/>
          <w:szCs w:val="22"/>
        </w:rPr>
      </w:pPr>
      <w:r w:rsidRPr="000D1C8A">
        <w:rPr>
          <w:rFonts w:eastAsiaTheme="minorHAnsi" w:cstheme="minorBidi"/>
          <w:b/>
          <w:bCs/>
          <w:szCs w:val="22"/>
        </w:rPr>
        <w:t>Objective 2: Training</w:t>
      </w:r>
    </w:p>
    <w:p w:rsidR="009B18BE" w:rsidRPr="000D1C8A" w:rsidRDefault="009B18BE" w:rsidP="0017480B">
      <w:pPr>
        <w:numPr>
          <w:ilvl w:val="0"/>
          <w:numId w:val="27"/>
        </w:numPr>
        <w:spacing w:line="276" w:lineRule="auto"/>
        <w:ind w:left="428"/>
        <w:contextualSpacing/>
        <w:jc w:val="left"/>
        <w:rPr>
          <w:rFonts w:eastAsiaTheme="minorHAnsi" w:cstheme="minorBidi"/>
          <w:szCs w:val="22"/>
        </w:rPr>
      </w:pPr>
      <w:r w:rsidRPr="000D1C8A">
        <w:rPr>
          <w:rFonts w:eastAsiaTheme="minorHAnsi" w:cstheme="minorBidi"/>
          <w:szCs w:val="22"/>
        </w:rPr>
        <w:t xml:space="preserve">Since November 2019, we have delivered 3 workshops for PPI contributors to support their understanding and confidence in the research process. Our partners in delivering these were the Oxford BRC and ARC (Applied Research Collaboration) Oxford and Thames Valley. Topics have included service user led research (December 2019) and digital health (January 2020). Each workshop has been attended by around 25 PPI contributors. An </w:t>
      </w:r>
      <w:hyperlink r:id="rId11" w:history="1">
        <w:r w:rsidRPr="000D1C8A">
          <w:rPr>
            <w:rFonts w:eastAsiaTheme="minorHAnsi" w:cstheme="minorBidi"/>
            <w:color w:val="0000FF" w:themeColor="hyperlink"/>
            <w:szCs w:val="22"/>
            <w:u w:val="single"/>
          </w:rPr>
          <w:t>evaluation report</w:t>
        </w:r>
      </w:hyperlink>
      <w:r w:rsidRPr="000D1C8A">
        <w:rPr>
          <w:rFonts w:eastAsiaTheme="minorHAnsi" w:cstheme="minorBidi"/>
          <w:szCs w:val="22"/>
        </w:rPr>
        <w:t xml:space="preserve"> on the last series of these events (Jan – Aug 2019) was published in October 2019 and is available on the BRC website.</w:t>
      </w:r>
    </w:p>
    <w:p w:rsidR="009B18BE" w:rsidRPr="000D1C8A" w:rsidRDefault="009B18BE" w:rsidP="0017480B">
      <w:pPr>
        <w:numPr>
          <w:ilvl w:val="0"/>
          <w:numId w:val="27"/>
        </w:numPr>
        <w:spacing w:line="276" w:lineRule="auto"/>
        <w:ind w:left="428"/>
        <w:contextualSpacing/>
        <w:jc w:val="left"/>
        <w:rPr>
          <w:rFonts w:eastAsiaTheme="minorHAnsi" w:cstheme="minorBidi"/>
          <w:szCs w:val="22"/>
        </w:rPr>
      </w:pPr>
      <w:r w:rsidRPr="000D1C8A">
        <w:rPr>
          <w:rFonts w:eastAsiaTheme="minorHAnsi" w:cstheme="minorBidi"/>
          <w:szCs w:val="22"/>
        </w:rPr>
        <w:t>We have delivered 2 involvement workshops for PPI contributors and staff members on ‘Recording and impact’ (September 2019) and ‘Working with the seldom heard’ (November 2019). Our partners in delivering these were the Oxford AHSN (Academic Health Sciences Network), CRN (Clinical Research Network) Thames Valley and South Midlands, Oxford BRC and ARC Oxford and Thames Valley. Both events were attended by around 3 people.</w:t>
      </w:r>
    </w:p>
    <w:p w:rsidR="009B18BE" w:rsidRPr="000D1C8A" w:rsidRDefault="009B18BE" w:rsidP="0017480B">
      <w:pPr>
        <w:numPr>
          <w:ilvl w:val="0"/>
          <w:numId w:val="27"/>
        </w:numPr>
        <w:spacing w:line="276" w:lineRule="auto"/>
        <w:ind w:left="428"/>
        <w:contextualSpacing/>
        <w:jc w:val="left"/>
        <w:rPr>
          <w:rFonts w:eastAsiaTheme="minorHAnsi" w:cstheme="minorBidi"/>
          <w:szCs w:val="22"/>
        </w:rPr>
      </w:pPr>
      <w:r w:rsidRPr="000D1C8A">
        <w:rPr>
          <w:rFonts w:eastAsiaTheme="minorHAnsi" w:cstheme="minorBidi"/>
          <w:szCs w:val="22"/>
        </w:rPr>
        <w:t>We delivered 1 PPI workshop on for research staff, co-delivered with 6 PPI contributors and focused on how to work with patients and the public. This was attended by 45 researchers (December 2019). Our partners in delivering this were the Research Design Service South Central, Oxford BRC and ARC Oxford and Thames Valley.</w:t>
      </w:r>
    </w:p>
    <w:p w:rsidR="009B18BE" w:rsidRPr="000D1C8A" w:rsidRDefault="009B18BE" w:rsidP="0017480B">
      <w:pPr>
        <w:numPr>
          <w:ilvl w:val="0"/>
          <w:numId w:val="27"/>
        </w:numPr>
        <w:spacing w:line="276" w:lineRule="auto"/>
        <w:ind w:left="428"/>
        <w:contextualSpacing/>
        <w:jc w:val="left"/>
        <w:rPr>
          <w:rFonts w:eastAsiaTheme="minorHAnsi" w:cstheme="minorBidi"/>
          <w:szCs w:val="22"/>
        </w:rPr>
      </w:pPr>
      <w:r w:rsidRPr="000D1C8A">
        <w:rPr>
          <w:rFonts w:eastAsiaTheme="minorHAnsi" w:cstheme="minorBidi"/>
          <w:szCs w:val="22"/>
        </w:rPr>
        <w:t>We delivered a PPI session as part of the BRC’s Oxford Short Course in Experimental Medicine for Mental Health (January 2020).</w:t>
      </w:r>
    </w:p>
    <w:p w:rsidR="009B18BE" w:rsidRPr="000D1C8A" w:rsidRDefault="009B18BE" w:rsidP="00772C22">
      <w:pPr>
        <w:spacing w:before="0" w:line="276" w:lineRule="auto"/>
        <w:ind w:left="720"/>
        <w:contextualSpacing/>
        <w:jc w:val="left"/>
        <w:rPr>
          <w:rFonts w:eastAsiaTheme="minorHAnsi" w:cstheme="minorBidi"/>
          <w:szCs w:val="22"/>
        </w:rPr>
      </w:pPr>
    </w:p>
    <w:p w:rsidR="009B18BE" w:rsidRPr="000D1C8A" w:rsidRDefault="009B18BE" w:rsidP="009B18BE">
      <w:pPr>
        <w:spacing w:before="0" w:after="160" w:line="259" w:lineRule="auto"/>
        <w:jc w:val="left"/>
        <w:rPr>
          <w:rFonts w:eastAsiaTheme="minorHAnsi" w:cstheme="minorBidi"/>
          <w:b/>
          <w:bCs/>
          <w:szCs w:val="22"/>
        </w:rPr>
      </w:pPr>
      <w:r w:rsidRPr="000D1C8A">
        <w:rPr>
          <w:rFonts w:eastAsiaTheme="minorHAnsi" w:cstheme="minorBidi"/>
          <w:b/>
          <w:bCs/>
          <w:szCs w:val="22"/>
        </w:rPr>
        <w:t>Objective 3: Outreach</w:t>
      </w:r>
    </w:p>
    <w:p w:rsidR="009B18BE" w:rsidRPr="000D1C8A" w:rsidRDefault="009B18BE" w:rsidP="0017480B">
      <w:pPr>
        <w:numPr>
          <w:ilvl w:val="0"/>
          <w:numId w:val="28"/>
        </w:numPr>
        <w:spacing w:before="0" w:line="276" w:lineRule="auto"/>
        <w:ind w:left="428"/>
        <w:contextualSpacing/>
        <w:jc w:val="left"/>
        <w:rPr>
          <w:rFonts w:eastAsiaTheme="minorHAnsi" w:cstheme="minorBidi"/>
          <w:szCs w:val="22"/>
        </w:rPr>
      </w:pPr>
      <w:r w:rsidRPr="000D1C8A">
        <w:rPr>
          <w:rFonts w:eastAsiaTheme="minorHAnsi" w:cstheme="minorBidi"/>
          <w:szCs w:val="22"/>
        </w:rPr>
        <w:t>We have developed a ‘Widening Diversity and Participation Framework’ and will be holding a community engagement event with the Oxford Asian Cultural Centre on International Women’s Day, 8 March 2020, to raise awareness of mental health research.</w:t>
      </w:r>
    </w:p>
    <w:p w:rsidR="009B18BE" w:rsidRPr="000D1C8A" w:rsidRDefault="009B18BE" w:rsidP="00772C22">
      <w:pPr>
        <w:spacing w:before="0" w:after="200" w:line="276" w:lineRule="auto"/>
        <w:ind w:left="737"/>
        <w:contextualSpacing/>
        <w:jc w:val="left"/>
        <w:rPr>
          <w:rFonts w:eastAsiaTheme="minorHAnsi" w:cstheme="minorBidi"/>
          <w:szCs w:val="22"/>
        </w:rPr>
      </w:pPr>
    </w:p>
    <w:p w:rsidR="009B18BE" w:rsidRPr="000D1C8A" w:rsidRDefault="009B18BE" w:rsidP="0017480B">
      <w:pPr>
        <w:numPr>
          <w:ilvl w:val="0"/>
          <w:numId w:val="28"/>
        </w:numPr>
        <w:spacing w:before="0" w:line="276" w:lineRule="auto"/>
        <w:ind w:left="428"/>
        <w:contextualSpacing/>
        <w:jc w:val="left"/>
        <w:rPr>
          <w:rFonts w:eastAsiaTheme="minorHAnsi" w:cstheme="minorBidi"/>
          <w:szCs w:val="22"/>
        </w:rPr>
      </w:pPr>
      <w:r w:rsidRPr="000D1C8A">
        <w:rPr>
          <w:rFonts w:eastAsiaTheme="minorHAnsi" w:cstheme="minorBidi"/>
          <w:szCs w:val="22"/>
        </w:rPr>
        <w:t xml:space="preserve">The </w:t>
      </w:r>
      <w:hyperlink r:id="rId12" w:history="1">
        <w:r w:rsidRPr="000D1C8A">
          <w:rPr>
            <w:rFonts w:eastAsiaTheme="minorHAnsi" w:cstheme="minorBidi"/>
            <w:color w:val="0000FF" w:themeColor="hyperlink"/>
            <w:szCs w:val="22"/>
            <w:u w:val="single"/>
          </w:rPr>
          <w:t>NEUROSEC Young Person’s Advisory Group</w:t>
        </w:r>
      </w:hyperlink>
      <w:r w:rsidRPr="000D1C8A">
        <w:rPr>
          <w:rFonts w:eastAsiaTheme="minorHAnsi" w:cstheme="minorBidi"/>
          <w:szCs w:val="22"/>
        </w:rPr>
        <w:t xml:space="preserve"> has recruited 23 new members from 12 schools in Oxfordshire. We attended the Oxfordshire Youth in Mind Conference and are running a survey to explore attitudes to involvement in research with schools.</w:t>
      </w:r>
    </w:p>
    <w:p w:rsidR="009B18BE" w:rsidRDefault="009B18BE" w:rsidP="0017480B">
      <w:pPr>
        <w:numPr>
          <w:ilvl w:val="0"/>
          <w:numId w:val="28"/>
        </w:numPr>
        <w:spacing w:after="240" w:line="276" w:lineRule="auto"/>
        <w:ind w:left="428"/>
        <w:contextualSpacing/>
        <w:jc w:val="left"/>
        <w:rPr>
          <w:rFonts w:eastAsiaTheme="minorHAnsi" w:cstheme="minorBidi"/>
          <w:szCs w:val="22"/>
        </w:rPr>
      </w:pPr>
      <w:r w:rsidRPr="000D1C8A">
        <w:rPr>
          <w:rFonts w:eastAsiaTheme="minorHAnsi" w:cstheme="minorBidi"/>
          <w:szCs w:val="22"/>
        </w:rPr>
        <w:t>We have attended Oxford Health events to share opportunities to get involved in research (</w:t>
      </w:r>
      <w:proofErr w:type="spellStart"/>
      <w:r w:rsidRPr="000D1C8A">
        <w:rPr>
          <w:rFonts w:eastAsiaTheme="minorHAnsi" w:cstheme="minorBidi"/>
          <w:szCs w:val="22"/>
        </w:rPr>
        <w:t>HealthFest</w:t>
      </w:r>
      <w:proofErr w:type="spellEnd"/>
      <w:r w:rsidRPr="000D1C8A">
        <w:rPr>
          <w:rFonts w:eastAsiaTheme="minorHAnsi" w:cstheme="minorBidi"/>
          <w:szCs w:val="22"/>
        </w:rPr>
        <w:t xml:space="preserve"> September 2019, and </w:t>
      </w:r>
      <w:proofErr w:type="spellStart"/>
      <w:r w:rsidRPr="000D1C8A">
        <w:rPr>
          <w:rFonts w:eastAsiaTheme="minorHAnsi" w:cstheme="minorBidi"/>
          <w:szCs w:val="22"/>
        </w:rPr>
        <w:t>Carers</w:t>
      </w:r>
      <w:proofErr w:type="spellEnd"/>
      <w:r w:rsidRPr="000D1C8A">
        <w:rPr>
          <w:rFonts w:eastAsiaTheme="minorHAnsi" w:cstheme="minorBidi"/>
          <w:szCs w:val="22"/>
        </w:rPr>
        <w:t xml:space="preserve"> Conference June 2019). We attended a Board Meeting of the Oxford Mental Health Partnership to share opportunities to get involved in and take part in research (July 2019).</w:t>
      </w:r>
    </w:p>
    <w:p w:rsidR="00772C22" w:rsidRPr="000D1C8A" w:rsidRDefault="00772C22" w:rsidP="00772C22">
      <w:pPr>
        <w:spacing w:after="240" w:line="276" w:lineRule="auto"/>
        <w:ind w:left="428"/>
        <w:contextualSpacing/>
        <w:jc w:val="left"/>
        <w:rPr>
          <w:rFonts w:eastAsiaTheme="minorHAnsi" w:cstheme="minorBidi"/>
          <w:szCs w:val="22"/>
        </w:rPr>
      </w:pPr>
    </w:p>
    <w:p w:rsidR="009B18BE" w:rsidRPr="000D1C8A" w:rsidRDefault="009B18BE" w:rsidP="009B18BE">
      <w:pPr>
        <w:spacing w:before="0" w:after="160" w:line="259" w:lineRule="auto"/>
        <w:jc w:val="left"/>
        <w:rPr>
          <w:rFonts w:eastAsiaTheme="minorHAnsi" w:cstheme="minorBidi"/>
          <w:b/>
          <w:bCs/>
          <w:szCs w:val="22"/>
        </w:rPr>
      </w:pPr>
      <w:r w:rsidRPr="000D1C8A">
        <w:rPr>
          <w:rFonts w:eastAsiaTheme="minorHAnsi" w:cstheme="minorBidi"/>
          <w:b/>
          <w:bCs/>
          <w:szCs w:val="22"/>
        </w:rPr>
        <w:t>Objective 4: Clinical Research Facility</w:t>
      </w:r>
    </w:p>
    <w:p w:rsidR="009B18BE" w:rsidRPr="000D1C8A" w:rsidRDefault="009B18BE" w:rsidP="0017480B">
      <w:pPr>
        <w:numPr>
          <w:ilvl w:val="0"/>
          <w:numId w:val="30"/>
        </w:numPr>
        <w:spacing w:line="276" w:lineRule="auto"/>
        <w:ind w:left="428"/>
        <w:contextualSpacing/>
        <w:jc w:val="left"/>
        <w:rPr>
          <w:rFonts w:eastAsiaTheme="minorHAnsi" w:cstheme="minorBidi"/>
          <w:szCs w:val="22"/>
        </w:rPr>
      </w:pPr>
      <w:r w:rsidRPr="000D1C8A">
        <w:rPr>
          <w:rFonts w:eastAsiaTheme="minorHAnsi" w:cstheme="minorBidi"/>
          <w:szCs w:val="22"/>
        </w:rPr>
        <w:t xml:space="preserve">ENGAGE, the CRF PPI group, continues to meet bi-monthly. It has provided feedback on two research projects and on a series of posters to promote </w:t>
      </w:r>
      <w:r w:rsidR="00772C22" w:rsidRPr="000D1C8A">
        <w:rPr>
          <w:rFonts w:eastAsiaTheme="minorHAnsi" w:cstheme="minorBidi"/>
          <w:szCs w:val="22"/>
        </w:rPr>
        <w:t>research and</w:t>
      </w:r>
      <w:r w:rsidRPr="000D1C8A">
        <w:rPr>
          <w:rFonts w:eastAsiaTheme="minorHAnsi" w:cstheme="minorBidi"/>
          <w:szCs w:val="22"/>
        </w:rPr>
        <w:t xml:space="preserve"> contributed to devising a new approach to collecting feedback from CRF service users.</w:t>
      </w:r>
    </w:p>
    <w:p w:rsidR="009B18BE" w:rsidRPr="000D1C8A" w:rsidRDefault="009B18BE" w:rsidP="0017480B">
      <w:pPr>
        <w:numPr>
          <w:ilvl w:val="0"/>
          <w:numId w:val="29"/>
        </w:numPr>
        <w:spacing w:line="259" w:lineRule="auto"/>
        <w:ind w:left="428"/>
        <w:contextualSpacing/>
        <w:jc w:val="left"/>
        <w:rPr>
          <w:rFonts w:eastAsiaTheme="minorHAnsi" w:cstheme="minorBidi"/>
          <w:szCs w:val="22"/>
          <w:lang w:val="en-GB"/>
        </w:rPr>
      </w:pPr>
      <w:r w:rsidRPr="000D1C8A">
        <w:rPr>
          <w:rFonts w:eastAsiaTheme="minorHAnsi" w:cstheme="minorBidi"/>
          <w:szCs w:val="22"/>
          <w:lang w:val="en-GB"/>
        </w:rPr>
        <w:t>A PPI representative from the CRF attended the national CRF conference (June 2019).</w:t>
      </w:r>
    </w:p>
    <w:p w:rsidR="009B18BE" w:rsidRPr="000D1C8A" w:rsidRDefault="009B18BE" w:rsidP="00772C22">
      <w:pPr>
        <w:spacing w:before="0" w:after="0" w:line="259" w:lineRule="auto"/>
        <w:jc w:val="left"/>
        <w:rPr>
          <w:rFonts w:eastAsiaTheme="minorHAnsi" w:cstheme="minorBidi"/>
          <w:szCs w:val="22"/>
        </w:rPr>
      </w:pPr>
    </w:p>
    <w:p w:rsidR="009B18BE" w:rsidRPr="000D1C8A" w:rsidRDefault="009B18BE" w:rsidP="009B18BE">
      <w:pPr>
        <w:spacing w:before="0" w:after="160" w:line="259" w:lineRule="auto"/>
        <w:jc w:val="left"/>
        <w:rPr>
          <w:rFonts w:eastAsiaTheme="minorHAnsi" w:cstheme="minorBidi"/>
          <w:b/>
          <w:szCs w:val="22"/>
          <w:lang w:val="en-GB"/>
        </w:rPr>
      </w:pPr>
      <w:r w:rsidRPr="000D1C8A">
        <w:rPr>
          <w:rFonts w:eastAsiaTheme="minorHAnsi" w:cstheme="minorBidi"/>
          <w:b/>
          <w:szCs w:val="22"/>
          <w:lang w:val="en-GB"/>
        </w:rPr>
        <w:t>Objective 5: Governance</w:t>
      </w:r>
    </w:p>
    <w:p w:rsidR="009B18BE" w:rsidRPr="00772C22" w:rsidRDefault="009B18BE" w:rsidP="0017480B">
      <w:pPr>
        <w:numPr>
          <w:ilvl w:val="0"/>
          <w:numId w:val="30"/>
        </w:numPr>
        <w:spacing w:line="276" w:lineRule="auto"/>
        <w:ind w:left="428"/>
        <w:contextualSpacing/>
        <w:jc w:val="left"/>
        <w:rPr>
          <w:rFonts w:eastAsiaTheme="minorHAnsi" w:cstheme="minorBidi"/>
          <w:szCs w:val="22"/>
        </w:rPr>
      </w:pPr>
      <w:r w:rsidRPr="00772C22">
        <w:rPr>
          <w:rFonts w:eastAsiaTheme="minorHAnsi" w:cstheme="minorBidi"/>
          <w:szCs w:val="22"/>
        </w:rPr>
        <w:t>The Patient/Carer Representative role has continued to sit on the OH BRC Steering Committee, In May 2019 it was agreed this role would be extended to also sit on the CRF Board.</w:t>
      </w:r>
    </w:p>
    <w:p w:rsidR="009B18BE" w:rsidRPr="00772C22" w:rsidRDefault="009B18BE" w:rsidP="0017480B">
      <w:pPr>
        <w:numPr>
          <w:ilvl w:val="0"/>
          <w:numId w:val="30"/>
        </w:numPr>
        <w:spacing w:line="276" w:lineRule="auto"/>
        <w:ind w:left="428"/>
        <w:contextualSpacing/>
        <w:jc w:val="left"/>
        <w:rPr>
          <w:rFonts w:eastAsiaTheme="minorHAnsi" w:cstheme="minorBidi"/>
          <w:szCs w:val="22"/>
        </w:rPr>
      </w:pPr>
      <w:r w:rsidRPr="00772C22">
        <w:rPr>
          <w:rFonts w:eastAsiaTheme="minorHAnsi" w:cstheme="minorBidi"/>
          <w:szCs w:val="22"/>
        </w:rPr>
        <w:t>The PPI Manager attends the OHFT R&amp;D Pipeline Meetings.</w:t>
      </w:r>
    </w:p>
    <w:p w:rsidR="009B18BE" w:rsidRPr="00772C22" w:rsidRDefault="009B18BE" w:rsidP="0017480B">
      <w:pPr>
        <w:numPr>
          <w:ilvl w:val="0"/>
          <w:numId w:val="30"/>
        </w:numPr>
        <w:spacing w:line="276" w:lineRule="auto"/>
        <w:ind w:left="428"/>
        <w:contextualSpacing/>
        <w:jc w:val="left"/>
        <w:rPr>
          <w:rFonts w:eastAsiaTheme="minorHAnsi" w:cstheme="minorBidi"/>
          <w:szCs w:val="22"/>
        </w:rPr>
      </w:pPr>
      <w:r w:rsidRPr="00772C22">
        <w:rPr>
          <w:rFonts w:eastAsiaTheme="minorHAnsi" w:cstheme="minorBidi"/>
          <w:szCs w:val="22"/>
        </w:rPr>
        <w:t>PPI staff links from the 6 BRC research themes continue to meet quarterly with the PPI Manager to ensure PPI activity is coordinated and supported across the BRC’s activity.</w:t>
      </w:r>
    </w:p>
    <w:p w:rsidR="009B18BE" w:rsidRPr="000D1C8A" w:rsidRDefault="009B18BE" w:rsidP="00772C22">
      <w:pPr>
        <w:spacing w:before="0" w:after="0" w:line="259" w:lineRule="auto"/>
        <w:jc w:val="left"/>
        <w:rPr>
          <w:rFonts w:eastAsiaTheme="minorHAnsi" w:cstheme="minorBidi"/>
          <w:szCs w:val="22"/>
          <w:lang w:val="en-GB"/>
        </w:rPr>
      </w:pPr>
    </w:p>
    <w:p w:rsidR="009B18BE" w:rsidRPr="000D1C8A" w:rsidRDefault="009B18BE" w:rsidP="009B18BE">
      <w:pPr>
        <w:spacing w:before="0" w:after="160" w:line="259" w:lineRule="auto"/>
        <w:jc w:val="left"/>
        <w:rPr>
          <w:rFonts w:eastAsiaTheme="minorHAnsi" w:cstheme="minorBidi"/>
          <w:b/>
          <w:szCs w:val="22"/>
          <w:lang w:val="en-GB"/>
        </w:rPr>
      </w:pPr>
      <w:r w:rsidRPr="000D1C8A">
        <w:rPr>
          <w:rFonts w:eastAsiaTheme="minorHAnsi" w:cstheme="minorBidi"/>
          <w:b/>
          <w:szCs w:val="22"/>
          <w:lang w:val="en-GB"/>
        </w:rPr>
        <w:t>Objective 6: Research</w:t>
      </w:r>
    </w:p>
    <w:p w:rsidR="009B18BE" w:rsidRPr="000D1C8A" w:rsidRDefault="009B18BE" w:rsidP="0017480B">
      <w:pPr>
        <w:numPr>
          <w:ilvl w:val="0"/>
          <w:numId w:val="31"/>
        </w:numPr>
        <w:spacing w:before="0" w:after="0" w:line="259" w:lineRule="auto"/>
        <w:contextualSpacing/>
        <w:jc w:val="left"/>
        <w:rPr>
          <w:rFonts w:eastAsiaTheme="minorHAnsi" w:cstheme="minorBidi"/>
          <w:szCs w:val="22"/>
          <w:lang w:val="en-GB"/>
        </w:rPr>
      </w:pPr>
      <w:r w:rsidRPr="000D1C8A">
        <w:rPr>
          <w:rFonts w:eastAsiaTheme="minorHAnsi" w:cstheme="minorBidi"/>
          <w:szCs w:val="22"/>
          <w:lang w:val="en-GB"/>
        </w:rPr>
        <w:t xml:space="preserve">Patient, carer and public members of the PAR Strategy Group contributed to a </w:t>
      </w:r>
      <w:hyperlink r:id="rId13" w:history="1">
        <w:r w:rsidRPr="000D1C8A">
          <w:rPr>
            <w:rFonts w:eastAsiaTheme="minorHAnsi" w:cstheme="minorBidi"/>
            <w:szCs w:val="22"/>
            <w:lang w:val="en-GB"/>
          </w:rPr>
          <w:t>NEUROSEC</w:t>
        </w:r>
      </w:hyperlink>
      <w:r w:rsidRPr="000D1C8A">
        <w:rPr>
          <w:rFonts w:eastAsiaTheme="minorHAnsi" w:cstheme="minorBidi"/>
          <w:szCs w:val="22"/>
          <w:lang w:val="en-GB"/>
        </w:rPr>
        <w:t xml:space="preserve"> paper on ‘Ethics in Participatory Research in</w:t>
      </w:r>
      <w:r w:rsidRPr="000D1C8A">
        <w:rPr>
          <w:rFonts w:eastAsiaTheme="minorHAnsi" w:cstheme="minorBidi"/>
          <w:szCs w:val="22"/>
          <w:lang w:val="en-CA"/>
        </w:rPr>
        <w:t xml:space="preserve"> Psychiatry’</w:t>
      </w:r>
      <w:r w:rsidRPr="000D1C8A">
        <w:rPr>
          <w:rFonts w:eastAsiaTheme="minorHAnsi" w:cstheme="minorBidi"/>
          <w:szCs w:val="22"/>
          <w:lang w:val="en-GB"/>
        </w:rPr>
        <w:t xml:space="preserve">. </w:t>
      </w:r>
    </w:p>
    <w:p w:rsidR="009B18BE" w:rsidRPr="000D1C8A" w:rsidRDefault="009B18BE" w:rsidP="009B18BE">
      <w:pPr>
        <w:spacing w:before="0" w:after="0"/>
        <w:ind w:left="720"/>
        <w:contextualSpacing/>
        <w:jc w:val="left"/>
        <w:rPr>
          <w:rFonts w:eastAsiaTheme="minorHAnsi" w:cstheme="minorBidi"/>
          <w:szCs w:val="22"/>
          <w:lang w:val="en-GB"/>
        </w:rPr>
      </w:pPr>
    </w:p>
    <w:p w:rsidR="009B18BE" w:rsidRPr="000D1C8A" w:rsidRDefault="009B18BE" w:rsidP="0017480B">
      <w:pPr>
        <w:numPr>
          <w:ilvl w:val="0"/>
          <w:numId w:val="31"/>
        </w:numPr>
        <w:spacing w:before="0" w:after="0" w:line="259" w:lineRule="auto"/>
        <w:contextualSpacing/>
        <w:jc w:val="left"/>
        <w:rPr>
          <w:rFonts w:eastAsiaTheme="minorHAnsi" w:cstheme="minorBidi"/>
          <w:szCs w:val="22"/>
          <w:lang w:val="en-GB"/>
        </w:rPr>
      </w:pPr>
      <w:r w:rsidRPr="000D1C8A">
        <w:rPr>
          <w:rFonts w:eastAsiaTheme="minorHAnsi" w:cstheme="minorBidi"/>
          <w:szCs w:val="22"/>
          <w:lang w:val="en-GB"/>
        </w:rPr>
        <w:t>The patient/carer and staff co-chairs of the PAR Strategy Group were co-authors, with researchers from the PPI Theme, in ‘</w:t>
      </w:r>
      <w:hyperlink r:id="rId14" w:history="1">
        <w:r w:rsidRPr="000D1C8A">
          <w:rPr>
            <w:rFonts w:eastAsiaTheme="minorHAnsi" w:cstheme="minorBidi"/>
            <w:color w:val="0000FF" w:themeColor="hyperlink"/>
            <w:szCs w:val="22"/>
            <w:u w:val="single"/>
            <w:lang w:val="en-GB"/>
          </w:rPr>
          <w:t>Co-Production: An Ethical Model for Mental Health Research</w:t>
        </w:r>
      </w:hyperlink>
      <w:r w:rsidRPr="000D1C8A">
        <w:rPr>
          <w:rFonts w:eastAsiaTheme="minorHAnsi" w:cstheme="minorBidi"/>
          <w:szCs w:val="22"/>
          <w:lang w:val="en-GB"/>
        </w:rPr>
        <w:t>’ published in the American Journal of Bioethics (Volume 19, Issue 8).</w:t>
      </w:r>
    </w:p>
    <w:p w:rsidR="00D475F1" w:rsidRPr="001470DA" w:rsidRDefault="00D475F1" w:rsidP="00156856">
      <w:pPr>
        <w:pStyle w:val="Heading4"/>
        <w:numPr>
          <w:ilvl w:val="0"/>
          <w:numId w:val="0"/>
        </w:numPr>
        <w:ind w:left="864" w:hanging="864"/>
        <w:rPr>
          <w:b/>
          <w:sz w:val="24"/>
          <w:u w:val="none"/>
        </w:rPr>
      </w:pPr>
      <w:r w:rsidRPr="001470DA">
        <w:rPr>
          <w:b/>
          <w:sz w:val="24"/>
          <w:u w:val="none"/>
        </w:rPr>
        <w:t>Education and Training (</w:t>
      </w:r>
      <w:r w:rsidR="00102642" w:rsidRPr="001470DA">
        <w:rPr>
          <w:b/>
          <w:sz w:val="24"/>
          <w:u w:val="none"/>
        </w:rPr>
        <w:t xml:space="preserve">Theme </w:t>
      </w:r>
      <w:r w:rsidRPr="001470DA">
        <w:rPr>
          <w:b/>
          <w:sz w:val="24"/>
          <w:u w:val="none"/>
        </w:rPr>
        <w:t xml:space="preserve">Lead: Professor Elizabeth </w:t>
      </w:r>
      <w:proofErr w:type="spellStart"/>
      <w:r w:rsidRPr="001470DA">
        <w:rPr>
          <w:b/>
          <w:sz w:val="24"/>
          <w:u w:val="none"/>
        </w:rPr>
        <w:t>Tunbridge</w:t>
      </w:r>
      <w:proofErr w:type="spellEnd"/>
      <w:r w:rsidRPr="001470DA">
        <w:rPr>
          <w:b/>
          <w:sz w:val="24"/>
          <w:u w:val="none"/>
        </w:rPr>
        <w:t>)</w:t>
      </w:r>
    </w:p>
    <w:p w:rsidR="009B18BE" w:rsidRPr="0020315D" w:rsidRDefault="009B18BE" w:rsidP="009B18BE">
      <w:pPr>
        <w:ind w:right="34"/>
        <w:rPr>
          <w:rFonts w:ascii="Arial" w:hAnsi="Arial" w:cs="Arial"/>
          <w:szCs w:val="22"/>
          <w:lang w:val="en-GB"/>
        </w:rPr>
      </w:pPr>
      <w:r w:rsidRPr="0020315D">
        <w:rPr>
          <w:rFonts w:cs="Arial"/>
          <w:szCs w:val="22"/>
        </w:rPr>
        <w:t>Our priority in the last year has been to establish the bespoke training courses that form the core of the capacity development plans outlined in our application and which were highly commended by the panel. These are the Oxford Course in Experimental Medicine for Mental Health (</w:t>
      </w:r>
      <w:proofErr w:type="spellStart"/>
      <w:r w:rsidRPr="0020315D">
        <w:rPr>
          <w:rFonts w:cs="Arial"/>
          <w:szCs w:val="22"/>
        </w:rPr>
        <w:t>OxCEMM</w:t>
      </w:r>
      <w:proofErr w:type="spellEnd"/>
      <w:r w:rsidRPr="0020315D">
        <w:rPr>
          <w:rFonts w:cs="Arial"/>
          <w:szCs w:val="22"/>
        </w:rPr>
        <w:t xml:space="preserve">) and the MSc in Translational Neuroscience. We have been successful in establishing both of these: </w:t>
      </w:r>
      <w:proofErr w:type="spellStart"/>
      <w:r w:rsidRPr="0020315D">
        <w:rPr>
          <w:rFonts w:cs="Arial"/>
          <w:szCs w:val="22"/>
        </w:rPr>
        <w:t>OxCEMM</w:t>
      </w:r>
      <w:proofErr w:type="spellEnd"/>
      <w:r w:rsidRPr="0020315D">
        <w:rPr>
          <w:rFonts w:cs="Arial"/>
          <w:szCs w:val="22"/>
        </w:rPr>
        <w:t xml:space="preserve"> ran for the first time in January 2019, and again in January 2002, and the first intake of the MSc in Translational Neuroscience will begin the course in October 2019.</w:t>
      </w:r>
    </w:p>
    <w:p w:rsidR="009B18BE" w:rsidRPr="0020315D" w:rsidRDefault="009B18BE" w:rsidP="009B18BE">
      <w:pPr>
        <w:ind w:right="34"/>
        <w:rPr>
          <w:rFonts w:cs="Arial"/>
          <w:szCs w:val="22"/>
        </w:rPr>
      </w:pPr>
      <w:proofErr w:type="spellStart"/>
      <w:r w:rsidRPr="0020315D">
        <w:rPr>
          <w:rFonts w:cs="Arial"/>
          <w:szCs w:val="22"/>
        </w:rPr>
        <w:lastRenderedPageBreak/>
        <w:t>OxCEMM</w:t>
      </w:r>
      <w:proofErr w:type="spellEnd"/>
      <w:r w:rsidRPr="0020315D">
        <w:rPr>
          <w:rFonts w:cs="Arial"/>
          <w:szCs w:val="22"/>
        </w:rPr>
        <w:t xml:space="preserve"> is a short course designed to provide attendees with the practical information they need to design, conduct and </w:t>
      </w:r>
      <w:proofErr w:type="spellStart"/>
      <w:r w:rsidRPr="0020315D">
        <w:rPr>
          <w:rFonts w:cs="Arial"/>
          <w:szCs w:val="22"/>
        </w:rPr>
        <w:t>analyse</w:t>
      </w:r>
      <w:proofErr w:type="spellEnd"/>
      <w:r w:rsidRPr="0020315D">
        <w:rPr>
          <w:rFonts w:cs="Arial"/>
          <w:szCs w:val="22"/>
        </w:rPr>
        <w:t xml:space="preserve"> experimental medicine studies. Our aim was to attract attendees with diverse backgrounds, and from across the UK. We were successful in achieving both of these aims: our 37 attendees came from a range of backgrounds, including psychiatrists, nurses, pharmacists, other allied health professionals and basic scientists, and from across England (including other parts of the NIHR infrastructure). Given its success, we plan to rerun </w:t>
      </w:r>
      <w:proofErr w:type="spellStart"/>
      <w:r w:rsidRPr="0020315D">
        <w:rPr>
          <w:rFonts w:cs="Arial"/>
          <w:szCs w:val="22"/>
        </w:rPr>
        <w:t>OxCEMM</w:t>
      </w:r>
      <w:proofErr w:type="spellEnd"/>
      <w:r w:rsidRPr="0020315D">
        <w:rPr>
          <w:rFonts w:cs="Arial"/>
          <w:szCs w:val="22"/>
        </w:rPr>
        <w:t xml:space="preserve">, essentially unchanged, although are considering whether it should be run annually or biennially, alternating with additional bespoke courses. </w:t>
      </w:r>
    </w:p>
    <w:p w:rsidR="009B18BE" w:rsidRPr="0020315D" w:rsidRDefault="009B18BE" w:rsidP="009B18BE">
      <w:pPr>
        <w:ind w:right="34"/>
        <w:rPr>
          <w:rFonts w:cs="Arial"/>
          <w:szCs w:val="22"/>
        </w:rPr>
      </w:pPr>
      <w:r w:rsidRPr="0020315D">
        <w:rPr>
          <w:rFonts w:cs="Arial"/>
          <w:szCs w:val="22"/>
        </w:rPr>
        <w:t xml:space="preserve">Our plans for the coming year are to develop additional bespoke courses in response to identified needs. These will include a version of </w:t>
      </w:r>
      <w:proofErr w:type="spellStart"/>
      <w:r w:rsidRPr="0020315D">
        <w:rPr>
          <w:rFonts w:cs="Arial"/>
          <w:szCs w:val="22"/>
        </w:rPr>
        <w:t>OxCEMM</w:t>
      </w:r>
      <w:proofErr w:type="spellEnd"/>
      <w:r w:rsidRPr="0020315D">
        <w:rPr>
          <w:rFonts w:cs="Arial"/>
          <w:szCs w:val="22"/>
        </w:rPr>
        <w:t xml:space="preserve"> targeted towards PPI contributors, as well as writing workshops for groups of researchers with specific needs. An area of active development is enhancing support for grant applications, particularly for former </w:t>
      </w:r>
      <w:proofErr w:type="spellStart"/>
      <w:r w:rsidRPr="0020315D">
        <w:rPr>
          <w:rFonts w:cs="Arial"/>
          <w:szCs w:val="22"/>
        </w:rPr>
        <w:t>OxCEMM</w:t>
      </w:r>
      <w:proofErr w:type="spellEnd"/>
      <w:r w:rsidRPr="0020315D">
        <w:rPr>
          <w:rFonts w:cs="Arial"/>
          <w:szCs w:val="22"/>
        </w:rPr>
        <w:t xml:space="preserve"> attendees, since this is an area raised by a number of alumni. We will continue to collaborate with OUH BRC (for example, by running joint writing retreats for research nurses and appointing BRC-funded Senior Research Fellows), as well as with other relevant local parties (notably, Oxford Brookes, with whom we are in discussion about how we might best support trainee nurses and allied health professionals). </w:t>
      </w:r>
    </w:p>
    <w:p w:rsidR="009B18BE" w:rsidRPr="0020315D" w:rsidRDefault="009B18BE" w:rsidP="009B18BE">
      <w:pPr>
        <w:ind w:right="34"/>
        <w:rPr>
          <w:rFonts w:cs="Arial"/>
          <w:szCs w:val="22"/>
        </w:rPr>
      </w:pPr>
      <w:r w:rsidRPr="0020315D">
        <w:rPr>
          <w:rFonts w:cs="Arial"/>
          <w:szCs w:val="22"/>
        </w:rPr>
        <w:t>Being a new and relatively small BRC, we continue to have relatively few Academy Members, although numbers are beginning to grow. Most notably, we have successfully established a new doctoral studentship jointly funded by our BRC and Wolfson College, Oxford. Our first student on this programme started his DPhil studies in October 2018.</w:t>
      </w:r>
    </w:p>
    <w:p w:rsidR="000D1C8A" w:rsidRPr="007F57CB" w:rsidRDefault="000D1C8A" w:rsidP="000D1C8A">
      <w:pPr>
        <w:pStyle w:val="Heading2"/>
      </w:pPr>
      <w:bookmarkStart w:id="23" w:name="_Toc34407417"/>
      <w:bookmarkStart w:id="24" w:name="_Hlk31282062"/>
      <w:r w:rsidRPr="007F57CB">
        <w:t>NIHR Oxford cognitive health Clinical Research Facility (CRF)</w:t>
      </w:r>
      <w:bookmarkEnd w:id="23"/>
    </w:p>
    <w:p w:rsidR="000D1C8A" w:rsidRPr="00780C09" w:rsidRDefault="000D1C8A" w:rsidP="000D1C8A">
      <w:r w:rsidRPr="00780C09">
        <w:t>CRF provides a flexible and integrated neuroscience resource that facilitates the efficient and timely conduct of experimental neuroscience research including high intensity early phase experimental medicine research and early phase clinical trials. The CRF’s aim is to be fully aligned with the strategy of OH-BRC and that of OHFT to enable, encourage and facilitate high intensity research working with principal investigators and commercial partners both established and new to achieve this aim.</w:t>
      </w:r>
    </w:p>
    <w:p w:rsidR="000D1C8A" w:rsidRPr="00780C09" w:rsidRDefault="000D1C8A" w:rsidP="000D1C8A">
      <w:r w:rsidRPr="00780C09">
        <w:t xml:space="preserve">The primary objective of the CRF is to deliver novel therapies tailored to individual patient needs by breaking down disciplinary boundaries, </w:t>
      </w:r>
      <w:proofErr w:type="spellStart"/>
      <w:r w:rsidRPr="00780C09">
        <w:t>capitalising</w:t>
      </w:r>
      <w:proofErr w:type="spellEnd"/>
      <w:r w:rsidRPr="00780C09">
        <w:t xml:space="preserve"> on scientific, technical and infrastructural capabilities that cut across disorders.</w:t>
      </w:r>
    </w:p>
    <w:p w:rsidR="000D1C8A" w:rsidRPr="00780C09" w:rsidRDefault="000D1C8A" w:rsidP="0017480B">
      <w:pPr>
        <w:pStyle w:val="ListParagraph"/>
        <w:numPr>
          <w:ilvl w:val="0"/>
          <w:numId w:val="7"/>
        </w:numPr>
      </w:pPr>
      <w:r w:rsidRPr="00780C09">
        <w:rPr>
          <w:rFonts w:eastAsiaTheme="majorEastAsia" w:cstheme="majorBidi"/>
          <w:b/>
          <w:bCs/>
          <w:iCs/>
        </w:rPr>
        <w:t>Short-term objectives</w:t>
      </w:r>
      <w:r w:rsidRPr="00780C09">
        <w:t>: To build further our capability in translational neuroscience, to facilitate the objectives of OH-BRC and strengthen our collaboration</w:t>
      </w:r>
    </w:p>
    <w:p w:rsidR="000D1C8A" w:rsidRPr="00780C09" w:rsidRDefault="000D1C8A" w:rsidP="0017480B">
      <w:pPr>
        <w:pStyle w:val="ListParagraph"/>
        <w:numPr>
          <w:ilvl w:val="0"/>
          <w:numId w:val="7"/>
        </w:numPr>
        <w:rPr>
          <w:rFonts w:cs="Arial"/>
          <w:sz w:val="20"/>
          <w:szCs w:val="20"/>
        </w:rPr>
      </w:pPr>
      <w:r w:rsidRPr="00780C09">
        <w:rPr>
          <w:rFonts w:eastAsiaTheme="majorEastAsia" w:cstheme="majorBidi"/>
          <w:b/>
          <w:bCs/>
          <w:iCs/>
        </w:rPr>
        <w:t>Medium-term objectives</w:t>
      </w:r>
      <w:r w:rsidRPr="00780C09">
        <w:rPr>
          <w:rFonts w:eastAsiaTheme="majorEastAsia" w:cstheme="majorBidi"/>
          <w:bCs/>
          <w:iCs/>
        </w:rPr>
        <w:t xml:space="preserve">: </w:t>
      </w:r>
      <w:r w:rsidRPr="00780C09">
        <w:t>To realise plans for purpose built integrated and coordinated neuroscience research and clinical facilities across Oxford. Work has been initiated for a joint University-NHS Masterplan to develop the Warneford as a Brain Health Centre for translational neuroscience. This strengthened alliance will lead to increased research opportunities for OHFT patients, as well as cementing the research culture in clinical practice.</w:t>
      </w:r>
    </w:p>
    <w:p w:rsidR="000D1C8A" w:rsidRPr="00780C09" w:rsidRDefault="000D1C8A" w:rsidP="0017480B">
      <w:pPr>
        <w:pStyle w:val="Default"/>
        <w:numPr>
          <w:ilvl w:val="0"/>
          <w:numId w:val="24"/>
        </w:numPr>
        <w:rPr>
          <w:rFonts w:asciiTheme="minorHAnsi" w:hAnsiTheme="minorHAnsi" w:cstheme="minorHAnsi"/>
          <w:color w:val="auto"/>
          <w:sz w:val="22"/>
          <w:szCs w:val="22"/>
        </w:rPr>
      </w:pPr>
      <w:r w:rsidRPr="00780C09">
        <w:rPr>
          <w:rFonts w:asciiTheme="minorHAnsi" w:eastAsiaTheme="majorEastAsia" w:hAnsiTheme="minorHAnsi" w:cstheme="minorHAnsi"/>
          <w:b/>
          <w:bCs/>
          <w:iCs/>
          <w:color w:val="auto"/>
          <w:sz w:val="22"/>
          <w:szCs w:val="22"/>
        </w:rPr>
        <w:t xml:space="preserve">Long-term objective: </w:t>
      </w:r>
      <w:r w:rsidRPr="00780C09">
        <w:rPr>
          <w:rFonts w:asciiTheme="minorHAnsi" w:hAnsiTheme="minorHAnsi" w:cstheme="minorHAnsi"/>
          <w:color w:val="auto"/>
          <w:sz w:val="22"/>
          <w:szCs w:val="22"/>
        </w:rPr>
        <w:t xml:space="preserve">To deliver an efficient translational pipeline </w:t>
      </w:r>
      <w:proofErr w:type="spellStart"/>
      <w:r w:rsidRPr="00780C09">
        <w:rPr>
          <w:rFonts w:asciiTheme="minorHAnsi" w:hAnsiTheme="minorHAnsi" w:cstheme="minorHAnsi"/>
          <w:color w:val="auto"/>
          <w:sz w:val="22"/>
          <w:szCs w:val="22"/>
        </w:rPr>
        <w:t>fueled</w:t>
      </w:r>
      <w:proofErr w:type="spellEnd"/>
      <w:r w:rsidRPr="00780C09">
        <w:rPr>
          <w:rFonts w:asciiTheme="minorHAnsi" w:hAnsiTheme="minorHAnsi" w:cstheme="minorHAnsi"/>
          <w:color w:val="auto"/>
          <w:sz w:val="22"/>
          <w:szCs w:val="22"/>
        </w:rPr>
        <w:t xml:space="preserve"> by Oxford’s unrivalled scientific infrastructure and expertise and deploying the very best science to deliver new therapies for patients’ mental, cognitive and neurological disorders. We aim to do so by exploiting existing, identifying and developing new research opportunities</w:t>
      </w:r>
    </w:p>
    <w:p w:rsidR="000D1C8A" w:rsidRPr="007B084E" w:rsidRDefault="000D1C8A" w:rsidP="00FC2E49">
      <w:pPr>
        <w:pStyle w:val="Heading3"/>
        <w:numPr>
          <w:ilvl w:val="2"/>
          <w:numId w:val="4"/>
        </w:numPr>
      </w:pPr>
      <w:r w:rsidRPr="007B084E">
        <w:t>Outputs</w:t>
      </w:r>
    </w:p>
    <w:p w:rsidR="000D1C8A" w:rsidRPr="007B084E" w:rsidRDefault="000D1C8A" w:rsidP="000D1C8A">
      <w:r>
        <w:t>Between Sept 2019 and Mar 2020</w:t>
      </w:r>
      <w:r w:rsidRPr="007B084E">
        <w:t xml:space="preserve">, </w:t>
      </w:r>
      <w:r>
        <w:t>26</w:t>
      </w:r>
      <w:r w:rsidRPr="007B084E">
        <w:t xml:space="preserve"> studies were undertaken on the CRF.</w:t>
      </w:r>
    </w:p>
    <w:p w:rsidR="000D1C8A" w:rsidRPr="007B084E" w:rsidRDefault="000D1C8A" w:rsidP="000D1C8A">
      <w:r w:rsidRPr="007B084E">
        <w:t>The NIHR funded CRF provides specialist facilities to undertake high intensity clinical studies in mental health and cognition, including dementia, focusing on an experimental medicine design. Most studies are non-commercially sponsored.</w:t>
      </w:r>
    </w:p>
    <w:p w:rsidR="000D1C8A" w:rsidRPr="007B084E" w:rsidRDefault="000D1C8A" w:rsidP="000D1C8A">
      <w:r w:rsidRPr="007B084E">
        <w:lastRenderedPageBreak/>
        <w:t xml:space="preserve">The CRF has developed to enable several specialist activities including undertaking intensive psychiatric rating scales, physical monitoring, lumbar punctures and, more recently, IV infusions.   </w:t>
      </w:r>
    </w:p>
    <w:p w:rsidR="000D1C8A" w:rsidRPr="007B084E" w:rsidRDefault="000D1C8A" w:rsidP="000D1C8A">
      <w:r w:rsidRPr="007B084E">
        <w:t xml:space="preserve">Studies range from an experimental medicine design testing novel compounds (late Phase 1/Phase 2, not ‘first-in-man) and clinical trials to longitudinal cohort studies. </w:t>
      </w:r>
    </w:p>
    <w:p w:rsidR="000D1C8A" w:rsidRDefault="000D1C8A" w:rsidP="00156856">
      <w:pPr>
        <w:pStyle w:val="Heading3"/>
        <w:numPr>
          <w:ilvl w:val="2"/>
          <w:numId w:val="4"/>
        </w:numPr>
      </w:pPr>
      <w:r w:rsidRPr="00156856">
        <w:t>Open Studies</w:t>
      </w:r>
    </w:p>
    <w:p w:rsidR="00156856" w:rsidRPr="00156856" w:rsidRDefault="00156856" w:rsidP="00156856"/>
    <w:tbl>
      <w:tblPr>
        <w:tblStyle w:val="TableGrid"/>
        <w:tblW w:w="9776" w:type="dxa"/>
        <w:tblLayout w:type="fixed"/>
        <w:tblLook w:val="04A0" w:firstRow="1" w:lastRow="0" w:firstColumn="1" w:lastColumn="0" w:noHBand="0" w:noVBand="1"/>
      </w:tblPr>
      <w:tblGrid>
        <w:gridCol w:w="1271"/>
        <w:gridCol w:w="3686"/>
        <w:gridCol w:w="1275"/>
        <w:gridCol w:w="1560"/>
        <w:gridCol w:w="567"/>
        <w:gridCol w:w="1417"/>
      </w:tblGrid>
      <w:tr w:rsidR="000D1C8A" w:rsidRPr="00DA61DD" w:rsidTr="00772C22">
        <w:tc>
          <w:tcPr>
            <w:tcW w:w="1271" w:type="dxa"/>
            <w:shd w:val="clear" w:color="auto" w:fill="D9D9D9" w:themeFill="background1" w:themeFillShade="D9"/>
          </w:tcPr>
          <w:p w:rsidR="000D1C8A" w:rsidRPr="00772C22" w:rsidRDefault="000D1C8A" w:rsidP="000D1C8A">
            <w:pPr>
              <w:rPr>
                <w:b/>
                <w:sz w:val="20"/>
                <w:szCs w:val="20"/>
              </w:rPr>
            </w:pPr>
            <w:r w:rsidRPr="00772C22">
              <w:rPr>
                <w:b/>
                <w:sz w:val="20"/>
                <w:szCs w:val="20"/>
              </w:rPr>
              <w:t>Study</w:t>
            </w:r>
          </w:p>
        </w:tc>
        <w:tc>
          <w:tcPr>
            <w:tcW w:w="3686" w:type="dxa"/>
            <w:shd w:val="clear" w:color="auto" w:fill="D9D9D9" w:themeFill="background1" w:themeFillShade="D9"/>
          </w:tcPr>
          <w:p w:rsidR="000D1C8A" w:rsidRPr="00772C22" w:rsidRDefault="000D1C8A" w:rsidP="000D1C8A">
            <w:pPr>
              <w:rPr>
                <w:b/>
                <w:sz w:val="20"/>
                <w:szCs w:val="20"/>
              </w:rPr>
            </w:pPr>
            <w:r w:rsidRPr="00772C22">
              <w:rPr>
                <w:b/>
                <w:sz w:val="20"/>
                <w:szCs w:val="20"/>
              </w:rPr>
              <w:t>Full name</w:t>
            </w:r>
          </w:p>
        </w:tc>
        <w:tc>
          <w:tcPr>
            <w:tcW w:w="1275" w:type="dxa"/>
            <w:shd w:val="clear" w:color="auto" w:fill="D9D9D9" w:themeFill="background1" w:themeFillShade="D9"/>
          </w:tcPr>
          <w:p w:rsidR="000D1C8A" w:rsidRPr="00772C22" w:rsidRDefault="000D1C8A" w:rsidP="000D1C8A">
            <w:pPr>
              <w:rPr>
                <w:b/>
                <w:sz w:val="20"/>
                <w:szCs w:val="20"/>
              </w:rPr>
            </w:pPr>
            <w:r w:rsidRPr="00772C22">
              <w:rPr>
                <w:b/>
                <w:sz w:val="20"/>
                <w:szCs w:val="20"/>
              </w:rPr>
              <w:t>Funding</w:t>
            </w:r>
          </w:p>
        </w:tc>
        <w:tc>
          <w:tcPr>
            <w:tcW w:w="1560" w:type="dxa"/>
            <w:shd w:val="clear" w:color="auto" w:fill="D9D9D9" w:themeFill="background1" w:themeFillShade="D9"/>
          </w:tcPr>
          <w:p w:rsidR="000D1C8A" w:rsidRPr="00772C22" w:rsidRDefault="000D1C8A" w:rsidP="000D1C8A">
            <w:pPr>
              <w:rPr>
                <w:b/>
                <w:sz w:val="20"/>
                <w:szCs w:val="20"/>
              </w:rPr>
            </w:pPr>
            <w:r w:rsidRPr="00772C22">
              <w:rPr>
                <w:b/>
                <w:sz w:val="20"/>
                <w:szCs w:val="20"/>
              </w:rPr>
              <w:t>Disease area</w:t>
            </w:r>
          </w:p>
        </w:tc>
        <w:tc>
          <w:tcPr>
            <w:tcW w:w="567" w:type="dxa"/>
            <w:shd w:val="clear" w:color="auto" w:fill="D9D9D9" w:themeFill="background1" w:themeFillShade="D9"/>
          </w:tcPr>
          <w:p w:rsidR="000D1C8A" w:rsidRPr="00772C22" w:rsidRDefault="000D1C8A" w:rsidP="000D1C8A">
            <w:pPr>
              <w:rPr>
                <w:b/>
                <w:sz w:val="20"/>
                <w:szCs w:val="20"/>
              </w:rPr>
            </w:pPr>
            <w:r w:rsidRPr="00772C22">
              <w:rPr>
                <w:b/>
                <w:sz w:val="20"/>
                <w:szCs w:val="20"/>
              </w:rPr>
              <w:t>BRC</w:t>
            </w:r>
          </w:p>
        </w:tc>
        <w:tc>
          <w:tcPr>
            <w:tcW w:w="1417" w:type="dxa"/>
            <w:shd w:val="clear" w:color="auto" w:fill="D9D9D9" w:themeFill="background1" w:themeFillShade="D9"/>
          </w:tcPr>
          <w:p w:rsidR="000D1C8A" w:rsidRPr="00772C22" w:rsidRDefault="000D1C8A" w:rsidP="000D1C8A">
            <w:pPr>
              <w:rPr>
                <w:b/>
                <w:sz w:val="20"/>
                <w:szCs w:val="20"/>
              </w:rPr>
            </w:pPr>
            <w:r w:rsidRPr="00772C22">
              <w:rPr>
                <w:b/>
                <w:sz w:val="20"/>
                <w:szCs w:val="20"/>
              </w:rPr>
              <w:t>Phase</w:t>
            </w:r>
          </w:p>
        </w:tc>
      </w:tr>
      <w:tr w:rsidR="000D1C8A" w:rsidRPr="00DA61DD" w:rsidTr="00772C22">
        <w:trPr>
          <w:trHeight w:val="868"/>
        </w:trPr>
        <w:tc>
          <w:tcPr>
            <w:tcW w:w="1271" w:type="dxa"/>
          </w:tcPr>
          <w:p w:rsidR="000D1C8A" w:rsidRPr="00772C22" w:rsidRDefault="000D1C8A" w:rsidP="000D1C8A">
            <w:pPr>
              <w:spacing w:before="0" w:after="60"/>
              <w:jc w:val="left"/>
              <w:rPr>
                <w:sz w:val="20"/>
                <w:szCs w:val="20"/>
              </w:rPr>
            </w:pPr>
            <w:r w:rsidRPr="00772C22">
              <w:rPr>
                <w:sz w:val="20"/>
                <w:szCs w:val="20"/>
              </w:rPr>
              <w:t>EPAD</w:t>
            </w:r>
          </w:p>
        </w:tc>
        <w:tc>
          <w:tcPr>
            <w:tcW w:w="3686" w:type="dxa"/>
          </w:tcPr>
          <w:p w:rsidR="000D1C8A" w:rsidRPr="00772C22" w:rsidRDefault="000D1C8A" w:rsidP="000D1C8A">
            <w:pPr>
              <w:spacing w:before="0" w:after="60"/>
              <w:jc w:val="left"/>
              <w:rPr>
                <w:sz w:val="20"/>
                <w:szCs w:val="20"/>
              </w:rPr>
            </w:pPr>
            <w:r w:rsidRPr="00772C22">
              <w:rPr>
                <w:sz w:val="20"/>
                <w:szCs w:val="20"/>
              </w:rPr>
              <w:t>European Prevention of Alzheimer’s Dementia (EPAD) Longitudinal Cohort Study (LCS)</w:t>
            </w:r>
          </w:p>
        </w:tc>
        <w:tc>
          <w:tcPr>
            <w:tcW w:w="1275" w:type="dxa"/>
          </w:tcPr>
          <w:p w:rsidR="000D1C8A" w:rsidRPr="00772C22" w:rsidRDefault="000D1C8A" w:rsidP="000D1C8A">
            <w:pPr>
              <w:spacing w:before="0" w:after="60"/>
              <w:jc w:val="left"/>
              <w:rPr>
                <w:sz w:val="20"/>
                <w:szCs w:val="20"/>
              </w:rPr>
            </w:pPr>
            <w:r w:rsidRPr="00772C22">
              <w:rPr>
                <w:sz w:val="20"/>
                <w:szCs w:val="20"/>
              </w:rPr>
              <w:t>IMI Joint Undertaking</w:t>
            </w:r>
          </w:p>
        </w:tc>
        <w:tc>
          <w:tcPr>
            <w:tcW w:w="1560" w:type="dxa"/>
          </w:tcPr>
          <w:p w:rsidR="000D1C8A" w:rsidRPr="00772C22" w:rsidRDefault="000D1C8A" w:rsidP="000D1C8A">
            <w:pPr>
              <w:spacing w:before="0" w:after="60"/>
              <w:jc w:val="left"/>
              <w:rPr>
                <w:sz w:val="20"/>
                <w:szCs w:val="20"/>
              </w:rPr>
            </w:pPr>
            <w:r w:rsidRPr="00772C22">
              <w:rPr>
                <w:sz w:val="20"/>
                <w:szCs w:val="20"/>
              </w:rPr>
              <w:t>Alzheimer’s Dementia</w:t>
            </w:r>
          </w:p>
        </w:tc>
        <w:tc>
          <w:tcPr>
            <w:tcW w:w="567" w:type="dxa"/>
          </w:tcPr>
          <w:p w:rsidR="000D1C8A" w:rsidRPr="00772C22" w:rsidRDefault="000D1C8A" w:rsidP="000D1C8A">
            <w:pPr>
              <w:spacing w:before="0" w:after="60"/>
              <w:jc w:val="left"/>
              <w:rPr>
                <w:sz w:val="20"/>
                <w:szCs w:val="20"/>
              </w:rPr>
            </w:pPr>
            <w:r w:rsidRPr="00772C22">
              <w:rPr>
                <w:sz w:val="20"/>
                <w:szCs w:val="20"/>
              </w:rPr>
              <w:t>Yes</w:t>
            </w:r>
          </w:p>
        </w:tc>
        <w:tc>
          <w:tcPr>
            <w:tcW w:w="1417" w:type="dxa"/>
          </w:tcPr>
          <w:p w:rsidR="000D1C8A" w:rsidRPr="00772C22" w:rsidRDefault="000D1C8A" w:rsidP="000D1C8A">
            <w:pPr>
              <w:spacing w:before="0" w:after="60"/>
              <w:jc w:val="left"/>
              <w:rPr>
                <w:sz w:val="20"/>
                <w:szCs w:val="20"/>
              </w:rPr>
            </w:pPr>
            <w:r w:rsidRPr="00772C22">
              <w:rPr>
                <w:sz w:val="20"/>
                <w:szCs w:val="20"/>
              </w:rPr>
              <w:t>Experimental medicine</w:t>
            </w:r>
          </w:p>
        </w:tc>
      </w:tr>
      <w:tr w:rsidR="000D1C8A" w:rsidRPr="00DA61DD" w:rsidTr="00772C22">
        <w:tc>
          <w:tcPr>
            <w:tcW w:w="1271" w:type="dxa"/>
          </w:tcPr>
          <w:p w:rsidR="000D1C8A" w:rsidRPr="00772C22" w:rsidRDefault="000D1C8A" w:rsidP="000D1C8A">
            <w:pPr>
              <w:spacing w:before="0"/>
              <w:jc w:val="left"/>
              <w:rPr>
                <w:sz w:val="20"/>
                <w:szCs w:val="20"/>
              </w:rPr>
            </w:pPr>
            <w:r w:rsidRPr="00772C22">
              <w:rPr>
                <w:sz w:val="20"/>
                <w:szCs w:val="20"/>
              </w:rPr>
              <w:t>PREVENT</w:t>
            </w:r>
          </w:p>
        </w:tc>
        <w:tc>
          <w:tcPr>
            <w:tcW w:w="3686" w:type="dxa"/>
          </w:tcPr>
          <w:p w:rsidR="000D1C8A" w:rsidRPr="00772C22" w:rsidRDefault="000D1C8A" w:rsidP="000D1C8A">
            <w:pPr>
              <w:spacing w:before="0"/>
              <w:jc w:val="left"/>
              <w:rPr>
                <w:sz w:val="20"/>
                <w:szCs w:val="20"/>
              </w:rPr>
            </w:pPr>
            <w:proofErr w:type="spellStart"/>
            <w:r w:rsidRPr="00772C22">
              <w:rPr>
                <w:sz w:val="20"/>
                <w:szCs w:val="20"/>
              </w:rPr>
              <w:t>PREVention</w:t>
            </w:r>
            <w:proofErr w:type="spellEnd"/>
            <w:r w:rsidRPr="00772C22">
              <w:rPr>
                <w:sz w:val="20"/>
                <w:szCs w:val="20"/>
              </w:rPr>
              <w:t xml:space="preserve"> of dementia by </w:t>
            </w:r>
            <w:proofErr w:type="spellStart"/>
            <w:r w:rsidRPr="00772C22">
              <w:rPr>
                <w:sz w:val="20"/>
                <w:szCs w:val="20"/>
              </w:rPr>
              <w:t>ENvironmental</w:t>
            </w:r>
            <w:proofErr w:type="spellEnd"/>
            <w:r w:rsidRPr="00772C22">
              <w:rPr>
                <w:sz w:val="20"/>
                <w:szCs w:val="20"/>
              </w:rPr>
              <w:t xml:space="preserve"> intervention and Therapy</w:t>
            </w:r>
          </w:p>
        </w:tc>
        <w:tc>
          <w:tcPr>
            <w:tcW w:w="1275" w:type="dxa"/>
          </w:tcPr>
          <w:p w:rsidR="000D1C8A" w:rsidRPr="00772C22" w:rsidRDefault="000D1C8A" w:rsidP="000D1C8A">
            <w:pPr>
              <w:spacing w:before="0"/>
              <w:jc w:val="left"/>
              <w:rPr>
                <w:sz w:val="20"/>
                <w:szCs w:val="20"/>
              </w:rPr>
            </w:pPr>
            <w:r w:rsidRPr="00772C22">
              <w:rPr>
                <w:sz w:val="20"/>
                <w:szCs w:val="20"/>
              </w:rPr>
              <w:t>Alzheimer's Society</w:t>
            </w:r>
          </w:p>
        </w:tc>
        <w:tc>
          <w:tcPr>
            <w:tcW w:w="1560" w:type="dxa"/>
          </w:tcPr>
          <w:p w:rsidR="000D1C8A" w:rsidRPr="00772C22" w:rsidRDefault="000D1C8A" w:rsidP="000D1C8A">
            <w:pPr>
              <w:spacing w:before="0"/>
              <w:jc w:val="left"/>
              <w:rPr>
                <w:sz w:val="20"/>
                <w:szCs w:val="20"/>
              </w:rPr>
            </w:pPr>
            <w:r w:rsidRPr="00772C22">
              <w:rPr>
                <w:sz w:val="20"/>
                <w:szCs w:val="20"/>
              </w:rPr>
              <w:t>Alzheimer’s Dementia</w:t>
            </w:r>
          </w:p>
        </w:tc>
        <w:tc>
          <w:tcPr>
            <w:tcW w:w="567" w:type="dxa"/>
          </w:tcPr>
          <w:p w:rsidR="000D1C8A" w:rsidRPr="00772C22" w:rsidRDefault="000D1C8A" w:rsidP="000D1C8A">
            <w:pPr>
              <w:spacing w:before="0"/>
              <w:jc w:val="left"/>
              <w:rPr>
                <w:sz w:val="20"/>
                <w:szCs w:val="20"/>
              </w:rPr>
            </w:pPr>
            <w:r w:rsidRPr="00772C22">
              <w:rPr>
                <w:sz w:val="20"/>
                <w:szCs w:val="20"/>
              </w:rPr>
              <w:t>Yes</w:t>
            </w:r>
          </w:p>
        </w:tc>
        <w:tc>
          <w:tcPr>
            <w:tcW w:w="1417" w:type="dxa"/>
          </w:tcPr>
          <w:p w:rsidR="000D1C8A" w:rsidRPr="00772C22" w:rsidRDefault="000D1C8A" w:rsidP="000D1C8A">
            <w:pPr>
              <w:spacing w:before="0"/>
              <w:jc w:val="left"/>
              <w:rPr>
                <w:sz w:val="20"/>
                <w:szCs w:val="20"/>
              </w:rPr>
            </w:pPr>
            <w:r w:rsidRPr="00772C22">
              <w:rPr>
                <w:sz w:val="20"/>
                <w:szCs w:val="20"/>
              </w:rPr>
              <w:t>Experimental medicine</w:t>
            </w:r>
          </w:p>
        </w:tc>
      </w:tr>
      <w:tr w:rsidR="000D1C8A" w:rsidRPr="00DA61DD" w:rsidTr="00772C22">
        <w:tc>
          <w:tcPr>
            <w:tcW w:w="1271" w:type="dxa"/>
          </w:tcPr>
          <w:p w:rsidR="000D1C8A" w:rsidRPr="00772C22" w:rsidRDefault="000D1C8A" w:rsidP="000D1C8A">
            <w:pPr>
              <w:spacing w:before="0" w:after="60"/>
              <w:jc w:val="left"/>
              <w:rPr>
                <w:sz w:val="20"/>
                <w:szCs w:val="20"/>
              </w:rPr>
            </w:pPr>
            <w:r w:rsidRPr="00772C22">
              <w:rPr>
                <w:sz w:val="20"/>
                <w:szCs w:val="20"/>
              </w:rPr>
              <w:t>Restart</w:t>
            </w:r>
          </w:p>
        </w:tc>
        <w:tc>
          <w:tcPr>
            <w:tcW w:w="3686" w:type="dxa"/>
          </w:tcPr>
          <w:p w:rsidR="000D1C8A" w:rsidRPr="00772C22" w:rsidRDefault="000D1C8A" w:rsidP="000D1C8A">
            <w:pPr>
              <w:spacing w:before="0" w:after="60"/>
              <w:jc w:val="left"/>
              <w:rPr>
                <w:sz w:val="20"/>
                <w:szCs w:val="20"/>
              </w:rPr>
            </w:pPr>
            <w:r w:rsidRPr="00772C22">
              <w:rPr>
                <w:sz w:val="20"/>
                <w:szCs w:val="20"/>
              </w:rPr>
              <w:t>The effects of PF-04995274 on emotional processing in treatment-resistant, medicated, depressed patients</w:t>
            </w:r>
          </w:p>
        </w:tc>
        <w:tc>
          <w:tcPr>
            <w:tcW w:w="1275" w:type="dxa"/>
          </w:tcPr>
          <w:p w:rsidR="000D1C8A" w:rsidRPr="00772C22" w:rsidRDefault="000D1C8A" w:rsidP="000D1C8A">
            <w:pPr>
              <w:spacing w:before="0" w:after="60"/>
              <w:jc w:val="left"/>
              <w:rPr>
                <w:sz w:val="20"/>
                <w:szCs w:val="20"/>
              </w:rPr>
            </w:pPr>
            <w:r w:rsidRPr="00772C22">
              <w:rPr>
                <w:sz w:val="20"/>
                <w:szCs w:val="20"/>
              </w:rPr>
              <w:t>Medical Research Council</w:t>
            </w:r>
          </w:p>
        </w:tc>
        <w:tc>
          <w:tcPr>
            <w:tcW w:w="1560" w:type="dxa"/>
          </w:tcPr>
          <w:p w:rsidR="000D1C8A" w:rsidRPr="00772C22" w:rsidRDefault="000D1C8A" w:rsidP="000D1C8A">
            <w:pPr>
              <w:spacing w:before="0" w:after="60"/>
              <w:jc w:val="left"/>
              <w:rPr>
                <w:sz w:val="20"/>
                <w:szCs w:val="20"/>
              </w:rPr>
            </w:pPr>
            <w:r w:rsidRPr="00772C22">
              <w:rPr>
                <w:sz w:val="20"/>
                <w:szCs w:val="20"/>
              </w:rPr>
              <w:t>Treatment Resistant Depression</w:t>
            </w:r>
          </w:p>
        </w:tc>
        <w:tc>
          <w:tcPr>
            <w:tcW w:w="567" w:type="dxa"/>
          </w:tcPr>
          <w:p w:rsidR="000D1C8A" w:rsidRPr="00772C22" w:rsidRDefault="000D1C8A" w:rsidP="000D1C8A">
            <w:pPr>
              <w:spacing w:before="0" w:after="60"/>
              <w:jc w:val="left"/>
              <w:rPr>
                <w:sz w:val="20"/>
                <w:szCs w:val="20"/>
              </w:rPr>
            </w:pPr>
            <w:r w:rsidRPr="00772C22">
              <w:rPr>
                <w:sz w:val="20"/>
                <w:szCs w:val="20"/>
              </w:rPr>
              <w:t>Yes</w:t>
            </w:r>
          </w:p>
        </w:tc>
        <w:tc>
          <w:tcPr>
            <w:tcW w:w="1417" w:type="dxa"/>
          </w:tcPr>
          <w:p w:rsidR="000D1C8A" w:rsidRPr="00772C22" w:rsidRDefault="000D1C8A" w:rsidP="000D1C8A">
            <w:pPr>
              <w:spacing w:before="0" w:after="60"/>
              <w:jc w:val="left"/>
              <w:rPr>
                <w:sz w:val="20"/>
                <w:szCs w:val="20"/>
              </w:rPr>
            </w:pPr>
            <w:r w:rsidRPr="00772C22">
              <w:rPr>
                <w:sz w:val="20"/>
                <w:szCs w:val="20"/>
              </w:rPr>
              <w:t>Experimental medicine</w:t>
            </w:r>
          </w:p>
          <w:p w:rsidR="000D1C8A" w:rsidRPr="00772C22" w:rsidRDefault="000D1C8A" w:rsidP="000D1C8A">
            <w:pPr>
              <w:spacing w:before="0" w:after="60"/>
              <w:jc w:val="left"/>
              <w:rPr>
                <w:sz w:val="20"/>
                <w:szCs w:val="20"/>
              </w:rPr>
            </w:pPr>
          </w:p>
        </w:tc>
      </w:tr>
      <w:tr w:rsidR="000D1C8A" w:rsidRPr="00DA61DD" w:rsidTr="00772C22">
        <w:tc>
          <w:tcPr>
            <w:tcW w:w="1271" w:type="dxa"/>
          </w:tcPr>
          <w:p w:rsidR="000D1C8A" w:rsidRPr="00772C22" w:rsidRDefault="000D1C8A" w:rsidP="000D1C8A">
            <w:pPr>
              <w:spacing w:before="0" w:after="60"/>
              <w:jc w:val="left"/>
              <w:rPr>
                <w:sz w:val="20"/>
                <w:szCs w:val="20"/>
              </w:rPr>
            </w:pPr>
            <w:proofErr w:type="spellStart"/>
            <w:r w:rsidRPr="00772C22">
              <w:rPr>
                <w:sz w:val="20"/>
                <w:szCs w:val="20"/>
              </w:rPr>
              <w:t>Restand</w:t>
            </w:r>
            <w:proofErr w:type="spellEnd"/>
          </w:p>
        </w:tc>
        <w:tc>
          <w:tcPr>
            <w:tcW w:w="3686" w:type="dxa"/>
          </w:tcPr>
          <w:p w:rsidR="000D1C8A" w:rsidRPr="00772C22" w:rsidRDefault="000D1C8A" w:rsidP="000D1C8A">
            <w:pPr>
              <w:spacing w:before="0" w:after="60"/>
              <w:jc w:val="left"/>
              <w:rPr>
                <w:sz w:val="20"/>
                <w:szCs w:val="20"/>
              </w:rPr>
            </w:pPr>
            <w:r w:rsidRPr="00772C22">
              <w:rPr>
                <w:sz w:val="20"/>
                <w:szCs w:val="20"/>
              </w:rPr>
              <w:t>The effects of PF-04995274 on emotional processing in un-medicated depressed patients</w:t>
            </w:r>
          </w:p>
        </w:tc>
        <w:tc>
          <w:tcPr>
            <w:tcW w:w="1275" w:type="dxa"/>
          </w:tcPr>
          <w:p w:rsidR="000D1C8A" w:rsidRPr="00772C22" w:rsidRDefault="000D1C8A" w:rsidP="000D1C8A">
            <w:pPr>
              <w:spacing w:before="0" w:after="60"/>
              <w:jc w:val="left"/>
              <w:rPr>
                <w:sz w:val="20"/>
                <w:szCs w:val="20"/>
              </w:rPr>
            </w:pPr>
            <w:r w:rsidRPr="00772C22">
              <w:rPr>
                <w:sz w:val="20"/>
                <w:szCs w:val="20"/>
              </w:rPr>
              <w:t>Medical Research Council</w:t>
            </w:r>
          </w:p>
        </w:tc>
        <w:tc>
          <w:tcPr>
            <w:tcW w:w="1560" w:type="dxa"/>
          </w:tcPr>
          <w:p w:rsidR="000D1C8A" w:rsidRPr="00772C22" w:rsidRDefault="000D1C8A" w:rsidP="000D1C8A">
            <w:pPr>
              <w:spacing w:before="0" w:after="60"/>
              <w:jc w:val="left"/>
              <w:rPr>
                <w:sz w:val="20"/>
                <w:szCs w:val="20"/>
              </w:rPr>
            </w:pPr>
            <w:r w:rsidRPr="00772C22">
              <w:rPr>
                <w:sz w:val="20"/>
                <w:szCs w:val="20"/>
              </w:rPr>
              <w:t>Depression</w:t>
            </w:r>
          </w:p>
          <w:p w:rsidR="000D1C8A" w:rsidRPr="00772C22" w:rsidRDefault="000D1C8A" w:rsidP="000D1C8A">
            <w:pPr>
              <w:spacing w:before="0" w:after="60"/>
              <w:jc w:val="left"/>
              <w:rPr>
                <w:sz w:val="20"/>
                <w:szCs w:val="20"/>
              </w:rPr>
            </w:pPr>
          </w:p>
        </w:tc>
        <w:tc>
          <w:tcPr>
            <w:tcW w:w="567" w:type="dxa"/>
          </w:tcPr>
          <w:p w:rsidR="000D1C8A" w:rsidRPr="00772C22" w:rsidRDefault="000D1C8A" w:rsidP="000D1C8A">
            <w:pPr>
              <w:spacing w:before="0" w:after="60"/>
              <w:jc w:val="left"/>
              <w:rPr>
                <w:sz w:val="20"/>
                <w:szCs w:val="20"/>
              </w:rPr>
            </w:pPr>
            <w:r w:rsidRPr="00772C22">
              <w:rPr>
                <w:sz w:val="20"/>
                <w:szCs w:val="20"/>
              </w:rPr>
              <w:t>Yes</w:t>
            </w:r>
          </w:p>
        </w:tc>
        <w:tc>
          <w:tcPr>
            <w:tcW w:w="1417" w:type="dxa"/>
          </w:tcPr>
          <w:p w:rsidR="000D1C8A" w:rsidRPr="00772C22" w:rsidRDefault="000D1C8A" w:rsidP="000D1C8A">
            <w:pPr>
              <w:spacing w:before="0" w:after="60"/>
              <w:jc w:val="left"/>
              <w:rPr>
                <w:sz w:val="20"/>
                <w:szCs w:val="20"/>
              </w:rPr>
            </w:pPr>
            <w:r w:rsidRPr="00772C22">
              <w:rPr>
                <w:sz w:val="20"/>
                <w:szCs w:val="20"/>
              </w:rPr>
              <w:t>Experimental medicine</w:t>
            </w:r>
          </w:p>
          <w:p w:rsidR="000D1C8A" w:rsidRPr="00772C22" w:rsidRDefault="000D1C8A" w:rsidP="000D1C8A">
            <w:pPr>
              <w:spacing w:before="0" w:after="60"/>
              <w:jc w:val="left"/>
              <w:rPr>
                <w:sz w:val="20"/>
                <w:szCs w:val="20"/>
              </w:rPr>
            </w:pPr>
          </w:p>
        </w:tc>
      </w:tr>
      <w:tr w:rsidR="000D1C8A" w:rsidRPr="00DA61DD" w:rsidTr="00772C22">
        <w:tc>
          <w:tcPr>
            <w:tcW w:w="1271" w:type="dxa"/>
          </w:tcPr>
          <w:p w:rsidR="000D1C8A" w:rsidRPr="00772C22" w:rsidRDefault="000D1C8A" w:rsidP="000D1C8A">
            <w:pPr>
              <w:spacing w:before="0" w:after="60"/>
              <w:jc w:val="left"/>
              <w:rPr>
                <w:sz w:val="20"/>
                <w:szCs w:val="20"/>
              </w:rPr>
            </w:pPr>
            <w:proofErr w:type="spellStart"/>
            <w:r w:rsidRPr="00772C22">
              <w:rPr>
                <w:sz w:val="20"/>
                <w:szCs w:val="20"/>
              </w:rPr>
              <w:t>OxCams</w:t>
            </w:r>
            <w:proofErr w:type="spellEnd"/>
          </w:p>
        </w:tc>
        <w:tc>
          <w:tcPr>
            <w:tcW w:w="3686" w:type="dxa"/>
          </w:tcPr>
          <w:p w:rsidR="000D1C8A" w:rsidRPr="00772C22" w:rsidRDefault="000D1C8A" w:rsidP="000D1C8A">
            <w:pPr>
              <w:spacing w:before="0" w:after="60"/>
              <w:jc w:val="left"/>
              <w:rPr>
                <w:sz w:val="20"/>
                <w:szCs w:val="20"/>
              </w:rPr>
            </w:pPr>
            <w:r w:rsidRPr="00772C22">
              <w:rPr>
                <w:sz w:val="20"/>
                <w:szCs w:val="20"/>
              </w:rPr>
              <w:t>The Oxford Study of Calcium Channel Antagonism, Cognition, Mood Instability and Sleep</w:t>
            </w:r>
          </w:p>
        </w:tc>
        <w:tc>
          <w:tcPr>
            <w:tcW w:w="1275" w:type="dxa"/>
          </w:tcPr>
          <w:p w:rsidR="000D1C8A" w:rsidRPr="00772C22" w:rsidRDefault="000D1C8A" w:rsidP="000D1C8A">
            <w:pPr>
              <w:spacing w:before="0" w:after="60"/>
              <w:jc w:val="left"/>
              <w:rPr>
                <w:sz w:val="20"/>
                <w:szCs w:val="20"/>
              </w:rPr>
            </w:pPr>
            <w:proofErr w:type="spellStart"/>
            <w:r w:rsidRPr="00772C22">
              <w:rPr>
                <w:sz w:val="20"/>
                <w:szCs w:val="20"/>
              </w:rPr>
              <w:t>Wellcome</w:t>
            </w:r>
            <w:proofErr w:type="spellEnd"/>
            <w:r w:rsidRPr="00772C22">
              <w:rPr>
                <w:sz w:val="20"/>
                <w:szCs w:val="20"/>
              </w:rPr>
              <w:t xml:space="preserve"> Trust and OH BRC</w:t>
            </w:r>
          </w:p>
        </w:tc>
        <w:tc>
          <w:tcPr>
            <w:tcW w:w="1560" w:type="dxa"/>
          </w:tcPr>
          <w:p w:rsidR="000D1C8A" w:rsidRPr="00772C22" w:rsidRDefault="000D1C8A" w:rsidP="000D1C8A">
            <w:pPr>
              <w:spacing w:before="0" w:after="60"/>
              <w:jc w:val="left"/>
              <w:rPr>
                <w:sz w:val="20"/>
                <w:szCs w:val="20"/>
              </w:rPr>
            </w:pPr>
            <w:r w:rsidRPr="00772C22">
              <w:rPr>
                <w:sz w:val="20"/>
                <w:szCs w:val="20"/>
              </w:rPr>
              <w:t>Mood Instability</w:t>
            </w:r>
          </w:p>
          <w:p w:rsidR="000D1C8A" w:rsidRPr="00772C22" w:rsidRDefault="000D1C8A" w:rsidP="000D1C8A">
            <w:pPr>
              <w:spacing w:before="0" w:after="60"/>
              <w:jc w:val="left"/>
              <w:rPr>
                <w:sz w:val="20"/>
                <w:szCs w:val="20"/>
              </w:rPr>
            </w:pPr>
          </w:p>
        </w:tc>
        <w:tc>
          <w:tcPr>
            <w:tcW w:w="567" w:type="dxa"/>
          </w:tcPr>
          <w:p w:rsidR="000D1C8A" w:rsidRPr="00772C22" w:rsidRDefault="000D1C8A" w:rsidP="000D1C8A">
            <w:pPr>
              <w:spacing w:before="0" w:after="60"/>
              <w:jc w:val="left"/>
              <w:rPr>
                <w:sz w:val="20"/>
                <w:szCs w:val="20"/>
              </w:rPr>
            </w:pPr>
            <w:r w:rsidRPr="00772C22">
              <w:rPr>
                <w:sz w:val="20"/>
                <w:szCs w:val="20"/>
              </w:rPr>
              <w:t>Yes</w:t>
            </w:r>
          </w:p>
        </w:tc>
        <w:tc>
          <w:tcPr>
            <w:tcW w:w="1417" w:type="dxa"/>
          </w:tcPr>
          <w:p w:rsidR="000D1C8A" w:rsidRPr="00772C22" w:rsidRDefault="000D1C8A" w:rsidP="000D1C8A">
            <w:pPr>
              <w:spacing w:before="0" w:after="60"/>
              <w:jc w:val="left"/>
              <w:rPr>
                <w:sz w:val="20"/>
                <w:szCs w:val="20"/>
              </w:rPr>
            </w:pPr>
            <w:r w:rsidRPr="00772C22">
              <w:rPr>
                <w:sz w:val="20"/>
                <w:szCs w:val="20"/>
              </w:rPr>
              <w:t>Experimental medicine</w:t>
            </w:r>
          </w:p>
          <w:p w:rsidR="000D1C8A" w:rsidRPr="00772C22" w:rsidRDefault="000D1C8A" w:rsidP="000D1C8A">
            <w:pPr>
              <w:spacing w:before="0" w:after="60"/>
              <w:jc w:val="left"/>
              <w:rPr>
                <w:sz w:val="20"/>
                <w:szCs w:val="20"/>
              </w:rPr>
            </w:pPr>
          </w:p>
        </w:tc>
      </w:tr>
      <w:tr w:rsidR="000D1C8A" w:rsidRPr="00DA61DD" w:rsidTr="00772C22">
        <w:tc>
          <w:tcPr>
            <w:tcW w:w="1271" w:type="dxa"/>
          </w:tcPr>
          <w:p w:rsidR="000D1C8A" w:rsidRPr="00772C22" w:rsidRDefault="000D1C8A" w:rsidP="000D1C8A">
            <w:pPr>
              <w:spacing w:before="0" w:after="60"/>
              <w:jc w:val="left"/>
              <w:rPr>
                <w:sz w:val="20"/>
                <w:szCs w:val="20"/>
              </w:rPr>
            </w:pPr>
            <w:proofErr w:type="spellStart"/>
            <w:r w:rsidRPr="00772C22">
              <w:rPr>
                <w:sz w:val="20"/>
                <w:szCs w:val="20"/>
              </w:rPr>
              <w:t>Esketamine</w:t>
            </w:r>
            <w:proofErr w:type="spellEnd"/>
            <w:r w:rsidRPr="00772C22">
              <w:rPr>
                <w:sz w:val="20"/>
                <w:szCs w:val="20"/>
              </w:rPr>
              <w:t xml:space="preserve"> 3008</w:t>
            </w:r>
          </w:p>
        </w:tc>
        <w:tc>
          <w:tcPr>
            <w:tcW w:w="3686" w:type="dxa"/>
          </w:tcPr>
          <w:p w:rsidR="000D1C8A" w:rsidRPr="00772C22" w:rsidRDefault="000D1C8A" w:rsidP="000D1C8A">
            <w:pPr>
              <w:spacing w:before="0" w:after="60"/>
              <w:jc w:val="left"/>
              <w:rPr>
                <w:sz w:val="20"/>
                <w:szCs w:val="20"/>
              </w:rPr>
            </w:pPr>
            <w:r w:rsidRPr="00772C22">
              <w:rPr>
                <w:sz w:val="20"/>
                <w:szCs w:val="20"/>
              </w:rPr>
              <w:t xml:space="preserve">An Open-label Long-term Extension Safety Study of Intranasal </w:t>
            </w:r>
            <w:proofErr w:type="spellStart"/>
            <w:r w:rsidRPr="00772C22">
              <w:rPr>
                <w:sz w:val="20"/>
                <w:szCs w:val="20"/>
              </w:rPr>
              <w:t>Esketamine</w:t>
            </w:r>
            <w:proofErr w:type="spellEnd"/>
            <w:r w:rsidRPr="00772C22">
              <w:rPr>
                <w:sz w:val="20"/>
                <w:szCs w:val="20"/>
              </w:rPr>
              <w:t xml:space="preserve"> in</w:t>
            </w:r>
          </w:p>
        </w:tc>
        <w:tc>
          <w:tcPr>
            <w:tcW w:w="1275" w:type="dxa"/>
          </w:tcPr>
          <w:p w:rsidR="000D1C8A" w:rsidRPr="00772C22" w:rsidRDefault="000D1C8A" w:rsidP="000D1C8A">
            <w:pPr>
              <w:spacing w:before="0" w:after="60"/>
              <w:jc w:val="left"/>
              <w:rPr>
                <w:sz w:val="20"/>
                <w:szCs w:val="20"/>
              </w:rPr>
            </w:pPr>
            <w:r w:rsidRPr="00772C22">
              <w:rPr>
                <w:sz w:val="20"/>
                <w:szCs w:val="20"/>
              </w:rPr>
              <w:t xml:space="preserve">Janssen </w:t>
            </w:r>
          </w:p>
        </w:tc>
        <w:tc>
          <w:tcPr>
            <w:tcW w:w="1560" w:type="dxa"/>
          </w:tcPr>
          <w:p w:rsidR="000D1C8A" w:rsidRPr="00772C22" w:rsidRDefault="000D1C8A" w:rsidP="000D1C8A">
            <w:pPr>
              <w:spacing w:before="0" w:after="60"/>
              <w:jc w:val="left"/>
              <w:rPr>
                <w:sz w:val="20"/>
                <w:szCs w:val="20"/>
              </w:rPr>
            </w:pPr>
            <w:r w:rsidRPr="00772C22">
              <w:rPr>
                <w:sz w:val="20"/>
                <w:szCs w:val="20"/>
              </w:rPr>
              <w:t>Treatment resistant depression</w:t>
            </w:r>
          </w:p>
        </w:tc>
        <w:tc>
          <w:tcPr>
            <w:tcW w:w="567" w:type="dxa"/>
          </w:tcPr>
          <w:p w:rsidR="000D1C8A" w:rsidRPr="00772C22" w:rsidRDefault="000D1C8A" w:rsidP="000D1C8A">
            <w:pPr>
              <w:spacing w:before="0" w:after="60"/>
              <w:jc w:val="left"/>
              <w:rPr>
                <w:sz w:val="20"/>
                <w:szCs w:val="20"/>
              </w:rPr>
            </w:pPr>
            <w:r w:rsidRPr="00772C22">
              <w:rPr>
                <w:sz w:val="20"/>
                <w:szCs w:val="20"/>
              </w:rPr>
              <w:t>No</w:t>
            </w:r>
          </w:p>
        </w:tc>
        <w:tc>
          <w:tcPr>
            <w:tcW w:w="1417" w:type="dxa"/>
          </w:tcPr>
          <w:p w:rsidR="000D1C8A" w:rsidRPr="00772C22" w:rsidRDefault="000D1C8A" w:rsidP="000D1C8A">
            <w:pPr>
              <w:spacing w:before="0" w:after="60"/>
              <w:jc w:val="left"/>
              <w:rPr>
                <w:sz w:val="20"/>
                <w:szCs w:val="20"/>
              </w:rPr>
            </w:pPr>
            <w:r w:rsidRPr="00772C22">
              <w:rPr>
                <w:sz w:val="20"/>
                <w:szCs w:val="20"/>
              </w:rPr>
              <w:t>Phase 3</w:t>
            </w:r>
          </w:p>
        </w:tc>
      </w:tr>
      <w:tr w:rsidR="000D1C8A" w:rsidRPr="00DA61DD" w:rsidTr="00772C22">
        <w:tc>
          <w:tcPr>
            <w:tcW w:w="1271" w:type="dxa"/>
          </w:tcPr>
          <w:p w:rsidR="000D1C8A" w:rsidRPr="00772C22" w:rsidRDefault="000D1C8A" w:rsidP="000D1C8A">
            <w:pPr>
              <w:spacing w:before="0" w:after="60"/>
              <w:jc w:val="left"/>
              <w:rPr>
                <w:sz w:val="20"/>
                <w:szCs w:val="20"/>
              </w:rPr>
            </w:pPr>
            <w:r w:rsidRPr="00772C22">
              <w:rPr>
                <w:sz w:val="20"/>
                <w:szCs w:val="20"/>
              </w:rPr>
              <w:t>LQD</w:t>
            </w:r>
          </w:p>
        </w:tc>
        <w:tc>
          <w:tcPr>
            <w:tcW w:w="3686" w:type="dxa"/>
          </w:tcPr>
          <w:p w:rsidR="000D1C8A" w:rsidRPr="00772C22" w:rsidRDefault="000D1C8A" w:rsidP="000D1C8A">
            <w:pPr>
              <w:spacing w:before="0" w:after="60"/>
              <w:jc w:val="left"/>
              <w:rPr>
                <w:sz w:val="20"/>
                <w:szCs w:val="20"/>
              </w:rPr>
            </w:pPr>
            <w:r w:rsidRPr="00772C22">
              <w:rPr>
                <w:sz w:val="20"/>
                <w:szCs w:val="20"/>
              </w:rPr>
              <w:t>A trial comparing the clinical and cost effectiveness of lithium and quetiapine augmentation in treatment resistant depression</w:t>
            </w:r>
          </w:p>
        </w:tc>
        <w:tc>
          <w:tcPr>
            <w:tcW w:w="1275" w:type="dxa"/>
          </w:tcPr>
          <w:p w:rsidR="000D1C8A" w:rsidRPr="00772C22" w:rsidRDefault="000D1C8A" w:rsidP="000D1C8A">
            <w:pPr>
              <w:spacing w:before="0" w:after="60"/>
              <w:jc w:val="left"/>
              <w:rPr>
                <w:sz w:val="20"/>
                <w:szCs w:val="20"/>
              </w:rPr>
            </w:pPr>
            <w:r w:rsidRPr="00772C22">
              <w:rPr>
                <w:sz w:val="20"/>
                <w:szCs w:val="20"/>
              </w:rPr>
              <w:t>NIHR Health Technology Assessment (HTA)</w:t>
            </w:r>
          </w:p>
        </w:tc>
        <w:tc>
          <w:tcPr>
            <w:tcW w:w="1560" w:type="dxa"/>
          </w:tcPr>
          <w:p w:rsidR="000D1C8A" w:rsidRPr="00772C22" w:rsidRDefault="000D1C8A" w:rsidP="000D1C8A">
            <w:pPr>
              <w:spacing w:before="0" w:after="60"/>
              <w:jc w:val="left"/>
              <w:rPr>
                <w:sz w:val="20"/>
                <w:szCs w:val="20"/>
              </w:rPr>
            </w:pPr>
            <w:r w:rsidRPr="00772C22">
              <w:rPr>
                <w:sz w:val="20"/>
                <w:szCs w:val="20"/>
              </w:rPr>
              <w:t>Treatment resistant depression</w:t>
            </w:r>
          </w:p>
          <w:p w:rsidR="000D1C8A" w:rsidRPr="00772C22" w:rsidRDefault="000D1C8A" w:rsidP="000D1C8A">
            <w:pPr>
              <w:spacing w:before="0" w:after="60"/>
              <w:jc w:val="left"/>
              <w:rPr>
                <w:sz w:val="20"/>
                <w:szCs w:val="20"/>
              </w:rPr>
            </w:pPr>
          </w:p>
        </w:tc>
        <w:tc>
          <w:tcPr>
            <w:tcW w:w="567" w:type="dxa"/>
          </w:tcPr>
          <w:p w:rsidR="000D1C8A" w:rsidRPr="00772C22" w:rsidRDefault="000D1C8A" w:rsidP="000D1C8A">
            <w:pPr>
              <w:spacing w:before="0" w:after="60"/>
              <w:jc w:val="left"/>
              <w:rPr>
                <w:sz w:val="20"/>
                <w:szCs w:val="20"/>
              </w:rPr>
            </w:pPr>
            <w:r w:rsidRPr="00772C22">
              <w:rPr>
                <w:sz w:val="20"/>
                <w:szCs w:val="20"/>
              </w:rPr>
              <w:t>No</w:t>
            </w:r>
          </w:p>
        </w:tc>
        <w:tc>
          <w:tcPr>
            <w:tcW w:w="1417" w:type="dxa"/>
          </w:tcPr>
          <w:p w:rsidR="000D1C8A" w:rsidRPr="00772C22" w:rsidRDefault="000D1C8A" w:rsidP="000D1C8A">
            <w:pPr>
              <w:spacing w:before="0" w:after="60"/>
              <w:jc w:val="left"/>
              <w:rPr>
                <w:sz w:val="20"/>
                <w:szCs w:val="20"/>
              </w:rPr>
            </w:pPr>
            <w:r w:rsidRPr="00772C22">
              <w:rPr>
                <w:sz w:val="20"/>
                <w:szCs w:val="20"/>
              </w:rPr>
              <w:t>Phase 4</w:t>
            </w:r>
          </w:p>
        </w:tc>
      </w:tr>
      <w:tr w:rsidR="000D1C8A" w:rsidRPr="00DA61DD" w:rsidTr="00772C22">
        <w:tc>
          <w:tcPr>
            <w:tcW w:w="1271" w:type="dxa"/>
          </w:tcPr>
          <w:p w:rsidR="000D1C8A" w:rsidRPr="00772C22" w:rsidRDefault="000D1C8A" w:rsidP="000D1C8A">
            <w:pPr>
              <w:spacing w:before="0" w:after="60"/>
              <w:jc w:val="left"/>
              <w:rPr>
                <w:sz w:val="20"/>
                <w:szCs w:val="20"/>
              </w:rPr>
            </w:pPr>
            <w:r w:rsidRPr="00772C22">
              <w:rPr>
                <w:sz w:val="20"/>
                <w:szCs w:val="20"/>
              </w:rPr>
              <w:t>Alkermes</w:t>
            </w:r>
          </w:p>
        </w:tc>
        <w:tc>
          <w:tcPr>
            <w:tcW w:w="3686" w:type="dxa"/>
          </w:tcPr>
          <w:p w:rsidR="000D1C8A" w:rsidRPr="00772C22" w:rsidRDefault="000D1C8A" w:rsidP="000D1C8A">
            <w:pPr>
              <w:spacing w:before="0" w:after="60"/>
              <w:jc w:val="left"/>
              <w:rPr>
                <w:sz w:val="20"/>
                <w:szCs w:val="20"/>
              </w:rPr>
            </w:pPr>
            <w:r w:rsidRPr="00772C22">
              <w:rPr>
                <w:sz w:val="20"/>
                <w:szCs w:val="20"/>
              </w:rPr>
              <w:t>A trial to Evaluate the Effect of ALKS 3831 Compared to Olanzapine on Body Weight in Young Adults with Schizophrenia, Schizophreniform, or Bipolar I Disorder Who are Early in Their Illness</w:t>
            </w:r>
          </w:p>
        </w:tc>
        <w:tc>
          <w:tcPr>
            <w:tcW w:w="1275" w:type="dxa"/>
          </w:tcPr>
          <w:p w:rsidR="000D1C8A" w:rsidRPr="00772C22" w:rsidRDefault="000D1C8A" w:rsidP="000D1C8A">
            <w:pPr>
              <w:spacing w:before="0" w:after="60"/>
              <w:jc w:val="left"/>
              <w:rPr>
                <w:sz w:val="20"/>
                <w:szCs w:val="20"/>
              </w:rPr>
            </w:pPr>
            <w:r w:rsidRPr="00772C22">
              <w:rPr>
                <w:sz w:val="20"/>
                <w:szCs w:val="20"/>
              </w:rPr>
              <w:t>Alkermes</w:t>
            </w:r>
          </w:p>
          <w:p w:rsidR="000D1C8A" w:rsidRPr="00772C22" w:rsidRDefault="000D1C8A" w:rsidP="000D1C8A">
            <w:pPr>
              <w:spacing w:before="0" w:after="60"/>
              <w:jc w:val="left"/>
              <w:rPr>
                <w:sz w:val="20"/>
                <w:szCs w:val="20"/>
              </w:rPr>
            </w:pPr>
          </w:p>
        </w:tc>
        <w:tc>
          <w:tcPr>
            <w:tcW w:w="1560" w:type="dxa"/>
          </w:tcPr>
          <w:p w:rsidR="000D1C8A" w:rsidRPr="00772C22" w:rsidRDefault="000D1C8A" w:rsidP="000D1C8A">
            <w:pPr>
              <w:spacing w:before="0" w:after="60"/>
              <w:jc w:val="left"/>
              <w:rPr>
                <w:sz w:val="20"/>
                <w:szCs w:val="20"/>
              </w:rPr>
            </w:pPr>
            <w:r w:rsidRPr="00772C22">
              <w:rPr>
                <w:sz w:val="20"/>
                <w:szCs w:val="20"/>
              </w:rPr>
              <w:t xml:space="preserve">Schizophrenia, Schizophreniform and Bipolar I </w:t>
            </w:r>
          </w:p>
          <w:p w:rsidR="000D1C8A" w:rsidRPr="00772C22" w:rsidRDefault="000D1C8A" w:rsidP="000D1C8A">
            <w:pPr>
              <w:spacing w:before="0" w:after="60"/>
              <w:jc w:val="left"/>
              <w:rPr>
                <w:sz w:val="20"/>
                <w:szCs w:val="20"/>
              </w:rPr>
            </w:pPr>
            <w:r w:rsidRPr="00772C22">
              <w:rPr>
                <w:sz w:val="20"/>
                <w:szCs w:val="20"/>
              </w:rPr>
              <w:t xml:space="preserve"> </w:t>
            </w:r>
          </w:p>
          <w:p w:rsidR="000D1C8A" w:rsidRPr="00772C22" w:rsidRDefault="000D1C8A" w:rsidP="000D1C8A">
            <w:pPr>
              <w:spacing w:before="0" w:after="60"/>
              <w:jc w:val="left"/>
              <w:rPr>
                <w:sz w:val="20"/>
                <w:szCs w:val="20"/>
              </w:rPr>
            </w:pPr>
          </w:p>
        </w:tc>
        <w:tc>
          <w:tcPr>
            <w:tcW w:w="567" w:type="dxa"/>
          </w:tcPr>
          <w:p w:rsidR="000D1C8A" w:rsidRPr="00772C22" w:rsidRDefault="000D1C8A" w:rsidP="000D1C8A">
            <w:pPr>
              <w:spacing w:before="0" w:after="60"/>
              <w:jc w:val="left"/>
              <w:rPr>
                <w:sz w:val="20"/>
                <w:szCs w:val="20"/>
              </w:rPr>
            </w:pPr>
            <w:r w:rsidRPr="00772C22">
              <w:rPr>
                <w:sz w:val="20"/>
                <w:szCs w:val="20"/>
              </w:rPr>
              <w:t>No</w:t>
            </w:r>
          </w:p>
        </w:tc>
        <w:tc>
          <w:tcPr>
            <w:tcW w:w="1417" w:type="dxa"/>
          </w:tcPr>
          <w:p w:rsidR="000D1C8A" w:rsidRPr="00772C22" w:rsidRDefault="000D1C8A" w:rsidP="000D1C8A">
            <w:pPr>
              <w:spacing w:before="0" w:after="60"/>
              <w:jc w:val="left"/>
              <w:rPr>
                <w:sz w:val="20"/>
                <w:szCs w:val="20"/>
              </w:rPr>
            </w:pPr>
            <w:r w:rsidRPr="00772C22">
              <w:rPr>
                <w:sz w:val="20"/>
                <w:szCs w:val="20"/>
              </w:rPr>
              <w:t>Phase 3</w:t>
            </w:r>
          </w:p>
          <w:p w:rsidR="000D1C8A" w:rsidRPr="00772C22" w:rsidRDefault="000D1C8A" w:rsidP="000D1C8A">
            <w:pPr>
              <w:spacing w:before="0" w:after="60"/>
              <w:jc w:val="left"/>
              <w:rPr>
                <w:sz w:val="20"/>
                <w:szCs w:val="20"/>
              </w:rPr>
            </w:pPr>
          </w:p>
        </w:tc>
      </w:tr>
      <w:tr w:rsidR="000D1C8A" w:rsidRPr="00DA61DD" w:rsidTr="00772C22">
        <w:tc>
          <w:tcPr>
            <w:tcW w:w="1271" w:type="dxa"/>
          </w:tcPr>
          <w:p w:rsidR="000D1C8A" w:rsidRPr="00772C22" w:rsidRDefault="000D1C8A" w:rsidP="000D1C8A">
            <w:pPr>
              <w:spacing w:before="0" w:after="60"/>
              <w:jc w:val="left"/>
              <w:rPr>
                <w:sz w:val="20"/>
                <w:szCs w:val="20"/>
              </w:rPr>
            </w:pPr>
            <w:r w:rsidRPr="00772C22">
              <w:rPr>
                <w:sz w:val="20"/>
                <w:szCs w:val="20"/>
              </w:rPr>
              <w:t>BI-</w:t>
            </w:r>
            <w:proofErr w:type="spellStart"/>
            <w:r w:rsidRPr="00772C22">
              <w:rPr>
                <w:sz w:val="20"/>
                <w:szCs w:val="20"/>
              </w:rPr>
              <w:t>Cact</w:t>
            </w:r>
            <w:proofErr w:type="spellEnd"/>
          </w:p>
        </w:tc>
        <w:tc>
          <w:tcPr>
            <w:tcW w:w="3686" w:type="dxa"/>
          </w:tcPr>
          <w:p w:rsidR="000D1C8A" w:rsidRPr="00772C22" w:rsidRDefault="000D1C8A" w:rsidP="000D1C8A">
            <w:pPr>
              <w:autoSpaceDE w:val="0"/>
              <w:autoSpaceDN w:val="0"/>
              <w:spacing w:before="0" w:after="60"/>
              <w:jc w:val="left"/>
              <w:rPr>
                <w:sz w:val="20"/>
                <w:szCs w:val="20"/>
              </w:rPr>
            </w:pPr>
            <w:r w:rsidRPr="00772C22">
              <w:rPr>
                <w:sz w:val="20"/>
                <w:szCs w:val="20"/>
              </w:rPr>
              <w:t>A trial to examine the efficacy and safety of BI 425809 with adjunctive Computerized Cognitive Training treatment period in patients with schizophrenia</w:t>
            </w:r>
          </w:p>
        </w:tc>
        <w:tc>
          <w:tcPr>
            <w:tcW w:w="1275" w:type="dxa"/>
          </w:tcPr>
          <w:p w:rsidR="000D1C8A" w:rsidRPr="00772C22" w:rsidRDefault="000D1C8A" w:rsidP="000D1C8A">
            <w:pPr>
              <w:spacing w:before="0" w:after="60"/>
              <w:jc w:val="left"/>
              <w:rPr>
                <w:sz w:val="20"/>
                <w:szCs w:val="20"/>
              </w:rPr>
            </w:pPr>
            <w:r w:rsidRPr="00772C22">
              <w:rPr>
                <w:sz w:val="20"/>
                <w:szCs w:val="20"/>
              </w:rPr>
              <w:t>Boehringer Ingelheim</w:t>
            </w:r>
          </w:p>
          <w:p w:rsidR="000D1C8A" w:rsidRPr="00772C22" w:rsidRDefault="000D1C8A" w:rsidP="000D1C8A">
            <w:pPr>
              <w:spacing w:before="0" w:after="60"/>
              <w:jc w:val="left"/>
              <w:rPr>
                <w:sz w:val="20"/>
                <w:szCs w:val="20"/>
              </w:rPr>
            </w:pPr>
          </w:p>
        </w:tc>
        <w:tc>
          <w:tcPr>
            <w:tcW w:w="1560" w:type="dxa"/>
          </w:tcPr>
          <w:p w:rsidR="000D1C8A" w:rsidRPr="00772C22" w:rsidRDefault="000D1C8A" w:rsidP="000D1C8A">
            <w:pPr>
              <w:spacing w:before="0" w:after="60"/>
              <w:jc w:val="left"/>
              <w:rPr>
                <w:sz w:val="20"/>
                <w:szCs w:val="20"/>
              </w:rPr>
            </w:pPr>
            <w:r w:rsidRPr="00772C22">
              <w:rPr>
                <w:sz w:val="20"/>
                <w:szCs w:val="20"/>
              </w:rPr>
              <w:t xml:space="preserve">Schizophrenia </w:t>
            </w:r>
          </w:p>
          <w:p w:rsidR="000D1C8A" w:rsidRPr="00772C22" w:rsidRDefault="000D1C8A" w:rsidP="000D1C8A">
            <w:pPr>
              <w:spacing w:before="0" w:after="60"/>
              <w:jc w:val="left"/>
              <w:rPr>
                <w:sz w:val="20"/>
                <w:szCs w:val="20"/>
              </w:rPr>
            </w:pPr>
          </w:p>
        </w:tc>
        <w:tc>
          <w:tcPr>
            <w:tcW w:w="567" w:type="dxa"/>
          </w:tcPr>
          <w:p w:rsidR="000D1C8A" w:rsidRPr="00772C22" w:rsidRDefault="000D1C8A" w:rsidP="000D1C8A">
            <w:pPr>
              <w:spacing w:before="0" w:after="60"/>
              <w:jc w:val="left"/>
              <w:rPr>
                <w:sz w:val="20"/>
                <w:szCs w:val="20"/>
              </w:rPr>
            </w:pPr>
            <w:r w:rsidRPr="00772C22">
              <w:rPr>
                <w:sz w:val="20"/>
                <w:szCs w:val="20"/>
              </w:rPr>
              <w:t>No</w:t>
            </w:r>
          </w:p>
        </w:tc>
        <w:tc>
          <w:tcPr>
            <w:tcW w:w="1417" w:type="dxa"/>
          </w:tcPr>
          <w:p w:rsidR="000D1C8A" w:rsidRPr="00772C22" w:rsidRDefault="000D1C8A" w:rsidP="000D1C8A">
            <w:pPr>
              <w:spacing w:before="0" w:after="60"/>
              <w:jc w:val="left"/>
              <w:rPr>
                <w:sz w:val="20"/>
                <w:szCs w:val="20"/>
              </w:rPr>
            </w:pPr>
            <w:r w:rsidRPr="00772C22">
              <w:rPr>
                <w:sz w:val="20"/>
                <w:szCs w:val="20"/>
              </w:rPr>
              <w:t>Experimental medicine</w:t>
            </w:r>
          </w:p>
        </w:tc>
      </w:tr>
      <w:tr w:rsidR="000D1C8A" w:rsidRPr="00DA61DD" w:rsidTr="00772C22">
        <w:tc>
          <w:tcPr>
            <w:tcW w:w="1271" w:type="dxa"/>
          </w:tcPr>
          <w:p w:rsidR="000D1C8A" w:rsidRPr="00772C22" w:rsidRDefault="000D1C8A" w:rsidP="000D1C8A">
            <w:pPr>
              <w:spacing w:before="0" w:after="60"/>
              <w:jc w:val="left"/>
              <w:rPr>
                <w:sz w:val="20"/>
                <w:szCs w:val="20"/>
              </w:rPr>
            </w:pPr>
            <w:r w:rsidRPr="00772C22">
              <w:rPr>
                <w:sz w:val="20"/>
                <w:szCs w:val="20"/>
              </w:rPr>
              <w:t>SINAPPS2</w:t>
            </w:r>
          </w:p>
          <w:p w:rsidR="000D1C8A" w:rsidRPr="00772C22" w:rsidRDefault="000D1C8A" w:rsidP="000D1C8A">
            <w:pPr>
              <w:spacing w:before="0" w:after="60"/>
              <w:jc w:val="left"/>
              <w:rPr>
                <w:sz w:val="20"/>
                <w:szCs w:val="20"/>
              </w:rPr>
            </w:pPr>
          </w:p>
        </w:tc>
        <w:tc>
          <w:tcPr>
            <w:tcW w:w="3686" w:type="dxa"/>
          </w:tcPr>
          <w:p w:rsidR="000D1C8A" w:rsidRPr="00772C22" w:rsidRDefault="000D1C8A" w:rsidP="00772C22">
            <w:pPr>
              <w:spacing w:before="0" w:after="60"/>
              <w:jc w:val="left"/>
              <w:rPr>
                <w:sz w:val="20"/>
                <w:szCs w:val="20"/>
              </w:rPr>
            </w:pPr>
            <w:r w:rsidRPr="00772C22">
              <w:rPr>
                <w:sz w:val="20"/>
                <w:szCs w:val="20"/>
              </w:rPr>
              <w:t>A trial of intravenous immunoglobulins and rituximab in patients with antibody-associated psychosis</w:t>
            </w:r>
            <w:r w:rsidR="00772C22">
              <w:rPr>
                <w:sz w:val="20"/>
                <w:szCs w:val="20"/>
              </w:rPr>
              <w:t>. R</w:t>
            </w:r>
            <w:r w:rsidRPr="00772C22">
              <w:rPr>
                <w:sz w:val="20"/>
                <w:szCs w:val="20"/>
              </w:rPr>
              <w:t>ecruiting takes place in OUH, but intravenous immunoglobulin/placebo infusions are delivered at the CRF</w:t>
            </w:r>
          </w:p>
        </w:tc>
        <w:tc>
          <w:tcPr>
            <w:tcW w:w="1275" w:type="dxa"/>
          </w:tcPr>
          <w:p w:rsidR="000D1C8A" w:rsidRPr="00772C22" w:rsidRDefault="000D1C8A" w:rsidP="000D1C8A">
            <w:pPr>
              <w:spacing w:before="0" w:after="60"/>
              <w:jc w:val="left"/>
              <w:rPr>
                <w:sz w:val="20"/>
                <w:szCs w:val="20"/>
              </w:rPr>
            </w:pPr>
            <w:r w:rsidRPr="00772C22">
              <w:rPr>
                <w:sz w:val="20"/>
                <w:szCs w:val="20"/>
              </w:rPr>
              <w:t>Medical Research Council</w:t>
            </w:r>
          </w:p>
        </w:tc>
        <w:tc>
          <w:tcPr>
            <w:tcW w:w="1560" w:type="dxa"/>
          </w:tcPr>
          <w:p w:rsidR="000D1C8A" w:rsidRPr="00772C22" w:rsidRDefault="000D1C8A" w:rsidP="000D1C8A">
            <w:pPr>
              <w:spacing w:before="0" w:after="60"/>
              <w:jc w:val="left"/>
              <w:rPr>
                <w:sz w:val="20"/>
                <w:szCs w:val="20"/>
              </w:rPr>
            </w:pPr>
            <w:r w:rsidRPr="00772C22">
              <w:rPr>
                <w:sz w:val="20"/>
                <w:szCs w:val="20"/>
              </w:rPr>
              <w:t>Treatment resistant psychosis</w:t>
            </w:r>
          </w:p>
        </w:tc>
        <w:tc>
          <w:tcPr>
            <w:tcW w:w="567" w:type="dxa"/>
          </w:tcPr>
          <w:p w:rsidR="000D1C8A" w:rsidRPr="00772C22" w:rsidRDefault="000D1C8A" w:rsidP="000D1C8A">
            <w:pPr>
              <w:spacing w:before="0" w:after="60"/>
              <w:jc w:val="left"/>
              <w:rPr>
                <w:sz w:val="20"/>
                <w:szCs w:val="20"/>
              </w:rPr>
            </w:pPr>
            <w:r w:rsidRPr="00772C22">
              <w:rPr>
                <w:sz w:val="20"/>
                <w:szCs w:val="20"/>
              </w:rPr>
              <w:t>Yes</w:t>
            </w:r>
          </w:p>
        </w:tc>
        <w:tc>
          <w:tcPr>
            <w:tcW w:w="1417" w:type="dxa"/>
          </w:tcPr>
          <w:p w:rsidR="000D1C8A" w:rsidRPr="00772C22" w:rsidRDefault="000D1C8A" w:rsidP="000D1C8A">
            <w:pPr>
              <w:spacing w:before="0" w:after="60"/>
              <w:jc w:val="left"/>
              <w:rPr>
                <w:sz w:val="20"/>
                <w:szCs w:val="20"/>
              </w:rPr>
            </w:pPr>
            <w:r w:rsidRPr="00772C22">
              <w:rPr>
                <w:sz w:val="20"/>
                <w:szCs w:val="20"/>
              </w:rPr>
              <w:t>Trial</w:t>
            </w:r>
          </w:p>
        </w:tc>
      </w:tr>
      <w:tr w:rsidR="000D1C8A" w:rsidRPr="00DA61DD" w:rsidTr="00772C22">
        <w:tc>
          <w:tcPr>
            <w:tcW w:w="1271" w:type="dxa"/>
          </w:tcPr>
          <w:p w:rsidR="000D1C8A" w:rsidRPr="00772C22" w:rsidRDefault="000D1C8A" w:rsidP="000D1C8A">
            <w:pPr>
              <w:spacing w:before="0" w:after="60"/>
              <w:jc w:val="left"/>
              <w:rPr>
                <w:sz w:val="20"/>
                <w:szCs w:val="20"/>
              </w:rPr>
            </w:pPr>
            <w:r w:rsidRPr="00772C22">
              <w:rPr>
                <w:sz w:val="20"/>
                <w:szCs w:val="20"/>
              </w:rPr>
              <w:t>NTAD</w:t>
            </w:r>
          </w:p>
        </w:tc>
        <w:tc>
          <w:tcPr>
            <w:tcW w:w="3686" w:type="dxa"/>
          </w:tcPr>
          <w:p w:rsidR="000D1C8A" w:rsidRPr="00772C22" w:rsidRDefault="000D1C8A" w:rsidP="000D1C8A">
            <w:pPr>
              <w:spacing w:before="0" w:after="60"/>
              <w:jc w:val="left"/>
              <w:rPr>
                <w:sz w:val="20"/>
                <w:szCs w:val="20"/>
              </w:rPr>
            </w:pPr>
            <w:r w:rsidRPr="00772C22">
              <w:rPr>
                <w:sz w:val="20"/>
                <w:szCs w:val="20"/>
              </w:rPr>
              <w:t>New therapeutics in Alzheimer’s disease: MEG biomarker platform development</w:t>
            </w:r>
          </w:p>
        </w:tc>
        <w:tc>
          <w:tcPr>
            <w:tcW w:w="1275" w:type="dxa"/>
          </w:tcPr>
          <w:p w:rsidR="000D1C8A" w:rsidRPr="00772C22" w:rsidRDefault="000D1C8A" w:rsidP="000D1C8A">
            <w:pPr>
              <w:spacing w:before="0" w:after="60"/>
              <w:jc w:val="left"/>
              <w:rPr>
                <w:sz w:val="20"/>
                <w:szCs w:val="20"/>
              </w:rPr>
            </w:pPr>
            <w:r w:rsidRPr="00772C22">
              <w:rPr>
                <w:sz w:val="20"/>
                <w:szCs w:val="20"/>
              </w:rPr>
              <w:t>DPUK and ARUK</w:t>
            </w:r>
          </w:p>
        </w:tc>
        <w:tc>
          <w:tcPr>
            <w:tcW w:w="1560" w:type="dxa"/>
          </w:tcPr>
          <w:p w:rsidR="000D1C8A" w:rsidRPr="00772C22" w:rsidRDefault="000D1C8A" w:rsidP="000D1C8A">
            <w:pPr>
              <w:spacing w:before="0" w:after="60"/>
              <w:jc w:val="left"/>
              <w:rPr>
                <w:sz w:val="20"/>
                <w:szCs w:val="20"/>
              </w:rPr>
            </w:pPr>
            <w:r w:rsidRPr="00772C22">
              <w:rPr>
                <w:sz w:val="20"/>
                <w:szCs w:val="20"/>
              </w:rPr>
              <w:t xml:space="preserve">Alzheimer’s Disease/MCI </w:t>
            </w:r>
          </w:p>
        </w:tc>
        <w:tc>
          <w:tcPr>
            <w:tcW w:w="567" w:type="dxa"/>
          </w:tcPr>
          <w:p w:rsidR="000D1C8A" w:rsidRPr="00772C22" w:rsidRDefault="000D1C8A" w:rsidP="000D1C8A">
            <w:pPr>
              <w:spacing w:before="0" w:after="60"/>
              <w:jc w:val="left"/>
              <w:rPr>
                <w:sz w:val="20"/>
                <w:szCs w:val="20"/>
              </w:rPr>
            </w:pPr>
            <w:r w:rsidRPr="00772C22">
              <w:rPr>
                <w:sz w:val="20"/>
                <w:szCs w:val="20"/>
              </w:rPr>
              <w:t>Yes</w:t>
            </w:r>
          </w:p>
        </w:tc>
        <w:tc>
          <w:tcPr>
            <w:tcW w:w="1417" w:type="dxa"/>
          </w:tcPr>
          <w:p w:rsidR="000D1C8A" w:rsidRPr="00772C22" w:rsidRDefault="000D1C8A" w:rsidP="000D1C8A">
            <w:pPr>
              <w:spacing w:before="0" w:after="60"/>
              <w:jc w:val="left"/>
              <w:rPr>
                <w:sz w:val="20"/>
                <w:szCs w:val="20"/>
              </w:rPr>
            </w:pPr>
            <w:r w:rsidRPr="00772C22">
              <w:rPr>
                <w:sz w:val="20"/>
                <w:szCs w:val="20"/>
              </w:rPr>
              <w:t xml:space="preserve">Observational </w:t>
            </w:r>
          </w:p>
          <w:p w:rsidR="000D1C8A" w:rsidRPr="00772C22" w:rsidRDefault="000D1C8A" w:rsidP="000D1C8A">
            <w:pPr>
              <w:spacing w:before="0" w:after="60"/>
              <w:jc w:val="left"/>
              <w:rPr>
                <w:sz w:val="20"/>
                <w:szCs w:val="20"/>
              </w:rPr>
            </w:pPr>
          </w:p>
        </w:tc>
      </w:tr>
      <w:tr w:rsidR="000D1C8A" w:rsidRPr="00DA61DD" w:rsidTr="00772C22">
        <w:tc>
          <w:tcPr>
            <w:tcW w:w="1271" w:type="dxa"/>
          </w:tcPr>
          <w:p w:rsidR="000D1C8A" w:rsidRPr="00772C22" w:rsidRDefault="000D1C8A" w:rsidP="000D1C8A">
            <w:pPr>
              <w:spacing w:before="0" w:after="60"/>
              <w:jc w:val="left"/>
              <w:rPr>
                <w:sz w:val="20"/>
                <w:szCs w:val="20"/>
              </w:rPr>
            </w:pPr>
            <w:r w:rsidRPr="00772C22">
              <w:rPr>
                <w:sz w:val="20"/>
                <w:szCs w:val="20"/>
              </w:rPr>
              <w:lastRenderedPageBreak/>
              <w:t>DFP</w:t>
            </w:r>
          </w:p>
        </w:tc>
        <w:tc>
          <w:tcPr>
            <w:tcW w:w="3686" w:type="dxa"/>
          </w:tcPr>
          <w:p w:rsidR="000D1C8A" w:rsidRPr="00772C22" w:rsidRDefault="000D1C8A" w:rsidP="000D1C8A">
            <w:pPr>
              <w:spacing w:before="0" w:after="60"/>
              <w:jc w:val="left"/>
              <w:rPr>
                <w:sz w:val="20"/>
                <w:szCs w:val="20"/>
              </w:rPr>
            </w:pPr>
            <w:r w:rsidRPr="00772C22">
              <w:rPr>
                <w:sz w:val="20"/>
                <w:szCs w:val="20"/>
              </w:rPr>
              <w:t>Deep and Frequent Phenotyping; Combinatorial Biomarkers for Dementia Experimental Medicine</w:t>
            </w:r>
          </w:p>
        </w:tc>
        <w:tc>
          <w:tcPr>
            <w:tcW w:w="1275" w:type="dxa"/>
          </w:tcPr>
          <w:p w:rsidR="000D1C8A" w:rsidRPr="00772C22" w:rsidRDefault="000D1C8A" w:rsidP="000D1C8A">
            <w:pPr>
              <w:spacing w:before="0" w:after="60"/>
              <w:jc w:val="left"/>
              <w:rPr>
                <w:sz w:val="20"/>
                <w:szCs w:val="20"/>
              </w:rPr>
            </w:pPr>
            <w:r w:rsidRPr="00772C22">
              <w:rPr>
                <w:sz w:val="20"/>
                <w:szCs w:val="20"/>
              </w:rPr>
              <w:t>MRC and NIHR</w:t>
            </w:r>
          </w:p>
        </w:tc>
        <w:tc>
          <w:tcPr>
            <w:tcW w:w="1560" w:type="dxa"/>
          </w:tcPr>
          <w:p w:rsidR="000D1C8A" w:rsidRPr="00772C22" w:rsidRDefault="000D1C8A" w:rsidP="000D1C8A">
            <w:pPr>
              <w:spacing w:before="0" w:after="60"/>
              <w:jc w:val="left"/>
              <w:rPr>
                <w:sz w:val="20"/>
                <w:szCs w:val="20"/>
              </w:rPr>
            </w:pPr>
            <w:r w:rsidRPr="00772C22">
              <w:rPr>
                <w:sz w:val="20"/>
                <w:szCs w:val="20"/>
              </w:rPr>
              <w:t>Dementia</w:t>
            </w:r>
          </w:p>
        </w:tc>
        <w:tc>
          <w:tcPr>
            <w:tcW w:w="567" w:type="dxa"/>
          </w:tcPr>
          <w:p w:rsidR="000D1C8A" w:rsidRPr="00772C22" w:rsidRDefault="000D1C8A" w:rsidP="000D1C8A">
            <w:pPr>
              <w:spacing w:before="0" w:after="60"/>
              <w:jc w:val="left"/>
              <w:rPr>
                <w:sz w:val="20"/>
                <w:szCs w:val="20"/>
              </w:rPr>
            </w:pPr>
            <w:r w:rsidRPr="00772C22">
              <w:rPr>
                <w:sz w:val="20"/>
                <w:szCs w:val="20"/>
              </w:rPr>
              <w:t>Yes</w:t>
            </w:r>
          </w:p>
        </w:tc>
        <w:tc>
          <w:tcPr>
            <w:tcW w:w="1417" w:type="dxa"/>
          </w:tcPr>
          <w:p w:rsidR="000D1C8A" w:rsidRPr="00772C22" w:rsidRDefault="000D1C8A" w:rsidP="000D1C8A">
            <w:pPr>
              <w:spacing w:before="0" w:after="60"/>
              <w:jc w:val="left"/>
              <w:rPr>
                <w:sz w:val="20"/>
                <w:szCs w:val="20"/>
              </w:rPr>
            </w:pPr>
            <w:r w:rsidRPr="00772C22">
              <w:rPr>
                <w:sz w:val="20"/>
                <w:szCs w:val="20"/>
              </w:rPr>
              <w:t>Experimental medicine</w:t>
            </w:r>
          </w:p>
        </w:tc>
      </w:tr>
      <w:tr w:rsidR="000D1C8A" w:rsidRPr="00DA61DD" w:rsidTr="00772C22">
        <w:tc>
          <w:tcPr>
            <w:tcW w:w="1271" w:type="dxa"/>
          </w:tcPr>
          <w:p w:rsidR="000D1C8A" w:rsidRPr="00772C22" w:rsidRDefault="000D1C8A" w:rsidP="000D1C8A">
            <w:pPr>
              <w:spacing w:before="0" w:after="60"/>
              <w:jc w:val="left"/>
              <w:rPr>
                <w:sz w:val="20"/>
                <w:szCs w:val="20"/>
              </w:rPr>
            </w:pPr>
            <w:r w:rsidRPr="00772C22">
              <w:rPr>
                <w:sz w:val="20"/>
                <w:szCs w:val="20"/>
              </w:rPr>
              <w:t>PAX-BD</w:t>
            </w:r>
          </w:p>
        </w:tc>
        <w:tc>
          <w:tcPr>
            <w:tcW w:w="3686" w:type="dxa"/>
          </w:tcPr>
          <w:p w:rsidR="000D1C8A" w:rsidRPr="00772C22" w:rsidRDefault="000D1C8A" w:rsidP="000D1C8A">
            <w:pPr>
              <w:spacing w:before="0" w:after="60"/>
              <w:jc w:val="left"/>
              <w:rPr>
                <w:sz w:val="20"/>
                <w:szCs w:val="20"/>
              </w:rPr>
            </w:pPr>
            <w:r w:rsidRPr="00772C22">
              <w:rPr>
                <w:sz w:val="20"/>
                <w:szCs w:val="20"/>
              </w:rPr>
              <w:t>A trial of pramipexole in addition to mood stabilisers for patients with treatment resistant bipolar depression</w:t>
            </w:r>
          </w:p>
        </w:tc>
        <w:tc>
          <w:tcPr>
            <w:tcW w:w="1275" w:type="dxa"/>
          </w:tcPr>
          <w:p w:rsidR="000D1C8A" w:rsidRPr="00772C22" w:rsidRDefault="000D1C8A" w:rsidP="000D1C8A">
            <w:pPr>
              <w:spacing w:before="0" w:after="60"/>
              <w:jc w:val="left"/>
              <w:rPr>
                <w:sz w:val="20"/>
                <w:szCs w:val="20"/>
              </w:rPr>
            </w:pPr>
            <w:r w:rsidRPr="00772C22">
              <w:rPr>
                <w:sz w:val="20"/>
                <w:szCs w:val="20"/>
              </w:rPr>
              <w:t>NIHR Health Technology Assessment</w:t>
            </w:r>
          </w:p>
        </w:tc>
        <w:tc>
          <w:tcPr>
            <w:tcW w:w="1560" w:type="dxa"/>
          </w:tcPr>
          <w:p w:rsidR="000D1C8A" w:rsidRPr="00772C22" w:rsidRDefault="000D1C8A" w:rsidP="000D1C8A">
            <w:pPr>
              <w:spacing w:before="0" w:after="60"/>
              <w:jc w:val="left"/>
              <w:rPr>
                <w:sz w:val="20"/>
                <w:szCs w:val="20"/>
              </w:rPr>
            </w:pPr>
            <w:r w:rsidRPr="00772C22">
              <w:rPr>
                <w:sz w:val="20"/>
                <w:szCs w:val="20"/>
              </w:rPr>
              <w:t>Bipolar disorder (treatment resistant bipolar depression)</w:t>
            </w:r>
          </w:p>
        </w:tc>
        <w:tc>
          <w:tcPr>
            <w:tcW w:w="567" w:type="dxa"/>
          </w:tcPr>
          <w:p w:rsidR="000D1C8A" w:rsidRPr="00772C22" w:rsidRDefault="000D1C8A" w:rsidP="000D1C8A">
            <w:pPr>
              <w:spacing w:before="0" w:after="60"/>
              <w:jc w:val="left"/>
              <w:rPr>
                <w:sz w:val="20"/>
                <w:szCs w:val="20"/>
              </w:rPr>
            </w:pPr>
            <w:r w:rsidRPr="00772C22">
              <w:rPr>
                <w:sz w:val="20"/>
                <w:szCs w:val="20"/>
              </w:rPr>
              <w:t>Yes</w:t>
            </w:r>
          </w:p>
        </w:tc>
        <w:tc>
          <w:tcPr>
            <w:tcW w:w="1417" w:type="dxa"/>
          </w:tcPr>
          <w:p w:rsidR="000D1C8A" w:rsidRPr="00772C22" w:rsidRDefault="000D1C8A" w:rsidP="000D1C8A">
            <w:pPr>
              <w:spacing w:before="0" w:after="60"/>
              <w:jc w:val="left"/>
              <w:rPr>
                <w:sz w:val="20"/>
                <w:szCs w:val="20"/>
              </w:rPr>
            </w:pPr>
            <w:r w:rsidRPr="00772C22">
              <w:rPr>
                <w:sz w:val="20"/>
                <w:szCs w:val="20"/>
              </w:rPr>
              <w:t>Experimental medicine</w:t>
            </w:r>
          </w:p>
        </w:tc>
      </w:tr>
      <w:tr w:rsidR="000D1C8A" w:rsidRPr="00DA61DD" w:rsidTr="00772C22">
        <w:tc>
          <w:tcPr>
            <w:tcW w:w="1271" w:type="dxa"/>
          </w:tcPr>
          <w:p w:rsidR="000D1C8A" w:rsidRPr="00772C22" w:rsidRDefault="000D1C8A" w:rsidP="000D1C8A">
            <w:pPr>
              <w:spacing w:before="0" w:after="60"/>
              <w:jc w:val="left"/>
              <w:rPr>
                <w:sz w:val="20"/>
                <w:szCs w:val="20"/>
              </w:rPr>
            </w:pPr>
            <w:r w:rsidRPr="00772C22">
              <w:rPr>
                <w:sz w:val="20"/>
                <w:szCs w:val="20"/>
              </w:rPr>
              <w:t>APFEMA</w:t>
            </w:r>
          </w:p>
        </w:tc>
        <w:tc>
          <w:tcPr>
            <w:tcW w:w="3686" w:type="dxa"/>
          </w:tcPr>
          <w:p w:rsidR="000D1C8A" w:rsidRPr="00772C22" w:rsidRDefault="000D1C8A" w:rsidP="000D1C8A">
            <w:pPr>
              <w:spacing w:before="0" w:after="60"/>
              <w:jc w:val="left"/>
              <w:rPr>
                <w:sz w:val="20"/>
                <w:szCs w:val="20"/>
              </w:rPr>
            </w:pPr>
            <w:r w:rsidRPr="00772C22">
              <w:rPr>
                <w:sz w:val="20"/>
                <w:szCs w:val="20"/>
              </w:rPr>
              <w:t>Analysing patients’ facial expressions to improve mood assessments for people with bipolar disorder or treatment resistant depression</w:t>
            </w:r>
          </w:p>
        </w:tc>
        <w:tc>
          <w:tcPr>
            <w:tcW w:w="1275" w:type="dxa"/>
          </w:tcPr>
          <w:p w:rsidR="000D1C8A" w:rsidRPr="00772C22" w:rsidRDefault="000D1C8A" w:rsidP="000D1C8A">
            <w:pPr>
              <w:spacing w:before="0" w:after="60"/>
              <w:jc w:val="left"/>
              <w:rPr>
                <w:sz w:val="20"/>
                <w:szCs w:val="20"/>
              </w:rPr>
            </w:pPr>
            <w:r w:rsidRPr="00772C22">
              <w:rPr>
                <w:sz w:val="20"/>
                <w:szCs w:val="20"/>
              </w:rPr>
              <w:t>Medical Research Council</w:t>
            </w:r>
          </w:p>
        </w:tc>
        <w:tc>
          <w:tcPr>
            <w:tcW w:w="1560" w:type="dxa"/>
          </w:tcPr>
          <w:p w:rsidR="000D1C8A" w:rsidRPr="00772C22" w:rsidRDefault="000D1C8A" w:rsidP="000D1C8A">
            <w:pPr>
              <w:spacing w:before="0" w:after="60"/>
              <w:jc w:val="left"/>
              <w:rPr>
                <w:sz w:val="20"/>
                <w:szCs w:val="20"/>
              </w:rPr>
            </w:pPr>
            <w:r w:rsidRPr="00772C22">
              <w:rPr>
                <w:sz w:val="20"/>
                <w:szCs w:val="20"/>
              </w:rPr>
              <w:t>Mood Disorders</w:t>
            </w:r>
          </w:p>
        </w:tc>
        <w:tc>
          <w:tcPr>
            <w:tcW w:w="567" w:type="dxa"/>
          </w:tcPr>
          <w:p w:rsidR="000D1C8A" w:rsidRPr="00772C22" w:rsidRDefault="000D1C8A" w:rsidP="000D1C8A">
            <w:pPr>
              <w:spacing w:before="0" w:after="60"/>
              <w:jc w:val="left"/>
              <w:rPr>
                <w:sz w:val="20"/>
                <w:szCs w:val="20"/>
              </w:rPr>
            </w:pPr>
            <w:r w:rsidRPr="00772C22">
              <w:rPr>
                <w:sz w:val="20"/>
                <w:szCs w:val="20"/>
              </w:rPr>
              <w:t>Yes</w:t>
            </w:r>
          </w:p>
        </w:tc>
        <w:tc>
          <w:tcPr>
            <w:tcW w:w="1417" w:type="dxa"/>
          </w:tcPr>
          <w:p w:rsidR="000D1C8A" w:rsidRPr="00772C22" w:rsidRDefault="000D1C8A" w:rsidP="000D1C8A">
            <w:pPr>
              <w:spacing w:before="0" w:after="60"/>
              <w:jc w:val="left"/>
              <w:rPr>
                <w:sz w:val="20"/>
                <w:szCs w:val="20"/>
              </w:rPr>
            </w:pPr>
            <w:r w:rsidRPr="00772C22">
              <w:rPr>
                <w:sz w:val="20"/>
                <w:szCs w:val="20"/>
              </w:rPr>
              <w:t>Observational</w:t>
            </w:r>
          </w:p>
        </w:tc>
      </w:tr>
      <w:tr w:rsidR="000D1C8A" w:rsidRPr="00DA61DD" w:rsidTr="00772C22">
        <w:tc>
          <w:tcPr>
            <w:tcW w:w="1271" w:type="dxa"/>
          </w:tcPr>
          <w:p w:rsidR="000D1C8A" w:rsidRPr="00772C22" w:rsidRDefault="000D1C8A" w:rsidP="000D1C8A">
            <w:pPr>
              <w:spacing w:before="0" w:after="60"/>
              <w:jc w:val="left"/>
              <w:rPr>
                <w:sz w:val="20"/>
                <w:szCs w:val="20"/>
              </w:rPr>
            </w:pPr>
            <w:r w:rsidRPr="00772C22">
              <w:rPr>
                <w:sz w:val="20"/>
                <w:szCs w:val="20"/>
              </w:rPr>
              <w:t>SPEAR</w:t>
            </w:r>
          </w:p>
        </w:tc>
        <w:tc>
          <w:tcPr>
            <w:tcW w:w="3686" w:type="dxa"/>
          </w:tcPr>
          <w:p w:rsidR="000D1C8A" w:rsidRPr="00772C22" w:rsidRDefault="000D1C8A" w:rsidP="000D1C8A">
            <w:pPr>
              <w:spacing w:before="0" w:after="60"/>
              <w:jc w:val="left"/>
              <w:rPr>
                <w:sz w:val="20"/>
                <w:szCs w:val="20"/>
              </w:rPr>
            </w:pPr>
            <w:r w:rsidRPr="00772C22">
              <w:rPr>
                <w:sz w:val="20"/>
                <w:szCs w:val="20"/>
              </w:rPr>
              <w:t>A study of participant’s experience of Alzheimer’s disease – sub-study of EPAD</w:t>
            </w:r>
          </w:p>
        </w:tc>
        <w:tc>
          <w:tcPr>
            <w:tcW w:w="1275" w:type="dxa"/>
          </w:tcPr>
          <w:p w:rsidR="000D1C8A" w:rsidRPr="00772C22" w:rsidRDefault="000D1C8A" w:rsidP="000D1C8A">
            <w:pPr>
              <w:spacing w:before="0" w:after="60"/>
              <w:jc w:val="left"/>
              <w:rPr>
                <w:sz w:val="20"/>
                <w:szCs w:val="20"/>
              </w:rPr>
            </w:pPr>
            <w:r w:rsidRPr="00772C22">
              <w:rPr>
                <w:sz w:val="20"/>
                <w:szCs w:val="20"/>
              </w:rPr>
              <w:t>IMI Joint Undertaking</w:t>
            </w:r>
          </w:p>
        </w:tc>
        <w:tc>
          <w:tcPr>
            <w:tcW w:w="1560" w:type="dxa"/>
          </w:tcPr>
          <w:p w:rsidR="000D1C8A" w:rsidRPr="00772C22" w:rsidRDefault="000D1C8A" w:rsidP="000D1C8A">
            <w:pPr>
              <w:spacing w:before="0" w:after="60"/>
              <w:jc w:val="left"/>
              <w:rPr>
                <w:sz w:val="20"/>
                <w:szCs w:val="20"/>
              </w:rPr>
            </w:pPr>
            <w:r w:rsidRPr="00772C22">
              <w:rPr>
                <w:sz w:val="20"/>
                <w:szCs w:val="20"/>
              </w:rPr>
              <w:t>Alzheimer’s Disease</w:t>
            </w:r>
          </w:p>
        </w:tc>
        <w:tc>
          <w:tcPr>
            <w:tcW w:w="567" w:type="dxa"/>
          </w:tcPr>
          <w:p w:rsidR="000D1C8A" w:rsidRPr="00772C22" w:rsidRDefault="000D1C8A" w:rsidP="000D1C8A">
            <w:pPr>
              <w:spacing w:before="0" w:after="60"/>
              <w:jc w:val="left"/>
              <w:rPr>
                <w:sz w:val="20"/>
                <w:szCs w:val="20"/>
              </w:rPr>
            </w:pPr>
            <w:r w:rsidRPr="00772C22">
              <w:rPr>
                <w:sz w:val="20"/>
                <w:szCs w:val="20"/>
              </w:rPr>
              <w:t>No</w:t>
            </w:r>
          </w:p>
        </w:tc>
        <w:tc>
          <w:tcPr>
            <w:tcW w:w="1417" w:type="dxa"/>
          </w:tcPr>
          <w:p w:rsidR="000D1C8A" w:rsidRPr="00772C22" w:rsidRDefault="000D1C8A" w:rsidP="000D1C8A">
            <w:pPr>
              <w:spacing w:before="0" w:after="60"/>
              <w:jc w:val="left"/>
              <w:rPr>
                <w:sz w:val="20"/>
                <w:szCs w:val="20"/>
              </w:rPr>
            </w:pPr>
            <w:r w:rsidRPr="00772C22">
              <w:rPr>
                <w:sz w:val="20"/>
                <w:szCs w:val="20"/>
              </w:rPr>
              <w:t>Observational</w:t>
            </w:r>
          </w:p>
        </w:tc>
      </w:tr>
      <w:tr w:rsidR="000D1C8A" w:rsidRPr="00DA61DD" w:rsidTr="00772C22">
        <w:tc>
          <w:tcPr>
            <w:tcW w:w="1271" w:type="dxa"/>
          </w:tcPr>
          <w:p w:rsidR="000D1C8A" w:rsidRPr="00772C22" w:rsidRDefault="000D1C8A" w:rsidP="000D1C8A">
            <w:pPr>
              <w:spacing w:before="0" w:after="60"/>
              <w:jc w:val="left"/>
              <w:rPr>
                <w:sz w:val="20"/>
                <w:szCs w:val="20"/>
              </w:rPr>
            </w:pPr>
            <w:r w:rsidRPr="00772C22">
              <w:rPr>
                <w:sz w:val="20"/>
                <w:szCs w:val="20"/>
              </w:rPr>
              <w:t>The ENCRYPT study</w:t>
            </w:r>
          </w:p>
        </w:tc>
        <w:tc>
          <w:tcPr>
            <w:tcW w:w="3686" w:type="dxa"/>
          </w:tcPr>
          <w:p w:rsidR="000D1C8A" w:rsidRPr="00772C22" w:rsidRDefault="000D1C8A" w:rsidP="000D1C8A">
            <w:pPr>
              <w:spacing w:before="0" w:after="60"/>
              <w:jc w:val="left"/>
              <w:rPr>
                <w:sz w:val="20"/>
                <w:szCs w:val="20"/>
              </w:rPr>
            </w:pPr>
            <w:r w:rsidRPr="00772C22">
              <w:rPr>
                <w:sz w:val="20"/>
                <w:szCs w:val="20"/>
              </w:rPr>
              <w:t>Study aiming to identify the initial brain dysfunction in AD by investigating the entorhinal cortex and hippocampus for participants in the PREVENT study</w:t>
            </w:r>
          </w:p>
        </w:tc>
        <w:tc>
          <w:tcPr>
            <w:tcW w:w="1275" w:type="dxa"/>
          </w:tcPr>
          <w:p w:rsidR="000D1C8A" w:rsidRPr="00772C22" w:rsidRDefault="000D1C8A" w:rsidP="000D1C8A">
            <w:pPr>
              <w:spacing w:before="0" w:after="60"/>
              <w:jc w:val="left"/>
              <w:rPr>
                <w:sz w:val="20"/>
                <w:szCs w:val="20"/>
              </w:rPr>
            </w:pPr>
            <w:r w:rsidRPr="00772C22">
              <w:rPr>
                <w:sz w:val="20"/>
                <w:szCs w:val="20"/>
              </w:rPr>
              <w:t>Alzheimer’s Society</w:t>
            </w:r>
          </w:p>
        </w:tc>
        <w:tc>
          <w:tcPr>
            <w:tcW w:w="1560" w:type="dxa"/>
          </w:tcPr>
          <w:p w:rsidR="000D1C8A" w:rsidRPr="00772C22" w:rsidRDefault="000D1C8A" w:rsidP="000D1C8A">
            <w:pPr>
              <w:spacing w:before="0" w:after="60"/>
              <w:jc w:val="left"/>
              <w:rPr>
                <w:sz w:val="20"/>
                <w:szCs w:val="20"/>
              </w:rPr>
            </w:pPr>
            <w:r w:rsidRPr="00772C22">
              <w:rPr>
                <w:sz w:val="20"/>
                <w:szCs w:val="20"/>
              </w:rPr>
              <w:t>Alzheimer’s Disease</w:t>
            </w:r>
          </w:p>
        </w:tc>
        <w:tc>
          <w:tcPr>
            <w:tcW w:w="567" w:type="dxa"/>
          </w:tcPr>
          <w:p w:rsidR="000D1C8A" w:rsidRPr="00772C22" w:rsidRDefault="000D1C8A" w:rsidP="000D1C8A">
            <w:pPr>
              <w:spacing w:before="0" w:after="60"/>
              <w:jc w:val="left"/>
              <w:rPr>
                <w:sz w:val="20"/>
                <w:szCs w:val="20"/>
              </w:rPr>
            </w:pPr>
            <w:r w:rsidRPr="00772C22">
              <w:rPr>
                <w:sz w:val="20"/>
                <w:szCs w:val="20"/>
              </w:rPr>
              <w:t>Yes</w:t>
            </w:r>
          </w:p>
        </w:tc>
        <w:tc>
          <w:tcPr>
            <w:tcW w:w="1417" w:type="dxa"/>
          </w:tcPr>
          <w:p w:rsidR="000D1C8A" w:rsidRPr="00772C22" w:rsidRDefault="000D1C8A" w:rsidP="000D1C8A">
            <w:pPr>
              <w:spacing w:before="0" w:after="60"/>
              <w:jc w:val="left"/>
              <w:rPr>
                <w:sz w:val="20"/>
                <w:szCs w:val="20"/>
              </w:rPr>
            </w:pPr>
            <w:r w:rsidRPr="00772C22">
              <w:rPr>
                <w:sz w:val="20"/>
                <w:szCs w:val="20"/>
              </w:rPr>
              <w:t>Observational</w:t>
            </w:r>
          </w:p>
        </w:tc>
      </w:tr>
      <w:tr w:rsidR="000D1C8A" w:rsidRPr="00DA61DD" w:rsidTr="00772C22">
        <w:tc>
          <w:tcPr>
            <w:tcW w:w="1271" w:type="dxa"/>
          </w:tcPr>
          <w:p w:rsidR="000D1C8A" w:rsidRPr="00772C22" w:rsidRDefault="000D1C8A" w:rsidP="000D1C8A">
            <w:pPr>
              <w:spacing w:before="0" w:after="60"/>
              <w:jc w:val="left"/>
              <w:rPr>
                <w:sz w:val="20"/>
                <w:szCs w:val="20"/>
              </w:rPr>
            </w:pPr>
            <w:r w:rsidRPr="00772C22">
              <w:rPr>
                <w:sz w:val="20"/>
                <w:szCs w:val="20"/>
              </w:rPr>
              <w:t>DPUK</w:t>
            </w:r>
          </w:p>
        </w:tc>
        <w:tc>
          <w:tcPr>
            <w:tcW w:w="3686" w:type="dxa"/>
          </w:tcPr>
          <w:p w:rsidR="000D1C8A" w:rsidRPr="00772C22" w:rsidRDefault="000D1C8A" w:rsidP="000D1C8A">
            <w:pPr>
              <w:spacing w:before="0" w:after="60"/>
              <w:rPr>
                <w:sz w:val="20"/>
                <w:szCs w:val="20"/>
              </w:rPr>
            </w:pPr>
            <w:r w:rsidRPr="00772C22">
              <w:rPr>
                <w:sz w:val="20"/>
                <w:szCs w:val="20"/>
              </w:rPr>
              <w:t>Assessing models of AD risk and progression in Existing Cohorts using Tau PET imaging in combination with prospective follow-up</w:t>
            </w:r>
          </w:p>
        </w:tc>
        <w:tc>
          <w:tcPr>
            <w:tcW w:w="1275" w:type="dxa"/>
          </w:tcPr>
          <w:p w:rsidR="000D1C8A" w:rsidRPr="00772C22" w:rsidRDefault="000D1C8A" w:rsidP="000D1C8A">
            <w:pPr>
              <w:spacing w:before="0" w:after="60"/>
              <w:jc w:val="left"/>
              <w:rPr>
                <w:sz w:val="20"/>
                <w:szCs w:val="20"/>
              </w:rPr>
            </w:pPr>
            <w:r w:rsidRPr="00772C22">
              <w:rPr>
                <w:sz w:val="20"/>
                <w:szCs w:val="20"/>
              </w:rPr>
              <w:t>Medical Research Council</w:t>
            </w:r>
          </w:p>
        </w:tc>
        <w:tc>
          <w:tcPr>
            <w:tcW w:w="1560" w:type="dxa"/>
          </w:tcPr>
          <w:p w:rsidR="000D1C8A" w:rsidRPr="00772C22" w:rsidRDefault="000D1C8A" w:rsidP="000D1C8A">
            <w:pPr>
              <w:spacing w:before="0" w:after="60"/>
              <w:jc w:val="left"/>
              <w:rPr>
                <w:sz w:val="20"/>
                <w:szCs w:val="20"/>
              </w:rPr>
            </w:pPr>
            <w:r w:rsidRPr="00772C22">
              <w:rPr>
                <w:sz w:val="20"/>
                <w:szCs w:val="20"/>
              </w:rPr>
              <w:t>Alzheimer’s Disease</w:t>
            </w:r>
          </w:p>
        </w:tc>
        <w:tc>
          <w:tcPr>
            <w:tcW w:w="567" w:type="dxa"/>
          </w:tcPr>
          <w:p w:rsidR="000D1C8A" w:rsidRPr="00772C22" w:rsidRDefault="000D1C8A" w:rsidP="000D1C8A">
            <w:pPr>
              <w:spacing w:before="0" w:after="60"/>
              <w:jc w:val="left"/>
              <w:rPr>
                <w:sz w:val="20"/>
                <w:szCs w:val="20"/>
              </w:rPr>
            </w:pPr>
            <w:r w:rsidRPr="00772C22">
              <w:rPr>
                <w:sz w:val="20"/>
                <w:szCs w:val="20"/>
              </w:rPr>
              <w:t>Yes</w:t>
            </w:r>
          </w:p>
        </w:tc>
        <w:tc>
          <w:tcPr>
            <w:tcW w:w="1417" w:type="dxa"/>
          </w:tcPr>
          <w:p w:rsidR="000D1C8A" w:rsidRPr="00772C22" w:rsidRDefault="000D1C8A" w:rsidP="000D1C8A">
            <w:pPr>
              <w:spacing w:before="0" w:after="60"/>
              <w:jc w:val="left"/>
              <w:rPr>
                <w:sz w:val="20"/>
                <w:szCs w:val="20"/>
              </w:rPr>
            </w:pPr>
            <w:r w:rsidRPr="00772C22">
              <w:rPr>
                <w:sz w:val="20"/>
                <w:szCs w:val="20"/>
              </w:rPr>
              <w:t>Observational</w:t>
            </w:r>
          </w:p>
        </w:tc>
      </w:tr>
    </w:tbl>
    <w:p w:rsidR="000D1C8A" w:rsidRDefault="000D1C8A" w:rsidP="000D1C8A">
      <w:pPr>
        <w:rPr>
          <w:b/>
        </w:rPr>
      </w:pPr>
    </w:p>
    <w:p w:rsidR="000D1C8A" w:rsidRDefault="000D1C8A" w:rsidP="00156856">
      <w:pPr>
        <w:pStyle w:val="Heading3"/>
        <w:numPr>
          <w:ilvl w:val="2"/>
          <w:numId w:val="4"/>
        </w:numPr>
      </w:pPr>
      <w:r w:rsidRPr="00156856">
        <w:t>Studies in Set-up</w:t>
      </w:r>
    </w:p>
    <w:tbl>
      <w:tblPr>
        <w:tblStyle w:val="TableGrid"/>
        <w:tblW w:w="9776" w:type="dxa"/>
        <w:tblLayout w:type="fixed"/>
        <w:tblLook w:val="04A0" w:firstRow="1" w:lastRow="0" w:firstColumn="1" w:lastColumn="0" w:noHBand="0" w:noVBand="1"/>
      </w:tblPr>
      <w:tblGrid>
        <w:gridCol w:w="1129"/>
        <w:gridCol w:w="3828"/>
        <w:gridCol w:w="1275"/>
        <w:gridCol w:w="1560"/>
        <w:gridCol w:w="567"/>
        <w:gridCol w:w="1417"/>
      </w:tblGrid>
      <w:tr w:rsidR="000D1C8A" w:rsidRPr="00DA61DD" w:rsidTr="00772C22">
        <w:tc>
          <w:tcPr>
            <w:tcW w:w="1129" w:type="dxa"/>
            <w:shd w:val="clear" w:color="auto" w:fill="D9D9D9" w:themeFill="background1" w:themeFillShade="D9"/>
          </w:tcPr>
          <w:p w:rsidR="000D1C8A" w:rsidRPr="00772C22" w:rsidRDefault="000D1C8A" w:rsidP="000D1C8A">
            <w:pPr>
              <w:rPr>
                <w:b/>
                <w:sz w:val="20"/>
                <w:szCs w:val="20"/>
              </w:rPr>
            </w:pPr>
            <w:r w:rsidRPr="00772C22">
              <w:rPr>
                <w:b/>
                <w:sz w:val="20"/>
                <w:szCs w:val="20"/>
              </w:rPr>
              <w:t>Study</w:t>
            </w:r>
          </w:p>
        </w:tc>
        <w:tc>
          <w:tcPr>
            <w:tcW w:w="3828" w:type="dxa"/>
            <w:shd w:val="clear" w:color="auto" w:fill="D9D9D9" w:themeFill="background1" w:themeFillShade="D9"/>
          </w:tcPr>
          <w:p w:rsidR="000D1C8A" w:rsidRPr="00772C22" w:rsidRDefault="000D1C8A" w:rsidP="000D1C8A">
            <w:pPr>
              <w:rPr>
                <w:b/>
                <w:sz w:val="20"/>
                <w:szCs w:val="20"/>
              </w:rPr>
            </w:pPr>
            <w:r w:rsidRPr="00772C22">
              <w:rPr>
                <w:b/>
                <w:sz w:val="20"/>
                <w:szCs w:val="20"/>
              </w:rPr>
              <w:t>Full name</w:t>
            </w:r>
          </w:p>
        </w:tc>
        <w:tc>
          <w:tcPr>
            <w:tcW w:w="1275" w:type="dxa"/>
            <w:shd w:val="clear" w:color="auto" w:fill="D9D9D9" w:themeFill="background1" w:themeFillShade="D9"/>
          </w:tcPr>
          <w:p w:rsidR="000D1C8A" w:rsidRPr="00772C22" w:rsidRDefault="000D1C8A" w:rsidP="000D1C8A">
            <w:pPr>
              <w:rPr>
                <w:b/>
                <w:sz w:val="20"/>
                <w:szCs w:val="20"/>
              </w:rPr>
            </w:pPr>
            <w:r w:rsidRPr="00772C22">
              <w:rPr>
                <w:b/>
                <w:sz w:val="20"/>
                <w:szCs w:val="20"/>
              </w:rPr>
              <w:t>Funding</w:t>
            </w:r>
          </w:p>
        </w:tc>
        <w:tc>
          <w:tcPr>
            <w:tcW w:w="1560" w:type="dxa"/>
            <w:shd w:val="clear" w:color="auto" w:fill="D9D9D9" w:themeFill="background1" w:themeFillShade="D9"/>
          </w:tcPr>
          <w:p w:rsidR="000D1C8A" w:rsidRPr="00772C22" w:rsidRDefault="000D1C8A" w:rsidP="000D1C8A">
            <w:pPr>
              <w:rPr>
                <w:b/>
                <w:sz w:val="20"/>
                <w:szCs w:val="20"/>
              </w:rPr>
            </w:pPr>
            <w:r w:rsidRPr="00772C22">
              <w:rPr>
                <w:b/>
                <w:sz w:val="20"/>
                <w:szCs w:val="20"/>
              </w:rPr>
              <w:t>Disease area</w:t>
            </w:r>
          </w:p>
        </w:tc>
        <w:tc>
          <w:tcPr>
            <w:tcW w:w="567" w:type="dxa"/>
            <w:shd w:val="clear" w:color="auto" w:fill="D9D9D9" w:themeFill="background1" w:themeFillShade="D9"/>
          </w:tcPr>
          <w:p w:rsidR="000D1C8A" w:rsidRPr="00772C22" w:rsidRDefault="000D1C8A" w:rsidP="000D1C8A">
            <w:pPr>
              <w:rPr>
                <w:b/>
                <w:sz w:val="20"/>
                <w:szCs w:val="20"/>
              </w:rPr>
            </w:pPr>
            <w:r w:rsidRPr="00772C22">
              <w:rPr>
                <w:b/>
                <w:sz w:val="20"/>
                <w:szCs w:val="20"/>
              </w:rPr>
              <w:t>BRC</w:t>
            </w:r>
          </w:p>
        </w:tc>
        <w:tc>
          <w:tcPr>
            <w:tcW w:w="1417" w:type="dxa"/>
            <w:shd w:val="clear" w:color="auto" w:fill="D9D9D9" w:themeFill="background1" w:themeFillShade="D9"/>
          </w:tcPr>
          <w:p w:rsidR="000D1C8A" w:rsidRPr="00772C22" w:rsidRDefault="000D1C8A" w:rsidP="000D1C8A">
            <w:pPr>
              <w:rPr>
                <w:b/>
                <w:sz w:val="20"/>
                <w:szCs w:val="20"/>
              </w:rPr>
            </w:pPr>
            <w:r w:rsidRPr="00772C22">
              <w:rPr>
                <w:b/>
                <w:sz w:val="20"/>
                <w:szCs w:val="20"/>
              </w:rPr>
              <w:t>Phase</w:t>
            </w:r>
          </w:p>
        </w:tc>
      </w:tr>
      <w:tr w:rsidR="000D1C8A" w:rsidRPr="00DA61DD" w:rsidTr="00772C22">
        <w:tc>
          <w:tcPr>
            <w:tcW w:w="1129" w:type="dxa"/>
          </w:tcPr>
          <w:p w:rsidR="000D1C8A" w:rsidRPr="00772C22" w:rsidRDefault="000D1C8A" w:rsidP="000D1C8A">
            <w:pPr>
              <w:spacing w:before="0" w:after="60"/>
              <w:jc w:val="left"/>
              <w:rPr>
                <w:sz w:val="20"/>
                <w:szCs w:val="20"/>
              </w:rPr>
            </w:pPr>
            <w:r w:rsidRPr="00772C22">
              <w:rPr>
                <w:sz w:val="20"/>
                <w:szCs w:val="20"/>
              </w:rPr>
              <w:t>ATP</w:t>
            </w:r>
          </w:p>
        </w:tc>
        <w:tc>
          <w:tcPr>
            <w:tcW w:w="3828" w:type="dxa"/>
          </w:tcPr>
          <w:p w:rsidR="000D1C8A" w:rsidRPr="00772C22" w:rsidRDefault="000D1C8A" w:rsidP="000D1C8A">
            <w:pPr>
              <w:autoSpaceDE w:val="0"/>
              <w:autoSpaceDN w:val="0"/>
              <w:spacing w:before="0" w:after="60"/>
              <w:jc w:val="left"/>
              <w:rPr>
                <w:sz w:val="20"/>
                <w:szCs w:val="20"/>
              </w:rPr>
            </w:pPr>
            <w:r w:rsidRPr="00772C22">
              <w:rPr>
                <w:sz w:val="20"/>
                <w:szCs w:val="20"/>
              </w:rPr>
              <w:t>A trial of the efficacy of a novel CNS-penetrant P2X7 receptor antagonist, in people</w:t>
            </w:r>
          </w:p>
          <w:p w:rsidR="000D1C8A" w:rsidRPr="00772C22" w:rsidRDefault="000D1C8A" w:rsidP="000D1C8A">
            <w:pPr>
              <w:autoSpaceDE w:val="0"/>
              <w:autoSpaceDN w:val="0"/>
              <w:spacing w:before="0" w:after="60"/>
              <w:jc w:val="left"/>
              <w:rPr>
                <w:sz w:val="20"/>
                <w:szCs w:val="20"/>
              </w:rPr>
            </w:pPr>
            <w:r w:rsidRPr="00772C22">
              <w:rPr>
                <w:sz w:val="20"/>
                <w:szCs w:val="20"/>
              </w:rPr>
              <w:t>with major depressive disorder</w:t>
            </w:r>
          </w:p>
        </w:tc>
        <w:tc>
          <w:tcPr>
            <w:tcW w:w="1275" w:type="dxa"/>
          </w:tcPr>
          <w:p w:rsidR="000D1C8A" w:rsidRPr="00772C22" w:rsidRDefault="000D1C8A" w:rsidP="000D1C8A">
            <w:pPr>
              <w:spacing w:before="0" w:after="60"/>
              <w:jc w:val="left"/>
              <w:rPr>
                <w:sz w:val="20"/>
                <w:szCs w:val="20"/>
              </w:rPr>
            </w:pPr>
            <w:proofErr w:type="spellStart"/>
            <w:r w:rsidRPr="00772C22">
              <w:rPr>
                <w:sz w:val="20"/>
                <w:szCs w:val="20"/>
              </w:rPr>
              <w:t>Wellcome</w:t>
            </w:r>
            <w:proofErr w:type="spellEnd"/>
            <w:r w:rsidRPr="00772C22">
              <w:rPr>
                <w:sz w:val="20"/>
                <w:szCs w:val="20"/>
              </w:rPr>
              <w:t xml:space="preserve"> Trust and Janssen</w:t>
            </w:r>
          </w:p>
        </w:tc>
        <w:tc>
          <w:tcPr>
            <w:tcW w:w="1560" w:type="dxa"/>
          </w:tcPr>
          <w:p w:rsidR="000D1C8A" w:rsidRPr="00772C22" w:rsidRDefault="000D1C8A" w:rsidP="000D1C8A">
            <w:pPr>
              <w:spacing w:before="0" w:after="60"/>
              <w:jc w:val="left"/>
              <w:rPr>
                <w:sz w:val="20"/>
                <w:szCs w:val="20"/>
              </w:rPr>
            </w:pPr>
            <w:r w:rsidRPr="00772C22">
              <w:rPr>
                <w:sz w:val="20"/>
                <w:szCs w:val="20"/>
              </w:rPr>
              <w:t>Treatment resistant depression</w:t>
            </w:r>
          </w:p>
          <w:p w:rsidR="000D1C8A" w:rsidRPr="00772C22" w:rsidRDefault="000D1C8A" w:rsidP="000D1C8A">
            <w:pPr>
              <w:spacing w:before="0" w:after="60"/>
              <w:jc w:val="left"/>
              <w:rPr>
                <w:sz w:val="20"/>
                <w:szCs w:val="20"/>
              </w:rPr>
            </w:pPr>
          </w:p>
        </w:tc>
        <w:tc>
          <w:tcPr>
            <w:tcW w:w="567" w:type="dxa"/>
          </w:tcPr>
          <w:p w:rsidR="000D1C8A" w:rsidRPr="00772C22" w:rsidRDefault="000D1C8A" w:rsidP="000D1C8A">
            <w:pPr>
              <w:spacing w:before="0" w:after="60"/>
              <w:jc w:val="left"/>
              <w:rPr>
                <w:sz w:val="20"/>
                <w:szCs w:val="20"/>
              </w:rPr>
            </w:pPr>
            <w:r w:rsidRPr="00772C22">
              <w:rPr>
                <w:sz w:val="20"/>
                <w:szCs w:val="20"/>
              </w:rPr>
              <w:t>Tbc</w:t>
            </w:r>
          </w:p>
        </w:tc>
        <w:tc>
          <w:tcPr>
            <w:tcW w:w="1417" w:type="dxa"/>
          </w:tcPr>
          <w:p w:rsidR="000D1C8A" w:rsidRPr="00772C22" w:rsidRDefault="000D1C8A" w:rsidP="000D1C8A">
            <w:pPr>
              <w:spacing w:before="0" w:after="60"/>
              <w:jc w:val="left"/>
              <w:rPr>
                <w:sz w:val="20"/>
                <w:szCs w:val="20"/>
              </w:rPr>
            </w:pPr>
            <w:r w:rsidRPr="00772C22">
              <w:rPr>
                <w:sz w:val="20"/>
                <w:szCs w:val="20"/>
              </w:rPr>
              <w:t>Experimental medicine</w:t>
            </w:r>
          </w:p>
        </w:tc>
      </w:tr>
      <w:tr w:rsidR="000D1C8A" w:rsidRPr="00DA61DD" w:rsidTr="00772C22">
        <w:tc>
          <w:tcPr>
            <w:tcW w:w="1129" w:type="dxa"/>
          </w:tcPr>
          <w:p w:rsidR="000D1C8A" w:rsidRPr="00772C22" w:rsidRDefault="000D1C8A" w:rsidP="000D1C8A">
            <w:pPr>
              <w:spacing w:before="0" w:after="60"/>
              <w:jc w:val="left"/>
              <w:rPr>
                <w:sz w:val="20"/>
                <w:szCs w:val="20"/>
              </w:rPr>
            </w:pPr>
            <w:r w:rsidRPr="00772C22">
              <w:rPr>
                <w:sz w:val="20"/>
                <w:szCs w:val="20"/>
              </w:rPr>
              <w:t>MICAD</w:t>
            </w:r>
          </w:p>
        </w:tc>
        <w:tc>
          <w:tcPr>
            <w:tcW w:w="3828" w:type="dxa"/>
          </w:tcPr>
          <w:p w:rsidR="000D1C8A" w:rsidRPr="00772C22" w:rsidRDefault="000D1C8A" w:rsidP="000D1C8A">
            <w:pPr>
              <w:spacing w:before="0"/>
              <w:jc w:val="left"/>
              <w:rPr>
                <w:sz w:val="20"/>
                <w:szCs w:val="20"/>
              </w:rPr>
            </w:pPr>
            <w:r w:rsidRPr="00772C22">
              <w:rPr>
                <w:sz w:val="20"/>
                <w:szCs w:val="20"/>
              </w:rPr>
              <w:t xml:space="preserve">A study to </w:t>
            </w:r>
            <w:proofErr w:type="spellStart"/>
            <w:r w:rsidRPr="00772C22">
              <w:rPr>
                <w:sz w:val="20"/>
                <w:szCs w:val="20"/>
              </w:rPr>
              <w:t>characterise</w:t>
            </w:r>
            <w:proofErr w:type="spellEnd"/>
            <w:r w:rsidRPr="00772C22">
              <w:rPr>
                <w:sz w:val="20"/>
                <w:szCs w:val="20"/>
              </w:rPr>
              <w:t xml:space="preserve"> the biomarker effects of the CSF-1 receptor antagonist JNJ-40346527 in participants with mild cognitive impairment</w:t>
            </w:r>
          </w:p>
        </w:tc>
        <w:tc>
          <w:tcPr>
            <w:tcW w:w="1275" w:type="dxa"/>
          </w:tcPr>
          <w:p w:rsidR="000D1C8A" w:rsidRPr="00772C22" w:rsidRDefault="000D1C8A" w:rsidP="000D1C8A">
            <w:pPr>
              <w:spacing w:before="0" w:after="60"/>
              <w:jc w:val="left"/>
              <w:rPr>
                <w:sz w:val="20"/>
                <w:szCs w:val="20"/>
              </w:rPr>
            </w:pPr>
            <w:proofErr w:type="spellStart"/>
            <w:r w:rsidRPr="00772C22">
              <w:rPr>
                <w:sz w:val="20"/>
                <w:szCs w:val="20"/>
              </w:rPr>
              <w:t>Wellcome</w:t>
            </w:r>
            <w:proofErr w:type="spellEnd"/>
            <w:r w:rsidRPr="00772C22">
              <w:rPr>
                <w:sz w:val="20"/>
                <w:szCs w:val="20"/>
              </w:rPr>
              <w:t xml:space="preserve"> and Janssen</w:t>
            </w:r>
          </w:p>
        </w:tc>
        <w:tc>
          <w:tcPr>
            <w:tcW w:w="1560" w:type="dxa"/>
          </w:tcPr>
          <w:p w:rsidR="000D1C8A" w:rsidRPr="00772C22" w:rsidRDefault="000D1C8A" w:rsidP="000D1C8A">
            <w:pPr>
              <w:spacing w:before="0" w:after="60"/>
              <w:jc w:val="left"/>
              <w:rPr>
                <w:sz w:val="20"/>
                <w:szCs w:val="20"/>
              </w:rPr>
            </w:pPr>
            <w:r w:rsidRPr="00772C22">
              <w:rPr>
                <w:sz w:val="20"/>
                <w:szCs w:val="20"/>
              </w:rPr>
              <w:t>Alzheimer’s Disease</w:t>
            </w:r>
          </w:p>
        </w:tc>
        <w:tc>
          <w:tcPr>
            <w:tcW w:w="567" w:type="dxa"/>
          </w:tcPr>
          <w:p w:rsidR="000D1C8A" w:rsidRPr="00772C22" w:rsidRDefault="000D1C8A" w:rsidP="000D1C8A">
            <w:pPr>
              <w:spacing w:before="0" w:after="60"/>
              <w:jc w:val="left"/>
              <w:rPr>
                <w:sz w:val="20"/>
                <w:szCs w:val="20"/>
              </w:rPr>
            </w:pPr>
            <w:r w:rsidRPr="00772C22">
              <w:rPr>
                <w:sz w:val="20"/>
                <w:szCs w:val="20"/>
              </w:rPr>
              <w:t>Yes</w:t>
            </w:r>
          </w:p>
        </w:tc>
        <w:tc>
          <w:tcPr>
            <w:tcW w:w="1417" w:type="dxa"/>
          </w:tcPr>
          <w:p w:rsidR="000D1C8A" w:rsidRPr="00772C22" w:rsidRDefault="000D1C8A" w:rsidP="000D1C8A">
            <w:pPr>
              <w:spacing w:before="0" w:after="60"/>
              <w:jc w:val="left"/>
              <w:rPr>
                <w:sz w:val="20"/>
                <w:szCs w:val="20"/>
              </w:rPr>
            </w:pPr>
            <w:r w:rsidRPr="00772C22">
              <w:rPr>
                <w:sz w:val="20"/>
                <w:szCs w:val="20"/>
              </w:rPr>
              <w:t>Experimental medicine</w:t>
            </w:r>
          </w:p>
        </w:tc>
      </w:tr>
      <w:tr w:rsidR="000D1C8A" w:rsidRPr="00DA61DD" w:rsidTr="00772C22">
        <w:tc>
          <w:tcPr>
            <w:tcW w:w="1129" w:type="dxa"/>
          </w:tcPr>
          <w:p w:rsidR="000D1C8A" w:rsidRPr="00772C22" w:rsidRDefault="000D1C8A" w:rsidP="000D1C8A">
            <w:pPr>
              <w:spacing w:before="0" w:after="60"/>
              <w:jc w:val="left"/>
              <w:rPr>
                <w:sz w:val="20"/>
                <w:szCs w:val="20"/>
              </w:rPr>
            </w:pPr>
            <w:r w:rsidRPr="00772C22">
              <w:rPr>
                <w:sz w:val="20"/>
                <w:szCs w:val="20"/>
              </w:rPr>
              <w:t>PAX-D</w:t>
            </w:r>
          </w:p>
        </w:tc>
        <w:tc>
          <w:tcPr>
            <w:tcW w:w="3828" w:type="dxa"/>
          </w:tcPr>
          <w:p w:rsidR="000D1C8A" w:rsidRPr="00772C22" w:rsidRDefault="000D1C8A" w:rsidP="000D1C8A">
            <w:pPr>
              <w:spacing w:before="0" w:after="60"/>
              <w:jc w:val="left"/>
              <w:rPr>
                <w:sz w:val="20"/>
                <w:szCs w:val="20"/>
              </w:rPr>
            </w:pPr>
            <w:r w:rsidRPr="00772C22">
              <w:rPr>
                <w:sz w:val="20"/>
                <w:szCs w:val="20"/>
              </w:rPr>
              <w:t>A trial evaluating the efficacy and mechanism of pramipexole as add-on treatment for people with treatment resistant depression</w:t>
            </w:r>
          </w:p>
        </w:tc>
        <w:tc>
          <w:tcPr>
            <w:tcW w:w="1275" w:type="dxa"/>
          </w:tcPr>
          <w:p w:rsidR="000D1C8A" w:rsidRPr="00772C22" w:rsidRDefault="000D1C8A" w:rsidP="000D1C8A">
            <w:pPr>
              <w:spacing w:before="0" w:after="60"/>
              <w:jc w:val="left"/>
              <w:rPr>
                <w:sz w:val="20"/>
                <w:szCs w:val="20"/>
              </w:rPr>
            </w:pPr>
            <w:r w:rsidRPr="00772C22">
              <w:rPr>
                <w:sz w:val="20"/>
                <w:szCs w:val="20"/>
              </w:rPr>
              <w:t>NIHR EME</w:t>
            </w:r>
          </w:p>
        </w:tc>
        <w:tc>
          <w:tcPr>
            <w:tcW w:w="1560" w:type="dxa"/>
          </w:tcPr>
          <w:p w:rsidR="000D1C8A" w:rsidRPr="00772C22" w:rsidRDefault="000D1C8A" w:rsidP="000D1C8A">
            <w:pPr>
              <w:spacing w:before="0" w:after="60"/>
              <w:jc w:val="left"/>
              <w:rPr>
                <w:sz w:val="20"/>
                <w:szCs w:val="20"/>
              </w:rPr>
            </w:pPr>
            <w:r w:rsidRPr="00772C22">
              <w:rPr>
                <w:sz w:val="20"/>
                <w:szCs w:val="20"/>
              </w:rPr>
              <w:t>Treatment resistant depression</w:t>
            </w:r>
          </w:p>
          <w:p w:rsidR="000D1C8A" w:rsidRPr="00772C22" w:rsidRDefault="000D1C8A" w:rsidP="000D1C8A">
            <w:pPr>
              <w:spacing w:before="0" w:after="60"/>
              <w:jc w:val="left"/>
              <w:rPr>
                <w:sz w:val="20"/>
                <w:szCs w:val="20"/>
              </w:rPr>
            </w:pPr>
          </w:p>
        </w:tc>
        <w:tc>
          <w:tcPr>
            <w:tcW w:w="567" w:type="dxa"/>
          </w:tcPr>
          <w:p w:rsidR="000D1C8A" w:rsidRPr="00772C22" w:rsidRDefault="000D1C8A" w:rsidP="000D1C8A">
            <w:pPr>
              <w:spacing w:before="0" w:after="60"/>
              <w:jc w:val="left"/>
              <w:rPr>
                <w:sz w:val="20"/>
                <w:szCs w:val="20"/>
              </w:rPr>
            </w:pPr>
            <w:r w:rsidRPr="00772C22">
              <w:rPr>
                <w:sz w:val="20"/>
                <w:szCs w:val="20"/>
              </w:rPr>
              <w:t>Yes</w:t>
            </w:r>
          </w:p>
        </w:tc>
        <w:tc>
          <w:tcPr>
            <w:tcW w:w="1417" w:type="dxa"/>
          </w:tcPr>
          <w:p w:rsidR="000D1C8A" w:rsidRPr="00772C22" w:rsidRDefault="000D1C8A" w:rsidP="000D1C8A">
            <w:pPr>
              <w:spacing w:before="0" w:after="60"/>
              <w:jc w:val="left"/>
              <w:rPr>
                <w:sz w:val="20"/>
                <w:szCs w:val="20"/>
              </w:rPr>
            </w:pPr>
            <w:r w:rsidRPr="00772C22">
              <w:rPr>
                <w:sz w:val="20"/>
                <w:szCs w:val="20"/>
              </w:rPr>
              <w:t>Experimental medicine</w:t>
            </w:r>
          </w:p>
        </w:tc>
      </w:tr>
      <w:tr w:rsidR="000D1C8A" w:rsidRPr="00DA61DD" w:rsidTr="00772C22">
        <w:tc>
          <w:tcPr>
            <w:tcW w:w="1129" w:type="dxa"/>
          </w:tcPr>
          <w:p w:rsidR="000D1C8A" w:rsidRPr="00772C22" w:rsidRDefault="000D1C8A" w:rsidP="000D1C8A">
            <w:pPr>
              <w:spacing w:before="0" w:after="60"/>
              <w:jc w:val="left"/>
              <w:rPr>
                <w:sz w:val="20"/>
                <w:szCs w:val="20"/>
              </w:rPr>
            </w:pPr>
            <w:r w:rsidRPr="00772C22">
              <w:rPr>
                <w:sz w:val="20"/>
                <w:szCs w:val="20"/>
              </w:rPr>
              <w:t>CIAS</w:t>
            </w:r>
          </w:p>
        </w:tc>
        <w:tc>
          <w:tcPr>
            <w:tcW w:w="3828" w:type="dxa"/>
          </w:tcPr>
          <w:p w:rsidR="000D1C8A" w:rsidRPr="00772C22" w:rsidRDefault="000D1C8A" w:rsidP="000D1C8A">
            <w:pPr>
              <w:spacing w:before="0" w:after="60"/>
              <w:jc w:val="left"/>
              <w:rPr>
                <w:sz w:val="20"/>
                <w:szCs w:val="20"/>
              </w:rPr>
            </w:pPr>
            <w:r w:rsidRPr="00772C22">
              <w:rPr>
                <w:sz w:val="20"/>
                <w:szCs w:val="20"/>
              </w:rPr>
              <w:t>A trial to Evaluate the Safety and Efficacy of BIIB104 in Subjects with Cognitive Impairment Associated with Schizophrenia</w:t>
            </w:r>
          </w:p>
        </w:tc>
        <w:tc>
          <w:tcPr>
            <w:tcW w:w="1275" w:type="dxa"/>
          </w:tcPr>
          <w:p w:rsidR="000D1C8A" w:rsidRPr="00772C22" w:rsidRDefault="000D1C8A" w:rsidP="000D1C8A">
            <w:pPr>
              <w:spacing w:before="0" w:after="60"/>
              <w:jc w:val="left"/>
              <w:rPr>
                <w:sz w:val="20"/>
                <w:szCs w:val="20"/>
              </w:rPr>
            </w:pPr>
            <w:r w:rsidRPr="00772C22">
              <w:rPr>
                <w:sz w:val="20"/>
                <w:szCs w:val="20"/>
              </w:rPr>
              <w:t>Biogen Idec</w:t>
            </w:r>
          </w:p>
        </w:tc>
        <w:tc>
          <w:tcPr>
            <w:tcW w:w="1560" w:type="dxa"/>
          </w:tcPr>
          <w:p w:rsidR="000D1C8A" w:rsidRPr="00772C22" w:rsidRDefault="000D1C8A" w:rsidP="000D1C8A">
            <w:pPr>
              <w:spacing w:before="0" w:after="60"/>
              <w:jc w:val="left"/>
              <w:rPr>
                <w:sz w:val="20"/>
                <w:szCs w:val="20"/>
              </w:rPr>
            </w:pPr>
            <w:r w:rsidRPr="00772C22">
              <w:rPr>
                <w:sz w:val="20"/>
                <w:szCs w:val="20"/>
              </w:rPr>
              <w:t>Schizophrenia</w:t>
            </w:r>
          </w:p>
        </w:tc>
        <w:tc>
          <w:tcPr>
            <w:tcW w:w="567" w:type="dxa"/>
          </w:tcPr>
          <w:p w:rsidR="000D1C8A" w:rsidRPr="00772C22" w:rsidRDefault="000D1C8A" w:rsidP="000D1C8A">
            <w:pPr>
              <w:spacing w:before="0" w:after="60"/>
              <w:jc w:val="left"/>
              <w:rPr>
                <w:sz w:val="20"/>
                <w:szCs w:val="20"/>
              </w:rPr>
            </w:pPr>
            <w:r w:rsidRPr="00772C22">
              <w:rPr>
                <w:sz w:val="20"/>
                <w:szCs w:val="20"/>
              </w:rPr>
              <w:t>No</w:t>
            </w:r>
          </w:p>
        </w:tc>
        <w:tc>
          <w:tcPr>
            <w:tcW w:w="1417" w:type="dxa"/>
          </w:tcPr>
          <w:p w:rsidR="000D1C8A" w:rsidRPr="00772C22" w:rsidRDefault="000D1C8A" w:rsidP="000D1C8A">
            <w:pPr>
              <w:spacing w:before="0" w:after="60"/>
              <w:jc w:val="left"/>
              <w:rPr>
                <w:sz w:val="20"/>
                <w:szCs w:val="20"/>
              </w:rPr>
            </w:pPr>
            <w:r w:rsidRPr="00772C22">
              <w:rPr>
                <w:sz w:val="20"/>
                <w:szCs w:val="20"/>
              </w:rPr>
              <w:t>Phase 2</w:t>
            </w:r>
          </w:p>
        </w:tc>
      </w:tr>
    </w:tbl>
    <w:p w:rsidR="000D1C8A" w:rsidRPr="00081C01" w:rsidRDefault="000D1C8A" w:rsidP="00FC2E49">
      <w:pPr>
        <w:pStyle w:val="Heading3"/>
        <w:numPr>
          <w:ilvl w:val="2"/>
          <w:numId w:val="4"/>
        </w:numPr>
      </w:pPr>
      <w:r w:rsidRPr="00081C01">
        <w:t>Other activity</w:t>
      </w:r>
    </w:p>
    <w:p w:rsidR="000D1C8A" w:rsidRPr="00081C01" w:rsidRDefault="000D1C8A" w:rsidP="000D1C8A">
      <w:r w:rsidRPr="00081C01">
        <w:t xml:space="preserve">The CRF hosts two sleep studies which take place overnight and at weekends.  </w:t>
      </w:r>
    </w:p>
    <w:p w:rsidR="000D1C8A" w:rsidRPr="00081C01" w:rsidRDefault="000D1C8A" w:rsidP="000D1C8A">
      <w:r w:rsidRPr="00081C01">
        <w:t xml:space="preserve">It is also now running the following research studies at the Whiteleaf centre in </w:t>
      </w:r>
      <w:proofErr w:type="spellStart"/>
      <w:r w:rsidRPr="00081C01">
        <w:t>Aylesbury</w:t>
      </w:r>
      <w:proofErr w:type="spellEnd"/>
      <w:r w:rsidRPr="00081C01">
        <w:t xml:space="preserve"> which provides greater opportunities </w:t>
      </w:r>
      <w:r>
        <w:t>for</w:t>
      </w:r>
      <w:r w:rsidRPr="00081C01">
        <w:t xml:space="preserve"> staff and patients in Buckinghamshire to get involved in research. </w:t>
      </w:r>
    </w:p>
    <w:tbl>
      <w:tblPr>
        <w:tblStyle w:val="TableGrid"/>
        <w:tblW w:w="9776" w:type="dxa"/>
        <w:tblLayout w:type="fixed"/>
        <w:tblLook w:val="04A0" w:firstRow="1" w:lastRow="0" w:firstColumn="1" w:lastColumn="0" w:noHBand="0" w:noVBand="1"/>
      </w:tblPr>
      <w:tblGrid>
        <w:gridCol w:w="1129"/>
        <w:gridCol w:w="4111"/>
        <w:gridCol w:w="1134"/>
        <w:gridCol w:w="1418"/>
        <w:gridCol w:w="567"/>
        <w:gridCol w:w="1417"/>
      </w:tblGrid>
      <w:tr w:rsidR="000D1C8A" w:rsidRPr="00DA61DD" w:rsidTr="00772C22">
        <w:tc>
          <w:tcPr>
            <w:tcW w:w="1129" w:type="dxa"/>
            <w:shd w:val="clear" w:color="auto" w:fill="D9D9D9" w:themeFill="background1" w:themeFillShade="D9"/>
          </w:tcPr>
          <w:p w:rsidR="000D1C8A" w:rsidRPr="00772C22" w:rsidRDefault="000D1C8A" w:rsidP="000D1C8A">
            <w:pPr>
              <w:rPr>
                <w:b/>
                <w:sz w:val="20"/>
                <w:szCs w:val="20"/>
              </w:rPr>
            </w:pPr>
            <w:r w:rsidRPr="00772C22">
              <w:rPr>
                <w:b/>
                <w:sz w:val="20"/>
                <w:szCs w:val="20"/>
              </w:rPr>
              <w:t>Study</w:t>
            </w:r>
          </w:p>
        </w:tc>
        <w:tc>
          <w:tcPr>
            <w:tcW w:w="4111" w:type="dxa"/>
            <w:shd w:val="clear" w:color="auto" w:fill="D9D9D9" w:themeFill="background1" w:themeFillShade="D9"/>
          </w:tcPr>
          <w:p w:rsidR="000D1C8A" w:rsidRPr="00772C22" w:rsidRDefault="000D1C8A" w:rsidP="000D1C8A">
            <w:pPr>
              <w:rPr>
                <w:b/>
                <w:sz w:val="20"/>
                <w:szCs w:val="20"/>
              </w:rPr>
            </w:pPr>
            <w:r w:rsidRPr="00772C22">
              <w:rPr>
                <w:b/>
                <w:sz w:val="20"/>
                <w:szCs w:val="20"/>
              </w:rPr>
              <w:t>Full name</w:t>
            </w:r>
          </w:p>
        </w:tc>
        <w:tc>
          <w:tcPr>
            <w:tcW w:w="1134" w:type="dxa"/>
            <w:shd w:val="clear" w:color="auto" w:fill="D9D9D9" w:themeFill="background1" w:themeFillShade="D9"/>
          </w:tcPr>
          <w:p w:rsidR="000D1C8A" w:rsidRPr="00772C22" w:rsidRDefault="000D1C8A" w:rsidP="000D1C8A">
            <w:pPr>
              <w:rPr>
                <w:b/>
                <w:sz w:val="20"/>
                <w:szCs w:val="20"/>
              </w:rPr>
            </w:pPr>
            <w:r w:rsidRPr="00772C22">
              <w:rPr>
                <w:b/>
                <w:sz w:val="20"/>
                <w:szCs w:val="20"/>
              </w:rPr>
              <w:t>Funding</w:t>
            </w:r>
          </w:p>
        </w:tc>
        <w:tc>
          <w:tcPr>
            <w:tcW w:w="1418" w:type="dxa"/>
            <w:shd w:val="clear" w:color="auto" w:fill="D9D9D9" w:themeFill="background1" w:themeFillShade="D9"/>
          </w:tcPr>
          <w:p w:rsidR="000D1C8A" w:rsidRPr="00772C22" w:rsidRDefault="000D1C8A" w:rsidP="000D1C8A">
            <w:pPr>
              <w:rPr>
                <w:b/>
                <w:sz w:val="20"/>
                <w:szCs w:val="20"/>
              </w:rPr>
            </w:pPr>
            <w:r w:rsidRPr="00772C22">
              <w:rPr>
                <w:b/>
                <w:sz w:val="20"/>
                <w:szCs w:val="20"/>
              </w:rPr>
              <w:t>Disease area</w:t>
            </w:r>
          </w:p>
        </w:tc>
        <w:tc>
          <w:tcPr>
            <w:tcW w:w="567" w:type="dxa"/>
            <w:shd w:val="clear" w:color="auto" w:fill="D9D9D9" w:themeFill="background1" w:themeFillShade="D9"/>
          </w:tcPr>
          <w:p w:rsidR="000D1C8A" w:rsidRPr="00772C22" w:rsidRDefault="000D1C8A" w:rsidP="000D1C8A">
            <w:pPr>
              <w:rPr>
                <w:b/>
                <w:sz w:val="20"/>
                <w:szCs w:val="20"/>
              </w:rPr>
            </w:pPr>
            <w:r w:rsidRPr="00772C22">
              <w:rPr>
                <w:b/>
                <w:sz w:val="20"/>
                <w:szCs w:val="20"/>
              </w:rPr>
              <w:t>BRC</w:t>
            </w:r>
          </w:p>
        </w:tc>
        <w:tc>
          <w:tcPr>
            <w:tcW w:w="1417" w:type="dxa"/>
            <w:shd w:val="clear" w:color="auto" w:fill="D9D9D9" w:themeFill="background1" w:themeFillShade="D9"/>
          </w:tcPr>
          <w:p w:rsidR="000D1C8A" w:rsidRPr="00772C22" w:rsidRDefault="000D1C8A" w:rsidP="000D1C8A">
            <w:pPr>
              <w:rPr>
                <w:b/>
                <w:sz w:val="20"/>
                <w:szCs w:val="20"/>
              </w:rPr>
            </w:pPr>
            <w:r w:rsidRPr="00772C22">
              <w:rPr>
                <w:b/>
                <w:sz w:val="20"/>
                <w:szCs w:val="20"/>
              </w:rPr>
              <w:t>Phase</w:t>
            </w:r>
          </w:p>
        </w:tc>
      </w:tr>
      <w:tr w:rsidR="000D1C8A" w:rsidRPr="00DA61DD" w:rsidTr="00772C22">
        <w:tc>
          <w:tcPr>
            <w:tcW w:w="1129" w:type="dxa"/>
          </w:tcPr>
          <w:p w:rsidR="000D1C8A" w:rsidRPr="00772C22" w:rsidRDefault="000D1C8A" w:rsidP="000D1C8A">
            <w:pPr>
              <w:spacing w:before="0" w:after="60"/>
              <w:jc w:val="left"/>
              <w:rPr>
                <w:sz w:val="20"/>
                <w:szCs w:val="20"/>
              </w:rPr>
            </w:pPr>
            <w:r w:rsidRPr="00772C22">
              <w:rPr>
                <w:sz w:val="20"/>
                <w:szCs w:val="20"/>
              </w:rPr>
              <w:lastRenderedPageBreak/>
              <w:t>Mission AD</w:t>
            </w:r>
          </w:p>
        </w:tc>
        <w:tc>
          <w:tcPr>
            <w:tcW w:w="4111" w:type="dxa"/>
          </w:tcPr>
          <w:p w:rsidR="000D1C8A" w:rsidRPr="00772C22" w:rsidRDefault="000D1C8A" w:rsidP="000D1C8A">
            <w:pPr>
              <w:spacing w:before="0" w:after="60"/>
              <w:jc w:val="left"/>
              <w:rPr>
                <w:sz w:val="20"/>
                <w:szCs w:val="20"/>
              </w:rPr>
            </w:pPr>
            <w:r w:rsidRPr="00772C22">
              <w:rPr>
                <w:sz w:val="20"/>
                <w:szCs w:val="20"/>
              </w:rPr>
              <w:t>A 24-Month Study to Evaluate the Efficacy and Safety of E2609 in Subjects with Early Alzheimer’s Disease</w:t>
            </w:r>
          </w:p>
        </w:tc>
        <w:tc>
          <w:tcPr>
            <w:tcW w:w="1134" w:type="dxa"/>
          </w:tcPr>
          <w:p w:rsidR="000D1C8A" w:rsidRPr="00772C22" w:rsidRDefault="000D1C8A" w:rsidP="000D1C8A">
            <w:pPr>
              <w:spacing w:before="0" w:after="60"/>
              <w:jc w:val="left"/>
              <w:rPr>
                <w:sz w:val="20"/>
                <w:szCs w:val="20"/>
              </w:rPr>
            </w:pPr>
            <w:r w:rsidRPr="00772C22">
              <w:rPr>
                <w:sz w:val="20"/>
                <w:szCs w:val="20"/>
              </w:rPr>
              <w:t>Eisai Ltd</w:t>
            </w:r>
          </w:p>
        </w:tc>
        <w:tc>
          <w:tcPr>
            <w:tcW w:w="1418" w:type="dxa"/>
          </w:tcPr>
          <w:p w:rsidR="000D1C8A" w:rsidRPr="00772C22" w:rsidRDefault="000D1C8A" w:rsidP="000D1C8A">
            <w:pPr>
              <w:spacing w:before="0" w:after="60"/>
              <w:jc w:val="left"/>
              <w:rPr>
                <w:sz w:val="20"/>
                <w:szCs w:val="20"/>
              </w:rPr>
            </w:pPr>
            <w:r w:rsidRPr="00772C22">
              <w:rPr>
                <w:sz w:val="20"/>
                <w:szCs w:val="20"/>
              </w:rPr>
              <w:t>Alzheimer’s dementia</w:t>
            </w:r>
          </w:p>
        </w:tc>
        <w:tc>
          <w:tcPr>
            <w:tcW w:w="567" w:type="dxa"/>
          </w:tcPr>
          <w:p w:rsidR="000D1C8A" w:rsidRPr="00772C22" w:rsidRDefault="000D1C8A" w:rsidP="000D1C8A">
            <w:pPr>
              <w:spacing w:before="0" w:after="60"/>
              <w:jc w:val="left"/>
              <w:rPr>
                <w:sz w:val="20"/>
                <w:szCs w:val="20"/>
              </w:rPr>
            </w:pPr>
            <w:r w:rsidRPr="00772C22">
              <w:rPr>
                <w:sz w:val="20"/>
                <w:szCs w:val="20"/>
              </w:rPr>
              <w:t>No</w:t>
            </w:r>
          </w:p>
        </w:tc>
        <w:tc>
          <w:tcPr>
            <w:tcW w:w="1417" w:type="dxa"/>
          </w:tcPr>
          <w:p w:rsidR="000D1C8A" w:rsidRPr="00772C22" w:rsidRDefault="000D1C8A" w:rsidP="000D1C8A">
            <w:pPr>
              <w:spacing w:before="0" w:after="60"/>
              <w:jc w:val="left"/>
              <w:rPr>
                <w:sz w:val="20"/>
                <w:szCs w:val="20"/>
              </w:rPr>
            </w:pPr>
            <w:r w:rsidRPr="00772C22">
              <w:rPr>
                <w:sz w:val="20"/>
                <w:szCs w:val="20"/>
              </w:rPr>
              <w:t>Phase 3</w:t>
            </w:r>
          </w:p>
        </w:tc>
      </w:tr>
      <w:tr w:rsidR="000D1C8A" w:rsidRPr="00DA61DD" w:rsidTr="00772C22">
        <w:tc>
          <w:tcPr>
            <w:tcW w:w="1129" w:type="dxa"/>
          </w:tcPr>
          <w:p w:rsidR="000D1C8A" w:rsidRPr="00772C22" w:rsidRDefault="000D1C8A" w:rsidP="000D1C8A">
            <w:pPr>
              <w:spacing w:before="0" w:after="60"/>
              <w:jc w:val="left"/>
              <w:rPr>
                <w:color w:val="FF0000"/>
                <w:sz w:val="20"/>
                <w:szCs w:val="20"/>
              </w:rPr>
            </w:pPr>
            <w:r w:rsidRPr="00772C22">
              <w:rPr>
                <w:sz w:val="20"/>
                <w:szCs w:val="20"/>
              </w:rPr>
              <w:t>Alkermes</w:t>
            </w:r>
          </w:p>
        </w:tc>
        <w:tc>
          <w:tcPr>
            <w:tcW w:w="4111" w:type="dxa"/>
          </w:tcPr>
          <w:p w:rsidR="000D1C8A" w:rsidRPr="00772C22" w:rsidRDefault="000D1C8A" w:rsidP="000D1C8A">
            <w:pPr>
              <w:spacing w:before="0" w:after="60"/>
              <w:jc w:val="left"/>
              <w:rPr>
                <w:color w:val="FF0000"/>
                <w:sz w:val="20"/>
                <w:szCs w:val="20"/>
              </w:rPr>
            </w:pPr>
            <w:r w:rsidRPr="00772C22">
              <w:rPr>
                <w:sz w:val="20"/>
                <w:szCs w:val="20"/>
              </w:rPr>
              <w:t>A trial to Evaluate the Effect of ALKS 3831 Compared to Olanzapine on Body Weight in Young Adults with Schizophrenia, Schizophreniform, or Bipolar I Disorder Who are Early in Their Illness</w:t>
            </w:r>
          </w:p>
        </w:tc>
        <w:tc>
          <w:tcPr>
            <w:tcW w:w="1134" w:type="dxa"/>
          </w:tcPr>
          <w:p w:rsidR="000D1C8A" w:rsidRPr="00772C22" w:rsidRDefault="000D1C8A" w:rsidP="000D1C8A">
            <w:pPr>
              <w:spacing w:before="0" w:after="60"/>
              <w:jc w:val="left"/>
              <w:rPr>
                <w:sz w:val="20"/>
                <w:szCs w:val="20"/>
              </w:rPr>
            </w:pPr>
            <w:r w:rsidRPr="00772C22">
              <w:rPr>
                <w:sz w:val="20"/>
                <w:szCs w:val="20"/>
              </w:rPr>
              <w:t>Alkermes</w:t>
            </w:r>
          </w:p>
          <w:p w:rsidR="000D1C8A" w:rsidRPr="00772C22" w:rsidRDefault="000D1C8A" w:rsidP="000D1C8A">
            <w:pPr>
              <w:spacing w:before="0" w:after="60"/>
              <w:jc w:val="left"/>
              <w:rPr>
                <w:color w:val="FF0000"/>
                <w:sz w:val="20"/>
                <w:szCs w:val="20"/>
              </w:rPr>
            </w:pPr>
          </w:p>
        </w:tc>
        <w:tc>
          <w:tcPr>
            <w:tcW w:w="1418" w:type="dxa"/>
          </w:tcPr>
          <w:p w:rsidR="000D1C8A" w:rsidRPr="00772C22" w:rsidRDefault="000D1C8A" w:rsidP="000D1C8A">
            <w:pPr>
              <w:spacing w:before="0" w:after="60"/>
              <w:jc w:val="left"/>
              <w:rPr>
                <w:sz w:val="20"/>
                <w:szCs w:val="20"/>
              </w:rPr>
            </w:pPr>
            <w:r w:rsidRPr="00772C22">
              <w:rPr>
                <w:sz w:val="20"/>
                <w:szCs w:val="20"/>
              </w:rPr>
              <w:t xml:space="preserve">Schizophrenia, Schizophreniform and Bipolar I </w:t>
            </w:r>
          </w:p>
          <w:p w:rsidR="000D1C8A" w:rsidRPr="00772C22" w:rsidRDefault="000D1C8A" w:rsidP="000D1C8A">
            <w:pPr>
              <w:spacing w:before="0" w:after="60"/>
              <w:jc w:val="left"/>
              <w:rPr>
                <w:sz w:val="20"/>
                <w:szCs w:val="20"/>
              </w:rPr>
            </w:pPr>
            <w:r w:rsidRPr="00772C22">
              <w:rPr>
                <w:sz w:val="20"/>
                <w:szCs w:val="20"/>
              </w:rPr>
              <w:t xml:space="preserve"> </w:t>
            </w:r>
          </w:p>
          <w:p w:rsidR="000D1C8A" w:rsidRPr="00772C22" w:rsidRDefault="000D1C8A" w:rsidP="000D1C8A">
            <w:pPr>
              <w:spacing w:before="0" w:after="60"/>
              <w:jc w:val="left"/>
              <w:rPr>
                <w:color w:val="FF0000"/>
                <w:sz w:val="20"/>
                <w:szCs w:val="20"/>
              </w:rPr>
            </w:pPr>
          </w:p>
        </w:tc>
        <w:tc>
          <w:tcPr>
            <w:tcW w:w="567" w:type="dxa"/>
          </w:tcPr>
          <w:p w:rsidR="000D1C8A" w:rsidRPr="00772C22" w:rsidRDefault="000D1C8A" w:rsidP="000D1C8A">
            <w:pPr>
              <w:spacing w:before="0" w:after="60"/>
              <w:jc w:val="left"/>
              <w:rPr>
                <w:color w:val="FF0000"/>
                <w:sz w:val="20"/>
                <w:szCs w:val="20"/>
              </w:rPr>
            </w:pPr>
            <w:r w:rsidRPr="00772C22">
              <w:rPr>
                <w:sz w:val="20"/>
                <w:szCs w:val="20"/>
              </w:rPr>
              <w:t>No</w:t>
            </w:r>
          </w:p>
        </w:tc>
        <w:tc>
          <w:tcPr>
            <w:tcW w:w="1417" w:type="dxa"/>
          </w:tcPr>
          <w:p w:rsidR="000D1C8A" w:rsidRPr="00772C22" w:rsidRDefault="000D1C8A" w:rsidP="000D1C8A">
            <w:pPr>
              <w:spacing w:before="0" w:after="60"/>
              <w:jc w:val="left"/>
              <w:rPr>
                <w:sz w:val="20"/>
                <w:szCs w:val="20"/>
              </w:rPr>
            </w:pPr>
            <w:r w:rsidRPr="00772C22">
              <w:rPr>
                <w:sz w:val="20"/>
                <w:szCs w:val="20"/>
              </w:rPr>
              <w:t>Phase 3</w:t>
            </w:r>
          </w:p>
          <w:p w:rsidR="000D1C8A" w:rsidRPr="00772C22" w:rsidRDefault="000D1C8A" w:rsidP="000D1C8A">
            <w:pPr>
              <w:spacing w:before="0" w:after="60"/>
              <w:jc w:val="left"/>
              <w:rPr>
                <w:color w:val="FF0000"/>
                <w:sz w:val="20"/>
                <w:szCs w:val="20"/>
              </w:rPr>
            </w:pPr>
          </w:p>
        </w:tc>
      </w:tr>
      <w:tr w:rsidR="000D1C8A" w:rsidRPr="00DA61DD" w:rsidTr="00772C22">
        <w:tc>
          <w:tcPr>
            <w:tcW w:w="1129" w:type="dxa"/>
          </w:tcPr>
          <w:p w:rsidR="000D1C8A" w:rsidRPr="00772C22" w:rsidRDefault="000D1C8A" w:rsidP="000D1C8A">
            <w:pPr>
              <w:spacing w:before="0" w:after="60"/>
              <w:jc w:val="left"/>
              <w:rPr>
                <w:sz w:val="20"/>
                <w:szCs w:val="20"/>
              </w:rPr>
            </w:pPr>
            <w:r w:rsidRPr="00772C22">
              <w:rPr>
                <w:sz w:val="20"/>
                <w:szCs w:val="20"/>
              </w:rPr>
              <w:t>BI-</w:t>
            </w:r>
            <w:proofErr w:type="spellStart"/>
            <w:r w:rsidRPr="00772C22">
              <w:rPr>
                <w:sz w:val="20"/>
                <w:szCs w:val="20"/>
              </w:rPr>
              <w:t>Cact</w:t>
            </w:r>
            <w:proofErr w:type="spellEnd"/>
          </w:p>
        </w:tc>
        <w:tc>
          <w:tcPr>
            <w:tcW w:w="4111" w:type="dxa"/>
          </w:tcPr>
          <w:p w:rsidR="000D1C8A" w:rsidRPr="00772C22" w:rsidRDefault="000D1C8A" w:rsidP="000D1C8A">
            <w:pPr>
              <w:spacing w:before="0" w:after="60"/>
              <w:jc w:val="left"/>
              <w:rPr>
                <w:sz w:val="20"/>
                <w:szCs w:val="20"/>
              </w:rPr>
            </w:pPr>
            <w:r w:rsidRPr="00772C22">
              <w:rPr>
                <w:sz w:val="20"/>
                <w:szCs w:val="20"/>
              </w:rPr>
              <w:t>A trial to examine the efficacy and safety of BI 425809 with adjunctive Computerized Cognitive Training treatment period in patients with schizophrenia</w:t>
            </w:r>
          </w:p>
        </w:tc>
        <w:tc>
          <w:tcPr>
            <w:tcW w:w="1134" w:type="dxa"/>
          </w:tcPr>
          <w:p w:rsidR="000D1C8A" w:rsidRPr="00772C22" w:rsidRDefault="000D1C8A" w:rsidP="000D1C8A">
            <w:pPr>
              <w:spacing w:before="0" w:after="60"/>
              <w:jc w:val="left"/>
              <w:rPr>
                <w:sz w:val="20"/>
                <w:szCs w:val="20"/>
              </w:rPr>
            </w:pPr>
            <w:r w:rsidRPr="00772C22">
              <w:rPr>
                <w:sz w:val="20"/>
                <w:szCs w:val="20"/>
              </w:rPr>
              <w:t>Boehringer Ingelheim</w:t>
            </w:r>
          </w:p>
          <w:p w:rsidR="000D1C8A" w:rsidRPr="00772C22" w:rsidRDefault="000D1C8A" w:rsidP="000D1C8A">
            <w:pPr>
              <w:spacing w:before="0" w:after="60"/>
              <w:jc w:val="left"/>
              <w:rPr>
                <w:sz w:val="20"/>
                <w:szCs w:val="20"/>
              </w:rPr>
            </w:pPr>
          </w:p>
        </w:tc>
        <w:tc>
          <w:tcPr>
            <w:tcW w:w="1418" w:type="dxa"/>
          </w:tcPr>
          <w:p w:rsidR="000D1C8A" w:rsidRPr="00772C22" w:rsidRDefault="000D1C8A" w:rsidP="000D1C8A">
            <w:pPr>
              <w:spacing w:before="0" w:after="60"/>
              <w:jc w:val="left"/>
              <w:rPr>
                <w:sz w:val="20"/>
                <w:szCs w:val="20"/>
              </w:rPr>
            </w:pPr>
            <w:r w:rsidRPr="00772C22">
              <w:rPr>
                <w:sz w:val="20"/>
                <w:szCs w:val="20"/>
              </w:rPr>
              <w:t xml:space="preserve">Schizophrenia </w:t>
            </w:r>
          </w:p>
          <w:p w:rsidR="000D1C8A" w:rsidRPr="00772C22" w:rsidRDefault="000D1C8A" w:rsidP="000D1C8A">
            <w:pPr>
              <w:spacing w:before="0" w:after="60"/>
              <w:jc w:val="left"/>
              <w:rPr>
                <w:sz w:val="20"/>
                <w:szCs w:val="20"/>
              </w:rPr>
            </w:pPr>
          </w:p>
        </w:tc>
        <w:tc>
          <w:tcPr>
            <w:tcW w:w="567" w:type="dxa"/>
          </w:tcPr>
          <w:p w:rsidR="000D1C8A" w:rsidRPr="00772C22" w:rsidRDefault="000D1C8A" w:rsidP="000D1C8A">
            <w:pPr>
              <w:spacing w:before="0" w:after="60"/>
              <w:jc w:val="left"/>
              <w:rPr>
                <w:sz w:val="20"/>
                <w:szCs w:val="20"/>
              </w:rPr>
            </w:pPr>
            <w:r w:rsidRPr="00772C22">
              <w:rPr>
                <w:sz w:val="20"/>
                <w:szCs w:val="20"/>
              </w:rPr>
              <w:t>No</w:t>
            </w:r>
          </w:p>
        </w:tc>
        <w:tc>
          <w:tcPr>
            <w:tcW w:w="1417" w:type="dxa"/>
          </w:tcPr>
          <w:p w:rsidR="000D1C8A" w:rsidRPr="00772C22" w:rsidRDefault="000D1C8A" w:rsidP="000D1C8A">
            <w:pPr>
              <w:spacing w:before="0" w:after="60"/>
              <w:jc w:val="left"/>
              <w:rPr>
                <w:sz w:val="20"/>
                <w:szCs w:val="20"/>
              </w:rPr>
            </w:pPr>
            <w:r w:rsidRPr="00772C22">
              <w:rPr>
                <w:sz w:val="20"/>
                <w:szCs w:val="20"/>
              </w:rPr>
              <w:t>Experimental medicine / Phase 2</w:t>
            </w:r>
          </w:p>
        </w:tc>
      </w:tr>
    </w:tbl>
    <w:p w:rsidR="000D1C8A" w:rsidRPr="0003296F" w:rsidRDefault="000D1C8A" w:rsidP="00FC2E49">
      <w:pPr>
        <w:pStyle w:val="Heading3"/>
        <w:numPr>
          <w:ilvl w:val="2"/>
          <w:numId w:val="4"/>
        </w:numPr>
      </w:pPr>
      <w:r w:rsidRPr="0003296F">
        <w:t>Occupancy</w:t>
      </w:r>
    </w:p>
    <w:p w:rsidR="000D1C8A" w:rsidRPr="0003296F" w:rsidRDefault="000D1C8A" w:rsidP="000D1C8A">
      <w:r w:rsidRPr="0003296F">
        <w:t>The last six months</w:t>
      </w:r>
      <w:r>
        <w:t xml:space="preserve"> (Sep19-Mar20)</w:t>
      </w:r>
      <w:r w:rsidRPr="0003296F">
        <w:t xml:space="preserve"> occupancy at the Warneford was 56% (with previous six months at 61%).  The current lower occupancy is a result of staff recruitment difficulties and studies not having started as expected.  There are several studies in the pipeline due to start next financial year.</w:t>
      </w:r>
    </w:p>
    <w:p w:rsidR="000D1C8A" w:rsidRDefault="000D1C8A" w:rsidP="000D1C8A">
      <w:r w:rsidRPr="0003296F">
        <w:t>Occupancy at the OHCRF is reviewed and planned each month to ensure best use of available resources</w:t>
      </w:r>
      <w:r>
        <w:t>.</w:t>
      </w:r>
    </w:p>
    <w:p w:rsidR="000D1C8A" w:rsidRPr="00E653C2" w:rsidRDefault="000D1C8A" w:rsidP="00FC2E49">
      <w:pPr>
        <w:pStyle w:val="Heading3"/>
        <w:numPr>
          <w:ilvl w:val="2"/>
          <w:numId w:val="4"/>
        </w:numPr>
      </w:pPr>
      <w:r w:rsidRPr="00E653C2">
        <w:t xml:space="preserve">CRF strategy </w:t>
      </w:r>
    </w:p>
    <w:p w:rsidR="000D1C8A" w:rsidRPr="00E653C2" w:rsidRDefault="000D1C8A" w:rsidP="000D1C8A">
      <w:r w:rsidRPr="00E653C2">
        <w:t>The current award of £3.7m (Apr17–Mar22) included funding to develop CRF activity at OUH but an appropriate location has not been identified, therefore funding has been reallocated to the Acute Vascular Imaging Centre (AVIC) at the JR.</w:t>
      </w:r>
    </w:p>
    <w:p w:rsidR="000D1C8A" w:rsidRPr="00E653C2" w:rsidRDefault="000D1C8A" w:rsidP="000D1C8A">
      <w:r w:rsidRPr="00E653C2">
        <w:t>Professor John Geddes initiated the set-up of the CRF in 2011, led the two successful NIHR funding applications and has provided leadership as the CRF Director since 2012. Professor Geddes has now stepped down from this role and Professor Andrea Cipriani has been appointed as the new CRF Director.</w:t>
      </w:r>
    </w:p>
    <w:p w:rsidR="000D1C8A" w:rsidRDefault="000D1C8A" w:rsidP="000D1C8A">
      <w:r w:rsidRPr="00E653C2">
        <w:t>Professor Cipriani</w:t>
      </w:r>
      <w:r>
        <w:t>, along with other team members,</w:t>
      </w:r>
      <w:r w:rsidRPr="00E653C2">
        <w:t xml:space="preserve"> is in the process of reviewing the management and staffing structure of the unit. A mid-term review has been planned and will take place in the beginning of March 2020. A refreshed strategy will be developed by Prof Cipriani and the CRF management team, which will set the direction of travel for the final two and half years of the current award and the renewal.</w:t>
      </w:r>
    </w:p>
    <w:p w:rsidR="000D1C8A" w:rsidRPr="00F701F1" w:rsidRDefault="000D1C8A" w:rsidP="00FC2E49">
      <w:pPr>
        <w:pStyle w:val="Heading3"/>
        <w:numPr>
          <w:ilvl w:val="2"/>
          <w:numId w:val="4"/>
        </w:numPr>
      </w:pPr>
      <w:r w:rsidRPr="00F701F1">
        <w:t xml:space="preserve">CRF contracting </w:t>
      </w:r>
    </w:p>
    <w:p w:rsidR="000D1C8A" w:rsidRPr="00F701F1" w:rsidRDefault="000D1C8A" w:rsidP="000D1C8A">
      <w:r>
        <w:t>A</w:t>
      </w:r>
      <w:r w:rsidRPr="00F701F1">
        <w:t xml:space="preserve">t the time of the first application the CRF contract </w:t>
      </w:r>
      <w:r>
        <w:t>was</w:t>
      </w:r>
      <w:r w:rsidRPr="00F701F1">
        <w:t xml:space="preserve"> between the NIHR and Oxford University Hospitals (OUH) with Oxford Health managing the award. Following agreement between OUH and OH approval </w:t>
      </w:r>
      <w:r>
        <w:t>has been sought and agreed</w:t>
      </w:r>
      <w:r w:rsidRPr="00F701F1">
        <w:t xml:space="preserve"> from the NIHR to move the contact from OUH to OH. This is expected to happen as from 1</w:t>
      </w:r>
      <w:r w:rsidRPr="00F701F1">
        <w:rPr>
          <w:vertAlign w:val="superscript"/>
        </w:rPr>
        <w:t>st</w:t>
      </w:r>
      <w:r w:rsidRPr="00F701F1">
        <w:t xml:space="preserve"> March. </w:t>
      </w:r>
    </w:p>
    <w:p w:rsidR="00302A8E" w:rsidRPr="00D65781" w:rsidRDefault="00302A8E" w:rsidP="00302A8E">
      <w:pPr>
        <w:pStyle w:val="Heading2"/>
      </w:pPr>
      <w:bookmarkStart w:id="25" w:name="_Toc34407418"/>
      <w:bookmarkStart w:id="26" w:name="_Hlk31284930"/>
      <w:bookmarkEnd w:id="24"/>
      <w:bookmarkEnd w:id="22"/>
      <w:r w:rsidRPr="00D65781">
        <w:t>NIHR Collaboration in Leadership in Applied Health Research and Care (CLAHRC)</w:t>
      </w:r>
      <w:bookmarkEnd w:id="25"/>
    </w:p>
    <w:p w:rsidR="003A6C81" w:rsidRPr="00D65781" w:rsidRDefault="003A6C81" w:rsidP="003A6C81">
      <w:r w:rsidRPr="00D65781">
        <w:t>In its comments on the CLAHRC report to March 2019 indicated NIHR:</w:t>
      </w:r>
    </w:p>
    <w:p w:rsidR="003A6C81" w:rsidRPr="00D65781" w:rsidRDefault="003A6C81" w:rsidP="0017480B">
      <w:pPr>
        <w:pStyle w:val="ListParagraph"/>
        <w:numPr>
          <w:ilvl w:val="0"/>
          <w:numId w:val="24"/>
        </w:numPr>
        <w:spacing w:before="0" w:after="0"/>
        <w:ind w:left="428"/>
      </w:pPr>
      <w:r w:rsidRPr="00D65781">
        <w:t>Satisfaction with the achievements overall</w:t>
      </w:r>
    </w:p>
    <w:p w:rsidR="003A6C81" w:rsidRPr="00D65781" w:rsidRDefault="003A6C81" w:rsidP="0017480B">
      <w:pPr>
        <w:pStyle w:val="ListParagraph"/>
        <w:numPr>
          <w:ilvl w:val="0"/>
          <w:numId w:val="24"/>
        </w:numPr>
        <w:spacing w:before="0" w:after="0"/>
        <w:ind w:left="428"/>
      </w:pPr>
      <w:r w:rsidRPr="00D65781">
        <w:t xml:space="preserve">Clarity of reporting and evidence of response to previous feedback </w:t>
      </w:r>
      <w:proofErr w:type="spellStart"/>
      <w:r w:rsidRPr="00D65781">
        <w:t>eg</w:t>
      </w:r>
      <w:proofErr w:type="spellEnd"/>
      <w:r w:rsidRPr="00D65781">
        <w:t xml:space="preserve"> improved effort to engage with industry</w:t>
      </w:r>
    </w:p>
    <w:p w:rsidR="003A6C81" w:rsidRPr="00D65781" w:rsidRDefault="003A6C81" w:rsidP="0017480B">
      <w:pPr>
        <w:pStyle w:val="ListParagraph"/>
        <w:numPr>
          <w:ilvl w:val="0"/>
          <w:numId w:val="24"/>
        </w:numPr>
        <w:spacing w:before="0" w:after="0"/>
        <w:ind w:left="428"/>
      </w:pPr>
      <w:r w:rsidRPr="00D65781">
        <w:t xml:space="preserve">Effectiveness of continued work such as </w:t>
      </w:r>
      <w:proofErr w:type="spellStart"/>
      <w:r w:rsidRPr="00D65781">
        <w:t>iBEST</w:t>
      </w:r>
      <w:proofErr w:type="spellEnd"/>
      <w:r w:rsidRPr="00D65781">
        <w:t xml:space="preserve">, </w:t>
      </w:r>
      <w:proofErr w:type="spellStart"/>
      <w:r w:rsidRPr="00D65781">
        <w:t>OPTiMSE</w:t>
      </w:r>
      <w:proofErr w:type="spellEnd"/>
      <w:r w:rsidRPr="00D65781">
        <w:t xml:space="preserve">, DROPLET and </w:t>
      </w:r>
      <w:proofErr w:type="spellStart"/>
      <w:r w:rsidRPr="00D65781">
        <w:t>iSAM</w:t>
      </w:r>
      <w:proofErr w:type="spellEnd"/>
    </w:p>
    <w:p w:rsidR="003A6C81" w:rsidRPr="00D65781" w:rsidRDefault="003A6C81" w:rsidP="0017480B">
      <w:pPr>
        <w:pStyle w:val="ListParagraph"/>
        <w:numPr>
          <w:ilvl w:val="0"/>
          <w:numId w:val="24"/>
        </w:numPr>
        <w:spacing w:before="0" w:after="0"/>
        <w:ind w:left="428"/>
      </w:pPr>
      <w:r w:rsidRPr="00D65781">
        <w:t>Links with other NIHR infrastructure</w:t>
      </w:r>
    </w:p>
    <w:p w:rsidR="003A6C81" w:rsidRPr="00D65781" w:rsidRDefault="003A6C81" w:rsidP="0017480B">
      <w:pPr>
        <w:pStyle w:val="ListParagraph"/>
        <w:numPr>
          <w:ilvl w:val="0"/>
          <w:numId w:val="24"/>
        </w:numPr>
        <w:spacing w:before="0" w:after="0"/>
        <w:ind w:left="428"/>
      </w:pPr>
      <w:r w:rsidRPr="00D65781">
        <w:t>PPIE embedding and focus on new UK Standards for Public Involvement to support and drive improvement</w:t>
      </w:r>
    </w:p>
    <w:p w:rsidR="003A6C81" w:rsidRDefault="003A6C81" w:rsidP="003A6C81">
      <w:pPr>
        <w:rPr>
          <w:color w:val="FF0000"/>
        </w:rPr>
      </w:pPr>
      <w:r w:rsidRPr="00D65781">
        <w:lastRenderedPageBreak/>
        <w:t>The signed final report for the CLAHRC will be submitted by 10 March 2020</w:t>
      </w:r>
      <w:r>
        <w:rPr>
          <w:color w:val="FF0000"/>
        </w:rPr>
        <w:t>.</w:t>
      </w:r>
    </w:p>
    <w:p w:rsidR="00F7536C" w:rsidRDefault="00F7536C" w:rsidP="00146EC8">
      <w:pPr>
        <w:pStyle w:val="Heading2"/>
      </w:pPr>
      <w:bookmarkStart w:id="27" w:name="_Toc34407419"/>
      <w:r w:rsidRPr="00A454EA">
        <w:t>NIHR Applied Research Collaboration Oxford and Thames Valley (</w:t>
      </w:r>
      <w:proofErr w:type="spellStart"/>
      <w:r w:rsidRPr="00A454EA">
        <w:t>O</w:t>
      </w:r>
      <w:r w:rsidR="00A454EA">
        <w:t>xTV</w:t>
      </w:r>
      <w:proofErr w:type="spellEnd"/>
      <w:r w:rsidRPr="00A454EA">
        <w:t>)</w:t>
      </w:r>
      <w:bookmarkEnd w:id="27"/>
    </w:p>
    <w:p w:rsidR="00A454EA" w:rsidRPr="00A454EA" w:rsidRDefault="00A454EA" w:rsidP="00A454EA">
      <w:pPr>
        <w:pStyle w:val="Default"/>
        <w:rPr>
          <w:rFonts w:asciiTheme="minorHAnsi" w:hAnsiTheme="minorHAnsi" w:cs="Times New Roman"/>
          <w:color w:val="auto"/>
          <w:sz w:val="22"/>
          <w:lang w:val="en-US" w:eastAsia="en-US"/>
        </w:rPr>
      </w:pPr>
      <w:r w:rsidRPr="00A454EA">
        <w:rPr>
          <w:rFonts w:asciiTheme="minorHAnsi" w:hAnsiTheme="minorHAnsi" w:cs="Times New Roman"/>
          <w:color w:val="auto"/>
          <w:sz w:val="22"/>
          <w:lang w:val="en-US" w:eastAsia="en-US"/>
        </w:rPr>
        <w:t>Applied Research Collaborations (ARCs) will deliver new research evidence and support the implementation of such research into practice, making tangible improvements for NHS services, patients and the public.</w:t>
      </w:r>
    </w:p>
    <w:p w:rsidR="00A454EA" w:rsidRPr="00A454EA" w:rsidRDefault="00A454EA" w:rsidP="00A454EA">
      <w:pPr>
        <w:pStyle w:val="Default"/>
        <w:spacing w:after="240"/>
        <w:rPr>
          <w:rFonts w:asciiTheme="minorHAnsi" w:hAnsiTheme="minorHAnsi" w:cs="Times New Roman"/>
          <w:color w:val="auto"/>
          <w:sz w:val="22"/>
          <w:lang w:val="en-US" w:eastAsia="en-US"/>
        </w:rPr>
      </w:pPr>
      <w:r w:rsidRPr="00A454EA">
        <w:rPr>
          <w:rFonts w:asciiTheme="minorHAnsi" w:hAnsiTheme="minorHAnsi" w:cs="Times New Roman"/>
          <w:color w:val="auto"/>
          <w:sz w:val="22"/>
          <w:lang w:val="en-US" w:eastAsia="en-US"/>
        </w:rPr>
        <w:t xml:space="preserve">ARCs aim to deliver a ‘step change’ in national level research impact and are mapped to the 15 AHSN Regions, with local partnerships with Sustainability and Transformation Partnerships, evolving Integrated Care Systems, and working in national partnerships across the different regions. </w:t>
      </w:r>
    </w:p>
    <w:p w:rsidR="00A454EA" w:rsidRPr="00A454EA" w:rsidRDefault="00A454EA" w:rsidP="00A454EA">
      <w:pPr>
        <w:pStyle w:val="Default"/>
        <w:spacing w:after="240"/>
        <w:rPr>
          <w:rFonts w:asciiTheme="minorHAnsi" w:hAnsiTheme="minorHAnsi" w:cs="Times New Roman"/>
          <w:color w:val="auto"/>
          <w:sz w:val="22"/>
          <w:lang w:val="en-US" w:eastAsia="en-US"/>
        </w:rPr>
      </w:pPr>
      <w:r w:rsidRPr="00A454EA">
        <w:rPr>
          <w:rFonts w:asciiTheme="minorHAnsi" w:hAnsiTheme="minorHAnsi" w:cs="Times New Roman"/>
          <w:color w:val="auto"/>
          <w:sz w:val="22"/>
          <w:lang w:val="en-US" w:eastAsia="en-US"/>
        </w:rPr>
        <w:t>The NIHR investment of £150m over five years requires ARCs to establish enduring partnerships with a range of local organisations including NHS services, HEIs, charities and industry.</w:t>
      </w:r>
    </w:p>
    <w:p w:rsidR="00A454EA" w:rsidRDefault="00A454EA" w:rsidP="00A454EA">
      <w:pPr>
        <w:pStyle w:val="Default"/>
        <w:spacing w:after="240"/>
        <w:rPr>
          <w:rFonts w:asciiTheme="minorHAnsi" w:hAnsiTheme="minorHAnsi" w:cs="Times New Roman"/>
          <w:color w:val="auto"/>
          <w:sz w:val="22"/>
          <w:lang w:val="en-US" w:eastAsia="en-US"/>
        </w:rPr>
      </w:pPr>
      <w:r w:rsidRPr="00A454EA">
        <w:rPr>
          <w:rFonts w:asciiTheme="minorHAnsi" w:hAnsiTheme="minorHAnsi" w:cs="Times New Roman"/>
          <w:color w:val="auto"/>
          <w:sz w:val="22"/>
          <w:lang w:val="en-US" w:eastAsia="en-US"/>
        </w:rPr>
        <w:t xml:space="preserve">The research of the ARC will focus on a range of interventions to improve outcomes for people with </w:t>
      </w:r>
      <w:proofErr w:type="spellStart"/>
      <w:r w:rsidRPr="00A454EA">
        <w:rPr>
          <w:rFonts w:asciiTheme="minorHAnsi" w:hAnsiTheme="minorHAnsi" w:cs="Times New Roman"/>
          <w:color w:val="auto"/>
          <w:sz w:val="22"/>
          <w:lang w:val="en-US" w:eastAsia="en-US"/>
        </w:rPr>
        <w:t>mulitmorbidity</w:t>
      </w:r>
      <w:proofErr w:type="spellEnd"/>
      <w:r w:rsidRPr="00A454EA">
        <w:rPr>
          <w:rFonts w:asciiTheme="minorHAnsi" w:hAnsiTheme="minorHAnsi" w:cs="Times New Roman"/>
          <w:color w:val="auto"/>
          <w:sz w:val="22"/>
          <w:lang w:val="en-US" w:eastAsia="en-US"/>
        </w:rPr>
        <w:t xml:space="preserve">, mental health problems, understanding key needs of these groups. By harnessing innovation and developing novel solutions that can be implemented across the region and more widely, ARC will address the NHS </w:t>
      </w:r>
      <w:hyperlink r:id="rId15" w:history="1">
        <w:r w:rsidRPr="001470DA">
          <w:rPr>
            <w:rFonts w:asciiTheme="minorHAnsi" w:hAnsiTheme="minorHAnsi" w:cs="Times New Roman"/>
            <w:color w:val="auto"/>
            <w:sz w:val="22"/>
            <w:lang w:val="en-US" w:eastAsia="en-US"/>
          </w:rPr>
          <w:t>Forward View</w:t>
        </w:r>
      </w:hyperlink>
      <w:r w:rsidRPr="00A454EA">
        <w:rPr>
          <w:rFonts w:asciiTheme="minorHAnsi" w:hAnsiTheme="minorHAnsi" w:cs="Times New Roman"/>
          <w:color w:val="auto"/>
          <w:sz w:val="22"/>
          <w:lang w:val="en-US" w:eastAsia="en-US"/>
        </w:rPr>
        <w:t xml:space="preserve"> and </w:t>
      </w:r>
      <w:hyperlink r:id="rId16" w:history="1">
        <w:r w:rsidRPr="001470DA">
          <w:rPr>
            <w:rFonts w:asciiTheme="minorHAnsi" w:hAnsiTheme="minorHAnsi" w:cs="Times New Roman"/>
            <w:color w:val="auto"/>
            <w:sz w:val="22"/>
            <w:lang w:val="en-US" w:eastAsia="en-US"/>
          </w:rPr>
          <w:t>Long Term Plan</w:t>
        </w:r>
      </w:hyperlink>
      <w:r w:rsidRPr="00A454EA">
        <w:rPr>
          <w:rFonts w:asciiTheme="minorHAnsi" w:hAnsiTheme="minorHAnsi" w:cs="Times New Roman"/>
          <w:color w:val="auto"/>
          <w:sz w:val="22"/>
          <w:lang w:val="en-US" w:eastAsia="en-US"/>
        </w:rPr>
        <w:t>.</w:t>
      </w:r>
    </w:p>
    <w:p w:rsidR="00FE7AA3" w:rsidRPr="00A454EA" w:rsidRDefault="00FE7AA3" w:rsidP="00FE7AA3">
      <w:pPr>
        <w:pStyle w:val="Default"/>
        <w:spacing w:after="291"/>
        <w:rPr>
          <w:rFonts w:asciiTheme="minorHAnsi" w:hAnsiTheme="minorHAnsi" w:cs="Times New Roman"/>
          <w:color w:val="auto"/>
          <w:sz w:val="22"/>
          <w:lang w:val="en-US" w:eastAsia="en-US"/>
        </w:rPr>
      </w:pPr>
      <w:r w:rsidRPr="00A454EA">
        <w:rPr>
          <w:rFonts w:asciiTheme="minorHAnsi" w:hAnsiTheme="minorHAnsi" w:cs="Times New Roman"/>
          <w:color w:val="auto"/>
          <w:sz w:val="22"/>
          <w:lang w:val="en-US" w:eastAsia="en-US"/>
        </w:rPr>
        <w:t xml:space="preserve">The </w:t>
      </w:r>
      <w:proofErr w:type="spellStart"/>
      <w:r w:rsidRPr="00A454EA">
        <w:rPr>
          <w:rFonts w:asciiTheme="minorHAnsi" w:hAnsiTheme="minorHAnsi" w:cs="Times New Roman"/>
          <w:color w:val="auto"/>
          <w:sz w:val="22"/>
          <w:lang w:val="en-US" w:eastAsia="en-US"/>
        </w:rPr>
        <w:t>OxTV</w:t>
      </w:r>
      <w:proofErr w:type="spellEnd"/>
      <w:r w:rsidRPr="00A454EA">
        <w:rPr>
          <w:rFonts w:asciiTheme="minorHAnsi" w:hAnsiTheme="minorHAnsi" w:cs="Times New Roman"/>
          <w:color w:val="auto"/>
          <w:sz w:val="22"/>
          <w:lang w:val="en-US" w:eastAsia="en-US"/>
        </w:rPr>
        <w:t xml:space="preserve"> ARC plans to significantly enhance academic capacity for applied health research through its development and training opportunities for researchers, clinicians and allied health professionals</w:t>
      </w:r>
    </w:p>
    <w:p w:rsidR="00FE7AA3" w:rsidRPr="00A454EA" w:rsidRDefault="00FE7AA3" w:rsidP="0017480B">
      <w:pPr>
        <w:pStyle w:val="Default"/>
        <w:numPr>
          <w:ilvl w:val="0"/>
          <w:numId w:val="37"/>
        </w:numPr>
        <w:rPr>
          <w:rFonts w:asciiTheme="minorHAnsi" w:hAnsiTheme="minorHAnsi" w:cs="Times New Roman"/>
          <w:color w:val="auto"/>
          <w:sz w:val="22"/>
          <w:lang w:val="en-US" w:eastAsia="en-US"/>
        </w:rPr>
      </w:pPr>
      <w:r w:rsidRPr="00A454EA">
        <w:rPr>
          <w:rFonts w:asciiTheme="minorHAnsi" w:hAnsiTheme="minorHAnsi" w:cs="Times New Roman"/>
          <w:color w:val="auto"/>
          <w:sz w:val="22"/>
          <w:lang w:val="en-US" w:eastAsia="en-US"/>
        </w:rPr>
        <w:t>Research Studentships (pre-doctoral) in each research theme</w:t>
      </w:r>
    </w:p>
    <w:p w:rsidR="00FE7AA3" w:rsidRPr="00A454EA" w:rsidRDefault="00FE7AA3" w:rsidP="0017480B">
      <w:pPr>
        <w:pStyle w:val="Default"/>
        <w:numPr>
          <w:ilvl w:val="0"/>
          <w:numId w:val="37"/>
        </w:numPr>
        <w:spacing w:after="240"/>
        <w:rPr>
          <w:rFonts w:asciiTheme="minorHAnsi" w:hAnsiTheme="minorHAnsi" w:cs="Times New Roman"/>
          <w:color w:val="auto"/>
          <w:sz w:val="22"/>
          <w:lang w:val="en-US" w:eastAsia="en-US"/>
        </w:rPr>
      </w:pPr>
      <w:r w:rsidRPr="00A454EA">
        <w:rPr>
          <w:rFonts w:asciiTheme="minorHAnsi" w:hAnsiTheme="minorHAnsi" w:cs="Times New Roman"/>
          <w:color w:val="auto"/>
          <w:sz w:val="22"/>
          <w:lang w:val="en-US" w:eastAsia="en-US"/>
        </w:rPr>
        <w:t>Provision of supervision for MSc candidates who choose to do their dissertation on evaluation- or implementation- related research projects</w:t>
      </w:r>
    </w:p>
    <w:p w:rsidR="00FE7AA3" w:rsidRDefault="00FE7AA3" w:rsidP="00FE7AA3">
      <w:pPr>
        <w:pStyle w:val="Default"/>
        <w:spacing w:after="291"/>
        <w:rPr>
          <w:rFonts w:asciiTheme="minorHAnsi" w:hAnsiTheme="minorHAnsi" w:cs="Times New Roman"/>
          <w:color w:val="auto"/>
          <w:sz w:val="22"/>
          <w:lang w:val="en-US" w:eastAsia="en-US"/>
        </w:rPr>
      </w:pPr>
      <w:r>
        <w:rPr>
          <w:rFonts w:asciiTheme="minorHAnsi" w:hAnsiTheme="minorHAnsi" w:cs="Times New Roman"/>
          <w:color w:val="auto"/>
          <w:sz w:val="22"/>
          <w:lang w:val="en-US" w:eastAsia="en-US"/>
        </w:rPr>
        <w:t xml:space="preserve">The ARC </w:t>
      </w:r>
      <w:r w:rsidRPr="00F32CF5">
        <w:rPr>
          <w:rFonts w:asciiTheme="minorHAnsi" w:hAnsiTheme="minorHAnsi" w:cs="Times New Roman"/>
          <w:color w:val="auto"/>
          <w:sz w:val="22"/>
          <w:lang w:val="en-US" w:eastAsia="en-US"/>
        </w:rPr>
        <w:t>Strategy Board</w:t>
      </w:r>
      <w:r w:rsidRPr="00A454EA">
        <w:rPr>
          <w:rFonts w:asciiTheme="minorHAnsi" w:hAnsiTheme="minorHAnsi" w:cs="Times New Roman"/>
          <w:color w:val="auto"/>
          <w:sz w:val="22"/>
          <w:lang w:val="en-US" w:eastAsia="en-US"/>
        </w:rPr>
        <w:t xml:space="preserve">, chaired by </w:t>
      </w:r>
      <w:hyperlink r:id="rId17" w:history="1">
        <w:r w:rsidRPr="00A454EA">
          <w:rPr>
            <w:rFonts w:asciiTheme="minorHAnsi" w:hAnsiTheme="minorHAnsi" w:cs="Times New Roman"/>
            <w:color w:val="auto"/>
            <w:lang w:val="en-US" w:eastAsia="en-US"/>
          </w:rPr>
          <w:t>Stuart Bell CBE</w:t>
        </w:r>
      </w:hyperlink>
      <w:r w:rsidRPr="00A454EA">
        <w:rPr>
          <w:rFonts w:asciiTheme="minorHAnsi" w:hAnsiTheme="minorHAnsi" w:cs="Times New Roman"/>
          <w:color w:val="auto"/>
          <w:sz w:val="22"/>
          <w:lang w:val="en-US" w:eastAsia="en-US"/>
        </w:rPr>
        <w:t xml:space="preserve">, Chief Executive of the host NHS Trust and representative of all themes, public health and social care ARC member organisations will oversee programme strategies. </w:t>
      </w:r>
    </w:p>
    <w:p w:rsidR="00F32CF5" w:rsidRDefault="00035B0C" w:rsidP="00035B0C">
      <w:pPr>
        <w:pStyle w:val="Default"/>
        <w:spacing w:after="291"/>
        <w:rPr>
          <w:rFonts w:asciiTheme="minorHAnsi" w:hAnsiTheme="minorHAnsi" w:cs="Times New Roman"/>
          <w:color w:val="auto"/>
          <w:sz w:val="22"/>
          <w:lang w:val="en-US" w:eastAsia="en-US"/>
        </w:rPr>
      </w:pPr>
      <w:r w:rsidRPr="00A454EA">
        <w:rPr>
          <w:rFonts w:asciiTheme="minorHAnsi" w:hAnsiTheme="minorHAnsi" w:cs="Times New Roman"/>
          <w:color w:val="auto"/>
          <w:sz w:val="22"/>
          <w:lang w:val="en-US" w:eastAsia="en-US"/>
        </w:rPr>
        <w:t xml:space="preserve">The </w:t>
      </w:r>
      <w:r w:rsidR="00F32CF5">
        <w:rPr>
          <w:rFonts w:asciiTheme="minorHAnsi" w:hAnsiTheme="minorHAnsi" w:cs="Times New Roman"/>
          <w:color w:val="auto"/>
          <w:sz w:val="22"/>
          <w:lang w:val="en-US" w:eastAsia="en-US"/>
        </w:rPr>
        <w:t xml:space="preserve">ARC </w:t>
      </w:r>
      <w:r w:rsidRPr="00A454EA">
        <w:rPr>
          <w:rFonts w:asciiTheme="minorHAnsi" w:hAnsiTheme="minorHAnsi" w:cs="Times New Roman"/>
          <w:color w:val="auto"/>
          <w:sz w:val="22"/>
          <w:lang w:val="en-US" w:eastAsia="en-US"/>
        </w:rPr>
        <w:t xml:space="preserve">Programme Director is </w:t>
      </w:r>
      <w:hyperlink r:id="rId18" w:history="1">
        <w:r w:rsidRPr="00FE7AA3">
          <w:rPr>
            <w:rFonts w:asciiTheme="minorHAnsi" w:hAnsiTheme="minorHAnsi" w:cs="Times New Roman"/>
            <w:color w:val="auto"/>
            <w:sz w:val="22"/>
            <w:lang w:val="en-US" w:eastAsia="en-US"/>
          </w:rPr>
          <w:t>Prof Richard Hobbs</w:t>
        </w:r>
      </w:hyperlink>
      <w:r w:rsidR="00F32CF5">
        <w:rPr>
          <w:rFonts w:asciiTheme="minorHAnsi" w:hAnsiTheme="minorHAnsi" w:cs="Times New Roman"/>
          <w:color w:val="auto"/>
          <w:sz w:val="22"/>
          <w:lang w:val="en-US" w:eastAsia="en-US"/>
        </w:rPr>
        <w:t xml:space="preserve"> and the </w:t>
      </w:r>
      <w:r w:rsidR="00F32CF5" w:rsidRPr="00A454EA">
        <w:rPr>
          <w:rFonts w:asciiTheme="minorHAnsi" w:hAnsiTheme="minorHAnsi" w:cs="Times New Roman"/>
          <w:color w:val="auto"/>
          <w:sz w:val="22"/>
          <w:lang w:val="en-US" w:eastAsia="en-US"/>
        </w:rPr>
        <w:t>Implementation lead</w:t>
      </w:r>
      <w:r w:rsidR="00F32CF5">
        <w:rPr>
          <w:rFonts w:asciiTheme="minorHAnsi" w:hAnsiTheme="minorHAnsi" w:cs="Times New Roman"/>
          <w:color w:val="auto"/>
          <w:sz w:val="22"/>
          <w:lang w:val="en-US" w:eastAsia="en-US"/>
        </w:rPr>
        <w:t xml:space="preserve"> is </w:t>
      </w:r>
      <w:hyperlink r:id="rId19" w:history="1">
        <w:r w:rsidRPr="00A454EA">
          <w:rPr>
            <w:rFonts w:asciiTheme="minorHAnsi" w:hAnsiTheme="minorHAnsi" w:cs="Times New Roman"/>
            <w:color w:val="auto"/>
            <w:sz w:val="22"/>
            <w:lang w:val="en-US" w:eastAsia="en-US"/>
          </w:rPr>
          <w:t>Prof Gary Ford</w:t>
        </w:r>
      </w:hyperlink>
    </w:p>
    <w:p w:rsidR="00FE7AA3" w:rsidRPr="00FE7AA3" w:rsidRDefault="00F32CF5" w:rsidP="00FE7AA3">
      <w:pPr>
        <w:pStyle w:val="Default"/>
        <w:spacing w:after="291"/>
        <w:rPr>
          <w:rFonts w:asciiTheme="minorHAnsi" w:hAnsiTheme="minorHAnsi" w:cs="Times New Roman"/>
          <w:color w:val="auto"/>
          <w:sz w:val="22"/>
          <w:lang w:val="en-US" w:eastAsia="en-US"/>
        </w:rPr>
      </w:pPr>
      <w:r w:rsidRPr="00FE7AA3">
        <w:rPr>
          <w:rFonts w:asciiTheme="minorHAnsi" w:hAnsiTheme="minorHAnsi" w:cs="Times New Roman"/>
          <w:color w:val="auto"/>
          <w:sz w:val="22"/>
          <w:lang w:val="en-US" w:eastAsia="en-US"/>
        </w:rPr>
        <w:t>The ARC Management Group</w:t>
      </w:r>
      <w:r w:rsidR="00FE7AA3" w:rsidRPr="00FE7AA3">
        <w:rPr>
          <w:rFonts w:asciiTheme="minorHAnsi" w:hAnsiTheme="minorHAnsi" w:cs="Times New Roman"/>
          <w:color w:val="auto"/>
          <w:sz w:val="22"/>
          <w:lang w:val="en-US" w:eastAsia="en-US"/>
        </w:rPr>
        <w:t xml:space="preserve"> reports into the Strategy Board and is responsible for overseeing the operations of the ARC according to the guidance provided in the ARC Operations Framework. It includes ARC Managers, functional leads and supporting staff. </w:t>
      </w:r>
    </w:p>
    <w:p w:rsidR="00156856" w:rsidRPr="00156856" w:rsidRDefault="00FE7AA3" w:rsidP="00156856">
      <w:pPr>
        <w:keepNext/>
        <w:keepLines/>
        <w:numPr>
          <w:ilvl w:val="2"/>
          <w:numId w:val="3"/>
        </w:numPr>
        <w:tabs>
          <w:tab w:val="num" w:pos="360"/>
        </w:tabs>
        <w:spacing w:before="200" w:after="0"/>
        <w:ind w:left="0" w:firstLine="0"/>
        <w:outlineLvl w:val="2"/>
        <w:rPr>
          <w:rFonts w:eastAsiaTheme="majorEastAsia" w:cstheme="majorBidi"/>
          <w:b/>
          <w:bCs/>
        </w:rPr>
      </w:pPr>
      <w:r w:rsidRPr="00156856">
        <w:rPr>
          <w:rFonts w:eastAsiaTheme="majorEastAsia" w:cstheme="majorBidi"/>
          <w:b/>
          <w:bCs/>
        </w:rPr>
        <w:t>Research Themes</w:t>
      </w:r>
    </w:p>
    <w:p w:rsidR="00A454EA" w:rsidRPr="00A454EA" w:rsidRDefault="00A454EA" w:rsidP="00A454EA">
      <w:r>
        <w:t>The research themes (see below) are supported by an implementation workstream working closely with the AHSN to deliver ARC outputs into practice across the Region, in partnership with BOB STP, local CCGs and trusts, local authority public health and social care directorates, and OTV HEIs, and through national programmes, supported by the regional ARCs and AHSNs.</w:t>
      </w:r>
    </w:p>
    <w:p w:rsidR="00A454EA" w:rsidRPr="00A454EA" w:rsidRDefault="00A454EA" w:rsidP="00A454EA">
      <w:pPr>
        <w:autoSpaceDE w:val="0"/>
        <w:autoSpaceDN w:val="0"/>
        <w:adjustRightInd w:val="0"/>
      </w:pPr>
      <w:proofErr w:type="spellStart"/>
      <w:r w:rsidRPr="00A454EA">
        <w:t>OxTV</w:t>
      </w:r>
      <w:proofErr w:type="spellEnd"/>
      <w:r w:rsidRPr="00A454EA">
        <w:t xml:space="preserve"> ARC research outputs that are of high value to our regional partners will be </w:t>
      </w:r>
      <w:proofErr w:type="spellStart"/>
      <w:r w:rsidRPr="00A454EA">
        <w:t>prioritised</w:t>
      </w:r>
      <w:proofErr w:type="spellEnd"/>
      <w:r w:rsidRPr="00A454EA">
        <w:t xml:space="preserve"> for implementation. In particular, those with potential to be spread in partnership with other ARCs and national implementation structures, especially our AHSN Network, with whom we have a close existing partnership and whose partners include BOB STP, Frimley STP, Milton Keynes in BLMK ICS/STP), </w:t>
      </w:r>
      <w:proofErr w:type="spellStart"/>
      <w:r w:rsidRPr="00A454EA">
        <w:t>Rightcare</w:t>
      </w:r>
      <w:proofErr w:type="spellEnd"/>
      <w:r w:rsidRPr="00A454EA">
        <w:t>, and Getting It Right first Time programme. For national implementation, we will work in partnership with other ARCs to lead and support research implementation programmes in primary care, cardiovascular disease and mental health, and with the AHSN Network and NIHR Dissemination Centre, to develop evidence based programmes of high-value research outputs that become NHSE-commissioned, AHSN-supported national programmes.</w:t>
      </w:r>
    </w:p>
    <w:p w:rsidR="00FE7AA3" w:rsidRPr="00A454EA" w:rsidRDefault="00FE7AA3" w:rsidP="00FE7AA3">
      <w:pPr>
        <w:pStyle w:val="Default"/>
        <w:spacing w:after="240"/>
        <w:rPr>
          <w:rFonts w:asciiTheme="minorHAnsi" w:hAnsiTheme="minorHAnsi" w:cs="Times New Roman"/>
          <w:color w:val="auto"/>
          <w:sz w:val="22"/>
          <w:lang w:val="en-US" w:eastAsia="en-US"/>
        </w:rPr>
      </w:pPr>
      <w:r w:rsidRPr="00A454EA">
        <w:rPr>
          <w:rFonts w:asciiTheme="minorHAnsi" w:hAnsiTheme="minorHAnsi" w:cs="Times New Roman"/>
          <w:color w:val="auto"/>
          <w:sz w:val="22"/>
          <w:lang w:val="en-US" w:eastAsia="en-US"/>
        </w:rPr>
        <w:t xml:space="preserve">Five major research themes were selected from 16 areas submitted for competition for inclusion in the </w:t>
      </w:r>
      <w:hyperlink r:id="rId20" w:history="1">
        <w:proofErr w:type="spellStart"/>
        <w:r w:rsidRPr="00A454EA">
          <w:rPr>
            <w:rFonts w:asciiTheme="minorHAnsi" w:hAnsiTheme="minorHAnsi" w:cs="Times New Roman"/>
            <w:color w:val="auto"/>
            <w:lang w:val="en-US" w:eastAsia="en-US"/>
          </w:rPr>
          <w:t>OxTV</w:t>
        </w:r>
        <w:proofErr w:type="spellEnd"/>
        <w:r w:rsidRPr="00A454EA">
          <w:rPr>
            <w:rFonts w:asciiTheme="minorHAnsi" w:hAnsiTheme="minorHAnsi" w:cs="Times New Roman"/>
            <w:color w:val="auto"/>
            <w:lang w:val="en-US" w:eastAsia="en-US"/>
          </w:rPr>
          <w:t xml:space="preserve"> ARC</w:t>
        </w:r>
      </w:hyperlink>
      <w:r w:rsidRPr="00A454EA">
        <w:rPr>
          <w:rFonts w:asciiTheme="minorHAnsi" w:hAnsiTheme="minorHAnsi" w:cs="Times New Roman"/>
          <w:color w:val="auto"/>
          <w:sz w:val="22"/>
          <w:lang w:val="en-US" w:eastAsia="en-US"/>
        </w:rPr>
        <w:t xml:space="preserve"> - all themes are led by national research leaders in the thematic area </w:t>
      </w:r>
    </w:p>
    <w:p w:rsidR="00A454EA" w:rsidRPr="001470DA" w:rsidRDefault="00A454EA" w:rsidP="00156856">
      <w:pPr>
        <w:pStyle w:val="Default"/>
        <w:spacing w:after="120"/>
        <w:ind w:left="720" w:hanging="720"/>
        <w:rPr>
          <w:rFonts w:asciiTheme="minorHAnsi" w:eastAsiaTheme="majorEastAsia" w:hAnsiTheme="minorHAnsi" w:cstheme="majorBidi"/>
          <w:b/>
          <w:bCs/>
          <w:iCs/>
          <w:color w:val="auto"/>
          <w:lang w:val="en-US" w:eastAsia="en-US"/>
        </w:rPr>
      </w:pPr>
      <w:r w:rsidRPr="001470DA">
        <w:rPr>
          <w:rFonts w:asciiTheme="minorHAnsi" w:eastAsiaTheme="majorEastAsia" w:hAnsiTheme="minorHAnsi" w:cstheme="majorBidi"/>
          <w:b/>
          <w:bCs/>
          <w:iCs/>
          <w:color w:val="auto"/>
          <w:lang w:val="en-US" w:eastAsia="en-US"/>
        </w:rPr>
        <w:lastRenderedPageBreak/>
        <w:t xml:space="preserve">Disease Prevention through Health </w:t>
      </w:r>
      <w:r w:rsidR="00FC2E49" w:rsidRPr="001470DA">
        <w:rPr>
          <w:rFonts w:asciiTheme="minorHAnsi" w:eastAsiaTheme="majorEastAsia" w:hAnsiTheme="minorHAnsi" w:cstheme="majorBidi"/>
          <w:b/>
          <w:bCs/>
          <w:iCs/>
          <w:color w:val="auto"/>
          <w:lang w:val="en-US" w:eastAsia="en-US"/>
        </w:rPr>
        <w:t xml:space="preserve">Behavioral </w:t>
      </w:r>
      <w:r w:rsidRPr="001470DA">
        <w:rPr>
          <w:rFonts w:asciiTheme="minorHAnsi" w:eastAsiaTheme="majorEastAsia" w:hAnsiTheme="minorHAnsi" w:cstheme="majorBidi"/>
          <w:b/>
          <w:bCs/>
          <w:iCs/>
          <w:color w:val="auto"/>
          <w:lang w:val="en-US" w:eastAsia="en-US"/>
        </w:rPr>
        <w:t xml:space="preserve">Change (Theme Lead: </w:t>
      </w:r>
      <w:hyperlink r:id="rId21" w:history="1">
        <w:r w:rsidRPr="001470DA">
          <w:rPr>
            <w:rFonts w:asciiTheme="minorHAnsi" w:eastAsiaTheme="majorEastAsia" w:hAnsiTheme="minorHAnsi" w:cstheme="majorBidi"/>
            <w:b/>
            <w:bCs/>
            <w:iCs/>
            <w:color w:val="auto"/>
            <w:lang w:val="en-US" w:eastAsia="en-US"/>
          </w:rPr>
          <w:t>Prof Susan Jebb</w:t>
        </w:r>
      </w:hyperlink>
      <w:r w:rsidRPr="001470DA">
        <w:rPr>
          <w:rFonts w:asciiTheme="minorHAnsi" w:eastAsiaTheme="majorEastAsia" w:hAnsiTheme="minorHAnsi" w:cstheme="majorBidi"/>
          <w:b/>
          <w:bCs/>
          <w:iCs/>
          <w:color w:val="auto"/>
          <w:lang w:val="en-US" w:eastAsia="en-US"/>
        </w:rPr>
        <w:t>)</w:t>
      </w:r>
    </w:p>
    <w:p w:rsidR="00A454EA" w:rsidRPr="00A454EA" w:rsidRDefault="00A454EA" w:rsidP="00A454EA">
      <w:pPr>
        <w:autoSpaceDE w:val="0"/>
        <w:autoSpaceDN w:val="0"/>
        <w:adjustRightInd w:val="0"/>
        <w:spacing w:after="0"/>
      </w:pPr>
      <w:r>
        <w:t>Testing novel implementation interventions at the population level to improve the health of the public and prevent disease and multimorbidity through workstreams to:</w:t>
      </w:r>
    </w:p>
    <w:p w:rsidR="00A454EA" w:rsidRDefault="00A454EA" w:rsidP="0017480B">
      <w:pPr>
        <w:pStyle w:val="ListParagraph"/>
        <w:numPr>
          <w:ilvl w:val="0"/>
          <w:numId w:val="38"/>
        </w:numPr>
        <w:autoSpaceDE w:val="0"/>
        <w:autoSpaceDN w:val="0"/>
        <w:adjustRightInd w:val="0"/>
        <w:spacing w:before="0" w:after="0"/>
        <w:contextualSpacing/>
        <w:jc w:val="left"/>
      </w:pPr>
      <w:r>
        <w:t xml:space="preserve">Produce a step change in </w:t>
      </w:r>
      <w:r w:rsidRPr="00A454EA">
        <w:t>weight management</w:t>
      </w:r>
      <w:r>
        <w:t xml:space="preserve"> in the community, adapting those to the groups at highest need</w:t>
      </w:r>
    </w:p>
    <w:p w:rsidR="00A454EA" w:rsidRDefault="00A454EA" w:rsidP="0017480B">
      <w:pPr>
        <w:pStyle w:val="ListParagraph"/>
        <w:numPr>
          <w:ilvl w:val="0"/>
          <w:numId w:val="38"/>
        </w:numPr>
        <w:autoSpaceDE w:val="0"/>
        <w:autoSpaceDN w:val="0"/>
        <w:adjustRightInd w:val="0"/>
        <w:spacing w:before="0" w:after="0"/>
        <w:contextualSpacing/>
        <w:jc w:val="left"/>
      </w:pPr>
      <w:r>
        <w:t xml:space="preserve">Improve the nutritional </w:t>
      </w:r>
      <w:r w:rsidRPr="00A454EA">
        <w:t>quality of food purchases</w:t>
      </w:r>
    </w:p>
    <w:p w:rsidR="00A454EA" w:rsidRPr="00A454EA" w:rsidRDefault="00A454EA" w:rsidP="00A454EA">
      <w:pPr>
        <w:autoSpaceDE w:val="0"/>
        <w:autoSpaceDN w:val="0"/>
        <w:adjustRightInd w:val="0"/>
        <w:spacing w:after="0"/>
      </w:pPr>
    </w:p>
    <w:p w:rsidR="00A454EA" w:rsidRPr="001470DA" w:rsidRDefault="00A454EA" w:rsidP="00156856">
      <w:pPr>
        <w:pStyle w:val="Default"/>
        <w:spacing w:after="120"/>
        <w:ind w:left="720" w:hanging="720"/>
        <w:rPr>
          <w:rFonts w:asciiTheme="minorHAnsi" w:eastAsiaTheme="majorEastAsia" w:hAnsiTheme="minorHAnsi" w:cstheme="majorBidi"/>
          <w:b/>
          <w:bCs/>
          <w:iCs/>
          <w:color w:val="auto"/>
          <w:lang w:val="en-US" w:eastAsia="en-US"/>
        </w:rPr>
      </w:pPr>
      <w:r w:rsidRPr="001470DA">
        <w:rPr>
          <w:rFonts w:asciiTheme="minorHAnsi" w:eastAsiaTheme="majorEastAsia" w:hAnsiTheme="minorHAnsi" w:cstheme="majorBidi"/>
          <w:b/>
          <w:bCs/>
          <w:iCs/>
          <w:color w:val="auto"/>
          <w:lang w:val="en-US" w:eastAsia="en-US"/>
        </w:rPr>
        <w:t>Patient Self-Management</w:t>
      </w:r>
      <w:r w:rsidR="00FC2E49" w:rsidRPr="001470DA">
        <w:rPr>
          <w:rFonts w:asciiTheme="minorHAnsi" w:eastAsiaTheme="majorEastAsia" w:hAnsiTheme="minorHAnsi" w:cstheme="majorBidi"/>
          <w:b/>
          <w:bCs/>
          <w:iCs/>
          <w:color w:val="auto"/>
          <w:lang w:val="en-US" w:eastAsia="en-US"/>
        </w:rPr>
        <w:t xml:space="preserve"> (Theme Lead: </w:t>
      </w:r>
      <w:hyperlink r:id="rId22" w:history="1">
        <w:r w:rsidRPr="001470DA">
          <w:rPr>
            <w:rFonts w:asciiTheme="minorHAnsi" w:eastAsiaTheme="majorEastAsia" w:hAnsiTheme="minorHAnsi" w:cstheme="majorBidi"/>
            <w:b/>
            <w:bCs/>
            <w:iCs/>
            <w:color w:val="auto"/>
            <w:lang w:val="en-US" w:eastAsia="en-US"/>
          </w:rPr>
          <w:t>Prof Richard McManus</w:t>
        </w:r>
      </w:hyperlink>
      <w:r w:rsidR="00FC2E49" w:rsidRPr="001470DA">
        <w:rPr>
          <w:rFonts w:asciiTheme="minorHAnsi" w:eastAsiaTheme="majorEastAsia" w:hAnsiTheme="minorHAnsi" w:cstheme="majorBidi"/>
          <w:b/>
          <w:bCs/>
          <w:iCs/>
          <w:color w:val="auto"/>
          <w:lang w:val="en-US" w:eastAsia="en-US"/>
        </w:rPr>
        <w:t>)</w:t>
      </w:r>
    </w:p>
    <w:p w:rsidR="00A454EA" w:rsidRPr="00A454EA" w:rsidRDefault="00A454EA" w:rsidP="00BA6A52">
      <w:pPr>
        <w:pStyle w:val="Default"/>
        <w:spacing w:after="120"/>
        <w:rPr>
          <w:rFonts w:asciiTheme="minorHAnsi" w:hAnsiTheme="minorHAnsi" w:cs="Times New Roman"/>
          <w:color w:val="auto"/>
          <w:sz w:val="22"/>
          <w:lang w:val="en-US" w:eastAsia="en-US"/>
        </w:rPr>
      </w:pPr>
      <w:r w:rsidRPr="00A454EA">
        <w:rPr>
          <w:rFonts w:asciiTheme="minorHAnsi" w:hAnsiTheme="minorHAnsi" w:cs="Times New Roman"/>
          <w:color w:val="auto"/>
          <w:sz w:val="22"/>
          <w:lang w:val="en-US" w:eastAsia="en-US"/>
        </w:rPr>
        <w:t>Using extensive applied research in cardiovascular disease as an exemplar, this theme will develop and test a series of new interventions in patient self-management and prevention of chronic disease. Workstreams include:</w:t>
      </w:r>
    </w:p>
    <w:p w:rsidR="00A454EA" w:rsidRPr="00A454EA" w:rsidRDefault="00A454EA" w:rsidP="0017480B">
      <w:pPr>
        <w:pStyle w:val="ListParagraph"/>
        <w:numPr>
          <w:ilvl w:val="0"/>
          <w:numId w:val="39"/>
        </w:numPr>
        <w:autoSpaceDE w:val="0"/>
        <w:autoSpaceDN w:val="0"/>
        <w:adjustRightInd w:val="0"/>
        <w:spacing w:before="0" w:after="0"/>
        <w:contextualSpacing/>
        <w:jc w:val="left"/>
      </w:pPr>
      <w:r w:rsidRPr="00A454EA">
        <w:t xml:space="preserve">Optimisation of the NHS Health Check in the Thames Valley: combining Oxford’s intervention development expertise with regional Public Health experience to widen participation in cardiovascular risk reduction. </w:t>
      </w:r>
    </w:p>
    <w:p w:rsidR="00A454EA" w:rsidRPr="00A454EA" w:rsidRDefault="00A454EA" w:rsidP="0017480B">
      <w:pPr>
        <w:pStyle w:val="ListParagraph"/>
        <w:numPr>
          <w:ilvl w:val="0"/>
          <w:numId w:val="39"/>
        </w:numPr>
        <w:autoSpaceDE w:val="0"/>
        <w:autoSpaceDN w:val="0"/>
        <w:adjustRightInd w:val="0"/>
        <w:spacing w:before="0" w:after="0"/>
        <w:contextualSpacing/>
        <w:jc w:val="left"/>
      </w:pPr>
      <w:proofErr w:type="spellStart"/>
      <w:r w:rsidRPr="00A454EA">
        <w:t>Commercialisation</w:t>
      </w:r>
      <w:proofErr w:type="spellEnd"/>
      <w:r w:rsidRPr="00A454EA">
        <w:t xml:space="preserve"> of a self-monitoring/management app for the general hypertensive population</w:t>
      </w:r>
    </w:p>
    <w:p w:rsidR="00A454EA" w:rsidRPr="00A454EA" w:rsidRDefault="00A454EA" w:rsidP="0017480B">
      <w:pPr>
        <w:pStyle w:val="ListParagraph"/>
        <w:numPr>
          <w:ilvl w:val="0"/>
          <w:numId w:val="39"/>
        </w:numPr>
        <w:autoSpaceDE w:val="0"/>
        <w:autoSpaceDN w:val="0"/>
        <w:adjustRightInd w:val="0"/>
        <w:spacing w:before="0" w:after="0"/>
        <w:contextualSpacing/>
        <w:jc w:val="left"/>
      </w:pPr>
      <w:r w:rsidRPr="00A454EA">
        <w:t xml:space="preserve">Stepped wedge design cluster randomised implementation trial in 32 practices across the Thames Valley. </w:t>
      </w:r>
    </w:p>
    <w:p w:rsidR="00A454EA" w:rsidRPr="00A454EA" w:rsidRDefault="00A454EA" w:rsidP="0017480B">
      <w:pPr>
        <w:pStyle w:val="ListParagraph"/>
        <w:numPr>
          <w:ilvl w:val="0"/>
          <w:numId w:val="39"/>
        </w:numPr>
        <w:autoSpaceDE w:val="0"/>
        <w:autoSpaceDN w:val="0"/>
        <w:adjustRightInd w:val="0"/>
        <w:spacing w:before="0" w:after="0"/>
        <w:contextualSpacing/>
        <w:jc w:val="left"/>
      </w:pPr>
      <w:r w:rsidRPr="00A454EA">
        <w:t>Development of an NHS digital intervention to promote self-management in cardiometabolic morbidity in pregnancy to promote self-management in cardiovascular morbidity.</w:t>
      </w:r>
    </w:p>
    <w:p w:rsidR="00A454EA" w:rsidRPr="00A454EA" w:rsidRDefault="00A454EA" w:rsidP="0017480B">
      <w:pPr>
        <w:pStyle w:val="ListParagraph"/>
        <w:numPr>
          <w:ilvl w:val="0"/>
          <w:numId w:val="39"/>
        </w:numPr>
        <w:autoSpaceDE w:val="0"/>
        <w:autoSpaceDN w:val="0"/>
        <w:adjustRightInd w:val="0"/>
        <w:spacing w:before="0" w:after="291"/>
        <w:contextualSpacing/>
        <w:jc w:val="left"/>
      </w:pPr>
      <w:r w:rsidRPr="00A454EA">
        <w:t xml:space="preserve">Pilot trial of the self-management in pregnancy digital intervention. </w:t>
      </w:r>
    </w:p>
    <w:p w:rsidR="00FC2E49" w:rsidRPr="001470DA" w:rsidRDefault="00FC2E49" w:rsidP="00156856">
      <w:pPr>
        <w:pStyle w:val="Default"/>
        <w:spacing w:after="120"/>
        <w:ind w:left="720" w:hanging="720"/>
        <w:rPr>
          <w:rFonts w:asciiTheme="minorHAnsi" w:eastAsiaTheme="majorEastAsia" w:hAnsiTheme="minorHAnsi" w:cstheme="majorBidi"/>
          <w:b/>
          <w:bCs/>
          <w:iCs/>
          <w:color w:val="auto"/>
          <w:lang w:val="en-US" w:eastAsia="en-US"/>
        </w:rPr>
      </w:pPr>
      <w:r w:rsidRPr="001470DA">
        <w:rPr>
          <w:rFonts w:asciiTheme="minorHAnsi" w:eastAsiaTheme="majorEastAsia" w:hAnsiTheme="minorHAnsi" w:cstheme="majorBidi"/>
          <w:b/>
          <w:bCs/>
          <w:iCs/>
          <w:color w:val="auto"/>
          <w:lang w:val="en-US" w:eastAsia="en-US"/>
        </w:rPr>
        <w:t>Mental Health across the Life Course (Theme Lead: Prof Cathy Creswell)</w:t>
      </w:r>
    </w:p>
    <w:p w:rsidR="00A454EA" w:rsidRPr="00A454EA" w:rsidRDefault="00A454EA" w:rsidP="00A454EA">
      <w:pPr>
        <w:pStyle w:val="Default"/>
        <w:spacing w:after="291"/>
        <w:rPr>
          <w:rFonts w:asciiTheme="minorHAnsi" w:hAnsiTheme="minorHAnsi" w:cs="Times New Roman"/>
          <w:color w:val="auto"/>
          <w:sz w:val="22"/>
          <w:lang w:val="en-US" w:eastAsia="en-US"/>
        </w:rPr>
      </w:pPr>
      <w:r w:rsidRPr="00A454EA">
        <w:rPr>
          <w:rFonts w:asciiTheme="minorHAnsi" w:hAnsiTheme="minorHAnsi" w:cs="Times New Roman"/>
          <w:color w:val="auto"/>
          <w:sz w:val="22"/>
          <w:lang w:val="en-US" w:eastAsia="en-US"/>
        </w:rPr>
        <w:t xml:space="preserve">Linking the new Oxford Mental Health BRC with Reading’s excellence and leadership in child and adolescent mental health research. This theme will enable local and national mental health service providers to provide rapid, effective support for mental health problems through development and evaluation of psychological interventions and by establishing innovative and scalable clinical decision support tools </w:t>
      </w:r>
    </w:p>
    <w:p w:rsidR="00A454EA" w:rsidRPr="00A454EA" w:rsidRDefault="00A454EA" w:rsidP="0017480B">
      <w:pPr>
        <w:pStyle w:val="Default"/>
        <w:numPr>
          <w:ilvl w:val="0"/>
          <w:numId w:val="40"/>
        </w:numPr>
        <w:rPr>
          <w:rFonts w:asciiTheme="minorHAnsi" w:hAnsiTheme="minorHAnsi" w:cs="Times New Roman"/>
          <w:color w:val="auto"/>
          <w:sz w:val="22"/>
          <w:lang w:val="en-US" w:eastAsia="en-US"/>
        </w:rPr>
      </w:pPr>
      <w:r w:rsidRPr="00A454EA">
        <w:rPr>
          <w:rFonts w:asciiTheme="minorHAnsi" w:hAnsiTheme="minorHAnsi" w:cs="Times New Roman"/>
          <w:color w:val="auto"/>
          <w:sz w:val="22"/>
          <w:lang w:val="en-US" w:eastAsia="en-US"/>
        </w:rPr>
        <w:t xml:space="preserve">Evaluation of online parent-led treatment for child anxiety disorders in routine settings. </w:t>
      </w:r>
    </w:p>
    <w:p w:rsidR="00A454EA" w:rsidRPr="00A454EA" w:rsidRDefault="00A454EA" w:rsidP="0017480B">
      <w:pPr>
        <w:pStyle w:val="Default"/>
        <w:numPr>
          <w:ilvl w:val="0"/>
          <w:numId w:val="40"/>
        </w:numPr>
        <w:rPr>
          <w:rFonts w:asciiTheme="minorHAnsi" w:hAnsiTheme="minorHAnsi" w:cs="Times New Roman"/>
          <w:color w:val="auto"/>
          <w:sz w:val="22"/>
          <w:lang w:val="en-US" w:eastAsia="en-US"/>
        </w:rPr>
      </w:pPr>
      <w:r w:rsidRPr="00A454EA">
        <w:rPr>
          <w:rFonts w:asciiTheme="minorHAnsi" w:hAnsiTheme="minorHAnsi" w:cs="Times New Roman"/>
          <w:color w:val="auto"/>
          <w:sz w:val="22"/>
          <w:lang w:val="en-US" w:eastAsia="en-US"/>
        </w:rPr>
        <w:t>Expansion and evaluation of the online parent-led platform to other common mental health conditions in CYP (initially childhood OCD) and mixed-methods usability testing.</w:t>
      </w:r>
    </w:p>
    <w:p w:rsidR="00A454EA" w:rsidRPr="00A454EA" w:rsidRDefault="00A454EA" w:rsidP="0017480B">
      <w:pPr>
        <w:pStyle w:val="ListParagraph"/>
        <w:numPr>
          <w:ilvl w:val="0"/>
          <w:numId w:val="41"/>
        </w:numPr>
        <w:autoSpaceDE w:val="0"/>
        <w:autoSpaceDN w:val="0"/>
        <w:adjustRightInd w:val="0"/>
        <w:spacing w:before="0" w:after="0"/>
        <w:contextualSpacing/>
        <w:jc w:val="left"/>
      </w:pPr>
      <w:r w:rsidRPr="00A454EA">
        <w:t xml:space="preserve">Clinical decision support tool to </w:t>
      </w:r>
      <w:proofErr w:type="spellStart"/>
      <w:r w:rsidRPr="00A454EA">
        <w:t>personalise</w:t>
      </w:r>
      <w:proofErr w:type="spellEnd"/>
      <w:r w:rsidRPr="00A454EA">
        <w:t xml:space="preserve"> internet-delivered cognitive-behavioral therapy (</w:t>
      </w:r>
      <w:proofErr w:type="spellStart"/>
      <w:r w:rsidRPr="00A454EA">
        <w:t>iCBT</w:t>
      </w:r>
      <w:proofErr w:type="spellEnd"/>
      <w:r w:rsidRPr="00A454EA">
        <w:t xml:space="preserve">) for depression. </w:t>
      </w:r>
    </w:p>
    <w:p w:rsidR="00A454EA" w:rsidRPr="00A454EA" w:rsidRDefault="00A454EA" w:rsidP="0017480B">
      <w:pPr>
        <w:pStyle w:val="ListParagraph"/>
        <w:numPr>
          <w:ilvl w:val="0"/>
          <w:numId w:val="42"/>
        </w:numPr>
        <w:autoSpaceDE w:val="0"/>
        <w:autoSpaceDN w:val="0"/>
        <w:adjustRightInd w:val="0"/>
        <w:spacing w:before="0" w:after="0"/>
        <w:contextualSpacing/>
        <w:jc w:val="left"/>
      </w:pPr>
      <w:r w:rsidRPr="00A454EA">
        <w:t>Development of an internet-based system to help individual patients and clinicians choose the best intervention by considering the efficacy and adverse effects of pharmacological and psychological interventions.</w:t>
      </w:r>
    </w:p>
    <w:p w:rsidR="00A454EA" w:rsidRPr="00A454EA" w:rsidRDefault="00A454EA" w:rsidP="0017480B">
      <w:pPr>
        <w:pStyle w:val="ListParagraph"/>
        <w:numPr>
          <w:ilvl w:val="0"/>
          <w:numId w:val="42"/>
        </w:numPr>
        <w:autoSpaceDE w:val="0"/>
        <w:autoSpaceDN w:val="0"/>
        <w:adjustRightInd w:val="0"/>
        <w:spacing w:before="0" w:after="0"/>
        <w:contextualSpacing/>
        <w:jc w:val="left"/>
      </w:pPr>
      <w:r w:rsidRPr="00A454EA">
        <w:t xml:space="preserve">Risk assessment. Review prognostic models in CYP and </w:t>
      </w:r>
      <w:proofErr w:type="spellStart"/>
      <w:r w:rsidRPr="00A454EA">
        <w:t>synthesise</w:t>
      </w:r>
      <w:proofErr w:type="spellEnd"/>
      <w:r w:rsidRPr="00A454EA">
        <w:t xml:space="preserve"> current clinical prediction rules following self-harm and suicidal ideation. Model the impact of integrating risk assessment tools compared to usual practice. We will work closely with local Future in Mind teams across the region to develop to further support this local public health priority area (self-harm)</w:t>
      </w:r>
    </w:p>
    <w:p w:rsidR="00A454EA" w:rsidRPr="00A454EA" w:rsidRDefault="00A454EA" w:rsidP="0017480B">
      <w:pPr>
        <w:pStyle w:val="ListParagraph"/>
        <w:numPr>
          <w:ilvl w:val="0"/>
          <w:numId w:val="42"/>
        </w:numPr>
        <w:autoSpaceDE w:val="0"/>
        <w:autoSpaceDN w:val="0"/>
        <w:adjustRightInd w:val="0"/>
        <w:spacing w:before="0" w:after="0"/>
        <w:contextualSpacing/>
        <w:jc w:val="left"/>
      </w:pPr>
      <w:r w:rsidRPr="00A454EA">
        <w:t>Establish how best to target care for comorbid mental illness in older medical inpatients by describing prevalence and associations of depression, anxiety and cognitive impairment, frequency of referrals to liaison psychiatry, and the implementation, cost-effectiveness and, if resources allow, social care outcomes of a targeted intervention (building on the NIHR-funded HOME Study).</w:t>
      </w:r>
    </w:p>
    <w:p w:rsidR="00A454EA" w:rsidRPr="00A454EA" w:rsidRDefault="00A454EA" w:rsidP="00A454EA">
      <w:pPr>
        <w:pStyle w:val="Default"/>
        <w:rPr>
          <w:rFonts w:asciiTheme="minorHAnsi" w:hAnsiTheme="minorHAnsi" w:cs="Times New Roman"/>
          <w:color w:val="auto"/>
          <w:sz w:val="22"/>
          <w:lang w:val="en-US" w:eastAsia="en-US"/>
        </w:rPr>
      </w:pPr>
    </w:p>
    <w:p w:rsidR="00A454EA" w:rsidRPr="001470DA" w:rsidRDefault="00A454EA" w:rsidP="00156856">
      <w:pPr>
        <w:pStyle w:val="Default"/>
        <w:spacing w:after="120"/>
        <w:ind w:left="720" w:hanging="720"/>
        <w:rPr>
          <w:rFonts w:asciiTheme="minorHAnsi" w:eastAsiaTheme="majorEastAsia" w:hAnsiTheme="minorHAnsi" w:cstheme="majorBidi"/>
          <w:b/>
          <w:bCs/>
          <w:iCs/>
          <w:color w:val="auto"/>
          <w:lang w:val="en-US" w:eastAsia="en-US"/>
        </w:rPr>
      </w:pPr>
      <w:r w:rsidRPr="001470DA">
        <w:rPr>
          <w:rFonts w:asciiTheme="minorHAnsi" w:eastAsiaTheme="majorEastAsia" w:hAnsiTheme="minorHAnsi" w:cstheme="majorBidi"/>
          <w:b/>
          <w:bCs/>
          <w:iCs/>
          <w:color w:val="auto"/>
          <w:lang w:val="en-US" w:eastAsia="en-US"/>
        </w:rPr>
        <w:t>Community Health and Social Care Improvement</w:t>
      </w:r>
      <w:r w:rsidR="00FC2E49" w:rsidRPr="001470DA">
        <w:rPr>
          <w:rFonts w:asciiTheme="minorHAnsi" w:eastAsiaTheme="majorEastAsia" w:hAnsiTheme="minorHAnsi" w:cstheme="majorBidi"/>
          <w:b/>
          <w:bCs/>
          <w:iCs/>
          <w:color w:val="auto"/>
          <w:lang w:val="en-US" w:eastAsia="en-US"/>
        </w:rPr>
        <w:t xml:space="preserve"> (Theme Lead: </w:t>
      </w:r>
      <w:hyperlink r:id="rId23" w:history="1">
        <w:r w:rsidRPr="001470DA">
          <w:rPr>
            <w:rFonts w:asciiTheme="minorHAnsi" w:eastAsiaTheme="majorEastAsia" w:hAnsiTheme="minorHAnsi" w:cstheme="majorBidi"/>
            <w:b/>
            <w:bCs/>
            <w:iCs/>
            <w:color w:val="auto"/>
            <w:lang w:val="en-US" w:eastAsia="en-US"/>
          </w:rPr>
          <w:t>Prof Ray Fitzpatrick</w:t>
        </w:r>
      </w:hyperlink>
      <w:r w:rsidR="00FC2E49" w:rsidRPr="001470DA">
        <w:rPr>
          <w:rFonts w:asciiTheme="minorHAnsi" w:eastAsiaTheme="majorEastAsia" w:hAnsiTheme="minorHAnsi" w:cstheme="majorBidi"/>
          <w:b/>
          <w:bCs/>
          <w:iCs/>
          <w:color w:val="auto"/>
          <w:lang w:val="en-US" w:eastAsia="en-US"/>
        </w:rPr>
        <w:t>)</w:t>
      </w:r>
    </w:p>
    <w:p w:rsidR="00A454EA" w:rsidRPr="00A454EA" w:rsidRDefault="00A454EA" w:rsidP="00A454EA">
      <w:pPr>
        <w:pStyle w:val="Default"/>
        <w:rPr>
          <w:rFonts w:asciiTheme="minorHAnsi" w:hAnsiTheme="minorHAnsi" w:cs="Times New Roman"/>
          <w:color w:val="auto"/>
          <w:sz w:val="22"/>
          <w:lang w:val="en-US" w:eastAsia="en-US"/>
        </w:rPr>
      </w:pPr>
      <w:r w:rsidRPr="00A454EA">
        <w:rPr>
          <w:rFonts w:asciiTheme="minorHAnsi" w:hAnsiTheme="minorHAnsi" w:cs="Times New Roman"/>
          <w:color w:val="auto"/>
          <w:sz w:val="22"/>
          <w:lang w:val="en-US" w:eastAsia="en-US"/>
        </w:rPr>
        <w:t xml:space="preserve">This theme brings together three research teams with expertise in population health, healthcare improvement and musculoskeletal conditions improvement and in the investigation and evaluation of </w:t>
      </w:r>
      <w:proofErr w:type="gramStart"/>
      <w:r w:rsidRPr="00A454EA">
        <w:rPr>
          <w:rFonts w:asciiTheme="minorHAnsi" w:hAnsiTheme="minorHAnsi" w:cs="Times New Roman"/>
          <w:color w:val="auto"/>
          <w:sz w:val="22"/>
          <w:lang w:val="en-US" w:eastAsia="en-US"/>
        </w:rPr>
        <w:t>long term</w:t>
      </w:r>
      <w:proofErr w:type="gramEnd"/>
      <w:r w:rsidRPr="00A454EA">
        <w:rPr>
          <w:rFonts w:asciiTheme="minorHAnsi" w:hAnsiTheme="minorHAnsi" w:cs="Times New Roman"/>
          <w:color w:val="auto"/>
          <w:sz w:val="22"/>
          <w:lang w:val="en-US" w:eastAsia="en-US"/>
        </w:rPr>
        <w:t xml:space="preserve"> conditions. Its overarching aims; to alleviate the burden of disability and health inequality and to </w:t>
      </w:r>
      <w:r w:rsidRPr="00A454EA">
        <w:rPr>
          <w:rFonts w:asciiTheme="minorHAnsi" w:hAnsiTheme="minorHAnsi" w:cs="Times New Roman"/>
          <w:color w:val="auto"/>
          <w:sz w:val="22"/>
          <w:lang w:val="en-US" w:eastAsia="en-US"/>
        </w:rPr>
        <w:lastRenderedPageBreak/>
        <w:t>investigate the impact of clusters of disease involving the musculoskeletal system conditions in the profile of multi-morbidity of older people</w:t>
      </w:r>
    </w:p>
    <w:p w:rsidR="00A454EA" w:rsidRPr="00A454EA" w:rsidRDefault="00A454EA" w:rsidP="00A454EA">
      <w:pPr>
        <w:pStyle w:val="Default"/>
        <w:rPr>
          <w:rFonts w:asciiTheme="minorHAnsi" w:hAnsiTheme="minorHAnsi" w:cs="Times New Roman"/>
          <w:color w:val="auto"/>
          <w:sz w:val="22"/>
          <w:lang w:val="en-US" w:eastAsia="en-US"/>
        </w:rPr>
      </w:pPr>
    </w:p>
    <w:p w:rsidR="00A454EA" w:rsidRPr="00A454EA" w:rsidRDefault="00A454EA" w:rsidP="0017480B">
      <w:pPr>
        <w:pStyle w:val="ListParagraph"/>
        <w:numPr>
          <w:ilvl w:val="0"/>
          <w:numId w:val="43"/>
        </w:numPr>
        <w:autoSpaceDE w:val="0"/>
        <w:autoSpaceDN w:val="0"/>
        <w:adjustRightInd w:val="0"/>
        <w:spacing w:before="0" w:after="0"/>
        <w:contextualSpacing/>
        <w:jc w:val="left"/>
      </w:pPr>
      <w:r w:rsidRPr="00A454EA">
        <w:t xml:space="preserve">Supporting </w:t>
      </w:r>
      <w:proofErr w:type="spellStart"/>
      <w:r w:rsidRPr="00A454EA">
        <w:t>carers</w:t>
      </w:r>
      <w:proofErr w:type="spellEnd"/>
      <w:r w:rsidRPr="00A454EA">
        <w:t xml:space="preserve"> of individuals with cognitive impairments or dementia. We have been working with memory clinics in the Thames Valley to explore the role of quality of life assessment for both patients and </w:t>
      </w:r>
      <w:proofErr w:type="spellStart"/>
      <w:r w:rsidRPr="00A454EA">
        <w:t>carers</w:t>
      </w:r>
      <w:proofErr w:type="spellEnd"/>
    </w:p>
    <w:p w:rsidR="00A454EA" w:rsidRPr="00A454EA" w:rsidRDefault="00A454EA" w:rsidP="0017480B">
      <w:pPr>
        <w:pStyle w:val="ListParagraph"/>
        <w:numPr>
          <w:ilvl w:val="0"/>
          <w:numId w:val="43"/>
        </w:numPr>
        <w:autoSpaceDE w:val="0"/>
        <w:autoSpaceDN w:val="0"/>
        <w:adjustRightInd w:val="0"/>
        <w:spacing w:before="0" w:after="0"/>
        <w:contextualSpacing/>
        <w:jc w:val="left"/>
      </w:pPr>
      <w:r w:rsidRPr="00A454EA">
        <w:t xml:space="preserve">Evaluation of a new family safe-guarding service piloted by Oxfordshire County Council </w:t>
      </w:r>
      <w:proofErr w:type="spellStart"/>
      <w:r w:rsidRPr="00A454EA">
        <w:t>Childrens</w:t>
      </w:r>
      <w:proofErr w:type="spellEnd"/>
      <w:r w:rsidRPr="00A454EA">
        <w:t xml:space="preserve">’ Services to protect vulnerable children. </w:t>
      </w:r>
    </w:p>
    <w:p w:rsidR="00A454EA" w:rsidRPr="00A454EA" w:rsidRDefault="00A454EA" w:rsidP="0017480B">
      <w:pPr>
        <w:pStyle w:val="ListParagraph"/>
        <w:numPr>
          <w:ilvl w:val="0"/>
          <w:numId w:val="43"/>
        </w:numPr>
        <w:autoSpaceDE w:val="0"/>
        <w:autoSpaceDN w:val="0"/>
        <w:adjustRightInd w:val="0"/>
        <w:spacing w:before="0" w:after="0"/>
        <w:contextualSpacing/>
        <w:jc w:val="left"/>
      </w:pPr>
      <w:r w:rsidRPr="00A454EA">
        <w:t xml:space="preserve">Care and support planning for long term conditions with key component of the Buckinghamshire Integrated Care System will be extending use and impact of care planning. </w:t>
      </w:r>
    </w:p>
    <w:p w:rsidR="00A454EA" w:rsidRPr="00A454EA" w:rsidRDefault="00A454EA" w:rsidP="0017480B">
      <w:pPr>
        <w:pStyle w:val="ListParagraph"/>
        <w:numPr>
          <w:ilvl w:val="0"/>
          <w:numId w:val="43"/>
        </w:numPr>
        <w:autoSpaceDE w:val="0"/>
        <w:autoSpaceDN w:val="0"/>
        <w:adjustRightInd w:val="0"/>
        <w:spacing w:before="0" w:after="0"/>
        <w:contextualSpacing/>
        <w:jc w:val="left"/>
      </w:pPr>
      <w:r w:rsidRPr="00A454EA">
        <w:t xml:space="preserve">Falls prevention feasibility study for older people. ‘Dance to Health’ is a community-based charity (Arts Enterprise with a Social Purpose). </w:t>
      </w:r>
    </w:p>
    <w:p w:rsidR="00A454EA" w:rsidRPr="00A454EA" w:rsidRDefault="00A454EA" w:rsidP="0017480B">
      <w:pPr>
        <w:pStyle w:val="ListParagraph"/>
        <w:numPr>
          <w:ilvl w:val="0"/>
          <w:numId w:val="43"/>
        </w:numPr>
        <w:autoSpaceDE w:val="0"/>
        <w:autoSpaceDN w:val="0"/>
        <w:adjustRightInd w:val="0"/>
        <w:spacing w:before="0" w:after="0"/>
        <w:contextualSpacing/>
        <w:jc w:val="left"/>
      </w:pPr>
      <w:r w:rsidRPr="00A454EA">
        <w:t xml:space="preserve">Outcomes-based service development using the </w:t>
      </w:r>
      <w:proofErr w:type="gramStart"/>
      <w:r w:rsidRPr="00A454EA">
        <w:t>Long Term</w:t>
      </w:r>
      <w:proofErr w:type="gramEnd"/>
      <w:r w:rsidRPr="00A454EA">
        <w:t xml:space="preserve"> Conditions Questionnaire, developed and evaluated jointly with Personal Social Services Research Unit (PSSRU) to assess perceived needs and well-being across health and social care. Co-ordinating and supporting a learning set of users (clinicians, managers, commissioners) of this and related tools to establish targeted methods of assessment and outcome evaluation in routine clinical practice.</w:t>
      </w:r>
    </w:p>
    <w:p w:rsidR="00A454EA" w:rsidRPr="00A454EA" w:rsidRDefault="00A454EA" w:rsidP="00A454EA">
      <w:pPr>
        <w:pStyle w:val="Default"/>
        <w:rPr>
          <w:rFonts w:asciiTheme="minorHAnsi" w:hAnsiTheme="minorHAnsi" w:cs="Times New Roman"/>
          <w:color w:val="auto"/>
          <w:sz w:val="22"/>
          <w:lang w:val="en-US" w:eastAsia="en-US"/>
        </w:rPr>
      </w:pPr>
    </w:p>
    <w:p w:rsidR="00A454EA" w:rsidRPr="00FC2E49" w:rsidRDefault="00A454EA" w:rsidP="00156856">
      <w:pPr>
        <w:pStyle w:val="Default"/>
        <w:spacing w:after="120"/>
        <w:ind w:left="720" w:hanging="720"/>
        <w:rPr>
          <w:rFonts w:asciiTheme="minorHAnsi" w:eastAsiaTheme="majorEastAsia" w:hAnsiTheme="minorHAnsi" w:cstheme="majorBidi"/>
          <w:b/>
          <w:bCs/>
          <w:iCs/>
          <w:color w:val="auto"/>
          <w:sz w:val="22"/>
          <w:szCs w:val="22"/>
          <w:lang w:val="en-US" w:eastAsia="en-US"/>
        </w:rPr>
      </w:pPr>
      <w:r w:rsidRPr="00FC2E49">
        <w:rPr>
          <w:rFonts w:asciiTheme="minorHAnsi" w:eastAsiaTheme="majorEastAsia" w:hAnsiTheme="minorHAnsi" w:cstheme="majorBidi"/>
          <w:b/>
          <w:bCs/>
          <w:iCs/>
          <w:color w:val="auto"/>
          <w:sz w:val="22"/>
          <w:szCs w:val="22"/>
          <w:lang w:val="en-US" w:eastAsia="en-US"/>
        </w:rPr>
        <w:t xml:space="preserve">Applied Digital Health </w:t>
      </w:r>
      <w:r w:rsidR="00FC2E49">
        <w:rPr>
          <w:rFonts w:asciiTheme="minorHAnsi" w:eastAsiaTheme="majorEastAsia" w:hAnsiTheme="minorHAnsi" w:cstheme="majorBidi"/>
          <w:b/>
          <w:bCs/>
          <w:iCs/>
          <w:color w:val="auto"/>
          <w:sz w:val="22"/>
          <w:szCs w:val="22"/>
          <w:lang w:val="en-US" w:eastAsia="en-US"/>
        </w:rPr>
        <w:t xml:space="preserve">(Theme Lead: </w:t>
      </w:r>
      <w:hyperlink r:id="rId24" w:history="1">
        <w:r w:rsidRPr="00FC2E49">
          <w:rPr>
            <w:rFonts w:asciiTheme="minorHAnsi" w:eastAsiaTheme="majorEastAsia" w:hAnsiTheme="minorHAnsi" w:cstheme="majorBidi"/>
            <w:b/>
            <w:bCs/>
            <w:iCs/>
            <w:color w:val="auto"/>
            <w:sz w:val="22"/>
            <w:szCs w:val="22"/>
            <w:lang w:val="en-US" w:eastAsia="en-US"/>
          </w:rPr>
          <w:t>Prof John Powell</w:t>
        </w:r>
      </w:hyperlink>
      <w:r w:rsidR="00FC2E49">
        <w:rPr>
          <w:rFonts w:asciiTheme="minorHAnsi" w:eastAsiaTheme="majorEastAsia" w:hAnsiTheme="minorHAnsi" w:cstheme="majorBidi"/>
          <w:b/>
          <w:bCs/>
          <w:iCs/>
          <w:color w:val="auto"/>
          <w:sz w:val="22"/>
          <w:szCs w:val="22"/>
          <w:lang w:val="en-US" w:eastAsia="en-US"/>
        </w:rPr>
        <w:t>)</w:t>
      </w:r>
    </w:p>
    <w:p w:rsidR="00A454EA" w:rsidRPr="00A454EA" w:rsidRDefault="00A454EA" w:rsidP="00A454EA">
      <w:pPr>
        <w:pStyle w:val="Default"/>
        <w:rPr>
          <w:rFonts w:asciiTheme="minorHAnsi" w:hAnsiTheme="minorHAnsi" w:cs="Times New Roman"/>
          <w:color w:val="auto"/>
          <w:sz w:val="22"/>
          <w:lang w:val="en-US" w:eastAsia="en-US"/>
        </w:rPr>
      </w:pPr>
      <w:r w:rsidRPr="00A454EA">
        <w:rPr>
          <w:rFonts w:asciiTheme="minorHAnsi" w:hAnsiTheme="minorHAnsi" w:cs="Times New Roman"/>
          <w:color w:val="auto"/>
          <w:sz w:val="22"/>
          <w:lang w:val="en-US" w:eastAsia="en-US"/>
        </w:rPr>
        <w:t xml:space="preserve">A new theme for </w:t>
      </w:r>
      <w:proofErr w:type="spellStart"/>
      <w:r w:rsidRPr="00A454EA">
        <w:rPr>
          <w:rFonts w:asciiTheme="minorHAnsi" w:hAnsiTheme="minorHAnsi" w:cs="Times New Roman"/>
          <w:color w:val="auto"/>
          <w:sz w:val="22"/>
          <w:lang w:val="en-US" w:eastAsia="en-US"/>
        </w:rPr>
        <w:t>OxTV</w:t>
      </w:r>
      <w:proofErr w:type="spellEnd"/>
      <w:r w:rsidRPr="00A454EA">
        <w:rPr>
          <w:rFonts w:asciiTheme="minorHAnsi" w:hAnsiTheme="minorHAnsi" w:cs="Times New Roman"/>
          <w:color w:val="auto"/>
          <w:sz w:val="22"/>
          <w:lang w:val="en-US" w:eastAsia="en-US"/>
        </w:rPr>
        <w:t xml:space="preserve"> ARC, to be based on a major new investment and complement the existing Big Data Institute. It will develop and evaluate tools to reduce the variation in healthcare performance by modelling predictive associations between multimorbidity and outcomes to target interventions including:</w:t>
      </w:r>
    </w:p>
    <w:p w:rsidR="00A454EA" w:rsidRPr="00A454EA" w:rsidRDefault="00A454EA" w:rsidP="00A454EA">
      <w:pPr>
        <w:pStyle w:val="Default"/>
        <w:rPr>
          <w:rFonts w:asciiTheme="minorHAnsi" w:hAnsiTheme="minorHAnsi" w:cs="Times New Roman"/>
          <w:color w:val="auto"/>
          <w:sz w:val="22"/>
          <w:lang w:val="en-US" w:eastAsia="en-US"/>
        </w:rPr>
      </w:pPr>
    </w:p>
    <w:p w:rsidR="00A454EA" w:rsidRPr="00A454EA" w:rsidRDefault="00A454EA" w:rsidP="0017480B">
      <w:pPr>
        <w:pStyle w:val="ListParagraph"/>
        <w:numPr>
          <w:ilvl w:val="0"/>
          <w:numId w:val="44"/>
        </w:numPr>
        <w:autoSpaceDE w:val="0"/>
        <w:autoSpaceDN w:val="0"/>
        <w:adjustRightInd w:val="0"/>
        <w:spacing w:before="0" w:after="0"/>
        <w:contextualSpacing/>
        <w:jc w:val="left"/>
      </w:pPr>
      <w:r w:rsidRPr="00A454EA">
        <w:t>Improve prescribing</w:t>
      </w:r>
      <w:r>
        <w:t xml:space="preserve"> The EBM </w:t>
      </w:r>
      <w:proofErr w:type="spellStart"/>
      <w:r>
        <w:t>DataLab</w:t>
      </w:r>
      <w:proofErr w:type="spellEnd"/>
      <w:r>
        <w:t xml:space="preserve"> team will develop and evaluate their evolving portfolio of digital tools through collaborative working of clinicians, researchers, software engineers, and patients, aiming to reduce unwarranted variations in prescribing practice. </w:t>
      </w:r>
    </w:p>
    <w:p w:rsidR="00A454EA" w:rsidRDefault="00A454EA" w:rsidP="0017480B">
      <w:pPr>
        <w:pStyle w:val="ListParagraph"/>
        <w:numPr>
          <w:ilvl w:val="0"/>
          <w:numId w:val="44"/>
        </w:numPr>
        <w:autoSpaceDE w:val="0"/>
        <w:autoSpaceDN w:val="0"/>
        <w:adjustRightInd w:val="0"/>
        <w:spacing w:before="0" w:after="0"/>
        <w:contextualSpacing/>
        <w:jc w:val="left"/>
      </w:pPr>
      <w:r w:rsidRPr="00A454EA">
        <w:t>Prediction tools to inform service planning</w:t>
      </w:r>
      <w:r>
        <w:t xml:space="preserve">. The CPRD team will use primary care record data to examine ten-year trends in complexity and consultation indices and develop tools to estimate and predict health service utilisation and clinical outcomes. This work will be significantly strengthened by the recent migration of </w:t>
      </w:r>
      <w:proofErr w:type="spellStart"/>
      <w:r>
        <w:t>QResearch</w:t>
      </w:r>
      <w:proofErr w:type="spellEnd"/>
      <w:r>
        <w:t xml:space="preserve"> (EMIS data) to Oxford.</w:t>
      </w:r>
    </w:p>
    <w:p w:rsidR="00A454EA" w:rsidRPr="00A454EA" w:rsidRDefault="00A454EA" w:rsidP="0017480B">
      <w:pPr>
        <w:pStyle w:val="ListParagraph"/>
        <w:numPr>
          <w:ilvl w:val="0"/>
          <w:numId w:val="44"/>
        </w:numPr>
        <w:autoSpaceDE w:val="0"/>
        <w:autoSpaceDN w:val="0"/>
        <w:adjustRightInd w:val="0"/>
        <w:spacing w:before="0" w:after="0"/>
        <w:contextualSpacing/>
        <w:jc w:val="left"/>
      </w:pPr>
      <w:r w:rsidRPr="00A454EA">
        <w:t xml:space="preserve">Vigilance for patient safety following surgery </w:t>
      </w:r>
      <w:r>
        <w:t xml:space="preserve">The Baroness </w:t>
      </w:r>
      <w:proofErr w:type="spellStart"/>
      <w:r>
        <w:t>Cumberlege</w:t>
      </w:r>
      <w:proofErr w:type="spellEnd"/>
      <w:r>
        <w:t xml:space="preserve"> review and </w:t>
      </w:r>
      <w:proofErr w:type="gramStart"/>
      <w:r>
        <w:t>high profile</w:t>
      </w:r>
      <w:proofErr w:type="gramEnd"/>
      <w:r>
        <w:t xml:space="preserve"> safety concerns, such as those with vaginal mesh implants, require there to be more evidence, improved vigilance and better </w:t>
      </w:r>
      <w:r w:rsidRPr="00A454EA">
        <w:t>long term follow up for patients with surgical and other interventional procedures. This work stream responds to patient concerns and will have a direct impact on national policy through our strong links to the NICE Interventional Procedures programme.</w:t>
      </w:r>
    </w:p>
    <w:p w:rsidR="00A454EA" w:rsidRPr="00A454EA" w:rsidRDefault="00A454EA" w:rsidP="0017480B">
      <w:pPr>
        <w:pStyle w:val="ListParagraph"/>
        <w:numPr>
          <w:ilvl w:val="0"/>
          <w:numId w:val="44"/>
        </w:numPr>
        <w:autoSpaceDE w:val="0"/>
        <w:autoSpaceDN w:val="0"/>
        <w:adjustRightInd w:val="0"/>
        <w:spacing w:before="0" w:after="160"/>
        <w:contextualSpacing/>
        <w:jc w:val="left"/>
      </w:pPr>
      <w:r w:rsidRPr="00A454EA">
        <w:t>Crosscutting work with research and implementation themes</w:t>
      </w:r>
      <w:r>
        <w:t xml:space="preserve"> This includes work with self-management and mental health on the development, evaluations and local implementation of patient-facing digital health tools. This is an area of huge interest to public health in local councils. Further to this we will support and collaborate with Oxfordshire Council in its application to the Social Care Digital Innovation Programme for a bid around older people and self-care.</w:t>
      </w:r>
    </w:p>
    <w:p w:rsidR="00A454EA" w:rsidRDefault="00A454EA" w:rsidP="00A454EA">
      <w:pPr>
        <w:pStyle w:val="ListParagraph"/>
        <w:autoSpaceDE w:val="0"/>
        <w:autoSpaceDN w:val="0"/>
        <w:adjustRightInd w:val="0"/>
        <w:spacing w:after="0"/>
      </w:pPr>
    </w:p>
    <w:p w:rsidR="00A454EA" w:rsidRPr="001470DA" w:rsidRDefault="00A454EA" w:rsidP="00156856">
      <w:pPr>
        <w:pStyle w:val="Default"/>
        <w:spacing w:after="120"/>
        <w:rPr>
          <w:rFonts w:asciiTheme="minorHAnsi" w:eastAsiaTheme="majorEastAsia" w:hAnsiTheme="minorHAnsi" w:cstheme="majorBidi"/>
          <w:b/>
          <w:bCs/>
          <w:iCs/>
          <w:color w:val="auto"/>
          <w:lang w:val="en-US" w:eastAsia="en-US"/>
        </w:rPr>
      </w:pPr>
      <w:r w:rsidRPr="001470DA">
        <w:rPr>
          <w:rFonts w:asciiTheme="minorHAnsi" w:eastAsiaTheme="majorEastAsia" w:hAnsiTheme="minorHAnsi" w:cstheme="majorBidi"/>
          <w:b/>
          <w:bCs/>
          <w:iCs/>
          <w:color w:val="auto"/>
          <w:lang w:val="en-US" w:eastAsia="en-US"/>
        </w:rPr>
        <w:t>Novel Methods to Aid and Evaluate Implementation</w:t>
      </w:r>
      <w:r w:rsidR="00FC2E49" w:rsidRPr="001470DA">
        <w:rPr>
          <w:rFonts w:asciiTheme="minorHAnsi" w:eastAsiaTheme="majorEastAsia" w:hAnsiTheme="minorHAnsi" w:cstheme="majorBidi"/>
          <w:b/>
          <w:bCs/>
          <w:iCs/>
          <w:color w:val="auto"/>
          <w:lang w:val="en-US" w:eastAsia="en-US"/>
        </w:rPr>
        <w:t xml:space="preserve"> (Theme Lead: </w:t>
      </w:r>
      <w:hyperlink r:id="rId25" w:history="1">
        <w:r w:rsidRPr="001470DA">
          <w:rPr>
            <w:rFonts w:asciiTheme="minorHAnsi" w:eastAsiaTheme="majorEastAsia" w:hAnsiTheme="minorHAnsi" w:cstheme="majorBidi"/>
            <w:b/>
            <w:bCs/>
            <w:iCs/>
            <w:color w:val="auto"/>
            <w:lang w:val="en-US" w:eastAsia="en-US"/>
          </w:rPr>
          <w:t xml:space="preserve">Prof Rafael </w:t>
        </w:r>
        <w:proofErr w:type="spellStart"/>
        <w:r w:rsidRPr="001470DA">
          <w:rPr>
            <w:rFonts w:asciiTheme="minorHAnsi" w:eastAsiaTheme="majorEastAsia" w:hAnsiTheme="minorHAnsi" w:cstheme="majorBidi"/>
            <w:b/>
            <w:bCs/>
            <w:iCs/>
            <w:color w:val="auto"/>
            <w:lang w:val="en-US" w:eastAsia="en-US"/>
          </w:rPr>
          <w:t>Perera</w:t>
        </w:r>
        <w:proofErr w:type="spellEnd"/>
        <w:r w:rsidRPr="001470DA">
          <w:rPr>
            <w:rFonts w:asciiTheme="minorHAnsi" w:eastAsiaTheme="majorEastAsia" w:hAnsiTheme="minorHAnsi" w:cstheme="majorBidi"/>
            <w:b/>
            <w:bCs/>
            <w:iCs/>
            <w:color w:val="auto"/>
            <w:lang w:val="en-US" w:eastAsia="en-US"/>
          </w:rPr>
          <w:t>-Salazar</w:t>
        </w:r>
      </w:hyperlink>
      <w:r w:rsidR="00FC2E49" w:rsidRPr="001470DA">
        <w:rPr>
          <w:rFonts w:asciiTheme="minorHAnsi" w:eastAsiaTheme="majorEastAsia" w:hAnsiTheme="minorHAnsi" w:cstheme="majorBidi"/>
          <w:b/>
          <w:bCs/>
          <w:iCs/>
          <w:color w:val="auto"/>
          <w:lang w:val="en-US" w:eastAsia="en-US"/>
        </w:rPr>
        <w:t>)</w:t>
      </w:r>
    </w:p>
    <w:p w:rsidR="00A454EA" w:rsidRPr="00A454EA" w:rsidRDefault="00A454EA" w:rsidP="00A454EA">
      <w:pPr>
        <w:pStyle w:val="Default"/>
        <w:rPr>
          <w:rFonts w:asciiTheme="minorHAnsi" w:hAnsiTheme="minorHAnsi" w:cs="Times New Roman"/>
          <w:color w:val="auto"/>
          <w:sz w:val="22"/>
          <w:lang w:val="en-US" w:eastAsia="en-US"/>
        </w:rPr>
      </w:pPr>
      <w:r w:rsidRPr="00A454EA">
        <w:rPr>
          <w:rFonts w:asciiTheme="minorHAnsi" w:hAnsiTheme="minorHAnsi" w:cs="Times New Roman"/>
          <w:color w:val="auto"/>
          <w:sz w:val="22"/>
          <w:lang w:val="en-US" w:eastAsia="en-US"/>
        </w:rPr>
        <w:t xml:space="preserve">A cross cutting theme will provide access to expertise in health economics, medical statistics, computing science and qualitative methods across the ARC. In </w:t>
      </w:r>
      <w:proofErr w:type="gramStart"/>
      <w:r w:rsidRPr="00A454EA">
        <w:rPr>
          <w:rFonts w:asciiTheme="minorHAnsi" w:hAnsiTheme="minorHAnsi" w:cs="Times New Roman"/>
          <w:color w:val="auto"/>
          <w:sz w:val="22"/>
          <w:lang w:val="en-US" w:eastAsia="en-US"/>
        </w:rPr>
        <w:t>addition</w:t>
      </w:r>
      <w:proofErr w:type="gramEnd"/>
      <w:r w:rsidRPr="00A454EA">
        <w:rPr>
          <w:rFonts w:asciiTheme="minorHAnsi" w:hAnsiTheme="minorHAnsi" w:cs="Times New Roman"/>
          <w:color w:val="auto"/>
          <w:sz w:val="22"/>
          <w:lang w:val="en-US" w:eastAsia="en-US"/>
        </w:rPr>
        <w:t xml:space="preserve"> it will </w:t>
      </w:r>
    </w:p>
    <w:p w:rsidR="00A454EA" w:rsidRPr="00A454EA" w:rsidRDefault="00A454EA" w:rsidP="0017480B">
      <w:pPr>
        <w:pStyle w:val="ListParagraph"/>
        <w:numPr>
          <w:ilvl w:val="0"/>
          <w:numId w:val="45"/>
        </w:numPr>
        <w:autoSpaceDE w:val="0"/>
        <w:autoSpaceDN w:val="0"/>
        <w:adjustRightInd w:val="0"/>
        <w:spacing w:before="0" w:after="0"/>
        <w:contextualSpacing/>
        <w:jc w:val="left"/>
      </w:pPr>
      <w:r w:rsidRPr="00A454EA">
        <w:t xml:space="preserve">Develop or tailor new methods to deliver or evaluate the implementation of interventions, service delivery or new tools (e.g. POC test, digital tools, etc.) through statisticians, data scientists, software engineers, and health economists working collaboratively with clinicians, other health practitioners, and patients. </w:t>
      </w:r>
    </w:p>
    <w:p w:rsidR="00A454EA" w:rsidRPr="00A454EA" w:rsidRDefault="00A454EA" w:rsidP="0017480B">
      <w:pPr>
        <w:pStyle w:val="ListParagraph"/>
        <w:numPr>
          <w:ilvl w:val="0"/>
          <w:numId w:val="45"/>
        </w:numPr>
        <w:autoSpaceDE w:val="0"/>
        <w:autoSpaceDN w:val="0"/>
        <w:adjustRightInd w:val="0"/>
        <w:spacing w:before="0" w:after="0"/>
        <w:contextualSpacing/>
        <w:jc w:val="left"/>
      </w:pPr>
      <w:r w:rsidRPr="00A454EA">
        <w:lastRenderedPageBreak/>
        <w:t>Consolidate our position as a centre for excellence in developing and tailoring new methods to support and improve NIHR infrastructure and the NHS.</w:t>
      </w:r>
    </w:p>
    <w:p w:rsidR="00A454EA" w:rsidRDefault="00A454EA" w:rsidP="00A454EA">
      <w:pPr>
        <w:pStyle w:val="Default"/>
        <w:rPr>
          <w:rFonts w:ascii="Calibri" w:hAnsi="Calibri" w:cs="Calibri"/>
          <w:b/>
          <w:bCs/>
          <w:color w:val="auto"/>
          <w:sz w:val="22"/>
          <w:szCs w:val="22"/>
        </w:rPr>
      </w:pPr>
    </w:p>
    <w:p w:rsidR="00A454EA" w:rsidRDefault="00A454EA" w:rsidP="00A454EA">
      <w:r>
        <w:t>All themes are getting underway, details of specific projects are being collated but contracting between the Trust and the University of Oxford is still pending.</w:t>
      </w:r>
    </w:p>
    <w:p w:rsidR="00A454EA" w:rsidRDefault="00A454EA" w:rsidP="00A454EA">
      <w:r>
        <w:t xml:space="preserve">NIHR will be making a site visit to the </w:t>
      </w:r>
      <w:proofErr w:type="spellStart"/>
      <w:r>
        <w:t>OxTV</w:t>
      </w:r>
      <w:proofErr w:type="spellEnd"/>
      <w:r>
        <w:t xml:space="preserve"> ARC on the morning of 30 April 2020.</w:t>
      </w:r>
    </w:p>
    <w:p w:rsidR="00156856" w:rsidRPr="001470DA" w:rsidRDefault="00156856" w:rsidP="00156856">
      <w:pPr>
        <w:autoSpaceDE w:val="0"/>
        <w:autoSpaceDN w:val="0"/>
        <w:rPr>
          <w:b/>
          <w:bCs/>
          <w:sz w:val="24"/>
        </w:rPr>
      </w:pPr>
      <w:r w:rsidRPr="001470DA">
        <w:rPr>
          <w:b/>
          <w:bCs/>
          <w:sz w:val="24"/>
        </w:rPr>
        <w:t>Staffing</w:t>
      </w:r>
    </w:p>
    <w:p w:rsidR="001470DA" w:rsidRDefault="001470DA" w:rsidP="00156856">
      <w:pPr>
        <w:autoSpaceDE w:val="0"/>
        <w:autoSpaceDN w:val="0"/>
      </w:pPr>
      <w:r>
        <w:t>The following staffing changes have or will be taking place;</w:t>
      </w:r>
    </w:p>
    <w:p w:rsidR="00156856" w:rsidRDefault="00156856" w:rsidP="001470DA">
      <w:pPr>
        <w:pStyle w:val="ListParagraph"/>
        <w:numPr>
          <w:ilvl w:val="0"/>
          <w:numId w:val="57"/>
        </w:numPr>
        <w:autoSpaceDE w:val="0"/>
        <w:autoSpaceDN w:val="0"/>
      </w:pPr>
      <w:r>
        <w:t>Dr Claire Schwarz (formerly theme manager for Self-Management in the CLAHRC) has joined the ARC core admin team to support Programme Management and PPI</w:t>
      </w:r>
    </w:p>
    <w:p w:rsidR="001470DA" w:rsidRDefault="001470DA" w:rsidP="001470DA">
      <w:pPr>
        <w:pStyle w:val="ListParagraph"/>
        <w:numPr>
          <w:ilvl w:val="0"/>
          <w:numId w:val="57"/>
        </w:numPr>
        <w:autoSpaceDE w:val="0"/>
        <w:autoSpaceDN w:val="0"/>
      </w:pPr>
      <w:r>
        <w:t>Dr Paula Wray (currently at INVOLVE) joins as Senior Manager on 1 April</w:t>
      </w:r>
    </w:p>
    <w:p w:rsidR="00156856" w:rsidRDefault="00156856" w:rsidP="001470DA">
      <w:pPr>
        <w:pStyle w:val="ListParagraph"/>
        <w:numPr>
          <w:ilvl w:val="0"/>
          <w:numId w:val="57"/>
        </w:numPr>
        <w:autoSpaceDE w:val="0"/>
        <w:autoSpaceDN w:val="0"/>
      </w:pPr>
      <w:r>
        <w:t xml:space="preserve">Sarah Brown (orthoptist and experienced manager) joins as Implementation Manager on 1 April </w:t>
      </w:r>
    </w:p>
    <w:p w:rsidR="00156856" w:rsidRPr="00156856" w:rsidRDefault="00156856" w:rsidP="00156856">
      <w:pPr>
        <w:pStyle w:val="Default"/>
        <w:spacing w:before="120" w:after="120"/>
        <w:rPr>
          <w:rFonts w:asciiTheme="minorHAnsi" w:hAnsiTheme="minorHAnsi" w:cs="Times New Roman"/>
          <w:b/>
          <w:bCs/>
          <w:color w:val="auto"/>
          <w:sz w:val="22"/>
          <w:lang w:val="en-US" w:eastAsia="en-US"/>
        </w:rPr>
      </w:pPr>
      <w:r w:rsidRPr="00156856">
        <w:rPr>
          <w:rFonts w:asciiTheme="minorHAnsi" w:hAnsiTheme="minorHAnsi" w:cs="Times New Roman"/>
          <w:b/>
          <w:bCs/>
          <w:color w:val="auto"/>
          <w:sz w:val="22"/>
          <w:lang w:val="en-US" w:eastAsia="en-US"/>
        </w:rPr>
        <w:t>National Priorities</w:t>
      </w:r>
    </w:p>
    <w:p w:rsidR="00156856" w:rsidRPr="00A454EA" w:rsidRDefault="00156856" w:rsidP="00156856">
      <w:pPr>
        <w:pStyle w:val="Default"/>
        <w:spacing w:after="291"/>
        <w:rPr>
          <w:rFonts w:asciiTheme="minorHAnsi" w:hAnsiTheme="minorHAnsi" w:cs="Times New Roman"/>
          <w:color w:val="auto"/>
          <w:sz w:val="22"/>
          <w:lang w:val="en-US" w:eastAsia="en-US"/>
        </w:rPr>
      </w:pPr>
      <w:r w:rsidRPr="00A454EA">
        <w:rPr>
          <w:rFonts w:asciiTheme="minorHAnsi" w:hAnsiTheme="minorHAnsi" w:cs="Times New Roman"/>
          <w:color w:val="auto"/>
          <w:sz w:val="22"/>
          <w:lang w:val="en-US" w:eastAsia="en-US"/>
        </w:rPr>
        <w:t xml:space="preserve">ARCs will collaborate at a supra-regional and national level on key NHS priorities. </w:t>
      </w:r>
      <w:hyperlink r:id="rId26" w:history="1">
        <w:r w:rsidRPr="00A454EA">
          <w:rPr>
            <w:rFonts w:asciiTheme="minorHAnsi" w:hAnsiTheme="minorHAnsi" w:cs="Times New Roman"/>
            <w:lang w:val="en-US" w:eastAsia="en-US"/>
          </w:rPr>
          <w:t>Professor Susan Jebb</w:t>
        </w:r>
      </w:hyperlink>
      <w:r w:rsidRPr="00A454EA">
        <w:rPr>
          <w:rFonts w:asciiTheme="minorHAnsi" w:hAnsiTheme="minorHAnsi" w:cs="Times New Roman"/>
          <w:color w:val="auto"/>
          <w:sz w:val="22"/>
          <w:lang w:val="en-US" w:eastAsia="en-US"/>
        </w:rPr>
        <w:t xml:space="preserve"> (theme 1 lead) is national lead for the </w:t>
      </w:r>
      <w:r w:rsidR="001470DA" w:rsidRPr="00A454EA">
        <w:rPr>
          <w:rFonts w:asciiTheme="minorHAnsi" w:hAnsiTheme="minorHAnsi" w:cs="Times New Roman"/>
          <w:color w:val="auto"/>
          <w:sz w:val="22"/>
          <w:lang w:val="en-US" w:eastAsia="en-US"/>
        </w:rPr>
        <w:t>cross-ARC</w:t>
      </w:r>
      <w:r w:rsidRPr="00A454EA">
        <w:rPr>
          <w:rFonts w:asciiTheme="minorHAnsi" w:hAnsiTheme="minorHAnsi" w:cs="Times New Roman"/>
          <w:color w:val="auto"/>
          <w:sz w:val="22"/>
          <w:lang w:val="en-US" w:eastAsia="en-US"/>
        </w:rPr>
        <w:t xml:space="preserve"> collaboration on </w:t>
      </w:r>
      <w:proofErr w:type="spellStart"/>
      <w:r w:rsidRPr="00A454EA">
        <w:rPr>
          <w:rFonts w:asciiTheme="minorHAnsi" w:hAnsiTheme="minorHAnsi" w:cs="Times New Roman"/>
          <w:color w:val="auto"/>
          <w:sz w:val="22"/>
          <w:lang w:val="en-US" w:eastAsia="en-US"/>
        </w:rPr>
        <w:t>Behavioural</w:t>
      </w:r>
      <w:proofErr w:type="spellEnd"/>
      <w:r w:rsidRPr="00A454EA">
        <w:rPr>
          <w:rFonts w:asciiTheme="minorHAnsi" w:hAnsiTheme="minorHAnsi" w:cs="Times New Roman"/>
          <w:color w:val="auto"/>
          <w:sz w:val="22"/>
          <w:lang w:val="en-US" w:eastAsia="en-US"/>
        </w:rPr>
        <w:t xml:space="preserve"> Science</w:t>
      </w:r>
    </w:p>
    <w:p w:rsidR="00FE7AA3" w:rsidRPr="00A454EA" w:rsidRDefault="00FE7AA3" w:rsidP="00FE7AA3">
      <w:pPr>
        <w:pStyle w:val="Default"/>
        <w:spacing w:after="291"/>
        <w:rPr>
          <w:rFonts w:asciiTheme="minorHAnsi" w:hAnsiTheme="minorHAnsi" w:cs="Times New Roman"/>
          <w:color w:val="auto"/>
          <w:sz w:val="22"/>
          <w:lang w:val="en-US" w:eastAsia="en-US"/>
        </w:rPr>
      </w:pPr>
      <w:proofErr w:type="spellStart"/>
      <w:r w:rsidRPr="00A454EA">
        <w:rPr>
          <w:rFonts w:asciiTheme="minorHAnsi" w:hAnsiTheme="minorHAnsi" w:cs="Times New Roman"/>
          <w:color w:val="auto"/>
          <w:sz w:val="22"/>
          <w:lang w:val="en-US" w:eastAsia="en-US"/>
        </w:rPr>
        <w:t>OxTV</w:t>
      </w:r>
      <w:proofErr w:type="spellEnd"/>
      <w:r w:rsidRPr="00A454EA">
        <w:rPr>
          <w:rFonts w:asciiTheme="minorHAnsi" w:hAnsiTheme="minorHAnsi" w:cs="Times New Roman"/>
          <w:color w:val="auto"/>
          <w:sz w:val="22"/>
          <w:lang w:val="en-US" w:eastAsia="en-US"/>
        </w:rPr>
        <w:t xml:space="preserve"> is currently contributing to</w:t>
      </w:r>
      <w:r w:rsidR="00156856">
        <w:rPr>
          <w:rFonts w:asciiTheme="minorHAnsi" w:hAnsiTheme="minorHAnsi" w:cs="Times New Roman"/>
          <w:color w:val="auto"/>
          <w:sz w:val="22"/>
          <w:lang w:val="en-US" w:eastAsia="en-US"/>
        </w:rPr>
        <w:t>;</w:t>
      </w:r>
      <w:r w:rsidRPr="00A454EA">
        <w:rPr>
          <w:rFonts w:asciiTheme="minorHAnsi" w:hAnsiTheme="minorHAnsi" w:cs="Times New Roman"/>
          <w:color w:val="auto"/>
          <w:sz w:val="22"/>
          <w:lang w:val="en-US" w:eastAsia="en-US"/>
        </w:rPr>
        <w:t xml:space="preserve"> </w:t>
      </w:r>
    </w:p>
    <w:p w:rsidR="00FE7AA3" w:rsidRPr="00A454EA" w:rsidRDefault="00FE7AA3" w:rsidP="0017480B">
      <w:pPr>
        <w:pStyle w:val="ListParagraph"/>
        <w:numPr>
          <w:ilvl w:val="0"/>
          <w:numId w:val="36"/>
        </w:numPr>
        <w:spacing w:before="0" w:after="0"/>
        <w:contextualSpacing/>
        <w:jc w:val="left"/>
      </w:pPr>
      <w:r>
        <w:t>Mental Health and Wellbeing</w:t>
      </w:r>
    </w:p>
    <w:p w:rsidR="00FE7AA3" w:rsidRDefault="00FE7AA3" w:rsidP="0017480B">
      <w:pPr>
        <w:pStyle w:val="ListParagraph"/>
        <w:numPr>
          <w:ilvl w:val="0"/>
          <w:numId w:val="36"/>
        </w:numPr>
        <w:spacing w:before="0" w:after="0"/>
        <w:contextualSpacing/>
        <w:jc w:val="left"/>
      </w:pPr>
      <w:r>
        <w:t>Multimorbidity</w:t>
      </w:r>
    </w:p>
    <w:p w:rsidR="00FE7AA3" w:rsidRDefault="00FE7AA3" w:rsidP="0017480B">
      <w:pPr>
        <w:pStyle w:val="ListParagraph"/>
        <w:numPr>
          <w:ilvl w:val="0"/>
          <w:numId w:val="36"/>
        </w:numPr>
        <w:spacing w:before="0" w:after="0"/>
        <w:contextualSpacing/>
        <w:jc w:val="left"/>
      </w:pPr>
      <w:r>
        <w:t>Child health</w:t>
      </w:r>
    </w:p>
    <w:p w:rsidR="00FE7AA3" w:rsidRDefault="00FE7AA3" w:rsidP="0017480B">
      <w:pPr>
        <w:pStyle w:val="ListParagraph"/>
        <w:numPr>
          <w:ilvl w:val="0"/>
          <w:numId w:val="36"/>
        </w:numPr>
        <w:spacing w:before="0" w:after="0"/>
        <w:contextualSpacing/>
        <w:jc w:val="left"/>
      </w:pPr>
      <w:r>
        <w:t>Applied Health Informatics</w:t>
      </w:r>
    </w:p>
    <w:p w:rsidR="00FE7AA3" w:rsidRDefault="00FE7AA3" w:rsidP="0017480B">
      <w:pPr>
        <w:pStyle w:val="ListParagraph"/>
        <w:numPr>
          <w:ilvl w:val="0"/>
          <w:numId w:val="36"/>
        </w:numPr>
        <w:spacing w:before="0" w:after="0"/>
        <w:contextualSpacing/>
        <w:jc w:val="left"/>
      </w:pPr>
      <w:r>
        <w:t>Urgent and Emergency Care</w:t>
      </w:r>
    </w:p>
    <w:p w:rsidR="00156856" w:rsidRDefault="00156856" w:rsidP="00156856">
      <w:pPr>
        <w:rPr>
          <w:b/>
          <w:bCs/>
        </w:rPr>
      </w:pPr>
      <w:r>
        <w:rPr>
          <w:b/>
          <w:bCs/>
        </w:rPr>
        <w:t>Additional funding bids</w:t>
      </w:r>
    </w:p>
    <w:p w:rsidR="00156856" w:rsidRDefault="00156856" w:rsidP="00156856">
      <w:r>
        <w:t>Feb 2020 Richard Hobbs and Gary Ford (in collaboration with several other ARCs nationally) submitted a bid to the closed call under the Patient centred, integrated care priority.</w:t>
      </w:r>
    </w:p>
    <w:p w:rsidR="00156856" w:rsidRDefault="00156856" w:rsidP="00156856">
      <w:pPr>
        <w:autoSpaceDE w:val="0"/>
        <w:autoSpaceDN w:val="0"/>
      </w:pPr>
      <w:r>
        <w:t xml:space="preserve">The proposal describes a national role out of patient self-management of hypertension, in collaboration with NHSE and AHSNs. This differs somewhat from the specification and there is competition internally among ARCs for the remaining £15m. Decisions expected end </w:t>
      </w:r>
      <w:proofErr w:type="gramStart"/>
      <w:r>
        <w:t>March</w:t>
      </w:r>
      <w:proofErr w:type="gramEnd"/>
      <w:r>
        <w:t xml:space="preserve"> or a six month start up phase (during which time full costs and plans will be developed). Main work will then ensure from 1 October 2020 for 2 further years.</w:t>
      </w:r>
    </w:p>
    <w:p w:rsidR="00156856" w:rsidRDefault="00156856" w:rsidP="00156856">
      <w:pPr>
        <w:autoSpaceDE w:val="0"/>
        <w:autoSpaceDN w:val="0"/>
      </w:pPr>
      <w:r>
        <w:t xml:space="preserve">Feb Rafael </w:t>
      </w:r>
      <w:proofErr w:type="spellStart"/>
      <w:r>
        <w:t>Perera</w:t>
      </w:r>
      <w:proofErr w:type="spellEnd"/>
      <w:r>
        <w:t>-Salazar and a team of co-investigators in Population Health, Psychiatry, Experimental Medicine and NDORMs at the University submitted an outline proposal to the MRC, UKRI and NIHR combined call for Tackling Multimorbidity at Scale. This sits well alongside the ARC. Hobbs, Ford and Bhui are listed as senior advisors. Decisions expected March or April for a full proposal deadline in late May and commencement in October 2020</w:t>
      </w:r>
    </w:p>
    <w:p w:rsidR="00302A8E" w:rsidRPr="00CD4363" w:rsidRDefault="00302A8E" w:rsidP="00302A8E">
      <w:pPr>
        <w:pStyle w:val="Heading2"/>
        <w:rPr>
          <w:color w:val="FF0000"/>
        </w:rPr>
      </w:pPr>
      <w:bookmarkStart w:id="28" w:name="_Toc34407420"/>
      <w:bookmarkStart w:id="29" w:name="_Hlk31285240"/>
      <w:bookmarkEnd w:id="26"/>
      <w:r w:rsidRPr="00772C22">
        <w:t>NIHR MedTech and In Vitro Diagnostic Co-</w:t>
      </w:r>
      <w:r w:rsidRPr="005844AE">
        <w:t>operatives (MIC)</w:t>
      </w:r>
      <w:bookmarkEnd w:id="28"/>
    </w:p>
    <w:p w:rsidR="005844AE" w:rsidRPr="00BA6A52" w:rsidRDefault="005844AE" w:rsidP="00BA6A52">
      <w:pPr>
        <w:rPr>
          <w:b/>
          <w:bCs/>
        </w:rPr>
      </w:pPr>
      <w:r w:rsidRPr="00BA6A52">
        <w:rPr>
          <w:b/>
          <w:bCs/>
        </w:rPr>
        <w:t>Industry consultations</w:t>
      </w:r>
    </w:p>
    <w:p w:rsidR="005844AE" w:rsidRPr="009F04BA" w:rsidRDefault="005844AE" w:rsidP="005844AE">
      <w:pPr>
        <w:rPr>
          <w:szCs w:val="22"/>
        </w:rPr>
      </w:pPr>
      <w:r w:rsidRPr="009F04BA">
        <w:rPr>
          <w:szCs w:val="22"/>
        </w:rPr>
        <w:t xml:space="preserve">The NIHR Community Healthcare MedTech and IVD Co-operative engaged with more than 13 companies regarding diagnostics or medical technologies over the last six months. Engagement has ranged from specific discussions at meetings to more formal teleconferences and face to face consultations. The MIC has also established a dialogue with Enterprise Singapore, who are working with UK PLC to introduce diagnostics and MedTech to the UK market and are looking for potential evaluation/verification partners; following on from </w:t>
      </w:r>
      <w:r w:rsidRPr="009F04BA">
        <w:rPr>
          <w:szCs w:val="22"/>
        </w:rPr>
        <w:lastRenderedPageBreak/>
        <w:t>the initial meeting with Enterprise Singapore, the MIC is now in talks with Credo Biomedical regarding the possibility of the evaluation of the low-cost Credo Flu A/B test for use with patients in acute paediatric settings.</w:t>
      </w:r>
    </w:p>
    <w:p w:rsidR="005844AE" w:rsidRDefault="005844AE" w:rsidP="00BA6A52">
      <w:pPr>
        <w:rPr>
          <w:b/>
          <w:bCs/>
        </w:rPr>
      </w:pPr>
      <w:r w:rsidRPr="00BA6A52">
        <w:rPr>
          <w:b/>
          <w:bCs/>
        </w:rPr>
        <w:t>Selected Publications</w:t>
      </w:r>
    </w:p>
    <w:p w:rsidR="00005FFD" w:rsidRPr="00005FFD" w:rsidRDefault="00005FFD" w:rsidP="00005FFD">
      <w:pPr>
        <w:pStyle w:val="ListParagraph"/>
        <w:numPr>
          <w:ilvl w:val="0"/>
          <w:numId w:val="58"/>
        </w:numPr>
      </w:pPr>
      <w:r w:rsidRPr="00005FFD">
        <w:t>Edwards G, Freeman K, Llewelyn MJ, Hayward G. What diagnostic strategies can help differentiate cellulitis from other causes of red legs in primary care? BMJ (Clinical research ed). 2020;368:m54.</w:t>
      </w:r>
    </w:p>
    <w:p w:rsidR="00005FFD" w:rsidRPr="00005FFD" w:rsidRDefault="00005FFD" w:rsidP="00005FFD">
      <w:pPr>
        <w:pStyle w:val="ListParagraph"/>
        <w:numPr>
          <w:ilvl w:val="0"/>
          <w:numId w:val="58"/>
        </w:numPr>
      </w:pPr>
      <w:r w:rsidRPr="00005FFD">
        <w:t xml:space="preserve">Fanshawe TR, </w:t>
      </w:r>
      <w:proofErr w:type="spellStart"/>
      <w:r w:rsidRPr="00005FFD">
        <w:t>Glogowska</w:t>
      </w:r>
      <w:proofErr w:type="spellEnd"/>
      <w:r w:rsidRPr="00005FFD">
        <w:t xml:space="preserve"> M, Edwards G, Turner PJ, Smith I, Steele R, et al. Pre-analytical error for three point of care venous blood testing platforms in acute ambulatory settings: A mixed methods service evaluation. </w:t>
      </w:r>
      <w:proofErr w:type="spellStart"/>
      <w:r w:rsidRPr="00005FFD">
        <w:t>PloS</w:t>
      </w:r>
      <w:proofErr w:type="spellEnd"/>
      <w:r w:rsidRPr="00005FFD">
        <w:t xml:space="preserve"> one. 2020;15(2</w:t>
      </w:r>
      <w:proofErr w:type="gramStart"/>
      <w:r w:rsidRPr="00005FFD">
        <w:t>):e</w:t>
      </w:r>
      <w:proofErr w:type="gramEnd"/>
      <w:r w:rsidRPr="00005FFD">
        <w:t>0228687.</w:t>
      </w:r>
    </w:p>
    <w:p w:rsidR="00005FFD" w:rsidRPr="00005FFD" w:rsidRDefault="00005FFD" w:rsidP="00005FFD">
      <w:pPr>
        <w:pStyle w:val="ListParagraph"/>
        <w:numPr>
          <w:ilvl w:val="0"/>
          <w:numId w:val="58"/>
        </w:numPr>
      </w:pPr>
      <w:r w:rsidRPr="00005FFD">
        <w:t xml:space="preserve">Knight T, </w:t>
      </w:r>
      <w:proofErr w:type="spellStart"/>
      <w:r w:rsidRPr="00005FFD">
        <w:t>Malyon</w:t>
      </w:r>
      <w:proofErr w:type="spellEnd"/>
      <w:r w:rsidRPr="00005FFD">
        <w:t xml:space="preserve"> A, Fritz Z, </w:t>
      </w:r>
      <w:proofErr w:type="spellStart"/>
      <w:r w:rsidRPr="00005FFD">
        <w:t>Subbe</w:t>
      </w:r>
      <w:proofErr w:type="spellEnd"/>
      <w:r w:rsidRPr="00005FFD">
        <w:t xml:space="preserve"> C, </w:t>
      </w:r>
      <w:proofErr w:type="spellStart"/>
      <w:r w:rsidRPr="00005FFD">
        <w:t>Cooksley</w:t>
      </w:r>
      <w:proofErr w:type="spellEnd"/>
      <w:r w:rsidRPr="00005FFD">
        <w:t xml:space="preserve"> T, Holland M, et al. Advance care planning in patients referred to hospital for acute medical care: Results of a national day of care survey. </w:t>
      </w:r>
      <w:proofErr w:type="spellStart"/>
      <w:r w:rsidRPr="00005FFD">
        <w:t>EClinicalMedicine</w:t>
      </w:r>
      <w:proofErr w:type="spellEnd"/>
      <w:r w:rsidRPr="00005FFD">
        <w:t xml:space="preserve">. </w:t>
      </w:r>
      <w:proofErr w:type="gramStart"/>
      <w:r w:rsidRPr="00005FFD">
        <w:t>2020;19:100235</w:t>
      </w:r>
      <w:proofErr w:type="gramEnd"/>
      <w:r w:rsidRPr="00005FFD">
        <w:t>-.</w:t>
      </w:r>
    </w:p>
    <w:p w:rsidR="00005FFD" w:rsidRPr="00005FFD" w:rsidRDefault="00005FFD" w:rsidP="00005FFD">
      <w:pPr>
        <w:pStyle w:val="ListParagraph"/>
        <w:numPr>
          <w:ilvl w:val="0"/>
          <w:numId w:val="58"/>
        </w:numPr>
      </w:pPr>
      <w:r w:rsidRPr="00005FFD">
        <w:t xml:space="preserve">Lee JJ, </w:t>
      </w:r>
      <w:proofErr w:type="spellStart"/>
      <w:r w:rsidRPr="00005FFD">
        <w:t>Verbakel</w:t>
      </w:r>
      <w:proofErr w:type="spellEnd"/>
      <w:r w:rsidRPr="00005FFD">
        <w:t xml:space="preserve"> JY, Goyder CR, </w:t>
      </w:r>
      <w:proofErr w:type="spellStart"/>
      <w:r w:rsidRPr="00005FFD">
        <w:t>Ananthakumar</w:t>
      </w:r>
      <w:proofErr w:type="spellEnd"/>
      <w:r w:rsidRPr="00005FFD">
        <w:t xml:space="preserve"> T, Tan PS, Turner PJ, et al. The Clinical Utility of Point of-Care Tests for Influenza in Ambulatory Care: A Systematic Review and Meta-analysis. Clinical infectious </w:t>
      </w:r>
      <w:proofErr w:type="gramStart"/>
      <w:r w:rsidRPr="00005FFD">
        <w:t>diseases :</w:t>
      </w:r>
      <w:proofErr w:type="gramEnd"/>
      <w:r w:rsidRPr="00005FFD">
        <w:t xml:space="preserve"> an official publication of the Infectious Diseases Society of America. 2019;69(1):24-33.</w:t>
      </w:r>
    </w:p>
    <w:p w:rsidR="005844AE" w:rsidRPr="00BA6A52" w:rsidRDefault="005844AE" w:rsidP="00BA6A52">
      <w:pPr>
        <w:rPr>
          <w:b/>
          <w:bCs/>
        </w:rPr>
      </w:pPr>
      <w:r w:rsidRPr="00BA6A52">
        <w:rPr>
          <w:b/>
          <w:bCs/>
        </w:rPr>
        <w:t>Selected Events / Engagement</w:t>
      </w:r>
    </w:p>
    <w:p w:rsidR="005844AE" w:rsidRPr="009F04BA" w:rsidRDefault="005844AE" w:rsidP="00FC2E49">
      <w:pPr>
        <w:pStyle w:val="ListParagraph"/>
        <w:numPr>
          <w:ilvl w:val="0"/>
          <w:numId w:val="6"/>
        </w:numPr>
        <w:spacing w:before="100" w:beforeAutospacing="1" w:after="0"/>
        <w:jc w:val="left"/>
        <w:rPr>
          <w:rFonts w:ascii="Calibri" w:hAnsi="Calibri" w:cs="Calibri"/>
          <w:szCs w:val="22"/>
          <w:lang w:val="en-GB" w:eastAsia="en-GB"/>
        </w:rPr>
      </w:pPr>
      <w:r w:rsidRPr="009F04BA">
        <w:rPr>
          <w:rFonts w:ascii="Calibri" w:hAnsi="Calibri" w:cs="Calibri"/>
          <w:szCs w:val="22"/>
          <w:lang w:val="en-GB" w:eastAsia="en-GB"/>
        </w:rPr>
        <w:t xml:space="preserve">Dr Joseph Butler and Dr Simone de </w:t>
      </w:r>
      <w:proofErr w:type="spellStart"/>
      <w:r w:rsidRPr="009F04BA">
        <w:rPr>
          <w:rFonts w:ascii="Calibri" w:hAnsi="Calibri" w:cs="Calibri"/>
          <w:szCs w:val="22"/>
          <w:lang w:val="en-GB" w:eastAsia="en-GB"/>
        </w:rPr>
        <w:t>Cassan</w:t>
      </w:r>
      <w:proofErr w:type="spellEnd"/>
      <w:r w:rsidRPr="009F04BA">
        <w:rPr>
          <w:rFonts w:ascii="Calibri" w:hAnsi="Calibri" w:cs="Calibri"/>
          <w:szCs w:val="22"/>
          <w:lang w:val="en-GB" w:eastAsia="en-GB"/>
        </w:rPr>
        <w:t xml:space="preserve"> presented the Oxford Health hosted CARMEN (</w:t>
      </w:r>
      <w:proofErr w:type="spellStart"/>
      <w:r w:rsidRPr="009F04BA">
        <w:rPr>
          <w:rFonts w:ascii="Calibri" w:hAnsi="Calibri" w:cs="Calibri"/>
          <w:szCs w:val="22"/>
          <w:lang w:val="en-GB" w:eastAsia="en-GB"/>
        </w:rPr>
        <w:t>CArdiovascular</w:t>
      </w:r>
      <w:proofErr w:type="spellEnd"/>
      <w:r w:rsidRPr="009F04BA">
        <w:rPr>
          <w:rFonts w:ascii="Calibri" w:hAnsi="Calibri" w:cs="Calibri"/>
          <w:szCs w:val="22"/>
          <w:lang w:val="en-GB" w:eastAsia="en-GB"/>
        </w:rPr>
        <w:t xml:space="preserve"> Risk in </w:t>
      </w:r>
      <w:proofErr w:type="spellStart"/>
      <w:r w:rsidRPr="009F04BA">
        <w:rPr>
          <w:rFonts w:ascii="Calibri" w:hAnsi="Calibri" w:cs="Calibri"/>
          <w:szCs w:val="22"/>
          <w:lang w:val="en-GB" w:eastAsia="en-GB"/>
        </w:rPr>
        <w:t>MEntal</w:t>
      </w:r>
      <w:proofErr w:type="spellEnd"/>
      <w:r w:rsidRPr="009F04BA">
        <w:rPr>
          <w:rFonts w:ascii="Calibri" w:hAnsi="Calibri" w:cs="Calibri"/>
          <w:szCs w:val="22"/>
          <w:lang w:val="en-GB" w:eastAsia="en-GB"/>
        </w:rPr>
        <w:t xml:space="preserve"> </w:t>
      </w:r>
      <w:proofErr w:type="spellStart"/>
      <w:r w:rsidRPr="009F04BA">
        <w:rPr>
          <w:rFonts w:ascii="Calibri" w:hAnsi="Calibri" w:cs="Calibri"/>
          <w:szCs w:val="22"/>
          <w:lang w:val="en-GB" w:eastAsia="en-GB"/>
        </w:rPr>
        <w:t>IllNess</w:t>
      </w:r>
      <w:proofErr w:type="spellEnd"/>
      <w:r w:rsidRPr="009F04BA">
        <w:rPr>
          <w:rFonts w:ascii="Calibri" w:hAnsi="Calibri" w:cs="Calibri"/>
          <w:szCs w:val="22"/>
          <w:lang w:val="en-GB" w:eastAsia="en-GB"/>
        </w:rPr>
        <w:t>) project to clinical staff of Oxford Health Foundation Trust. CARMEN is a Trust/MIC service improvement and evaluation project which was embedded in the EIS and outreach teams of Oxford Health FT, and focussed on the improvement of completion of annual health checks in patients with severe mental illness through the introduction of point-of-care diagnostic tests which require finger-prick blood samples and which yield immediate results.</w:t>
      </w:r>
    </w:p>
    <w:p w:rsidR="005844AE" w:rsidRPr="009F04BA" w:rsidRDefault="005844AE" w:rsidP="00FC2E49">
      <w:pPr>
        <w:pStyle w:val="ListParagraph"/>
        <w:numPr>
          <w:ilvl w:val="0"/>
          <w:numId w:val="6"/>
        </w:numPr>
        <w:spacing w:before="100" w:beforeAutospacing="1" w:after="0"/>
        <w:jc w:val="left"/>
        <w:rPr>
          <w:rFonts w:ascii="Calibri" w:hAnsi="Calibri" w:cs="Calibri"/>
          <w:szCs w:val="22"/>
          <w:lang w:val="en-GB" w:eastAsia="en-GB"/>
        </w:rPr>
      </w:pPr>
      <w:r w:rsidRPr="009F04BA">
        <w:rPr>
          <w:rFonts w:ascii="Calibri" w:hAnsi="Calibri" w:cs="Calibri"/>
          <w:szCs w:val="22"/>
          <w:lang w:val="en-GB" w:eastAsia="en-GB"/>
        </w:rPr>
        <w:t>Dr Philip Turner represented the MIC at the NHS Health and Care Expo 2019 in Manchester at the official NIHR stand, where he provided and overview of the MIC offer and current projects to visitors.</w:t>
      </w:r>
    </w:p>
    <w:p w:rsidR="005844AE" w:rsidRPr="009F04BA" w:rsidRDefault="005844AE" w:rsidP="00FA7D3B">
      <w:pPr>
        <w:pStyle w:val="ListParagraph"/>
        <w:numPr>
          <w:ilvl w:val="0"/>
          <w:numId w:val="6"/>
        </w:numPr>
        <w:spacing w:before="100" w:beforeAutospacing="1" w:after="0"/>
        <w:jc w:val="left"/>
        <w:rPr>
          <w:rFonts w:ascii="Calibri" w:hAnsi="Calibri" w:cs="Calibri"/>
          <w:szCs w:val="22"/>
          <w:lang w:val="en-GB" w:eastAsia="en-GB"/>
        </w:rPr>
      </w:pPr>
      <w:r w:rsidRPr="009F04BA">
        <w:rPr>
          <w:rFonts w:ascii="Calibri" w:hAnsi="Calibri" w:cs="Calibri"/>
          <w:szCs w:val="22"/>
          <w:lang w:val="en-GB" w:eastAsia="en-GB"/>
        </w:rPr>
        <w:t>Between the 8</w:t>
      </w:r>
      <w:r w:rsidRPr="009F04BA">
        <w:rPr>
          <w:rFonts w:ascii="Calibri" w:hAnsi="Calibri" w:cs="Calibri"/>
          <w:szCs w:val="22"/>
          <w:vertAlign w:val="superscript"/>
          <w:lang w:val="en-GB" w:eastAsia="en-GB"/>
        </w:rPr>
        <w:t>th</w:t>
      </w:r>
      <w:r w:rsidRPr="009F04BA">
        <w:rPr>
          <w:rFonts w:ascii="Calibri" w:hAnsi="Calibri" w:cs="Calibri"/>
          <w:szCs w:val="22"/>
          <w:lang w:val="en-GB" w:eastAsia="en-GB"/>
        </w:rPr>
        <w:t xml:space="preserve"> and 10</w:t>
      </w:r>
      <w:r w:rsidRPr="009F04BA">
        <w:rPr>
          <w:rFonts w:ascii="Calibri" w:hAnsi="Calibri" w:cs="Calibri"/>
          <w:szCs w:val="22"/>
          <w:vertAlign w:val="superscript"/>
          <w:lang w:val="en-GB" w:eastAsia="en-GB"/>
        </w:rPr>
        <w:t>th</w:t>
      </w:r>
      <w:r w:rsidRPr="009F04BA">
        <w:rPr>
          <w:rFonts w:ascii="Calibri" w:hAnsi="Calibri" w:cs="Calibri"/>
          <w:szCs w:val="22"/>
          <w:lang w:val="en-GB" w:eastAsia="en-GB"/>
        </w:rPr>
        <w:t xml:space="preserve"> of October, the MIC held the annual Diagnostic Evidence Workshops at Worcester College Oxford. The Workshops consist of an introduction to the evaluation of diagnostic tests with subsequent days which focus specifically on health economic and statistical methods for evaluation of diagnostics. The workshop attracted attendees from across the globe, with students attending from as far afield as India and Australia. The MIC was able to support the attendance of 16 students through bursaries provided through funds awarded to the MIC from the MRC Proximity to Discovery fund. Each day of the course was fully subscribed.</w:t>
      </w:r>
    </w:p>
    <w:p w:rsidR="005844AE" w:rsidRPr="009F04BA" w:rsidRDefault="005844AE" w:rsidP="00FC2E49">
      <w:pPr>
        <w:pStyle w:val="ListParagraph"/>
        <w:numPr>
          <w:ilvl w:val="0"/>
          <w:numId w:val="6"/>
        </w:numPr>
        <w:spacing w:before="100" w:beforeAutospacing="1" w:after="0"/>
        <w:jc w:val="left"/>
        <w:rPr>
          <w:rFonts w:ascii="Calibri" w:hAnsi="Calibri" w:cs="Calibri"/>
          <w:szCs w:val="22"/>
          <w:lang w:val="en-GB" w:eastAsia="en-GB"/>
        </w:rPr>
      </w:pPr>
      <w:r w:rsidRPr="009F04BA">
        <w:rPr>
          <w:rFonts w:ascii="Calibri" w:hAnsi="Calibri" w:cs="Calibri"/>
          <w:szCs w:val="22"/>
          <w:lang w:val="en-GB" w:eastAsia="en-GB"/>
        </w:rPr>
        <w:t xml:space="preserve">Professor Hayward, Dr Yang, Dr Fanshawe and Dr Turner attended and delivered a workshop at the UK Diagnostics Summit in Manchester in November. The MIC team worked through </w:t>
      </w:r>
      <w:proofErr w:type="gramStart"/>
      <w:r w:rsidRPr="009F04BA">
        <w:rPr>
          <w:rFonts w:ascii="Calibri" w:hAnsi="Calibri" w:cs="Calibri"/>
          <w:szCs w:val="22"/>
          <w:lang w:val="en-GB" w:eastAsia="en-GB"/>
        </w:rPr>
        <w:t>a number of</w:t>
      </w:r>
      <w:proofErr w:type="gramEnd"/>
      <w:r w:rsidRPr="009F04BA">
        <w:rPr>
          <w:rFonts w:ascii="Calibri" w:hAnsi="Calibri" w:cs="Calibri"/>
          <w:szCs w:val="22"/>
          <w:lang w:val="en-GB" w:eastAsia="en-GB"/>
        </w:rPr>
        <w:t xml:space="preserve"> prepared vignettes with attendees which related to different elements of the evidence generation cycle for diagnostics. Professor Hayward was a member of a panel which explored challenges to the implementation of diagnostics more widely.</w:t>
      </w:r>
    </w:p>
    <w:p w:rsidR="005844AE" w:rsidRPr="009F04BA" w:rsidRDefault="005844AE" w:rsidP="00FC2E49">
      <w:pPr>
        <w:pStyle w:val="ListParagraph"/>
        <w:numPr>
          <w:ilvl w:val="0"/>
          <w:numId w:val="6"/>
        </w:numPr>
        <w:spacing w:before="100" w:beforeAutospacing="1" w:after="0"/>
        <w:jc w:val="left"/>
        <w:rPr>
          <w:rFonts w:ascii="Calibri" w:hAnsi="Calibri" w:cs="Calibri"/>
          <w:szCs w:val="22"/>
          <w:lang w:val="en-GB" w:eastAsia="en-GB"/>
        </w:rPr>
      </w:pPr>
      <w:r w:rsidRPr="009F04BA">
        <w:rPr>
          <w:rFonts w:ascii="Calibri" w:hAnsi="Calibri" w:cs="Calibri"/>
          <w:szCs w:val="22"/>
          <w:lang w:val="en-GB" w:eastAsia="en-GB"/>
        </w:rPr>
        <w:t>Dr Turner attended the EIT Health Summit in Paris in December to present the EIT Health-funded ADVANCE project, which concerns the refinement and evaluation of a novel rapid diagnostic test for urinary tract infection. The ADVANCE project will take place in general practices in the Oxford area during 2020.</w:t>
      </w:r>
    </w:p>
    <w:p w:rsidR="005844AE" w:rsidRPr="009F04BA" w:rsidRDefault="005844AE" w:rsidP="00FC2E49">
      <w:pPr>
        <w:pStyle w:val="ListParagraph"/>
        <w:numPr>
          <w:ilvl w:val="0"/>
          <w:numId w:val="6"/>
        </w:numPr>
        <w:spacing w:before="100" w:beforeAutospacing="1" w:after="0"/>
        <w:jc w:val="left"/>
        <w:rPr>
          <w:rFonts w:ascii="Calibri" w:hAnsi="Calibri" w:cs="Calibri"/>
          <w:szCs w:val="22"/>
          <w:lang w:val="en-GB" w:eastAsia="en-GB"/>
        </w:rPr>
      </w:pPr>
      <w:r w:rsidRPr="009F04BA">
        <w:rPr>
          <w:rFonts w:ascii="Calibri" w:hAnsi="Calibri" w:cs="Calibri"/>
          <w:szCs w:val="22"/>
          <w:lang w:val="en-GB" w:eastAsia="en-GB"/>
        </w:rPr>
        <w:t>Dr Turner continues to attend meetings of the British In-Vitro Diagnostics Association, particularly those convened by the Near Patient Testing and AMR working parties.</w:t>
      </w:r>
    </w:p>
    <w:p w:rsidR="005844AE" w:rsidRPr="009F04BA" w:rsidRDefault="005844AE" w:rsidP="00FA7D3B">
      <w:pPr>
        <w:pStyle w:val="ListParagraph"/>
        <w:numPr>
          <w:ilvl w:val="0"/>
          <w:numId w:val="6"/>
        </w:numPr>
        <w:spacing w:before="100" w:beforeAutospacing="1" w:after="0"/>
        <w:jc w:val="left"/>
        <w:rPr>
          <w:rFonts w:ascii="Calibri" w:hAnsi="Calibri" w:cs="Calibri"/>
          <w:szCs w:val="22"/>
          <w:lang w:val="en-GB" w:eastAsia="en-GB"/>
        </w:rPr>
      </w:pPr>
      <w:r w:rsidRPr="009F04BA">
        <w:rPr>
          <w:rFonts w:ascii="Calibri" w:hAnsi="Calibri" w:cs="Calibri"/>
          <w:szCs w:val="22"/>
          <w:lang w:val="en-GB" w:eastAsia="en-GB"/>
        </w:rPr>
        <w:t xml:space="preserve">The MIC recently attended an event organised by The Hill in Oxford (Research Collaborations for Healthcare Innovations) which focussed on research infrastructure engagement with start-ups and SMEs who are largely focussed on digital/AI-based healthcare solutions. The MIC provided an </w:t>
      </w:r>
      <w:r w:rsidRPr="009F04BA">
        <w:rPr>
          <w:rFonts w:ascii="Calibri" w:hAnsi="Calibri" w:cs="Calibri"/>
          <w:szCs w:val="22"/>
          <w:lang w:val="en-GB" w:eastAsia="en-GB"/>
        </w:rPr>
        <w:lastRenderedPageBreak/>
        <w:t xml:space="preserve">overview of the MIC offer to industry and was involved in an industry ‘speed dating’ engagement activity. The MIC will pursue </w:t>
      </w:r>
      <w:proofErr w:type="gramStart"/>
      <w:r w:rsidRPr="009F04BA">
        <w:rPr>
          <w:rFonts w:ascii="Calibri" w:hAnsi="Calibri" w:cs="Calibri"/>
          <w:szCs w:val="22"/>
          <w:lang w:val="en-GB" w:eastAsia="en-GB"/>
        </w:rPr>
        <w:t>a number of</w:t>
      </w:r>
      <w:proofErr w:type="gramEnd"/>
      <w:r w:rsidRPr="009F04BA">
        <w:rPr>
          <w:rFonts w:ascii="Calibri" w:hAnsi="Calibri" w:cs="Calibri"/>
          <w:szCs w:val="22"/>
          <w:lang w:val="en-GB" w:eastAsia="en-GB"/>
        </w:rPr>
        <w:t xml:space="preserve"> potential collaborations with attendees.</w:t>
      </w:r>
    </w:p>
    <w:p w:rsidR="005844AE" w:rsidRPr="00BA6A52" w:rsidRDefault="005844AE" w:rsidP="00BA6A52">
      <w:pPr>
        <w:rPr>
          <w:b/>
          <w:bCs/>
        </w:rPr>
      </w:pPr>
      <w:r w:rsidRPr="00BA6A52">
        <w:rPr>
          <w:b/>
          <w:bCs/>
        </w:rPr>
        <w:t>Recent funding / bids</w:t>
      </w:r>
    </w:p>
    <w:p w:rsidR="005844AE" w:rsidRPr="009F04BA" w:rsidRDefault="005844AE" w:rsidP="00FC2E49">
      <w:pPr>
        <w:pStyle w:val="Default"/>
        <w:numPr>
          <w:ilvl w:val="0"/>
          <w:numId w:val="6"/>
        </w:numPr>
        <w:rPr>
          <w:rFonts w:asciiTheme="minorHAnsi" w:hAnsiTheme="minorHAnsi" w:cs="Times New Roman"/>
          <w:color w:val="auto"/>
          <w:sz w:val="22"/>
          <w:szCs w:val="22"/>
          <w:lang w:val="en-US" w:eastAsia="en-US"/>
        </w:rPr>
      </w:pPr>
      <w:r w:rsidRPr="009F04BA">
        <w:rPr>
          <w:rFonts w:asciiTheme="minorHAnsi" w:hAnsiTheme="minorHAnsi" w:cs="Times New Roman"/>
          <w:color w:val="auto"/>
          <w:sz w:val="22"/>
          <w:szCs w:val="22"/>
          <w:lang w:val="en-US" w:eastAsia="en-US"/>
        </w:rPr>
        <w:t xml:space="preserve">The MIC supported a bid for NIHR i4i Connect funding by </w:t>
      </w:r>
      <w:proofErr w:type="spellStart"/>
      <w:r w:rsidRPr="009F04BA">
        <w:rPr>
          <w:rFonts w:asciiTheme="minorHAnsi" w:hAnsiTheme="minorHAnsi" w:cs="Times New Roman"/>
          <w:color w:val="auto"/>
          <w:sz w:val="22"/>
          <w:szCs w:val="22"/>
          <w:lang w:val="en-US" w:eastAsia="en-US"/>
        </w:rPr>
        <w:t>KroniKare</w:t>
      </w:r>
      <w:proofErr w:type="spellEnd"/>
      <w:r w:rsidRPr="009F04BA">
        <w:rPr>
          <w:rFonts w:asciiTheme="minorHAnsi" w:hAnsiTheme="minorHAnsi" w:cs="Times New Roman"/>
          <w:color w:val="auto"/>
          <w:sz w:val="22"/>
          <w:szCs w:val="22"/>
          <w:lang w:val="en-US" w:eastAsia="en-US"/>
        </w:rPr>
        <w:t xml:space="preserve"> to carry out a health economic evaluation related to the </w:t>
      </w:r>
      <w:proofErr w:type="spellStart"/>
      <w:r w:rsidRPr="009F04BA">
        <w:rPr>
          <w:rFonts w:asciiTheme="minorHAnsi" w:hAnsiTheme="minorHAnsi" w:cs="Times New Roman"/>
          <w:color w:val="auto"/>
          <w:sz w:val="22"/>
          <w:szCs w:val="22"/>
          <w:lang w:val="en-US" w:eastAsia="en-US"/>
        </w:rPr>
        <w:t>KroniKare</w:t>
      </w:r>
      <w:proofErr w:type="spellEnd"/>
      <w:r w:rsidRPr="009F04BA">
        <w:rPr>
          <w:rFonts w:asciiTheme="minorHAnsi" w:hAnsiTheme="minorHAnsi" w:cs="Times New Roman"/>
          <w:color w:val="auto"/>
          <w:sz w:val="22"/>
          <w:szCs w:val="22"/>
          <w:lang w:val="en-US" w:eastAsia="en-US"/>
        </w:rPr>
        <w:t xml:space="preserve"> AI wound scanner for the management of chronic wounds.</w:t>
      </w:r>
    </w:p>
    <w:p w:rsidR="005844AE" w:rsidRPr="009F04BA" w:rsidRDefault="005844AE" w:rsidP="00FC2E49">
      <w:pPr>
        <w:pStyle w:val="Default"/>
        <w:numPr>
          <w:ilvl w:val="0"/>
          <w:numId w:val="6"/>
        </w:numPr>
        <w:rPr>
          <w:rFonts w:asciiTheme="minorHAnsi" w:hAnsiTheme="minorHAnsi" w:cs="Times New Roman"/>
          <w:color w:val="auto"/>
          <w:sz w:val="22"/>
          <w:szCs w:val="22"/>
          <w:lang w:val="en-US" w:eastAsia="en-US"/>
        </w:rPr>
      </w:pPr>
      <w:r w:rsidRPr="009F04BA">
        <w:rPr>
          <w:rFonts w:asciiTheme="minorHAnsi" w:hAnsiTheme="minorHAnsi" w:cs="Times New Roman"/>
          <w:color w:val="auto"/>
          <w:sz w:val="22"/>
          <w:szCs w:val="22"/>
          <w:lang w:val="en-US" w:eastAsia="en-US"/>
        </w:rPr>
        <w:t>The MIC supported a collaborative bid for ISCF funding with colleagues from Population Health and Oxford Brain Diagnostics to quantify the potential impact of early detection of dementia (including Alzheimer’s Disease).</w:t>
      </w:r>
    </w:p>
    <w:p w:rsidR="005844AE" w:rsidRPr="009F04BA" w:rsidRDefault="005844AE" w:rsidP="00FC2E49">
      <w:pPr>
        <w:pStyle w:val="Default"/>
        <w:numPr>
          <w:ilvl w:val="0"/>
          <w:numId w:val="6"/>
        </w:numPr>
        <w:rPr>
          <w:rFonts w:asciiTheme="minorHAnsi" w:hAnsiTheme="minorHAnsi" w:cs="Times New Roman"/>
          <w:color w:val="auto"/>
          <w:sz w:val="22"/>
          <w:szCs w:val="22"/>
          <w:lang w:val="en-US" w:eastAsia="en-US"/>
        </w:rPr>
      </w:pPr>
      <w:r w:rsidRPr="009F04BA">
        <w:rPr>
          <w:rFonts w:asciiTheme="minorHAnsi" w:hAnsiTheme="minorHAnsi" w:cs="Times New Roman"/>
          <w:color w:val="auto"/>
          <w:sz w:val="22"/>
          <w:szCs w:val="22"/>
          <w:lang w:val="en-US" w:eastAsia="en-US"/>
        </w:rPr>
        <w:t>The MIC together with collaborators in the Department of Engineering and OUH have just been awarded a grant from the EPSRC to continue work on the development of device for the collection of urine samples from paediatric patients (more information below).</w:t>
      </w:r>
    </w:p>
    <w:p w:rsidR="00005FFD" w:rsidRDefault="00005FFD" w:rsidP="00BA6A52">
      <w:pPr>
        <w:rPr>
          <w:b/>
          <w:bCs/>
        </w:rPr>
      </w:pPr>
    </w:p>
    <w:p w:rsidR="005844AE" w:rsidRPr="00BA6A52" w:rsidRDefault="005844AE" w:rsidP="00BA6A52">
      <w:pPr>
        <w:rPr>
          <w:b/>
          <w:bCs/>
        </w:rPr>
      </w:pPr>
      <w:r w:rsidRPr="00BA6A52">
        <w:rPr>
          <w:b/>
          <w:bCs/>
        </w:rPr>
        <w:t>Selected Projects</w:t>
      </w:r>
    </w:p>
    <w:p w:rsidR="005844AE" w:rsidRPr="009F04BA" w:rsidRDefault="005844AE" w:rsidP="00FC2E49">
      <w:pPr>
        <w:pStyle w:val="Default"/>
        <w:numPr>
          <w:ilvl w:val="0"/>
          <w:numId w:val="6"/>
        </w:numPr>
        <w:spacing w:before="120"/>
        <w:rPr>
          <w:rFonts w:asciiTheme="minorHAnsi" w:hAnsiTheme="minorHAnsi" w:cs="Times New Roman"/>
          <w:color w:val="auto"/>
          <w:sz w:val="22"/>
          <w:szCs w:val="22"/>
          <w:lang w:val="en-US" w:eastAsia="en-US"/>
        </w:rPr>
      </w:pPr>
      <w:r w:rsidRPr="009F04BA">
        <w:rPr>
          <w:rFonts w:asciiTheme="minorHAnsi" w:hAnsiTheme="minorHAnsi" w:cs="Times New Roman"/>
          <w:color w:val="auto"/>
          <w:sz w:val="22"/>
          <w:szCs w:val="22"/>
          <w:lang w:val="en-US" w:eastAsia="en-US"/>
        </w:rPr>
        <w:t xml:space="preserve">Working with Care UK (a large UK provider of primary and urgent healthcare), the MIC is exploring the impact of the introduction of point-of-care CRP blood testing for the management of acute infection on the prescription of antibiotics across a number of Care UK out of hours units. MIC researchers are mapping antibiotic prescription across care UK test and control sites prior to and following the introduction of POC CRP testing. The evaluation period has now </w:t>
      </w:r>
      <w:proofErr w:type="gramStart"/>
      <w:r w:rsidRPr="009F04BA">
        <w:rPr>
          <w:rFonts w:asciiTheme="minorHAnsi" w:hAnsiTheme="minorHAnsi" w:cs="Times New Roman"/>
          <w:color w:val="auto"/>
          <w:sz w:val="22"/>
          <w:szCs w:val="22"/>
          <w:lang w:val="en-US" w:eastAsia="en-US"/>
        </w:rPr>
        <w:t>concluded</w:t>
      </w:r>
      <w:proofErr w:type="gramEnd"/>
      <w:r w:rsidRPr="009F04BA">
        <w:rPr>
          <w:rFonts w:asciiTheme="minorHAnsi" w:hAnsiTheme="minorHAnsi" w:cs="Times New Roman"/>
          <w:color w:val="auto"/>
          <w:sz w:val="22"/>
          <w:szCs w:val="22"/>
          <w:lang w:val="en-US" w:eastAsia="en-US"/>
        </w:rPr>
        <w:t xml:space="preserve"> and the MIC team is collating the final datasets in preparation for analysis.</w:t>
      </w:r>
    </w:p>
    <w:p w:rsidR="005844AE" w:rsidRPr="009F04BA" w:rsidRDefault="005844AE" w:rsidP="00FC2E49">
      <w:pPr>
        <w:pStyle w:val="Default"/>
        <w:numPr>
          <w:ilvl w:val="0"/>
          <w:numId w:val="6"/>
        </w:numPr>
        <w:spacing w:before="120"/>
        <w:rPr>
          <w:rFonts w:asciiTheme="minorHAnsi" w:hAnsiTheme="minorHAnsi" w:cs="Times New Roman"/>
          <w:color w:val="auto"/>
          <w:sz w:val="22"/>
          <w:szCs w:val="22"/>
          <w:lang w:val="en-US" w:eastAsia="en-US"/>
        </w:rPr>
      </w:pPr>
      <w:r w:rsidRPr="009F04BA">
        <w:rPr>
          <w:rFonts w:asciiTheme="minorHAnsi" w:hAnsiTheme="minorHAnsi" w:cs="Times New Roman"/>
          <w:color w:val="auto"/>
          <w:sz w:val="22"/>
          <w:szCs w:val="22"/>
          <w:lang w:val="en-US" w:eastAsia="en-US"/>
        </w:rPr>
        <w:t xml:space="preserve">During 2019, the MIC Acute Paediatrics clinical theme hosted a stakeholder workshop to discuss the development of a solution (device) for the collection of uncontaminated urine samples from paediatric patients. Suspected urinary tract infection is a common presentation in paediatric emergency medicine, with the diagnostic work-up largely dependent on the availability of a suitable urine sample from patients. Unfortunately obtaining a sample can be difficult from non-compliant younger children and neonates, and sample contamination from skin flora and </w:t>
      </w:r>
      <w:proofErr w:type="spellStart"/>
      <w:r w:rsidRPr="009F04BA">
        <w:rPr>
          <w:rFonts w:asciiTheme="minorHAnsi" w:hAnsiTheme="minorHAnsi" w:cs="Times New Roman"/>
          <w:color w:val="auto"/>
          <w:sz w:val="22"/>
          <w:szCs w:val="22"/>
          <w:lang w:val="en-US" w:eastAsia="en-US"/>
        </w:rPr>
        <w:t>faecal</w:t>
      </w:r>
      <w:proofErr w:type="spellEnd"/>
      <w:r w:rsidRPr="009F04BA">
        <w:rPr>
          <w:rFonts w:asciiTheme="minorHAnsi" w:hAnsiTheme="minorHAnsi" w:cs="Times New Roman"/>
          <w:color w:val="auto"/>
          <w:sz w:val="22"/>
          <w:szCs w:val="22"/>
          <w:lang w:val="en-US" w:eastAsia="en-US"/>
        </w:rPr>
        <w:t xml:space="preserve"> matter is common. MIC researchers are collaborating with colleagues from the Department of Engineering and from the microbiology laboratories of OUH to develop and validate a device to assist with the collection of urine samples from this challenging patient group. Colleagues in Engineering have developed an early prototype device with financial support from MIC pump-priming funds. Further development work will be supported by an EPSRC grant which has been awarded to the team.</w:t>
      </w:r>
    </w:p>
    <w:p w:rsidR="00951AF8" w:rsidRPr="00437B60" w:rsidRDefault="00951AF8" w:rsidP="00302A8E">
      <w:pPr>
        <w:pStyle w:val="Heading1"/>
      </w:pPr>
      <w:bookmarkStart w:id="30" w:name="_Toc34407421"/>
      <w:bookmarkEnd w:id="29"/>
      <w:r w:rsidRPr="00437B60">
        <w:rPr>
          <w:bCs/>
          <w:lang w:val="en-US"/>
        </w:rPr>
        <w:t>Leadership and Management</w:t>
      </w:r>
      <w:bookmarkEnd w:id="30"/>
      <w:r w:rsidRPr="00437B60">
        <w:rPr>
          <w:bCs/>
          <w:lang w:val="en-US"/>
        </w:rPr>
        <w:t xml:space="preserve"> </w:t>
      </w:r>
    </w:p>
    <w:p w:rsidR="00933D2E" w:rsidRDefault="00933D2E" w:rsidP="00933D2E">
      <w:pPr>
        <w:pStyle w:val="Heading2"/>
      </w:pPr>
      <w:bookmarkStart w:id="31" w:name="_Toc34407422"/>
      <w:bookmarkStart w:id="32" w:name="_Toc18939469"/>
      <w:bookmarkStart w:id="33" w:name="_Toc525138717"/>
      <w:r w:rsidRPr="00437B60">
        <w:t>Board report \ seminars feedback</w:t>
      </w:r>
      <w:bookmarkEnd w:id="31"/>
      <w:r w:rsidRPr="00437B60">
        <w:t xml:space="preserve"> </w:t>
      </w:r>
    </w:p>
    <w:p w:rsidR="00437B60" w:rsidRPr="00437B60" w:rsidRDefault="00437B60" w:rsidP="00437B60">
      <w:r>
        <w:t>Prof John Geddes (Director of R&amp;D), Prof Andrea Cipriani (Associate Director of R&amp;D) and Bill Wells (Head of R&amp;D) attended a board seminar if November 2020. The key outcome was for OHFT to s</w:t>
      </w:r>
      <w:r w:rsidRPr="00437B60">
        <w:t>trategic</w:t>
      </w:r>
      <w:r>
        <w:t xml:space="preserve">ally </w:t>
      </w:r>
      <w:r w:rsidRPr="00437B60">
        <w:t>plan f</w:t>
      </w:r>
      <w:r>
        <w:t>or</w:t>
      </w:r>
      <w:r w:rsidRPr="00437B60">
        <w:t xml:space="preserve"> combined clinical academic consultant posts</w:t>
      </w:r>
      <w:r>
        <w:t xml:space="preserve">. </w:t>
      </w:r>
    </w:p>
    <w:p w:rsidR="00346744" w:rsidRDefault="00346744" w:rsidP="00346744">
      <w:pPr>
        <w:pStyle w:val="Heading2"/>
      </w:pPr>
      <w:bookmarkStart w:id="34" w:name="_Toc34407423"/>
      <w:bookmarkEnd w:id="32"/>
      <w:r w:rsidRPr="00437B60">
        <w:t>Staffing</w:t>
      </w:r>
      <w:bookmarkEnd w:id="34"/>
    </w:p>
    <w:p w:rsidR="00437B60" w:rsidRPr="00437B60" w:rsidRDefault="00437B60" w:rsidP="00437B60">
      <w:r>
        <w:t>Key staff changes over the past six months are</w:t>
      </w:r>
      <w:r w:rsidR="00C631E3">
        <w:t>;</w:t>
      </w:r>
      <w:r>
        <w:t xml:space="preserve"> </w:t>
      </w:r>
    </w:p>
    <w:p w:rsidR="008676B0" w:rsidRPr="008676B0" w:rsidRDefault="00437B60" w:rsidP="00437B60">
      <w:pPr>
        <w:pStyle w:val="ListParagraph"/>
        <w:numPr>
          <w:ilvl w:val="0"/>
          <w:numId w:val="21"/>
        </w:numPr>
        <w:rPr>
          <w:rFonts w:ascii="Calibri" w:hAnsi="Calibri"/>
          <w:szCs w:val="22"/>
          <w:lang w:val="en-GB"/>
        </w:rPr>
      </w:pPr>
      <w:r>
        <w:t xml:space="preserve">After successfully leading the Oxford Health Clinical Research Facility (CRF) for almost 10 years, Professor John Geddes </w:t>
      </w:r>
      <w:r w:rsidR="008676B0">
        <w:t xml:space="preserve">stepped </w:t>
      </w:r>
      <w:r>
        <w:t>down as CRF Director</w:t>
      </w:r>
      <w:r w:rsidR="008676B0">
        <w:t xml:space="preserve"> and was replaced by Professor Andrea Cipriani</w:t>
      </w:r>
    </w:p>
    <w:p w:rsidR="009B4F66" w:rsidRPr="00437B60" w:rsidRDefault="009B4F66" w:rsidP="0017480B">
      <w:pPr>
        <w:pStyle w:val="ListParagraph"/>
        <w:numPr>
          <w:ilvl w:val="0"/>
          <w:numId w:val="21"/>
        </w:numPr>
        <w:rPr>
          <w:bCs/>
        </w:rPr>
      </w:pPr>
      <w:r w:rsidRPr="00437B60">
        <w:rPr>
          <w:bCs/>
        </w:rPr>
        <w:t xml:space="preserve">Marco </w:t>
      </w:r>
      <w:r w:rsidR="00437B60" w:rsidRPr="00437B60">
        <w:rPr>
          <w:bCs/>
        </w:rPr>
        <w:t>Pontecorv</w:t>
      </w:r>
      <w:r w:rsidR="00437B60">
        <w:rPr>
          <w:bCs/>
        </w:rPr>
        <w:t>i</w:t>
      </w:r>
      <w:r w:rsidR="00437B60" w:rsidRPr="00437B60">
        <w:rPr>
          <w:bCs/>
        </w:rPr>
        <w:t xml:space="preserve"> has joined as BRC Manager</w:t>
      </w:r>
    </w:p>
    <w:p w:rsidR="00094AFD" w:rsidRPr="00B774BA" w:rsidRDefault="00094AFD" w:rsidP="00094AFD">
      <w:pPr>
        <w:pStyle w:val="Heading2"/>
        <w:rPr>
          <w:lang w:val="en-GB"/>
        </w:rPr>
      </w:pPr>
      <w:bookmarkStart w:id="35" w:name="_Toc34407424"/>
      <w:r w:rsidRPr="00B774BA">
        <w:rPr>
          <w:lang w:val="en-GB"/>
        </w:rPr>
        <w:lastRenderedPageBreak/>
        <w:t>Research Set Up</w:t>
      </w:r>
      <w:r w:rsidR="007175FE" w:rsidRPr="00B774BA">
        <w:rPr>
          <w:lang w:val="en-GB"/>
        </w:rPr>
        <w:t xml:space="preserve"> and Sponsorship</w:t>
      </w:r>
      <w:bookmarkEnd w:id="35"/>
      <w:r w:rsidR="007175FE" w:rsidRPr="00B774BA">
        <w:rPr>
          <w:lang w:val="en-GB"/>
        </w:rPr>
        <w:t xml:space="preserve"> </w:t>
      </w:r>
    </w:p>
    <w:p w:rsidR="00B774BA" w:rsidRPr="00B774BA" w:rsidRDefault="00B774BA" w:rsidP="00B774BA">
      <w:pPr>
        <w:pStyle w:val="Heading2"/>
        <w:rPr>
          <w:rFonts w:eastAsia="Times New Roman" w:cs="Times New Roman"/>
          <w:sz w:val="24"/>
          <w:szCs w:val="24"/>
        </w:rPr>
      </w:pPr>
      <w:bookmarkStart w:id="36" w:name="_Toc34407425"/>
      <w:r w:rsidRPr="00B774BA">
        <w:rPr>
          <w:rFonts w:eastAsia="Times New Roman" w:cs="Times New Roman"/>
          <w:sz w:val="24"/>
          <w:szCs w:val="24"/>
        </w:rPr>
        <w:t>Set Up</w:t>
      </w:r>
      <w:bookmarkEnd w:id="36"/>
    </w:p>
    <w:p w:rsidR="00B774BA" w:rsidRDefault="00B774BA" w:rsidP="00B774BA">
      <w:pPr>
        <w:spacing w:before="0" w:after="0"/>
      </w:pPr>
      <w:r>
        <w:t>This year, our goal has been to ensure studies take no longer than 4 weeks to set up (calculated from the date a full set of documents are provided to the date our teams are clear to start recruitment); We are currently delivering that target. This, along with the hard work of individuals across the department, has resulted in nearly 27% more studies already being set up this year in comparison to FY2018/2019.</w:t>
      </w:r>
    </w:p>
    <w:p w:rsidR="00B774BA" w:rsidRDefault="00B774BA" w:rsidP="00B774BA">
      <w:pPr>
        <w:spacing w:before="0" w:after="0"/>
      </w:pPr>
    </w:p>
    <w:tbl>
      <w:tblPr>
        <w:tblStyle w:val="TableGrid"/>
        <w:tblpPr w:leftFromText="180" w:rightFromText="180" w:vertAnchor="text" w:tblpY="1"/>
        <w:tblOverlap w:val="never"/>
        <w:tblW w:w="5665" w:type="dxa"/>
        <w:tblLook w:val="04A0" w:firstRow="1" w:lastRow="0" w:firstColumn="1" w:lastColumn="0" w:noHBand="0" w:noVBand="1"/>
      </w:tblPr>
      <w:tblGrid>
        <w:gridCol w:w="3721"/>
        <w:gridCol w:w="1944"/>
      </w:tblGrid>
      <w:tr w:rsidR="00B774BA" w:rsidTr="0096249E">
        <w:tc>
          <w:tcPr>
            <w:tcW w:w="3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74BA" w:rsidRPr="0096249E" w:rsidRDefault="00B774BA" w:rsidP="0096249E">
            <w:pPr>
              <w:spacing w:before="0" w:after="0"/>
              <w:jc w:val="left"/>
            </w:pPr>
            <w:r w:rsidRPr="0096249E">
              <w:t>Year</w:t>
            </w:r>
          </w:p>
        </w:tc>
        <w:tc>
          <w:tcPr>
            <w:tcW w:w="1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74BA" w:rsidRPr="0096249E" w:rsidRDefault="00B774BA" w:rsidP="000D1C8A">
            <w:pPr>
              <w:spacing w:before="0" w:after="0"/>
              <w:jc w:val="center"/>
            </w:pPr>
            <w:r w:rsidRPr="0096249E">
              <w:t xml:space="preserve">Number of Studies </w:t>
            </w:r>
          </w:p>
        </w:tc>
      </w:tr>
      <w:tr w:rsidR="00B774BA" w:rsidTr="0096249E">
        <w:tc>
          <w:tcPr>
            <w:tcW w:w="3721" w:type="dxa"/>
            <w:tcBorders>
              <w:top w:val="single" w:sz="4" w:space="0" w:color="auto"/>
              <w:left w:val="single" w:sz="4" w:space="0" w:color="auto"/>
              <w:bottom w:val="single" w:sz="4" w:space="0" w:color="auto"/>
              <w:right w:val="single" w:sz="4" w:space="0" w:color="auto"/>
            </w:tcBorders>
            <w:hideMark/>
          </w:tcPr>
          <w:p w:rsidR="00B774BA" w:rsidRPr="006240B8" w:rsidRDefault="00B774BA" w:rsidP="000D1C8A">
            <w:pPr>
              <w:spacing w:before="0" w:after="0"/>
              <w:jc w:val="left"/>
            </w:pPr>
            <w:r>
              <w:t>Opened 20</w:t>
            </w:r>
            <w:r w:rsidRPr="006240B8">
              <w:t>1</w:t>
            </w:r>
            <w:r>
              <w:t>7-2018</w:t>
            </w:r>
            <w:r w:rsidRPr="006240B8">
              <w:t xml:space="preserve"> </w:t>
            </w:r>
          </w:p>
        </w:tc>
        <w:tc>
          <w:tcPr>
            <w:tcW w:w="1944" w:type="dxa"/>
            <w:tcBorders>
              <w:top w:val="single" w:sz="4" w:space="0" w:color="auto"/>
              <w:left w:val="single" w:sz="4" w:space="0" w:color="auto"/>
              <w:bottom w:val="single" w:sz="4" w:space="0" w:color="auto"/>
              <w:right w:val="single" w:sz="4" w:space="0" w:color="auto"/>
            </w:tcBorders>
            <w:hideMark/>
          </w:tcPr>
          <w:p w:rsidR="00B774BA" w:rsidRPr="006240B8" w:rsidRDefault="00B774BA" w:rsidP="000D1C8A">
            <w:pPr>
              <w:spacing w:before="0" w:after="0"/>
              <w:jc w:val="center"/>
            </w:pPr>
            <w:r w:rsidRPr="006240B8">
              <w:t>34</w:t>
            </w:r>
          </w:p>
        </w:tc>
      </w:tr>
      <w:tr w:rsidR="00B774BA" w:rsidTr="0096249E">
        <w:tc>
          <w:tcPr>
            <w:tcW w:w="3721" w:type="dxa"/>
            <w:tcBorders>
              <w:top w:val="single" w:sz="4" w:space="0" w:color="auto"/>
              <w:left w:val="single" w:sz="4" w:space="0" w:color="auto"/>
              <w:bottom w:val="single" w:sz="4" w:space="0" w:color="auto"/>
              <w:right w:val="single" w:sz="4" w:space="0" w:color="auto"/>
            </w:tcBorders>
            <w:hideMark/>
          </w:tcPr>
          <w:p w:rsidR="00B774BA" w:rsidRPr="006240B8" w:rsidRDefault="00B774BA" w:rsidP="000D1C8A">
            <w:pPr>
              <w:spacing w:before="0" w:after="0"/>
              <w:jc w:val="left"/>
            </w:pPr>
            <w:r>
              <w:t xml:space="preserve">Opened </w:t>
            </w:r>
            <w:r w:rsidRPr="006240B8">
              <w:t>2018-2019</w:t>
            </w:r>
          </w:p>
        </w:tc>
        <w:tc>
          <w:tcPr>
            <w:tcW w:w="1944" w:type="dxa"/>
            <w:tcBorders>
              <w:top w:val="single" w:sz="4" w:space="0" w:color="auto"/>
              <w:left w:val="single" w:sz="4" w:space="0" w:color="auto"/>
              <w:bottom w:val="single" w:sz="4" w:space="0" w:color="auto"/>
              <w:right w:val="single" w:sz="4" w:space="0" w:color="auto"/>
            </w:tcBorders>
            <w:hideMark/>
          </w:tcPr>
          <w:p w:rsidR="00B774BA" w:rsidRPr="006240B8" w:rsidRDefault="00B774BA" w:rsidP="000D1C8A">
            <w:pPr>
              <w:spacing w:before="0" w:after="0"/>
              <w:jc w:val="center"/>
            </w:pPr>
            <w:r w:rsidRPr="006240B8">
              <w:t>41</w:t>
            </w:r>
          </w:p>
        </w:tc>
      </w:tr>
      <w:tr w:rsidR="00B774BA" w:rsidTr="0096249E">
        <w:tc>
          <w:tcPr>
            <w:tcW w:w="3721" w:type="dxa"/>
            <w:tcBorders>
              <w:top w:val="single" w:sz="4" w:space="0" w:color="auto"/>
              <w:left w:val="single" w:sz="4" w:space="0" w:color="auto"/>
              <w:bottom w:val="single" w:sz="4" w:space="0" w:color="auto"/>
              <w:right w:val="single" w:sz="4" w:space="0" w:color="auto"/>
            </w:tcBorders>
            <w:hideMark/>
          </w:tcPr>
          <w:p w:rsidR="00B774BA" w:rsidRPr="006240B8" w:rsidRDefault="00B774BA" w:rsidP="000D1C8A">
            <w:pPr>
              <w:spacing w:before="0" w:after="0"/>
              <w:jc w:val="left"/>
            </w:pPr>
            <w:r>
              <w:t xml:space="preserve">Opened </w:t>
            </w:r>
            <w:r w:rsidRPr="006240B8">
              <w:t>2019-2020</w:t>
            </w:r>
          </w:p>
        </w:tc>
        <w:tc>
          <w:tcPr>
            <w:tcW w:w="1944" w:type="dxa"/>
            <w:tcBorders>
              <w:top w:val="single" w:sz="4" w:space="0" w:color="auto"/>
              <w:left w:val="single" w:sz="4" w:space="0" w:color="auto"/>
              <w:bottom w:val="single" w:sz="4" w:space="0" w:color="auto"/>
              <w:right w:val="single" w:sz="4" w:space="0" w:color="auto"/>
            </w:tcBorders>
          </w:tcPr>
          <w:p w:rsidR="00B774BA" w:rsidRPr="006240B8" w:rsidRDefault="00B774BA" w:rsidP="000D1C8A">
            <w:pPr>
              <w:spacing w:before="0" w:after="0"/>
              <w:jc w:val="center"/>
            </w:pPr>
            <w:r>
              <w:t>52</w:t>
            </w:r>
          </w:p>
        </w:tc>
      </w:tr>
      <w:tr w:rsidR="00B774BA" w:rsidTr="0096249E">
        <w:tc>
          <w:tcPr>
            <w:tcW w:w="3721" w:type="dxa"/>
            <w:tcBorders>
              <w:top w:val="single" w:sz="4" w:space="0" w:color="auto"/>
              <w:left w:val="single" w:sz="4" w:space="0" w:color="auto"/>
              <w:bottom w:val="single" w:sz="4" w:space="0" w:color="auto"/>
              <w:right w:val="single" w:sz="4" w:space="0" w:color="auto"/>
            </w:tcBorders>
            <w:shd w:val="clear" w:color="auto" w:fill="auto"/>
          </w:tcPr>
          <w:p w:rsidR="00B774BA" w:rsidRPr="00857D7C" w:rsidRDefault="00B774BA" w:rsidP="000D1C8A">
            <w:pPr>
              <w:spacing w:before="0" w:after="0"/>
              <w:jc w:val="left"/>
              <w:rPr>
                <w:i/>
                <w:iCs/>
              </w:rPr>
            </w:pPr>
            <w:r w:rsidRPr="00857D7C">
              <w:rPr>
                <w:i/>
                <w:iCs/>
              </w:rPr>
              <w:t xml:space="preserve">Currently </w:t>
            </w:r>
            <w:r w:rsidR="0096249E">
              <w:rPr>
                <w:i/>
                <w:iCs/>
              </w:rPr>
              <w:t>i</w:t>
            </w:r>
            <w:r w:rsidRPr="00857D7C">
              <w:rPr>
                <w:i/>
                <w:iCs/>
              </w:rPr>
              <w:t xml:space="preserve">n Set-up </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B774BA" w:rsidRPr="006240B8" w:rsidRDefault="00B774BA" w:rsidP="000D1C8A">
            <w:pPr>
              <w:spacing w:before="0" w:after="0"/>
              <w:jc w:val="center"/>
            </w:pPr>
            <w:r>
              <w:t>33</w:t>
            </w:r>
          </w:p>
        </w:tc>
      </w:tr>
    </w:tbl>
    <w:p w:rsidR="00B774BA" w:rsidRDefault="00B774BA" w:rsidP="00B774BA">
      <w:pPr>
        <w:spacing w:before="0" w:after="0"/>
      </w:pPr>
    </w:p>
    <w:p w:rsidR="00B774BA" w:rsidRDefault="00B774BA" w:rsidP="00B774BA">
      <w:pPr>
        <w:spacing w:before="0" w:after="0"/>
      </w:pPr>
    </w:p>
    <w:p w:rsidR="00B774BA" w:rsidRPr="00B774BA" w:rsidRDefault="00B774BA" w:rsidP="00B774BA">
      <w:pPr>
        <w:pStyle w:val="Heading2"/>
        <w:rPr>
          <w:rFonts w:eastAsia="Times New Roman" w:cs="Times New Roman"/>
          <w:sz w:val="24"/>
          <w:szCs w:val="24"/>
        </w:rPr>
      </w:pPr>
      <w:bookmarkStart w:id="37" w:name="_Toc34407426"/>
      <w:r w:rsidRPr="00B774BA">
        <w:rPr>
          <w:rFonts w:eastAsia="Times New Roman" w:cs="Times New Roman"/>
          <w:sz w:val="24"/>
          <w:szCs w:val="24"/>
        </w:rPr>
        <w:t>Sponsorship</w:t>
      </w:r>
      <w:bookmarkEnd w:id="37"/>
    </w:p>
    <w:p w:rsidR="00B774BA" w:rsidRPr="00672108" w:rsidRDefault="00B774BA" w:rsidP="00B774BA">
      <w:pPr>
        <w:spacing w:before="0" w:after="0"/>
        <w:rPr>
          <w:b/>
          <w:bCs/>
        </w:rPr>
      </w:pPr>
      <w:r>
        <w:t xml:space="preserve">As a Trust we are currently only sponsoring low risk studies which could not be sponsored elsewhere. This includes student work and staff projects where appropriate. </w:t>
      </w:r>
    </w:p>
    <w:p w:rsidR="00B774BA" w:rsidRPr="006240B8" w:rsidRDefault="00B774BA" w:rsidP="00B774BA">
      <w:pPr>
        <w:spacing w:before="0" w:after="0"/>
      </w:pPr>
    </w:p>
    <w:tbl>
      <w:tblPr>
        <w:tblStyle w:val="TableGrid"/>
        <w:tblW w:w="2547" w:type="dxa"/>
        <w:tblLook w:val="04A0" w:firstRow="1" w:lastRow="0" w:firstColumn="1" w:lastColumn="0" w:noHBand="0" w:noVBand="1"/>
      </w:tblPr>
      <w:tblGrid>
        <w:gridCol w:w="1555"/>
        <w:gridCol w:w="992"/>
      </w:tblGrid>
      <w:tr w:rsidR="00B774BA" w:rsidTr="0096249E">
        <w:trPr>
          <w:trHeight w:val="26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74BA" w:rsidRPr="0096249E" w:rsidRDefault="00B774BA" w:rsidP="0096249E">
            <w:pPr>
              <w:spacing w:before="0" w:after="0"/>
              <w:jc w:val="left"/>
            </w:pPr>
            <w:r w:rsidRPr="0096249E">
              <w:t>Type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74BA" w:rsidRPr="0096249E" w:rsidRDefault="00B774BA" w:rsidP="000D1C8A">
            <w:pPr>
              <w:spacing w:before="0" w:after="0"/>
              <w:jc w:val="center"/>
            </w:pPr>
            <w:r w:rsidRPr="0096249E">
              <w:t>Total</w:t>
            </w:r>
          </w:p>
        </w:tc>
      </w:tr>
      <w:tr w:rsidR="00B774BA" w:rsidTr="000D1C8A">
        <w:trPr>
          <w:trHeight w:val="264"/>
        </w:trPr>
        <w:tc>
          <w:tcPr>
            <w:tcW w:w="1555" w:type="dxa"/>
            <w:tcBorders>
              <w:top w:val="single" w:sz="4" w:space="0" w:color="auto"/>
              <w:left w:val="single" w:sz="4" w:space="0" w:color="auto"/>
              <w:bottom w:val="single" w:sz="4" w:space="0" w:color="auto"/>
              <w:right w:val="single" w:sz="4" w:space="0" w:color="auto"/>
            </w:tcBorders>
          </w:tcPr>
          <w:p w:rsidR="00B774BA" w:rsidRPr="006240B8" w:rsidRDefault="00B774BA" w:rsidP="0096249E">
            <w:pPr>
              <w:spacing w:before="0" w:after="0"/>
              <w:jc w:val="left"/>
            </w:pPr>
            <w:r>
              <w:t>Student</w:t>
            </w:r>
          </w:p>
        </w:tc>
        <w:tc>
          <w:tcPr>
            <w:tcW w:w="992" w:type="dxa"/>
            <w:tcBorders>
              <w:top w:val="single" w:sz="4" w:space="0" w:color="auto"/>
              <w:left w:val="single" w:sz="4" w:space="0" w:color="auto"/>
              <w:bottom w:val="single" w:sz="4" w:space="0" w:color="auto"/>
              <w:right w:val="single" w:sz="4" w:space="0" w:color="auto"/>
            </w:tcBorders>
          </w:tcPr>
          <w:p w:rsidR="00B774BA" w:rsidRPr="006240B8" w:rsidRDefault="00B774BA" w:rsidP="000D1C8A">
            <w:pPr>
              <w:spacing w:before="0" w:after="0"/>
              <w:jc w:val="center"/>
            </w:pPr>
            <w:r>
              <w:t>1</w:t>
            </w:r>
          </w:p>
        </w:tc>
      </w:tr>
      <w:tr w:rsidR="00B774BA" w:rsidTr="000D1C8A">
        <w:trPr>
          <w:trHeight w:val="274"/>
        </w:trPr>
        <w:tc>
          <w:tcPr>
            <w:tcW w:w="1555" w:type="dxa"/>
            <w:tcBorders>
              <w:top w:val="single" w:sz="4" w:space="0" w:color="auto"/>
              <w:left w:val="single" w:sz="4" w:space="0" w:color="auto"/>
              <w:bottom w:val="single" w:sz="4" w:space="0" w:color="auto"/>
              <w:right w:val="single" w:sz="4" w:space="0" w:color="auto"/>
            </w:tcBorders>
          </w:tcPr>
          <w:p w:rsidR="00B774BA" w:rsidRPr="006240B8" w:rsidRDefault="00B774BA" w:rsidP="0096249E">
            <w:pPr>
              <w:spacing w:before="0" w:after="0"/>
              <w:jc w:val="left"/>
            </w:pPr>
            <w:r>
              <w:t>Staff</w:t>
            </w:r>
          </w:p>
        </w:tc>
        <w:tc>
          <w:tcPr>
            <w:tcW w:w="992" w:type="dxa"/>
            <w:tcBorders>
              <w:top w:val="single" w:sz="4" w:space="0" w:color="auto"/>
              <w:left w:val="single" w:sz="4" w:space="0" w:color="auto"/>
              <w:bottom w:val="single" w:sz="4" w:space="0" w:color="auto"/>
              <w:right w:val="single" w:sz="4" w:space="0" w:color="auto"/>
            </w:tcBorders>
          </w:tcPr>
          <w:p w:rsidR="00B774BA" w:rsidRPr="006240B8" w:rsidRDefault="00B774BA" w:rsidP="000D1C8A">
            <w:pPr>
              <w:spacing w:before="0" w:after="0"/>
              <w:jc w:val="center"/>
            </w:pPr>
            <w:r>
              <w:t>2</w:t>
            </w:r>
          </w:p>
        </w:tc>
      </w:tr>
    </w:tbl>
    <w:p w:rsidR="00B774BA" w:rsidRDefault="00B774BA" w:rsidP="00B774BA">
      <w:pPr>
        <w:pStyle w:val="Heading2"/>
        <w:numPr>
          <w:ilvl w:val="0"/>
          <w:numId w:val="0"/>
        </w:numPr>
        <w:spacing w:before="0" w:after="0"/>
        <w:ind w:left="576"/>
        <w:rPr>
          <w:rFonts w:eastAsia="Times New Roman" w:cs="Times New Roman"/>
          <w:sz w:val="22"/>
          <w:szCs w:val="24"/>
        </w:rPr>
      </w:pPr>
      <w:bookmarkStart w:id="38" w:name="_Toc31286132"/>
      <w:bookmarkStart w:id="39" w:name="_Toc31286134"/>
    </w:p>
    <w:p w:rsidR="00B774BA" w:rsidRPr="00672108" w:rsidRDefault="00B774BA" w:rsidP="00B774BA">
      <w:pPr>
        <w:pStyle w:val="Heading2"/>
        <w:spacing w:before="0" w:after="0"/>
        <w:rPr>
          <w:rFonts w:eastAsia="Times New Roman" w:cs="Times New Roman"/>
          <w:sz w:val="24"/>
          <w:szCs w:val="24"/>
        </w:rPr>
      </w:pPr>
      <w:bookmarkStart w:id="40" w:name="_Toc34407427"/>
      <w:r>
        <w:rPr>
          <w:rFonts w:eastAsia="Times New Roman" w:cs="Times New Roman"/>
          <w:sz w:val="24"/>
          <w:szCs w:val="24"/>
        </w:rPr>
        <w:t>N</w:t>
      </w:r>
      <w:r w:rsidR="00BA6A52">
        <w:rPr>
          <w:rFonts w:eastAsia="Times New Roman" w:cs="Times New Roman"/>
          <w:sz w:val="24"/>
          <w:szCs w:val="24"/>
        </w:rPr>
        <w:t xml:space="preserve">IHR </w:t>
      </w:r>
      <w:r>
        <w:rPr>
          <w:rFonts w:eastAsia="Times New Roman" w:cs="Times New Roman"/>
          <w:sz w:val="24"/>
          <w:szCs w:val="24"/>
        </w:rPr>
        <w:t>Clinical Research Network (CRN)</w:t>
      </w:r>
      <w:r w:rsidRPr="00672108">
        <w:rPr>
          <w:rFonts w:eastAsia="Times New Roman" w:cs="Times New Roman"/>
          <w:sz w:val="24"/>
          <w:szCs w:val="24"/>
        </w:rPr>
        <w:t xml:space="preserve"> High Level Objectives (HLOs</w:t>
      </w:r>
      <w:bookmarkEnd w:id="38"/>
      <w:r w:rsidRPr="00672108">
        <w:rPr>
          <w:rFonts w:eastAsia="Times New Roman" w:cs="Times New Roman"/>
          <w:sz w:val="24"/>
          <w:szCs w:val="24"/>
        </w:rPr>
        <w:t>)</w:t>
      </w:r>
      <w:bookmarkEnd w:id="40"/>
      <w:r w:rsidRPr="00672108">
        <w:rPr>
          <w:rFonts w:eastAsia="Times New Roman" w:cs="Times New Roman"/>
          <w:sz w:val="24"/>
          <w:szCs w:val="24"/>
        </w:rPr>
        <w:t xml:space="preserve"> </w:t>
      </w:r>
    </w:p>
    <w:p w:rsidR="00B774BA" w:rsidRDefault="00B774BA" w:rsidP="00B774BA">
      <w:pPr>
        <w:spacing w:before="0" w:after="0"/>
      </w:pPr>
    </w:p>
    <w:p w:rsidR="008676B0" w:rsidRDefault="008676B0" w:rsidP="00B774BA">
      <w:pPr>
        <w:spacing w:before="0" w:after="0"/>
      </w:pPr>
      <w:r>
        <w:t xml:space="preserve">The Local CRN is measured against a set-of high-level performance objectives. </w:t>
      </w:r>
      <w:r w:rsidR="00B774BA" w:rsidRPr="006240B8">
        <w:t xml:space="preserve">OHFT’s contribution to the </w:t>
      </w:r>
      <w:r>
        <w:t>these are shown below.</w:t>
      </w:r>
    </w:p>
    <w:p w:rsidR="00B774BA" w:rsidRDefault="00B774BA" w:rsidP="00B774BA">
      <w:pPr>
        <w:spacing w:before="0" w:after="0"/>
      </w:pP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89"/>
        <w:gridCol w:w="991"/>
        <w:gridCol w:w="1783"/>
        <w:gridCol w:w="1415"/>
      </w:tblGrid>
      <w:tr w:rsidR="00B774BA" w:rsidRPr="008548B7" w:rsidTr="00C631E3">
        <w:trPr>
          <w:tblHeader/>
          <w:jc w:val="center"/>
        </w:trPr>
        <w:tc>
          <w:tcPr>
            <w:tcW w:w="4889" w:type="dxa"/>
            <w:shd w:val="clear" w:color="auto" w:fill="D9D9D9" w:themeFill="background1" w:themeFillShade="D9"/>
            <w:tcMar>
              <w:top w:w="180" w:type="dxa"/>
              <w:left w:w="120" w:type="dxa"/>
              <w:bottom w:w="180" w:type="dxa"/>
              <w:right w:w="120" w:type="dxa"/>
            </w:tcMar>
            <w:vAlign w:val="center"/>
            <w:hideMark/>
          </w:tcPr>
          <w:p w:rsidR="00B774BA" w:rsidRPr="00C631E3" w:rsidRDefault="00B774BA" w:rsidP="000D1C8A">
            <w:pPr>
              <w:spacing w:before="0" w:after="0"/>
              <w:jc w:val="left"/>
              <w:rPr>
                <w:b/>
                <w:bCs/>
                <w:sz w:val="16"/>
                <w:szCs w:val="16"/>
              </w:rPr>
            </w:pPr>
            <w:r w:rsidRPr="00C631E3">
              <w:rPr>
                <w:b/>
                <w:bCs/>
                <w:sz w:val="16"/>
                <w:szCs w:val="16"/>
              </w:rPr>
              <w:t>HLO Objective</w:t>
            </w:r>
          </w:p>
        </w:tc>
        <w:tc>
          <w:tcPr>
            <w:tcW w:w="991" w:type="dxa"/>
            <w:shd w:val="clear" w:color="auto" w:fill="D9D9D9" w:themeFill="background1" w:themeFillShade="D9"/>
            <w:tcMar>
              <w:top w:w="180" w:type="dxa"/>
              <w:left w:w="120" w:type="dxa"/>
              <w:bottom w:w="180" w:type="dxa"/>
              <w:right w:w="120" w:type="dxa"/>
            </w:tcMar>
            <w:vAlign w:val="center"/>
            <w:hideMark/>
          </w:tcPr>
          <w:p w:rsidR="00B774BA" w:rsidRPr="00C631E3" w:rsidRDefault="00B774BA" w:rsidP="000D1C8A">
            <w:pPr>
              <w:spacing w:before="0" w:after="0"/>
              <w:jc w:val="center"/>
              <w:rPr>
                <w:b/>
                <w:bCs/>
                <w:sz w:val="16"/>
                <w:szCs w:val="16"/>
              </w:rPr>
            </w:pPr>
            <w:r w:rsidRPr="00C631E3">
              <w:rPr>
                <w:b/>
                <w:bCs/>
                <w:sz w:val="16"/>
                <w:szCs w:val="16"/>
              </w:rPr>
              <w:t>2018/2019</w:t>
            </w:r>
          </w:p>
        </w:tc>
        <w:tc>
          <w:tcPr>
            <w:tcW w:w="1783" w:type="dxa"/>
            <w:shd w:val="clear" w:color="auto" w:fill="D9D9D9" w:themeFill="background1" w:themeFillShade="D9"/>
            <w:tcMar>
              <w:top w:w="180" w:type="dxa"/>
              <w:left w:w="120" w:type="dxa"/>
              <w:bottom w:w="180" w:type="dxa"/>
              <w:right w:w="120" w:type="dxa"/>
            </w:tcMar>
            <w:vAlign w:val="center"/>
            <w:hideMark/>
          </w:tcPr>
          <w:p w:rsidR="00B774BA" w:rsidRDefault="00B774BA" w:rsidP="000D1C8A">
            <w:pPr>
              <w:spacing w:before="0" w:after="0"/>
              <w:jc w:val="center"/>
              <w:rPr>
                <w:b/>
                <w:bCs/>
                <w:sz w:val="16"/>
                <w:szCs w:val="16"/>
              </w:rPr>
            </w:pPr>
            <w:r w:rsidRPr="00C631E3">
              <w:rPr>
                <w:b/>
                <w:bCs/>
                <w:sz w:val="16"/>
                <w:szCs w:val="16"/>
              </w:rPr>
              <w:t>2019/2020</w:t>
            </w:r>
          </w:p>
          <w:p w:rsidR="00C631E3" w:rsidRPr="00C631E3" w:rsidRDefault="00C631E3" w:rsidP="000D1C8A">
            <w:pPr>
              <w:spacing w:before="0" w:after="0"/>
              <w:jc w:val="center"/>
              <w:rPr>
                <w:b/>
                <w:bCs/>
                <w:sz w:val="16"/>
                <w:szCs w:val="16"/>
              </w:rPr>
            </w:pPr>
            <w:r>
              <w:rPr>
                <w:b/>
                <w:bCs/>
                <w:sz w:val="16"/>
                <w:szCs w:val="16"/>
              </w:rPr>
              <w:t xml:space="preserve">YTD </w:t>
            </w:r>
          </w:p>
        </w:tc>
        <w:tc>
          <w:tcPr>
            <w:tcW w:w="1415" w:type="dxa"/>
            <w:shd w:val="clear" w:color="auto" w:fill="D9D9D9" w:themeFill="background1" w:themeFillShade="D9"/>
            <w:tcMar>
              <w:top w:w="180" w:type="dxa"/>
              <w:left w:w="120" w:type="dxa"/>
              <w:bottom w:w="180" w:type="dxa"/>
              <w:right w:w="120" w:type="dxa"/>
            </w:tcMar>
            <w:vAlign w:val="center"/>
            <w:hideMark/>
          </w:tcPr>
          <w:p w:rsidR="00B774BA" w:rsidRPr="00C631E3" w:rsidRDefault="00B774BA" w:rsidP="000D1C8A">
            <w:pPr>
              <w:spacing w:before="0" w:after="0"/>
              <w:jc w:val="center"/>
              <w:rPr>
                <w:sz w:val="16"/>
                <w:szCs w:val="16"/>
              </w:rPr>
            </w:pPr>
            <w:r w:rsidRPr="00C631E3">
              <w:rPr>
                <w:b/>
                <w:bCs/>
                <w:sz w:val="16"/>
                <w:szCs w:val="16"/>
              </w:rPr>
              <w:t>%</w:t>
            </w:r>
            <w:r w:rsidR="00C631E3">
              <w:rPr>
                <w:b/>
                <w:bCs/>
                <w:sz w:val="16"/>
                <w:szCs w:val="16"/>
              </w:rPr>
              <w:t xml:space="preserve"> </w:t>
            </w:r>
            <w:r w:rsidR="00C631E3">
              <w:rPr>
                <w:i/>
                <w:iCs/>
                <w:sz w:val="16"/>
                <w:szCs w:val="16"/>
              </w:rPr>
              <w:t xml:space="preserve">Change </w:t>
            </w:r>
          </w:p>
        </w:tc>
      </w:tr>
      <w:tr w:rsidR="00B774BA" w:rsidRPr="008548B7" w:rsidTr="00C631E3">
        <w:trPr>
          <w:jc w:val="center"/>
        </w:trPr>
        <w:tc>
          <w:tcPr>
            <w:tcW w:w="4889" w:type="dxa"/>
            <w:shd w:val="clear" w:color="auto" w:fill="EEECE1" w:themeFill="background2"/>
            <w:tcMar>
              <w:top w:w="120" w:type="dxa"/>
              <w:left w:w="120" w:type="dxa"/>
              <w:bottom w:w="120" w:type="dxa"/>
              <w:right w:w="120" w:type="dxa"/>
            </w:tcMar>
            <w:hideMark/>
          </w:tcPr>
          <w:p w:rsidR="00B774BA" w:rsidRPr="00C631E3" w:rsidRDefault="00B774BA" w:rsidP="00B774BA">
            <w:pPr>
              <w:spacing w:before="0" w:after="0"/>
              <w:jc w:val="left"/>
              <w:rPr>
                <w:sz w:val="16"/>
                <w:szCs w:val="16"/>
              </w:rPr>
            </w:pPr>
            <w:r w:rsidRPr="00C631E3">
              <w:rPr>
                <w:sz w:val="16"/>
                <w:szCs w:val="16"/>
              </w:rPr>
              <w:t>1A: Increase the total number of research participants recruited.</w:t>
            </w:r>
          </w:p>
        </w:tc>
        <w:tc>
          <w:tcPr>
            <w:tcW w:w="991" w:type="dxa"/>
            <w:shd w:val="clear" w:color="auto" w:fill="EEECE1" w:themeFill="background2"/>
            <w:tcMar>
              <w:top w:w="120" w:type="dxa"/>
              <w:left w:w="120" w:type="dxa"/>
              <w:bottom w:w="120" w:type="dxa"/>
              <w:right w:w="120" w:type="dxa"/>
            </w:tcMar>
          </w:tcPr>
          <w:p w:rsidR="00B774BA" w:rsidRPr="00C631E3" w:rsidRDefault="00B774BA" w:rsidP="000D1C8A">
            <w:pPr>
              <w:spacing w:before="0" w:after="0"/>
              <w:jc w:val="center"/>
              <w:rPr>
                <w:sz w:val="16"/>
                <w:szCs w:val="16"/>
              </w:rPr>
            </w:pPr>
            <w:r w:rsidRPr="00C631E3">
              <w:rPr>
                <w:sz w:val="16"/>
                <w:szCs w:val="16"/>
              </w:rPr>
              <w:t>2</w:t>
            </w:r>
            <w:r w:rsidR="00C631E3" w:rsidRPr="00C631E3">
              <w:rPr>
                <w:sz w:val="16"/>
                <w:szCs w:val="16"/>
              </w:rPr>
              <w:t>891</w:t>
            </w:r>
          </w:p>
        </w:tc>
        <w:tc>
          <w:tcPr>
            <w:tcW w:w="1783" w:type="dxa"/>
            <w:shd w:val="clear" w:color="auto" w:fill="EEECE1" w:themeFill="background2"/>
            <w:tcMar>
              <w:top w:w="120" w:type="dxa"/>
              <w:left w:w="120" w:type="dxa"/>
              <w:bottom w:w="120" w:type="dxa"/>
              <w:right w:w="120" w:type="dxa"/>
            </w:tcMar>
          </w:tcPr>
          <w:p w:rsidR="00B774BA" w:rsidRPr="00C631E3" w:rsidRDefault="00B774BA" w:rsidP="000D1C8A">
            <w:pPr>
              <w:spacing w:before="0" w:after="0"/>
              <w:jc w:val="center"/>
              <w:rPr>
                <w:sz w:val="16"/>
                <w:szCs w:val="16"/>
              </w:rPr>
            </w:pPr>
            <w:r w:rsidRPr="00C631E3">
              <w:rPr>
                <w:sz w:val="16"/>
                <w:szCs w:val="16"/>
              </w:rPr>
              <w:t>2727</w:t>
            </w:r>
          </w:p>
        </w:tc>
        <w:tc>
          <w:tcPr>
            <w:tcW w:w="1415" w:type="dxa"/>
            <w:shd w:val="clear" w:color="auto" w:fill="EEECE1" w:themeFill="background2"/>
            <w:tcMar>
              <w:top w:w="120" w:type="dxa"/>
              <w:left w:w="120" w:type="dxa"/>
              <w:bottom w:w="120" w:type="dxa"/>
              <w:right w:w="120" w:type="dxa"/>
            </w:tcMar>
          </w:tcPr>
          <w:p w:rsidR="00B774BA" w:rsidRPr="00C631E3" w:rsidRDefault="00B774BA" w:rsidP="000D1C8A">
            <w:pPr>
              <w:spacing w:before="0" w:after="0"/>
              <w:jc w:val="center"/>
              <w:rPr>
                <w:sz w:val="16"/>
                <w:szCs w:val="16"/>
              </w:rPr>
            </w:pPr>
            <w:r w:rsidRPr="00C631E3">
              <w:rPr>
                <w:sz w:val="16"/>
                <w:szCs w:val="16"/>
              </w:rPr>
              <w:t>1</w:t>
            </w:r>
            <w:r w:rsidR="00C631E3" w:rsidRPr="00C631E3">
              <w:rPr>
                <w:sz w:val="16"/>
                <w:szCs w:val="16"/>
              </w:rPr>
              <w:t>06</w:t>
            </w:r>
            <w:r w:rsidRPr="00C631E3">
              <w:rPr>
                <w:sz w:val="16"/>
                <w:szCs w:val="16"/>
              </w:rPr>
              <w:t>%</w:t>
            </w:r>
          </w:p>
        </w:tc>
      </w:tr>
      <w:tr w:rsidR="00B774BA" w:rsidRPr="008548B7" w:rsidTr="00C631E3">
        <w:trPr>
          <w:jc w:val="center"/>
        </w:trPr>
        <w:tc>
          <w:tcPr>
            <w:tcW w:w="4889" w:type="dxa"/>
            <w:shd w:val="clear" w:color="auto" w:fill="FFFFFF"/>
            <w:tcMar>
              <w:top w:w="120" w:type="dxa"/>
              <w:left w:w="120" w:type="dxa"/>
              <w:bottom w:w="120" w:type="dxa"/>
              <w:right w:w="120" w:type="dxa"/>
            </w:tcMar>
            <w:hideMark/>
          </w:tcPr>
          <w:p w:rsidR="00B774BA" w:rsidRPr="00C631E3" w:rsidRDefault="00B774BA" w:rsidP="000D1C8A">
            <w:pPr>
              <w:spacing w:before="0" w:after="0"/>
              <w:jc w:val="left"/>
              <w:rPr>
                <w:sz w:val="16"/>
                <w:szCs w:val="16"/>
              </w:rPr>
            </w:pPr>
            <w:r w:rsidRPr="00C631E3">
              <w:rPr>
                <w:sz w:val="16"/>
                <w:szCs w:val="16"/>
              </w:rPr>
              <w:t xml:space="preserve">1B: Increase the number of commercial research participants. </w:t>
            </w:r>
          </w:p>
        </w:tc>
        <w:tc>
          <w:tcPr>
            <w:tcW w:w="991" w:type="dxa"/>
            <w:shd w:val="clear" w:color="auto" w:fill="FFFFFF"/>
            <w:tcMar>
              <w:top w:w="120" w:type="dxa"/>
              <w:left w:w="120" w:type="dxa"/>
              <w:bottom w:w="120" w:type="dxa"/>
              <w:right w:w="120" w:type="dxa"/>
            </w:tcMar>
          </w:tcPr>
          <w:p w:rsidR="00B774BA" w:rsidRPr="00C631E3" w:rsidRDefault="00B774BA" w:rsidP="000D1C8A">
            <w:pPr>
              <w:spacing w:before="0" w:after="0"/>
              <w:jc w:val="center"/>
              <w:rPr>
                <w:sz w:val="16"/>
                <w:szCs w:val="16"/>
              </w:rPr>
            </w:pPr>
            <w:r w:rsidRPr="00C631E3">
              <w:rPr>
                <w:sz w:val="16"/>
                <w:szCs w:val="16"/>
              </w:rPr>
              <w:t>3</w:t>
            </w:r>
          </w:p>
        </w:tc>
        <w:tc>
          <w:tcPr>
            <w:tcW w:w="1783" w:type="dxa"/>
            <w:shd w:val="clear" w:color="auto" w:fill="FFFFFF"/>
            <w:tcMar>
              <w:top w:w="120" w:type="dxa"/>
              <w:left w:w="120" w:type="dxa"/>
              <w:bottom w:w="120" w:type="dxa"/>
              <w:right w:w="120" w:type="dxa"/>
            </w:tcMar>
          </w:tcPr>
          <w:p w:rsidR="00B774BA" w:rsidRPr="00C631E3" w:rsidRDefault="00B774BA" w:rsidP="000D1C8A">
            <w:pPr>
              <w:spacing w:before="0" w:after="0"/>
              <w:jc w:val="center"/>
              <w:rPr>
                <w:sz w:val="16"/>
                <w:szCs w:val="16"/>
              </w:rPr>
            </w:pPr>
            <w:r w:rsidRPr="00C631E3">
              <w:rPr>
                <w:sz w:val="16"/>
                <w:szCs w:val="16"/>
              </w:rPr>
              <w:t>23</w:t>
            </w:r>
          </w:p>
        </w:tc>
        <w:tc>
          <w:tcPr>
            <w:tcW w:w="1415" w:type="dxa"/>
            <w:shd w:val="clear" w:color="auto" w:fill="FFFFFF"/>
            <w:tcMar>
              <w:top w:w="120" w:type="dxa"/>
              <w:left w:w="120" w:type="dxa"/>
              <w:bottom w:w="120" w:type="dxa"/>
              <w:right w:w="120" w:type="dxa"/>
            </w:tcMar>
          </w:tcPr>
          <w:p w:rsidR="00B774BA" w:rsidRPr="00C631E3" w:rsidRDefault="00B774BA" w:rsidP="000D1C8A">
            <w:pPr>
              <w:spacing w:before="0" w:after="0"/>
              <w:jc w:val="center"/>
              <w:rPr>
                <w:sz w:val="16"/>
                <w:szCs w:val="16"/>
              </w:rPr>
            </w:pPr>
            <w:r w:rsidRPr="00C631E3">
              <w:rPr>
                <w:sz w:val="16"/>
                <w:szCs w:val="16"/>
              </w:rPr>
              <w:t>767%</w:t>
            </w:r>
          </w:p>
        </w:tc>
      </w:tr>
      <w:tr w:rsidR="00B774BA" w:rsidRPr="008548B7" w:rsidTr="00C631E3">
        <w:trPr>
          <w:jc w:val="center"/>
        </w:trPr>
        <w:tc>
          <w:tcPr>
            <w:tcW w:w="4889" w:type="dxa"/>
            <w:shd w:val="clear" w:color="auto" w:fill="EEECE1" w:themeFill="background2"/>
            <w:tcMar>
              <w:top w:w="120" w:type="dxa"/>
              <w:left w:w="120" w:type="dxa"/>
              <w:bottom w:w="120" w:type="dxa"/>
              <w:right w:w="120" w:type="dxa"/>
            </w:tcMar>
            <w:hideMark/>
          </w:tcPr>
          <w:p w:rsidR="00B774BA" w:rsidRPr="00C631E3" w:rsidRDefault="00B774BA" w:rsidP="000D1C8A">
            <w:pPr>
              <w:spacing w:before="0" w:after="0"/>
              <w:jc w:val="left"/>
              <w:rPr>
                <w:sz w:val="16"/>
                <w:szCs w:val="16"/>
              </w:rPr>
            </w:pPr>
            <w:r w:rsidRPr="00C631E3">
              <w:rPr>
                <w:sz w:val="16"/>
                <w:szCs w:val="16"/>
              </w:rPr>
              <w:t>2A: Increase the proportion of research studies funded by life sciences companies that are delivered in line with the study’s planned participant. (met target)</w:t>
            </w:r>
          </w:p>
        </w:tc>
        <w:tc>
          <w:tcPr>
            <w:tcW w:w="991" w:type="dxa"/>
            <w:shd w:val="clear" w:color="auto" w:fill="EEECE1" w:themeFill="background2"/>
            <w:tcMar>
              <w:top w:w="120" w:type="dxa"/>
              <w:left w:w="120" w:type="dxa"/>
              <w:bottom w:w="120" w:type="dxa"/>
              <w:right w:w="120" w:type="dxa"/>
            </w:tcMar>
          </w:tcPr>
          <w:p w:rsidR="00B774BA" w:rsidRPr="00C631E3" w:rsidRDefault="00B774BA" w:rsidP="000D1C8A">
            <w:pPr>
              <w:spacing w:before="0" w:after="0"/>
              <w:jc w:val="center"/>
              <w:rPr>
                <w:sz w:val="16"/>
                <w:szCs w:val="16"/>
              </w:rPr>
            </w:pPr>
            <w:r w:rsidRPr="00C631E3">
              <w:rPr>
                <w:sz w:val="16"/>
                <w:szCs w:val="16"/>
              </w:rPr>
              <w:t>100%</w:t>
            </w:r>
          </w:p>
        </w:tc>
        <w:tc>
          <w:tcPr>
            <w:tcW w:w="1783" w:type="dxa"/>
            <w:shd w:val="clear" w:color="auto" w:fill="EEECE1" w:themeFill="background2"/>
            <w:tcMar>
              <w:top w:w="120" w:type="dxa"/>
              <w:left w:w="120" w:type="dxa"/>
              <w:bottom w:w="120" w:type="dxa"/>
              <w:right w:w="120" w:type="dxa"/>
            </w:tcMar>
          </w:tcPr>
          <w:p w:rsidR="00B774BA" w:rsidRPr="00C631E3" w:rsidRDefault="00B774BA" w:rsidP="000D1C8A">
            <w:pPr>
              <w:spacing w:before="0" w:after="0"/>
              <w:jc w:val="center"/>
              <w:rPr>
                <w:sz w:val="16"/>
                <w:szCs w:val="16"/>
              </w:rPr>
            </w:pPr>
            <w:r w:rsidRPr="00C631E3">
              <w:rPr>
                <w:sz w:val="16"/>
                <w:szCs w:val="16"/>
              </w:rPr>
              <w:t>100%</w:t>
            </w:r>
          </w:p>
        </w:tc>
        <w:tc>
          <w:tcPr>
            <w:tcW w:w="1415" w:type="dxa"/>
            <w:shd w:val="clear" w:color="auto" w:fill="EEECE1" w:themeFill="background2"/>
            <w:tcMar>
              <w:top w:w="120" w:type="dxa"/>
              <w:left w:w="120" w:type="dxa"/>
              <w:bottom w:w="120" w:type="dxa"/>
              <w:right w:w="120" w:type="dxa"/>
            </w:tcMar>
          </w:tcPr>
          <w:p w:rsidR="00B774BA" w:rsidRPr="00C631E3" w:rsidRDefault="00B774BA" w:rsidP="000D1C8A">
            <w:pPr>
              <w:spacing w:before="0" w:after="0"/>
              <w:jc w:val="center"/>
              <w:rPr>
                <w:sz w:val="16"/>
                <w:szCs w:val="16"/>
              </w:rPr>
            </w:pPr>
            <w:r w:rsidRPr="00C631E3">
              <w:rPr>
                <w:sz w:val="16"/>
                <w:szCs w:val="16"/>
              </w:rPr>
              <w:t>n/a</w:t>
            </w:r>
          </w:p>
        </w:tc>
      </w:tr>
      <w:tr w:rsidR="00B774BA" w:rsidRPr="008548B7" w:rsidTr="00C631E3">
        <w:trPr>
          <w:jc w:val="center"/>
        </w:trPr>
        <w:tc>
          <w:tcPr>
            <w:tcW w:w="4889" w:type="dxa"/>
            <w:shd w:val="clear" w:color="auto" w:fill="FFFFFF"/>
            <w:tcMar>
              <w:top w:w="120" w:type="dxa"/>
              <w:left w:w="120" w:type="dxa"/>
              <w:bottom w:w="120" w:type="dxa"/>
              <w:right w:w="120" w:type="dxa"/>
            </w:tcMar>
            <w:hideMark/>
          </w:tcPr>
          <w:p w:rsidR="00B774BA" w:rsidRPr="00C631E3" w:rsidRDefault="00B774BA" w:rsidP="000D1C8A">
            <w:pPr>
              <w:spacing w:before="0" w:after="0"/>
              <w:jc w:val="left"/>
              <w:rPr>
                <w:sz w:val="16"/>
                <w:szCs w:val="16"/>
              </w:rPr>
            </w:pPr>
            <w:r w:rsidRPr="00C631E3">
              <w:rPr>
                <w:sz w:val="16"/>
                <w:szCs w:val="16"/>
              </w:rPr>
              <w:t>2B: Increase the proportion of studies funded by non-commercial organisations that are delivered in line with the study’s planned participant recruitment target and delivery time. (met target)</w:t>
            </w:r>
          </w:p>
        </w:tc>
        <w:tc>
          <w:tcPr>
            <w:tcW w:w="991" w:type="dxa"/>
            <w:shd w:val="clear" w:color="auto" w:fill="FFFFFF"/>
            <w:tcMar>
              <w:top w:w="120" w:type="dxa"/>
              <w:left w:w="120" w:type="dxa"/>
              <w:bottom w:w="120" w:type="dxa"/>
              <w:right w:w="120" w:type="dxa"/>
            </w:tcMar>
          </w:tcPr>
          <w:p w:rsidR="00B774BA" w:rsidRPr="00C631E3" w:rsidRDefault="00B774BA" w:rsidP="000D1C8A">
            <w:pPr>
              <w:spacing w:before="0" w:after="0"/>
              <w:jc w:val="center"/>
              <w:rPr>
                <w:sz w:val="16"/>
                <w:szCs w:val="16"/>
              </w:rPr>
            </w:pPr>
            <w:r w:rsidRPr="00C631E3">
              <w:rPr>
                <w:sz w:val="16"/>
                <w:szCs w:val="16"/>
              </w:rPr>
              <w:t>76%</w:t>
            </w:r>
          </w:p>
        </w:tc>
        <w:tc>
          <w:tcPr>
            <w:tcW w:w="1783" w:type="dxa"/>
            <w:shd w:val="clear" w:color="auto" w:fill="FFFFFF"/>
            <w:tcMar>
              <w:top w:w="120" w:type="dxa"/>
              <w:left w:w="120" w:type="dxa"/>
              <w:bottom w:w="120" w:type="dxa"/>
              <w:right w:w="120" w:type="dxa"/>
            </w:tcMar>
          </w:tcPr>
          <w:p w:rsidR="00B774BA" w:rsidRPr="00C631E3" w:rsidRDefault="00B774BA" w:rsidP="000D1C8A">
            <w:pPr>
              <w:spacing w:before="0" w:after="0"/>
              <w:jc w:val="center"/>
              <w:rPr>
                <w:sz w:val="16"/>
                <w:szCs w:val="16"/>
              </w:rPr>
            </w:pPr>
            <w:r w:rsidRPr="00C631E3">
              <w:rPr>
                <w:sz w:val="16"/>
                <w:szCs w:val="16"/>
              </w:rPr>
              <w:t>70%</w:t>
            </w:r>
          </w:p>
        </w:tc>
        <w:tc>
          <w:tcPr>
            <w:tcW w:w="1415" w:type="dxa"/>
            <w:shd w:val="clear" w:color="auto" w:fill="FFFFFF"/>
            <w:tcMar>
              <w:top w:w="120" w:type="dxa"/>
              <w:left w:w="120" w:type="dxa"/>
              <w:bottom w:w="120" w:type="dxa"/>
              <w:right w:w="120" w:type="dxa"/>
            </w:tcMar>
          </w:tcPr>
          <w:p w:rsidR="00B774BA" w:rsidRPr="00C631E3" w:rsidRDefault="00B774BA" w:rsidP="000D1C8A">
            <w:pPr>
              <w:spacing w:before="0" w:after="0"/>
              <w:jc w:val="center"/>
              <w:rPr>
                <w:sz w:val="16"/>
                <w:szCs w:val="16"/>
              </w:rPr>
            </w:pPr>
            <w:r w:rsidRPr="00C631E3">
              <w:rPr>
                <w:sz w:val="16"/>
                <w:szCs w:val="16"/>
              </w:rPr>
              <w:t>-6%</w:t>
            </w:r>
          </w:p>
        </w:tc>
      </w:tr>
      <w:tr w:rsidR="00B774BA" w:rsidRPr="008548B7" w:rsidTr="00C631E3">
        <w:trPr>
          <w:jc w:val="center"/>
        </w:trPr>
        <w:tc>
          <w:tcPr>
            <w:tcW w:w="4889" w:type="dxa"/>
            <w:shd w:val="clear" w:color="auto" w:fill="EEECE1" w:themeFill="background2"/>
            <w:tcMar>
              <w:top w:w="120" w:type="dxa"/>
              <w:left w:w="120" w:type="dxa"/>
              <w:bottom w:w="120" w:type="dxa"/>
              <w:right w:w="120" w:type="dxa"/>
            </w:tcMar>
            <w:hideMark/>
          </w:tcPr>
          <w:p w:rsidR="00B774BA" w:rsidRPr="00C631E3" w:rsidRDefault="00B774BA" w:rsidP="000D1C8A">
            <w:pPr>
              <w:spacing w:before="0" w:after="0"/>
              <w:jc w:val="left"/>
              <w:rPr>
                <w:sz w:val="16"/>
                <w:szCs w:val="16"/>
              </w:rPr>
            </w:pPr>
            <w:r w:rsidRPr="00C631E3">
              <w:rPr>
                <w:sz w:val="16"/>
                <w:szCs w:val="16"/>
              </w:rPr>
              <w:t>3A: Increase the number of studies funded by life sciences companies which are supported by the CRN. (portfolio)</w:t>
            </w:r>
          </w:p>
        </w:tc>
        <w:tc>
          <w:tcPr>
            <w:tcW w:w="991" w:type="dxa"/>
            <w:shd w:val="clear" w:color="auto" w:fill="EEECE1" w:themeFill="background2"/>
            <w:tcMar>
              <w:top w:w="120" w:type="dxa"/>
              <w:left w:w="120" w:type="dxa"/>
              <w:bottom w:w="120" w:type="dxa"/>
              <w:right w:w="120" w:type="dxa"/>
            </w:tcMar>
          </w:tcPr>
          <w:p w:rsidR="00B774BA" w:rsidRPr="00C631E3" w:rsidRDefault="00B774BA" w:rsidP="000D1C8A">
            <w:pPr>
              <w:spacing w:before="0" w:after="0"/>
              <w:jc w:val="center"/>
              <w:rPr>
                <w:sz w:val="16"/>
                <w:szCs w:val="16"/>
              </w:rPr>
            </w:pPr>
            <w:r w:rsidRPr="00C631E3">
              <w:rPr>
                <w:sz w:val="16"/>
                <w:szCs w:val="16"/>
              </w:rPr>
              <w:t>80%</w:t>
            </w:r>
          </w:p>
        </w:tc>
        <w:tc>
          <w:tcPr>
            <w:tcW w:w="1783" w:type="dxa"/>
            <w:shd w:val="clear" w:color="auto" w:fill="EEECE1" w:themeFill="background2"/>
            <w:tcMar>
              <w:top w:w="120" w:type="dxa"/>
              <w:left w:w="120" w:type="dxa"/>
              <w:bottom w:w="120" w:type="dxa"/>
              <w:right w:w="120" w:type="dxa"/>
            </w:tcMar>
          </w:tcPr>
          <w:p w:rsidR="00B774BA" w:rsidRPr="00C631E3" w:rsidRDefault="00B774BA" w:rsidP="000D1C8A">
            <w:pPr>
              <w:spacing w:before="0" w:after="0"/>
              <w:jc w:val="center"/>
              <w:rPr>
                <w:sz w:val="16"/>
                <w:szCs w:val="16"/>
              </w:rPr>
            </w:pPr>
            <w:r w:rsidRPr="00C631E3">
              <w:rPr>
                <w:sz w:val="16"/>
                <w:szCs w:val="16"/>
              </w:rPr>
              <w:t>100%</w:t>
            </w:r>
          </w:p>
        </w:tc>
        <w:tc>
          <w:tcPr>
            <w:tcW w:w="1415" w:type="dxa"/>
            <w:shd w:val="clear" w:color="auto" w:fill="EEECE1" w:themeFill="background2"/>
            <w:tcMar>
              <w:top w:w="120" w:type="dxa"/>
              <w:left w:w="120" w:type="dxa"/>
              <w:bottom w:w="120" w:type="dxa"/>
              <w:right w:w="120" w:type="dxa"/>
            </w:tcMar>
          </w:tcPr>
          <w:p w:rsidR="00B774BA" w:rsidRPr="00C631E3" w:rsidRDefault="00B774BA" w:rsidP="000D1C8A">
            <w:pPr>
              <w:spacing w:before="0" w:after="0"/>
              <w:jc w:val="center"/>
              <w:rPr>
                <w:sz w:val="16"/>
                <w:szCs w:val="16"/>
              </w:rPr>
            </w:pPr>
            <w:r w:rsidRPr="00C631E3">
              <w:rPr>
                <w:sz w:val="16"/>
                <w:szCs w:val="16"/>
              </w:rPr>
              <w:t>+20%</w:t>
            </w:r>
          </w:p>
        </w:tc>
      </w:tr>
      <w:tr w:rsidR="00B774BA" w:rsidRPr="008548B7" w:rsidTr="00C631E3">
        <w:trPr>
          <w:jc w:val="center"/>
        </w:trPr>
        <w:tc>
          <w:tcPr>
            <w:tcW w:w="4889" w:type="dxa"/>
            <w:shd w:val="clear" w:color="auto" w:fill="FFFFFF"/>
            <w:tcMar>
              <w:top w:w="120" w:type="dxa"/>
              <w:left w:w="120" w:type="dxa"/>
              <w:bottom w:w="120" w:type="dxa"/>
              <w:right w:w="120" w:type="dxa"/>
            </w:tcMar>
            <w:hideMark/>
          </w:tcPr>
          <w:p w:rsidR="00B774BA" w:rsidRPr="00C631E3" w:rsidRDefault="00B774BA" w:rsidP="000D1C8A">
            <w:pPr>
              <w:spacing w:before="0" w:after="0"/>
              <w:jc w:val="left"/>
              <w:rPr>
                <w:sz w:val="16"/>
                <w:szCs w:val="16"/>
              </w:rPr>
            </w:pPr>
            <w:r w:rsidRPr="00C631E3">
              <w:rPr>
                <w:sz w:val="16"/>
                <w:szCs w:val="16"/>
              </w:rPr>
              <w:t xml:space="preserve">3B: Increase the proportion of new studies funded by life sciences companies which have received clinical trial </w:t>
            </w:r>
            <w:proofErr w:type="spellStart"/>
            <w:r w:rsidRPr="00C631E3">
              <w:rPr>
                <w:sz w:val="16"/>
                <w:szCs w:val="16"/>
              </w:rPr>
              <w:t>authorisation</w:t>
            </w:r>
            <w:proofErr w:type="spellEnd"/>
            <w:r w:rsidRPr="00C631E3">
              <w:rPr>
                <w:sz w:val="16"/>
                <w:szCs w:val="16"/>
              </w:rPr>
              <w:t>.</w:t>
            </w:r>
          </w:p>
        </w:tc>
        <w:tc>
          <w:tcPr>
            <w:tcW w:w="991" w:type="dxa"/>
            <w:shd w:val="clear" w:color="auto" w:fill="FFFFFF"/>
            <w:tcMar>
              <w:top w:w="120" w:type="dxa"/>
              <w:left w:w="120" w:type="dxa"/>
              <w:bottom w:w="120" w:type="dxa"/>
              <w:right w:w="120" w:type="dxa"/>
            </w:tcMar>
          </w:tcPr>
          <w:p w:rsidR="00B774BA" w:rsidRPr="00C631E3" w:rsidRDefault="00B774BA" w:rsidP="000D1C8A">
            <w:pPr>
              <w:spacing w:before="0" w:after="0"/>
              <w:jc w:val="center"/>
              <w:rPr>
                <w:sz w:val="16"/>
                <w:szCs w:val="16"/>
              </w:rPr>
            </w:pPr>
            <w:r w:rsidRPr="00C631E3">
              <w:rPr>
                <w:sz w:val="16"/>
                <w:szCs w:val="16"/>
              </w:rPr>
              <w:t>n/a</w:t>
            </w:r>
          </w:p>
        </w:tc>
        <w:tc>
          <w:tcPr>
            <w:tcW w:w="1783" w:type="dxa"/>
            <w:shd w:val="clear" w:color="auto" w:fill="FFFFFF"/>
            <w:tcMar>
              <w:top w:w="120" w:type="dxa"/>
              <w:left w:w="120" w:type="dxa"/>
              <w:bottom w:w="120" w:type="dxa"/>
              <w:right w:w="120" w:type="dxa"/>
            </w:tcMar>
          </w:tcPr>
          <w:p w:rsidR="00B774BA" w:rsidRPr="00C631E3" w:rsidRDefault="00B774BA" w:rsidP="000D1C8A">
            <w:pPr>
              <w:spacing w:before="0" w:after="0"/>
              <w:jc w:val="center"/>
              <w:rPr>
                <w:sz w:val="16"/>
                <w:szCs w:val="16"/>
              </w:rPr>
            </w:pPr>
            <w:r w:rsidRPr="00C631E3">
              <w:rPr>
                <w:sz w:val="16"/>
                <w:szCs w:val="16"/>
              </w:rPr>
              <w:t>n/a</w:t>
            </w:r>
          </w:p>
        </w:tc>
        <w:tc>
          <w:tcPr>
            <w:tcW w:w="1415" w:type="dxa"/>
            <w:shd w:val="clear" w:color="auto" w:fill="FFFFFF"/>
            <w:tcMar>
              <w:top w:w="120" w:type="dxa"/>
              <w:left w:w="120" w:type="dxa"/>
              <w:bottom w:w="120" w:type="dxa"/>
              <w:right w:w="120" w:type="dxa"/>
            </w:tcMar>
          </w:tcPr>
          <w:p w:rsidR="00B774BA" w:rsidRPr="00C631E3" w:rsidRDefault="00B774BA" w:rsidP="000D1C8A">
            <w:pPr>
              <w:spacing w:before="0" w:after="0"/>
              <w:jc w:val="center"/>
              <w:rPr>
                <w:sz w:val="16"/>
                <w:szCs w:val="16"/>
              </w:rPr>
            </w:pPr>
            <w:r w:rsidRPr="00C631E3">
              <w:rPr>
                <w:sz w:val="16"/>
                <w:szCs w:val="16"/>
              </w:rPr>
              <w:t>n/a</w:t>
            </w:r>
          </w:p>
        </w:tc>
      </w:tr>
      <w:tr w:rsidR="00B774BA" w:rsidRPr="008548B7" w:rsidTr="00C631E3">
        <w:trPr>
          <w:jc w:val="center"/>
        </w:trPr>
        <w:tc>
          <w:tcPr>
            <w:tcW w:w="4889" w:type="dxa"/>
            <w:shd w:val="clear" w:color="auto" w:fill="EEECE1" w:themeFill="background2"/>
            <w:tcMar>
              <w:top w:w="120" w:type="dxa"/>
              <w:left w:w="120" w:type="dxa"/>
              <w:bottom w:w="120" w:type="dxa"/>
              <w:right w:w="120" w:type="dxa"/>
            </w:tcMar>
            <w:hideMark/>
          </w:tcPr>
          <w:p w:rsidR="00B774BA" w:rsidRPr="00C631E3" w:rsidRDefault="00B774BA" w:rsidP="000D1C8A">
            <w:pPr>
              <w:spacing w:before="0" w:after="0"/>
              <w:jc w:val="left"/>
              <w:rPr>
                <w:sz w:val="16"/>
                <w:szCs w:val="16"/>
              </w:rPr>
            </w:pPr>
            <w:r w:rsidRPr="00C631E3">
              <w:rPr>
                <w:sz w:val="16"/>
                <w:szCs w:val="16"/>
              </w:rPr>
              <w:t>6A: Increase the proportion of NHS Trusts which are active in research*</w:t>
            </w:r>
          </w:p>
        </w:tc>
        <w:tc>
          <w:tcPr>
            <w:tcW w:w="991" w:type="dxa"/>
            <w:shd w:val="clear" w:color="auto" w:fill="EEECE1" w:themeFill="background2"/>
            <w:tcMar>
              <w:top w:w="120" w:type="dxa"/>
              <w:left w:w="120" w:type="dxa"/>
              <w:bottom w:w="120" w:type="dxa"/>
              <w:right w:w="120" w:type="dxa"/>
            </w:tcMar>
          </w:tcPr>
          <w:p w:rsidR="00B774BA" w:rsidRPr="00C631E3" w:rsidRDefault="00B774BA" w:rsidP="000D1C8A">
            <w:pPr>
              <w:spacing w:before="0" w:after="0"/>
              <w:jc w:val="center"/>
              <w:rPr>
                <w:sz w:val="16"/>
                <w:szCs w:val="16"/>
              </w:rPr>
            </w:pPr>
            <w:r w:rsidRPr="00C631E3">
              <w:rPr>
                <w:sz w:val="16"/>
                <w:szCs w:val="16"/>
              </w:rPr>
              <w:t>n/a</w:t>
            </w:r>
          </w:p>
        </w:tc>
        <w:tc>
          <w:tcPr>
            <w:tcW w:w="1783" w:type="dxa"/>
            <w:shd w:val="clear" w:color="auto" w:fill="EEECE1" w:themeFill="background2"/>
            <w:tcMar>
              <w:top w:w="120" w:type="dxa"/>
              <w:left w:w="120" w:type="dxa"/>
              <w:bottom w:w="120" w:type="dxa"/>
              <w:right w:w="120" w:type="dxa"/>
            </w:tcMar>
          </w:tcPr>
          <w:p w:rsidR="00B774BA" w:rsidRPr="00C631E3" w:rsidRDefault="00B774BA" w:rsidP="000D1C8A">
            <w:pPr>
              <w:spacing w:before="0" w:after="0"/>
              <w:jc w:val="center"/>
              <w:rPr>
                <w:sz w:val="16"/>
                <w:szCs w:val="16"/>
              </w:rPr>
            </w:pPr>
            <w:r w:rsidRPr="00C631E3">
              <w:rPr>
                <w:sz w:val="16"/>
                <w:szCs w:val="16"/>
              </w:rPr>
              <w:t>n/a</w:t>
            </w:r>
          </w:p>
        </w:tc>
        <w:tc>
          <w:tcPr>
            <w:tcW w:w="1415" w:type="dxa"/>
            <w:shd w:val="clear" w:color="auto" w:fill="EEECE1" w:themeFill="background2"/>
            <w:tcMar>
              <w:top w:w="120" w:type="dxa"/>
              <w:left w:w="120" w:type="dxa"/>
              <w:bottom w:w="120" w:type="dxa"/>
              <w:right w:w="120" w:type="dxa"/>
            </w:tcMar>
          </w:tcPr>
          <w:p w:rsidR="00B774BA" w:rsidRPr="00C631E3" w:rsidRDefault="00B774BA" w:rsidP="000D1C8A">
            <w:pPr>
              <w:spacing w:before="0" w:after="0"/>
              <w:jc w:val="center"/>
              <w:rPr>
                <w:sz w:val="16"/>
                <w:szCs w:val="16"/>
              </w:rPr>
            </w:pPr>
            <w:r w:rsidRPr="00C631E3">
              <w:rPr>
                <w:sz w:val="16"/>
                <w:szCs w:val="16"/>
              </w:rPr>
              <w:t>n/a</w:t>
            </w:r>
          </w:p>
        </w:tc>
      </w:tr>
      <w:tr w:rsidR="00B774BA" w:rsidRPr="008548B7" w:rsidTr="00C631E3">
        <w:trPr>
          <w:jc w:val="center"/>
        </w:trPr>
        <w:tc>
          <w:tcPr>
            <w:tcW w:w="4889" w:type="dxa"/>
            <w:shd w:val="clear" w:color="auto" w:fill="FFFFFF"/>
            <w:tcMar>
              <w:top w:w="120" w:type="dxa"/>
              <w:left w:w="120" w:type="dxa"/>
              <w:bottom w:w="120" w:type="dxa"/>
              <w:right w:w="120" w:type="dxa"/>
            </w:tcMar>
            <w:hideMark/>
          </w:tcPr>
          <w:p w:rsidR="00B774BA" w:rsidRPr="00C631E3" w:rsidRDefault="00B774BA" w:rsidP="000D1C8A">
            <w:pPr>
              <w:spacing w:before="0" w:after="0"/>
              <w:jc w:val="left"/>
              <w:rPr>
                <w:sz w:val="16"/>
                <w:szCs w:val="16"/>
              </w:rPr>
            </w:pPr>
            <w:r w:rsidRPr="00C631E3">
              <w:rPr>
                <w:sz w:val="16"/>
                <w:szCs w:val="16"/>
              </w:rPr>
              <w:t>6B: Increase the proportion of NHS Trusts which are active in research funded by life sciences companies*</w:t>
            </w:r>
          </w:p>
        </w:tc>
        <w:tc>
          <w:tcPr>
            <w:tcW w:w="991" w:type="dxa"/>
            <w:shd w:val="clear" w:color="auto" w:fill="FFFFFF"/>
            <w:tcMar>
              <w:top w:w="120" w:type="dxa"/>
              <w:left w:w="120" w:type="dxa"/>
              <w:bottom w:w="120" w:type="dxa"/>
              <w:right w:w="120" w:type="dxa"/>
            </w:tcMar>
          </w:tcPr>
          <w:p w:rsidR="00B774BA" w:rsidRPr="00C631E3" w:rsidRDefault="00B774BA" w:rsidP="000D1C8A">
            <w:pPr>
              <w:spacing w:before="0" w:after="0"/>
              <w:jc w:val="center"/>
              <w:rPr>
                <w:sz w:val="16"/>
                <w:szCs w:val="16"/>
              </w:rPr>
            </w:pPr>
            <w:r w:rsidRPr="00C631E3">
              <w:rPr>
                <w:sz w:val="16"/>
                <w:szCs w:val="16"/>
              </w:rPr>
              <w:t>n/a</w:t>
            </w:r>
          </w:p>
        </w:tc>
        <w:tc>
          <w:tcPr>
            <w:tcW w:w="1783" w:type="dxa"/>
            <w:shd w:val="clear" w:color="auto" w:fill="FFFFFF"/>
            <w:tcMar>
              <w:top w:w="120" w:type="dxa"/>
              <w:left w:w="120" w:type="dxa"/>
              <w:bottom w:w="120" w:type="dxa"/>
              <w:right w:w="120" w:type="dxa"/>
            </w:tcMar>
          </w:tcPr>
          <w:p w:rsidR="00B774BA" w:rsidRPr="00C631E3" w:rsidRDefault="00B774BA" w:rsidP="000D1C8A">
            <w:pPr>
              <w:spacing w:before="0" w:after="0"/>
              <w:jc w:val="center"/>
              <w:rPr>
                <w:sz w:val="16"/>
                <w:szCs w:val="16"/>
              </w:rPr>
            </w:pPr>
            <w:r w:rsidRPr="00C631E3">
              <w:rPr>
                <w:sz w:val="16"/>
                <w:szCs w:val="16"/>
              </w:rPr>
              <w:t>n/a</w:t>
            </w:r>
          </w:p>
        </w:tc>
        <w:tc>
          <w:tcPr>
            <w:tcW w:w="1415" w:type="dxa"/>
            <w:shd w:val="clear" w:color="auto" w:fill="FFFFFF"/>
            <w:tcMar>
              <w:top w:w="120" w:type="dxa"/>
              <w:left w:w="120" w:type="dxa"/>
              <w:bottom w:w="120" w:type="dxa"/>
              <w:right w:w="120" w:type="dxa"/>
            </w:tcMar>
          </w:tcPr>
          <w:p w:rsidR="00B774BA" w:rsidRPr="00C631E3" w:rsidRDefault="00B774BA" w:rsidP="000D1C8A">
            <w:pPr>
              <w:spacing w:before="0" w:after="0"/>
              <w:jc w:val="center"/>
              <w:rPr>
                <w:sz w:val="16"/>
                <w:szCs w:val="16"/>
              </w:rPr>
            </w:pPr>
            <w:r w:rsidRPr="00C631E3">
              <w:rPr>
                <w:sz w:val="16"/>
                <w:szCs w:val="16"/>
              </w:rPr>
              <w:t>n/a</w:t>
            </w:r>
          </w:p>
        </w:tc>
      </w:tr>
      <w:tr w:rsidR="00B774BA" w:rsidRPr="008548B7" w:rsidTr="00C631E3">
        <w:trPr>
          <w:jc w:val="center"/>
        </w:trPr>
        <w:tc>
          <w:tcPr>
            <w:tcW w:w="4889" w:type="dxa"/>
            <w:shd w:val="clear" w:color="auto" w:fill="EEECE1" w:themeFill="background2"/>
            <w:tcMar>
              <w:top w:w="120" w:type="dxa"/>
              <w:left w:w="120" w:type="dxa"/>
              <w:bottom w:w="120" w:type="dxa"/>
              <w:right w:w="120" w:type="dxa"/>
            </w:tcMar>
            <w:hideMark/>
          </w:tcPr>
          <w:p w:rsidR="00B774BA" w:rsidRPr="00C631E3" w:rsidRDefault="00B774BA" w:rsidP="000D1C8A">
            <w:pPr>
              <w:spacing w:before="0" w:after="0"/>
              <w:jc w:val="left"/>
              <w:rPr>
                <w:sz w:val="16"/>
                <w:szCs w:val="16"/>
              </w:rPr>
            </w:pPr>
            <w:r w:rsidRPr="00C631E3">
              <w:rPr>
                <w:sz w:val="16"/>
                <w:szCs w:val="16"/>
              </w:rPr>
              <w:t>7: Increase the number of participants involved in research into dementias</w:t>
            </w:r>
          </w:p>
        </w:tc>
        <w:tc>
          <w:tcPr>
            <w:tcW w:w="991" w:type="dxa"/>
            <w:shd w:val="clear" w:color="auto" w:fill="EEECE1" w:themeFill="background2"/>
            <w:tcMar>
              <w:top w:w="120" w:type="dxa"/>
              <w:left w:w="120" w:type="dxa"/>
              <w:bottom w:w="120" w:type="dxa"/>
              <w:right w:w="120" w:type="dxa"/>
            </w:tcMar>
          </w:tcPr>
          <w:p w:rsidR="00B774BA" w:rsidRPr="00C631E3" w:rsidRDefault="00B774BA" w:rsidP="000D1C8A">
            <w:pPr>
              <w:spacing w:before="0" w:after="0"/>
              <w:jc w:val="center"/>
              <w:rPr>
                <w:sz w:val="16"/>
                <w:szCs w:val="16"/>
              </w:rPr>
            </w:pPr>
            <w:r w:rsidRPr="00C631E3">
              <w:rPr>
                <w:sz w:val="16"/>
                <w:szCs w:val="16"/>
              </w:rPr>
              <w:t>26 studies</w:t>
            </w:r>
          </w:p>
        </w:tc>
        <w:tc>
          <w:tcPr>
            <w:tcW w:w="1783" w:type="dxa"/>
            <w:shd w:val="clear" w:color="auto" w:fill="EEECE1" w:themeFill="background2"/>
            <w:tcMar>
              <w:top w:w="120" w:type="dxa"/>
              <w:left w:w="120" w:type="dxa"/>
              <w:bottom w:w="120" w:type="dxa"/>
              <w:right w:w="120" w:type="dxa"/>
            </w:tcMar>
          </w:tcPr>
          <w:p w:rsidR="00B774BA" w:rsidRPr="00C631E3" w:rsidRDefault="00B774BA" w:rsidP="000D1C8A">
            <w:pPr>
              <w:spacing w:before="0" w:after="0"/>
              <w:jc w:val="center"/>
              <w:rPr>
                <w:sz w:val="16"/>
                <w:szCs w:val="16"/>
              </w:rPr>
            </w:pPr>
            <w:r w:rsidRPr="00C631E3">
              <w:rPr>
                <w:sz w:val="16"/>
                <w:szCs w:val="16"/>
              </w:rPr>
              <w:t>26 studies</w:t>
            </w:r>
          </w:p>
        </w:tc>
        <w:tc>
          <w:tcPr>
            <w:tcW w:w="1415" w:type="dxa"/>
            <w:shd w:val="clear" w:color="auto" w:fill="EEECE1" w:themeFill="background2"/>
            <w:tcMar>
              <w:top w:w="120" w:type="dxa"/>
              <w:left w:w="120" w:type="dxa"/>
              <w:bottom w:w="120" w:type="dxa"/>
              <w:right w:w="120" w:type="dxa"/>
            </w:tcMar>
          </w:tcPr>
          <w:p w:rsidR="00B774BA" w:rsidRPr="00C631E3" w:rsidRDefault="00B774BA" w:rsidP="000D1C8A">
            <w:pPr>
              <w:spacing w:before="0" w:after="0"/>
              <w:jc w:val="center"/>
              <w:rPr>
                <w:sz w:val="16"/>
                <w:szCs w:val="16"/>
              </w:rPr>
            </w:pPr>
            <w:r w:rsidRPr="00C631E3">
              <w:rPr>
                <w:sz w:val="16"/>
                <w:szCs w:val="16"/>
              </w:rPr>
              <w:t>none</w:t>
            </w:r>
          </w:p>
        </w:tc>
      </w:tr>
      <w:tr w:rsidR="00B774BA" w:rsidRPr="008548B7" w:rsidTr="00C631E3">
        <w:trPr>
          <w:jc w:val="center"/>
        </w:trPr>
        <w:tc>
          <w:tcPr>
            <w:tcW w:w="4889" w:type="dxa"/>
            <w:shd w:val="clear" w:color="auto" w:fill="FFFFFF" w:themeFill="background1"/>
            <w:tcMar>
              <w:top w:w="120" w:type="dxa"/>
              <w:left w:w="120" w:type="dxa"/>
              <w:bottom w:w="120" w:type="dxa"/>
              <w:right w:w="120" w:type="dxa"/>
            </w:tcMar>
            <w:hideMark/>
          </w:tcPr>
          <w:p w:rsidR="00B774BA" w:rsidRPr="00C631E3" w:rsidRDefault="00B774BA" w:rsidP="000D1C8A">
            <w:pPr>
              <w:spacing w:before="0" w:after="0"/>
              <w:jc w:val="left"/>
              <w:rPr>
                <w:sz w:val="16"/>
                <w:szCs w:val="16"/>
              </w:rPr>
            </w:pPr>
            <w:r w:rsidRPr="00C631E3">
              <w:rPr>
                <w:sz w:val="16"/>
                <w:szCs w:val="16"/>
              </w:rPr>
              <w:lastRenderedPageBreak/>
              <w:t>8: Number of NIHR CRN Portfolio study participants responding to the Participant in Research Experience Survey*</w:t>
            </w:r>
          </w:p>
        </w:tc>
        <w:tc>
          <w:tcPr>
            <w:tcW w:w="991" w:type="dxa"/>
            <w:shd w:val="clear" w:color="auto" w:fill="FFFFFF" w:themeFill="background1"/>
            <w:tcMar>
              <w:top w:w="120" w:type="dxa"/>
              <w:left w:w="120" w:type="dxa"/>
              <w:bottom w:w="120" w:type="dxa"/>
              <w:right w:w="120" w:type="dxa"/>
            </w:tcMar>
          </w:tcPr>
          <w:p w:rsidR="00B774BA" w:rsidRPr="00C631E3" w:rsidRDefault="00B774BA" w:rsidP="000D1C8A">
            <w:pPr>
              <w:spacing w:before="0" w:after="0"/>
              <w:jc w:val="center"/>
              <w:rPr>
                <w:sz w:val="16"/>
                <w:szCs w:val="16"/>
              </w:rPr>
            </w:pPr>
            <w:r w:rsidRPr="00C631E3">
              <w:rPr>
                <w:sz w:val="16"/>
                <w:szCs w:val="16"/>
              </w:rPr>
              <w:t>27</w:t>
            </w:r>
          </w:p>
        </w:tc>
        <w:tc>
          <w:tcPr>
            <w:tcW w:w="1783" w:type="dxa"/>
            <w:shd w:val="clear" w:color="auto" w:fill="FFFFFF" w:themeFill="background1"/>
            <w:tcMar>
              <w:top w:w="120" w:type="dxa"/>
              <w:left w:w="120" w:type="dxa"/>
              <w:bottom w:w="120" w:type="dxa"/>
              <w:right w:w="120" w:type="dxa"/>
            </w:tcMar>
          </w:tcPr>
          <w:p w:rsidR="00B774BA" w:rsidRPr="00C631E3" w:rsidRDefault="00B774BA" w:rsidP="000D1C8A">
            <w:pPr>
              <w:spacing w:before="0" w:after="0"/>
              <w:jc w:val="center"/>
              <w:rPr>
                <w:sz w:val="16"/>
                <w:szCs w:val="16"/>
              </w:rPr>
            </w:pPr>
            <w:r w:rsidRPr="00C631E3">
              <w:rPr>
                <w:sz w:val="16"/>
                <w:szCs w:val="16"/>
              </w:rPr>
              <w:t>106</w:t>
            </w:r>
          </w:p>
        </w:tc>
        <w:tc>
          <w:tcPr>
            <w:tcW w:w="1415" w:type="dxa"/>
            <w:shd w:val="clear" w:color="auto" w:fill="FFFFFF" w:themeFill="background1"/>
            <w:tcMar>
              <w:top w:w="120" w:type="dxa"/>
              <w:left w:w="120" w:type="dxa"/>
              <w:bottom w:w="120" w:type="dxa"/>
              <w:right w:w="120" w:type="dxa"/>
            </w:tcMar>
          </w:tcPr>
          <w:p w:rsidR="00B774BA" w:rsidRPr="00C631E3" w:rsidRDefault="00B774BA" w:rsidP="000D1C8A">
            <w:pPr>
              <w:spacing w:before="0" w:after="0"/>
              <w:jc w:val="center"/>
              <w:rPr>
                <w:sz w:val="16"/>
                <w:szCs w:val="16"/>
              </w:rPr>
            </w:pPr>
            <w:r w:rsidRPr="00C631E3">
              <w:rPr>
                <w:sz w:val="16"/>
                <w:szCs w:val="16"/>
              </w:rPr>
              <w:t>+293%</w:t>
            </w:r>
          </w:p>
        </w:tc>
      </w:tr>
      <w:tr w:rsidR="00B774BA" w:rsidRPr="008548B7" w:rsidTr="00C631E3">
        <w:trPr>
          <w:jc w:val="center"/>
        </w:trPr>
        <w:tc>
          <w:tcPr>
            <w:tcW w:w="4889" w:type="dxa"/>
            <w:shd w:val="clear" w:color="auto" w:fill="EEECE1" w:themeFill="background2"/>
            <w:tcMar>
              <w:top w:w="120" w:type="dxa"/>
              <w:left w:w="120" w:type="dxa"/>
              <w:bottom w:w="120" w:type="dxa"/>
              <w:right w:w="120" w:type="dxa"/>
            </w:tcMar>
            <w:hideMark/>
          </w:tcPr>
          <w:p w:rsidR="00B774BA" w:rsidRPr="00C631E3" w:rsidRDefault="00B774BA" w:rsidP="000D1C8A">
            <w:pPr>
              <w:spacing w:before="0" w:after="0"/>
              <w:jc w:val="left"/>
              <w:rPr>
                <w:sz w:val="16"/>
                <w:szCs w:val="16"/>
              </w:rPr>
            </w:pPr>
            <w:r w:rsidRPr="00C631E3">
              <w:rPr>
                <w:sz w:val="16"/>
                <w:szCs w:val="16"/>
              </w:rPr>
              <w:t>9A: Reduce the median time it takes to set up research studies funded by life sciences companies by 5%</w:t>
            </w:r>
          </w:p>
        </w:tc>
        <w:tc>
          <w:tcPr>
            <w:tcW w:w="991" w:type="dxa"/>
            <w:shd w:val="clear" w:color="auto" w:fill="EEECE1" w:themeFill="background2"/>
            <w:tcMar>
              <w:top w:w="120" w:type="dxa"/>
              <w:left w:w="120" w:type="dxa"/>
              <w:bottom w:w="120" w:type="dxa"/>
              <w:right w:w="120" w:type="dxa"/>
            </w:tcMar>
          </w:tcPr>
          <w:p w:rsidR="00B774BA" w:rsidRPr="00C631E3" w:rsidRDefault="00B774BA" w:rsidP="000D1C8A">
            <w:pPr>
              <w:spacing w:before="0" w:after="0"/>
              <w:jc w:val="center"/>
              <w:rPr>
                <w:sz w:val="16"/>
                <w:szCs w:val="16"/>
              </w:rPr>
            </w:pPr>
            <w:r w:rsidRPr="00C631E3">
              <w:rPr>
                <w:sz w:val="16"/>
                <w:szCs w:val="16"/>
              </w:rPr>
              <w:t>8-12 weeks</w:t>
            </w:r>
          </w:p>
        </w:tc>
        <w:tc>
          <w:tcPr>
            <w:tcW w:w="1783" w:type="dxa"/>
            <w:shd w:val="clear" w:color="auto" w:fill="EEECE1" w:themeFill="background2"/>
            <w:tcMar>
              <w:top w:w="120" w:type="dxa"/>
              <w:left w:w="120" w:type="dxa"/>
              <w:bottom w:w="120" w:type="dxa"/>
              <w:right w:w="120" w:type="dxa"/>
            </w:tcMar>
          </w:tcPr>
          <w:p w:rsidR="00B774BA" w:rsidRPr="00C631E3" w:rsidRDefault="00B774BA" w:rsidP="000D1C8A">
            <w:pPr>
              <w:spacing w:before="0" w:after="0"/>
              <w:jc w:val="center"/>
              <w:rPr>
                <w:sz w:val="16"/>
                <w:szCs w:val="16"/>
              </w:rPr>
            </w:pPr>
            <w:r w:rsidRPr="00C631E3">
              <w:rPr>
                <w:sz w:val="16"/>
                <w:szCs w:val="16"/>
              </w:rPr>
              <w:t>3-4 weeks</w:t>
            </w:r>
          </w:p>
        </w:tc>
        <w:tc>
          <w:tcPr>
            <w:tcW w:w="1415" w:type="dxa"/>
            <w:shd w:val="clear" w:color="auto" w:fill="EEECE1" w:themeFill="background2"/>
            <w:tcMar>
              <w:top w:w="120" w:type="dxa"/>
              <w:left w:w="120" w:type="dxa"/>
              <w:bottom w:w="120" w:type="dxa"/>
              <w:right w:w="120" w:type="dxa"/>
            </w:tcMar>
          </w:tcPr>
          <w:p w:rsidR="00B774BA" w:rsidRPr="00C631E3" w:rsidRDefault="00B774BA" w:rsidP="000D1C8A">
            <w:pPr>
              <w:spacing w:before="0" w:after="0"/>
              <w:jc w:val="center"/>
              <w:rPr>
                <w:sz w:val="16"/>
                <w:szCs w:val="16"/>
              </w:rPr>
            </w:pPr>
            <w:r w:rsidRPr="00C631E3">
              <w:rPr>
                <w:sz w:val="16"/>
                <w:szCs w:val="16"/>
              </w:rPr>
              <w:t>5-8 weeks</w:t>
            </w:r>
          </w:p>
        </w:tc>
      </w:tr>
      <w:tr w:rsidR="00B774BA" w:rsidRPr="008548B7" w:rsidTr="00C631E3">
        <w:trPr>
          <w:jc w:val="center"/>
        </w:trPr>
        <w:tc>
          <w:tcPr>
            <w:tcW w:w="4889" w:type="dxa"/>
            <w:shd w:val="clear" w:color="auto" w:fill="FFFFFF"/>
            <w:tcMar>
              <w:top w:w="120" w:type="dxa"/>
              <w:left w:w="120" w:type="dxa"/>
              <w:bottom w:w="120" w:type="dxa"/>
              <w:right w:w="120" w:type="dxa"/>
            </w:tcMar>
            <w:hideMark/>
          </w:tcPr>
          <w:p w:rsidR="00B774BA" w:rsidRPr="00C631E3" w:rsidRDefault="00B774BA" w:rsidP="000D1C8A">
            <w:pPr>
              <w:spacing w:before="0" w:after="0"/>
              <w:jc w:val="left"/>
              <w:rPr>
                <w:sz w:val="16"/>
                <w:szCs w:val="16"/>
              </w:rPr>
            </w:pPr>
            <w:r w:rsidRPr="00C631E3">
              <w:rPr>
                <w:sz w:val="16"/>
                <w:szCs w:val="16"/>
              </w:rPr>
              <w:t>9B: Reduce the median time it takes to set up research studies funded by non-commercial organisations by 5%</w:t>
            </w:r>
          </w:p>
        </w:tc>
        <w:tc>
          <w:tcPr>
            <w:tcW w:w="991" w:type="dxa"/>
            <w:shd w:val="clear" w:color="auto" w:fill="FFFFFF"/>
            <w:tcMar>
              <w:top w:w="120" w:type="dxa"/>
              <w:left w:w="120" w:type="dxa"/>
              <w:bottom w:w="120" w:type="dxa"/>
              <w:right w:w="120" w:type="dxa"/>
            </w:tcMar>
          </w:tcPr>
          <w:p w:rsidR="00B774BA" w:rsidRPr="00C631E3" w:rsidRDefault="00B774BA" w:rsidP="000D1C8A">
            <w:pPr>
              <w:spacing w:before="0" w:after="0"/>
              <w:jc w:val="center"/>
              <w:rPr>
                <w:sz w:val="16"/>
                <w:szCs w:val="16"/>
              </w:rPr>
            </w:pPr>
            <w:r w:rsidRPr="00C631E3">
              <w:rPr>
                <w:sz w:val="16"/>
                <w:szCs w:val="16"/>
              </w:rPr>
              <w:t>8-12 weeks</w:t>
            </w:r>
          </w:p>
        </w:tc>
        <w:tc>
          <w:tcPr>
            <w:tcW w:w="1783" w:type="dxa"/>
            <w:shd w:val="clear" w:color="auto" w:fill="FFFFFF"/>
            <w:tcMar>
              <w:top w:w="120" w:type="dxa"/>
              <w:left w:w="120" w:type="dxa"/>
              <w:bottom w:w="120" w:type="dxa"/>
              <w:right w:w="120" w:type="dxa"/>
            </w:tcMar>
          </w:tcPr>
          <w:p w:rsidR="00B774BA" w:rsidRPr="00C631E3" w:rsidRDefault="00B774BA" w:rsidP="000D1C8A">
            <w:pPr>
              <w:spacing w:before="0" w:after="0"/>
              <w:jc w:val="center"/>
              <w:rPr>
                <w:sz w:val="16"/>
                <w:szCs w:val="16"/>
              </w:rPr>
            </w:pPr>
            <w:r w:rsidRPr="00C631E3">
              <w:rPr>
                <w:sz w:val="16"/>
                <w:szCs w:val="16"/>
              </w:rPr>
              <w:t>3-4 weeks</w:t>
            </w:r>
          </w:p>
        </w:tc>
        <w:tc>
          <w:tcPr>
            <w:tcW w:w="1415" w:type="dxa"/>
            <w:shd w:val="clear" w:color="auto" w:fill="FFFFFF"/>
            <w:tcMar>
              <w:top w:w="120" w:type="dxa"/>
              <w:left w:w="120" w:type="dxa"/>
              <w:bottom w:w="120" w:type="dxa"/>
              <w:right w:w="120" w:type="dxa"/>
            </w:tcMar>
          </w:tcPr>
          <w:p w:rsidR="00B774BA" w:rsidRPr="00C631E3" w:rsidRDefault="00B774BA" w:rsidP="000D1C8A">
            <w:pPr>
              <w:spacing w:before="0" w:after="0"/>
              <w:jc w:val="center"/>
              <w:rPr>
                <w:sz w:val="16"/>
                <w:szCs w:val="16"/>
              </w:rPr>
            </w:pPr>
            <w:r w:rsidRPr="00C631E3">
              <w:rPr>
                <w:sz w:val="16"/>
                <w:szCs w:val="16"/>
              </w:rPr>
              <w:t>5-8 weeks</w:t>
            </w:r>
          </w:p>
        </w:tc>
      </w:tr>
    </w:tbl>
    <w:p w:rsidR="00B774BA" w:rsidRPr="006240B8" w:rsidRDefault="00B774BA" w:rsidP="00B774BA">
      <w:pPr>
        <w:spacing w:before="0" w:after="0"/>
      </w:pPr>
    </w:p>
    <w:p w:rsidR="00B774BA" w:rsidRDefault="00B774BA" w:rsidP="00B774BA">
      <w:pPr>
        <w:pStyle w:val="Heading2"/>
        <w:numPr>
          <w:ilvl w:val="0"/>
          <w:numId w:val="0"/>
        </w:numPr>
        <w:spacing w:before="0" w:after="0"/>
        <w:ind w:left="576"/>
        <w:rPr>
          <w:rFonts w:eastAsia="Times New Roman" w:cs="Times New Roman"/>
          <w:sz w:val="24"/>
          <w:szCs w:val="24"/>
        </w:rPr>
      </w:pPr>
    </w:p>
    <w:p w:rsidR="00B774BA" w:rsidRDefault="00B774BA" w:rsidP="00B774BA">
      <w:pPr>
        <w:pStyle w:val="Heading2"/>
        <w:spacing w:before="0" w:after="0"/>
        <w:rPr>
          <w:rFonts w:eastAsia="Times New Roman" w:cs="Times New Roman"/>
          <w:sz w:val="24"/>
          <w:szCs w:val="24"/>
        </w:rPr>
      </w:pPr>
      <w:bookmarkStart w:id="41" w:name="_Toc34407428"/>
      <w:r w:rsidRPr="00672108">
        <w:rPr>
          <w:rFonts w:eastAsia="Times New Roman" w:cs="Times New Roman"/>
          <w:sz w:val="24"/>
          <w:szCs w:val="24"/>
        </w:rPr>
        <w:t>Contracts</w:t>
      </w:r>
      <w:bookmarkEnd w:id="39"/>
      <w:bookmarkEnd w:id="41"/>
    </w:p>
    <w:p w:rsidR="00B774BA" w:rsidRPr="00857D7C" w:rsidRDefault="00C631E3" w:rsidP="00B774BA">
      <w:r>
        <w:t xml:space="preserve">The various types of contract signed provides an indication of industry engagement and complexity of research collaboration. The table below shows contract activity this year. </w:t>
      </w:r>
    </w:p>
    <w:tbl>
      <w:tblPr>
        <w:tblStyle w:val="TableGrid"/>
        <w:tblW w:w="8547" w:type="dxa"/>
        <w:jc w:val="center"/>
        <w:tblLook w:val="04A0" w:firstRow="1" w:lastRow="0" w:firstColumn="1" w:lastColumn="0" w:noHBand="0" w:noVBand="1"/>
      </w:tblPr>
      <w:tblGrid>
        <w:gridCol w:w="2689"/>
        <w:gridCol w:w="1989"/>
        <w:gridCol w:w="1844"/>
        <w:gridCol w:w="2025"/>
      </w:tblGrid>
      <w:tr w:rsidR="00B774BA" w:rsidTr="00C631E3">
        <w:trPr>
          <w:trHeight w:val="250"/>
          <w:tblHeader/>
          <w:jc w:val="center"/>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74BA" w:rsidRPr="00C631E3" w:rsidRDefault="00B774BA" w:rsidP="000D1C8A">
            <w:pPr>
              <w:spacing w:before="0" w:after="0"/>
              <w:rPr>
                <w:sz w:val="18"/>
                <w:szCs w:val="18"/>
              </w:rPr>
            </w:pPr>
            <w:r w:rsidRPr="00C631E3">
              <w:rPr>
                <w:sz w:val="18"/>
                <w:szCs w:val="18"/>
              </w:rPr>
              <w:t>Type</w:t>
            </w:r>
          </w:p>
        </w:tc>
        <w:tc>
          <w:tcPr>
            <w:tcW w:w="1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74BA" w:rsidRPr="00C631E3" w:rsidRDefault="00B774BA" w:rsidP="000D1C8A">
            <w:pPr>
              <w:spacing w:before="0" w:after="0"/>
              <w:jc w:val="center"/>
              <w:rPr>
                <w:sz w:val="18"/>
                <w:szCs w:val="18"/>
              </w:rPr>
            </w:pPr>
            <w:r w:rsidRPr="00C631E3">
              <w:rPr>
                <w:sz w:val="18"/>
                <w:szCs w:val="18"/>
              </w:rPr>
              <w:t>BRC \ CRF</w:t>
            </w:r>
          </w:p>
        </w:tc>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74BA" w:rsidRPr="00C631E3" w:rsidRDefault="00B774BA" w:rsidP="000D1C8A">
            <w:pPr>
              <w:spacing w:before="0" w:after="0"/>
              <w:jc w:val="center"/>
              <w:rPr>
                <w:sz w:val="18"/>
                <w:szCs w:val="18"/>
              </w:rPr>
            </w:pPr>
            <w:r w:rsidRPr="00C631E3">
              <w:rPr>
                <w:sz w:val="18"/>
                <w:szCs w:val="18"/>
              </w:rPr>
              <w:t>Signed</w:t>
            </w:r>
          </w:p>
        </w:tc>
        <w:tc>
          <w:tcPr>
            <w:tcW w:w="2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74BA" w:rsidRPr="00C631E3" w:rsidRDefault="00B774BA" w:rsidP="000D1C8A">
            <w:pPr>
              <w:spacing w:before="0" w:after="0"/>
              <w:jc w:val="center"/>
              <w:rPr>
                <w:sz w:val="18"/>
                <w:szCs w:val="18"/>
              </w:rPr>
            </w:pPr>
            <w:r w:rsidRPr="00C631E3">
              <w:rPr>
                <w:sz w:val="18"/>
                <w:szCs w:val="18"/>
              </w:rPr>
              <w:t>In Progress</w:t>
            </w:r>
          </w:p>
        </w:tc>
      </w:tr>
      <w:tr w:rsidR="00B774BA" w:rsidTr="00C631E3">
        <w:trPr>
          <w:trHeight w:val="250"/>
          <w:jc w:val="center"/>
        </w:trPr>
        <w:tc>
          <w:tcPr>
            <w:tcW w:w="2689" w:type="dxa"/>
            <w:tcBorders>
              <w:top w:val="single" w:sz="4" w:space="0" w:color="auto"/>
              <w:left w:val="single" w:sz="4" w:space="0" w:color="auto"/>
              <w:bottom w:val="single" w:sz="4" w:space="0" w:color="auto"/>
              <w:right w:val="single" w:sz="4" w:space="0" w:color="auto"/>
            </w:tcBorders>
            <w:hideMark/>
          </w:tcPr>
          <w:p w:rsidR="00B774BA" w:rsidRPr="00C631E3" w:rsidRDefault="00B774BA" w:rsidP="000D1C8A">
            <w:pPr>
              <w:spacing w:before="0" w:after="0"/>
              <w:jc w:val="left"/>
              <w:rPr>
                <w:sz w:val="18"/>
                <w:szCs w:val="18"/>
              </w:rPr>
            </w:pPr>
            <w:r w:rsidRPr="00C631E3">
              <w:rPr>
                <w:sz w:val="18"/>
                <w:szCs w:val="18"/>
              </w:rPr>
              <w:t>CDA’s</w:t>
            </w:r>
          </w:p>
        </w:tc>
        <w:tc>
          <w:tcPr>
            <w:tcW w:w="1989" w:type="dxa"/>
            <w:tcBorders>
              <w:top w:val="single" w:sz="4" w:space="0" w:color="auto"/>
              <w:left w:val="single" w:sz="4" w:space="0" w:color="auto"/>
              <w:bottom w:val="single" w:sz="4" w:space="0" w:color="auto"/>
              <w:right w:val="single" w:sz="4" w:space="0" w:color="auto"/>
            </w:tcBorders>
          </w:tcPr>
          <w:p w:rsidR="00B774BA" w:rsidRPr="00C631E3" w:rsidRDefault="00B774BA" w:rsidP="000D1C8A">
            <w:pPr>
              <w:spacing w:before="0" w:after="0"/>
              <w:jc w:val="left"/>
              <w:rPr>
                <w:sz w:val="18"/>
                <w:szCs w:val="18"/>
              </w:rPr>
            </w:pPr>
            <w:r w:rsidRPr="00C631E3">
              <w:rPr>
                <w:sz w:val="18"/>
                <w:szCs w:val="18"/>
              </w:rPr>
              <w:t>NDAs</w:t>
            </w:r>
          </w:p>
        </w:tc>
        <w:tc>
          <w:tcPr>
            <w:tcW w:w="1844" w:type="dxa"/>
            <w:tcBorders>
              <w:top w:val="single" w:sz="4" w:space="0" w:color="auto"/>
              <w:left w:val="single" w:sz="4" w:space="0" w:color="auto"/>
              <w:bottom w:val="single" w:sz="4" w:space="0" w:color="auto"/>
              <w:right w:val="single" w:sz="4" w:space="0" w:color="auto"/>
            </w:tcBorders>
          </w:tcPr>
          <w:p w:rsidR="00B774BA" w:rsidRPr="00C631E3" w:rsidRDefault="00B774BA" w:rsidP="000D1C8A">
            <w:pPr>
              <w:spacing w:before="0" w:after="0"/>
              <w:jc w:val="center"/>
              <w:rPr>
                <w:sz w:val="18"/>
                <w:szCs w:val="18"/>
              </w:rPr>
            </w:pPr>
            <w:r w:rsidRPr="00C631E3">
              <w:rPr>
                <w:sz w:val="18"/>
                <w:szCs w:val="18"/>
              </w:rPr>
              <w:t>9</w:t>
            </w:r>
          </w:p>
        </w:tc>
        <w:tc>
          <w:tcPr>
            <w:tcW w:w="2025" w:type="dxa"/>
            <w:tcBorders>
              <w:top w:val="single" w:sz="4" w:space="0" w:color="auto"/>
              <w:left w:val="single" w:sz="4" w:space="0" w:color="auto"/>
              <w:bottom w:val="single" w:sz="4" w:space="0" w:color="auto"/>
              <w:right w:val="single" w:sz="4" w:space="0" w:color="auto"/>
            </w:tcBorders>
          </w:tcPr>
          <w:p w:rsidR="00B774BA" w:rsidRPr="00C631E3" w:rsidRDefault="00B774BA" w:rsidP="000D1C8A">
            <w:pPr>
              <w:spacing w:before="0" w:after="0"/>
              <w:jc w:val="center"/>
              <w:rPr>
                <w:sz w:val="18"/>
                <w:szCs w:val="18"/>
              </w:rPr>
            </w:pPr>
            <w:r w:rsidRPr="00C631E3">
              <w:rPr>
                <w:sz w:val="18"/>
                <w:szCs w:val="18"/>
              </w:rPr>
              <w:t>5</w:t>
            </w:r>
          </w:p>
        </w:tc>
      </w:tr>
      <w:tr w:rsidR="00B774BA" w:rsidTr="00C631E3">
        <w:trPr>
          <w:trHeight w:val="261"/>
          <w:jc w:val="center"/>
        </w:trPr>
        <w:tc>
          <w:tcPr>
            <w:tcW w:w="2689" w:type="dxa"/>
            <w:tcBorders>
              <w:top w:val="single" w:sz="4" w:space="0" w:color="auto"/>
              <w:left w:val="single" w:sz="4" w:space="0" w:color="auto"/>
              <w:bottom w:val="single" w:sz="4" w:space="0" w:color="auto"/>
              <w:right w:val="single" w:sz="4" w:space="0" w:color="auto"/>
            </w:tcBorders>
            <w:hideMark/>
          </w:tcPr>
          <w:p w:rsidR="00B774BA" w:rsidRPr="00C631E3" w:rsidRDefault="00B774BA" w:rsidP="000D1C8A">
            <w:pPr>
              <w:spacing w:before="0" w:after="0"/>
              <w:jc w:val="left"/>
              <w:rPr>
                <w:sz w:val="18"/>
                <w:szCs w:val="18"/>
              </w:rPr>
            </w:pPr>
            <w:r w:rsidRPr="00C631E3">
              <w:rPr>
                <w:sz w:val="18"/>
                <w:szCs w:val="18"/>
              </w:rPr>
              <w:t>Contracts</w:t>
            </w:r>
          </w:p>
        </w:tc>
        <w:tc>
          <w:tcPr>
            <w:tcW w:w="1989" w:type="dxa"/>
            <w:tcBorders>
              <w:top w:val="single" w:sz="4" w:space="0" w:color="auto"/>
              <w:left w:val="single" w:sz="4" w:space="0" w:color="auto"/>
              <w:bottom w:val="single" w:sz="4" w:space="0" w:color="auto"/>
              <w:right w:val="single" w:sz="4" w:space="0" w:color="auto"/>
            </w:tcBorders>
          </w:tcPr>
          <w:p w:rsidR="00B774BA" w:rsidRPr="00C631E3" w:rsidRDefault="00B774BA" w:rsidP="000D1C8A">
            <w:pPr>
              <w:spacing w:before="0" w:after="0"/>
              <w:jc w:val="left"/>
              <w:rPr>
                <w:sz w:val="18"/>
                <w:szCs w:val="18"/>
              </w:rPr>
            </w:pPr>
            <w:r w:rsidRPr="00C631E3">
              <w:rPr>
                <w:sz w:val="18"/>
                <w:szCs w:val="18"/>
              </w:rPr>
              <w:t>model trial agreements</w:t>
            </w:r>
          </w:p>
        </w:tc>
        <w:tc>
          <w:tcPr>
            <w:tcW w:w="1844" w:type="dxa"/>
            <w:tcBorders>
              <w:top w:val="single" w:sz="4" w:space="0" w:color="auto"/>
              <w:left w:val="single" w:sz="4" w:space="0" w:color="auto"/>
              <w:bottom w:val="single" w:sz="4" w:space="0" w:color="auto"/>
              <w:right w:val="single" w:sz="4" w:space="0" w:color="auto"/>
            </w:tcBorders>
          </w:tcPr>
          <w:p w:rsidR="00B774BA" w:rsidRPr="00C631E3" w:rsidRDefault="00B774BA" w:rsidP="000D1C8A">
            <w:pPr>
              <w:spacing w:before="0" w:after="0"/>
              <w:jc w:val="center"/>
              <w:rPr>
                <w:sz w:val="18"/>
                <w:szCs w:val="18"/>
              </w:rPr>
            </w:pPr>
            <w:r w:rsidRPr="00C631E3">
              <w:rPr>
                <w:sz w:val="18"/>
                <w:szCs w:val="18"/>
              </w:rPr>
              <w:t>10</w:t>
            </w:r>
          </w:p>
        </w:tc>
        <w:tc>
          <w:tcPr>
            <w:tcW w:w="2025" w:type="dxa"/>
            <w:tcBorders>
              <w:top w:val="single" w:sz="4" w:space="0" w:color="auto"/>
              <w:left w:val="single" w:sz="4" w:space="0" w:color="auto"/>
              <w:bottom w:val="single" w:sz="4" w:space="0" w:color="auto"/>
              <w:right w:val="single" w:sz="4" w:space="0" w:color="auto"/>
            </w:tcBorders>
          </w:tcPr>
          <w:p w:rsidR="00B774BA" w:rsidRPr="00C631E3" w:rsidRDefault="00B774BA" w:rsidP="000D1C8A">
            <w:pPr>
              <w:spacing w:before="0" w:after="0"/>
              <w:jc w:val="center"/>
              <w:rPr>
                <w:sz w:val="18"/>
                <w:szCs w:val="18"/>
              </w:rPr>
            </w:pPr>
          </w:p>
        </w:tc>
      </w:tr>
      <w:tr w:rsidR="00B774BA" w:rsidTr="00C631E3">
        <w:trPr>
          <w:trHeight w:val="205"/>
          <w:jc w:val="center"/>
        </w:trPr>
        <w:tc>
          <w:tcPr>
            <w:tcW w:w="2689" w:type="dxa"/>
            <w:tcBorders>
              <w:top w:val="single" w:sz="4" w:space="0" w:color="auto"/>
              <w:left w:val="single" w:sz="4" w:space="0" w:color="auto"/>
              <w:bottom w:val="single" w:sz="4" w:space="0" w:color="auto"/>
              <w:right w:val="single" w:sz="4" w:space="0" w:color="auto"/>
            </w:tcBorders>
            <w:hideMark/>
          </w:tcPr>
          <w:p w:rsidR="00B774BA" w:rsidRPr="00C631E3" w:rsidRDefault="00B774BA" w:rsidP="000D1C8A">
            <w:pPr>
              <w:spacing w:before="0" w:after="0"/>
              <w:jc w:val="left"/>
              <w:rPr>
                <w:sz w:val="18"/>
                <w:szCs w:val="18"/>
              </w:rPr>
            </w:pPr>
            <w:r w:rsidRPr="00C631E3">
              <w:rPr>
                <w:sz w:val="18"/>
                <w:szCs w:val="18"/>
              </w:rPr>
              <w:t>Collaboration Agreements</w:t>
            </w:r>
          </w:p>
        </w:tc>
        <w:tc>
          <w:tcPr>
            <w:tcW w:w="1989" w:type="dxa"/>
            <w:tcBorders>
              <w:top w:val="single" w:sz="4" w:space="0" w:color="auto"/>
              <w:left w:val="single" w:sz="4" w:space="0" w:color="auto"/>
              <w:bottom w:val="single" w:sz="4" w:space="0" w:color="auto"/>
              <w:right w:val="single" w:sz="4" w:space="0" w:color="auto"/>
            </w:tcBorders>
          </w:tcPr>
          <w:p w:rsidR="00B774BA" w:rsidRPr="00C631E3" w:rsidRDefault="00B774BA" w:rsidP="000D1C8A">
            <w:pPr>
              <w:spacing w:before="0" w:after="0"/>
              <w:jc w:val="left"/>
              <w:rPr>
                <w:sz w:val="18"/>
                <w:szCs w:val="18"/>
              </w:rPr>
            </w:pPr>
          </w:p>
        </w:tc>
        <w:tc>
          <w:tcPr>
            <w:tcW w:w="1844" w:type="dxa"/>
            <w:tcBorders>
              <w:top w:val="single" w:sz="4" w:space="0" w:color="auto"/>
              <w:left w:val="single" w:sz="4" w:space="0" w:color="auto"/>
              <w:bottom w:val="single" w:sz="4" w:space="0" w:color="auto"/>
              <w:right w:val="single" w:sz="4" w:space="0" w:color="auto"/>
            </w:tcBorders>
          </w:tcPr>
          <w:p w:rsidR="00B774BA" w:rsidRPr="00C631E3" w:rsidRDefault="00B774BA" w:rsidP="000D1C8A">
            <w:pPr>
              <w:spacing w:before="0" w:after="0"/>
              <w:jc w:val="center"/>
              <w:rPr>
                <w:sz w:val="18"/>
                <w:szCs w:val="18"/>
              </w:rPr>
            </w:pPr>
            <w:r w:rsidRPr="00C631E3">
              <w:rPr>
                <w:sz w:val="18"/>
                <w:szCs w:val="18"/>
              </w:rPr>
              <w:t>3</w:t>
            </w:r>
          </w:p>
        </w:tc>
        <w:tc>
          <w:tcPr>
            <w:tcW w:w="2025" w:type="dxa"/>
            <w:tcBorders>
              <w:top w:val="single" w:sz="4" w:space="0" w:color="auto"/>
              <w:left w:val="single" w:sz="4" w:space="0" w:color="auto"/>
              <w:bottom w:val="single" w:sz="4" w:space="0" w:color="auto"/>
              <w:right w:val="single" w:sz="4" w:space="0" w:color="auto"/>
            </w:tcBorders>
          </w:tcPr>
          <w:p w:rsidR="00B774BA" w:rsidRPr="00C631E3" w:rsidRDefault="00B774BA" w:rsidP="000D1C8A">
            <w:pPr>
              <w:spacing w:before="0" w:after="0"/>
              <w:jc w:val="center"/>
              <w:rPr>
                <w:sz w:val="18"/>
                <w:szCs w:val="18"/>
              </w:rPr>
            </w:pPr>
            <w:r w:rsidRPr="00C631E3">
              <w:rPr>
                <w:sz w:val="18"/>
                <w:szCs w:val="18"/>
              </w:rPr>
              <w:t>8</w:t>
            </w:r>
          </w:p>
        </w:tc>
      </w:tr>
      <w:tr w:rsidR="00B774BA" w:rsidTr="00C631E3">
        <w:trPr>
          <w:trHeight w:val="250"/>
          <w:jc w:val="center"/>
        </w:trPr>
        <w:tc>
          <w:tcPr>
            <w:tcW w:w="2689" w:type="dxa"/>
            <w:tcBorders>
              <w:top w:val="single" w:sz="4" w:space="0" w:color="auto"/>
              <w:left w:val="single" w:sz="4" w:space="0" w:color="auto"/>
              <w:bottom w:val="single" w:sz="4" w:space="0" w:color="auto"/>
              <w:right w:val="single" w:sz="4" w:space="0" w:color="auto"/>
            </w:tcBorders>
          </w:tcPr>
          <w:p w:rsidR="00B774BA" w:rsidRPr="00C631E3" w:rsidRDefault="00B774BA" w:rsidP="000D1C8A">
            <w:pPr>
              <w:spacing w:before="0" w:after="0"/>
              <w:jc w:val="left"/>
              <w:rPr>
                <w:sz w:val="18"/>
                <w:szCs w:val="18"/>
              </w:rPr>
            </w:pPr>
            <w:r w:rsidRPr="00C631E3">
              <w:rPr>
                <w:sz w:val="18"/>
                <w:szCs w:val="18"/>
              </w:rPr>
              <w:t>Funding Agreements</w:t>
            </w:r>
          </w:p>
        </w:tc>
        <w:tc>
          <w:tcPr>
            <w:tcW w:w="1989" w:type="dxa"/>
            <w:tcBorders>
              <w:top w:val="single" w:sz="4" w:space="0" w:color="auto"/>
              <w:left w:val="single" w:sz="4" w:space="0" w:color="auto"/>
              <w:bottom w:val="single" w:sz="4" w:space="0" w:color="auto"/>
              <w:right w:val="single" w:sz="4" w:space="0" w:color="auto"/>
            </w:tcBorders>
          </w:tcPr>
          <w:p w:rsidR="00B774BA" w:rsidRPr="00C631E3" w:rsidRDefault="00B774BA" w:rsidP="000D1C8A">
            <w:pPr>
              <w:spacing w:before="0" w:after="0"/>
              <w:jc w:val="left"/>
              <w:rPr>
                <w:sz w:val="18"/>
                <w:szCs w:val="18"/>
              </w:rPr>
            </w:pPr>
          </w:p>
        </w:tc>
        <w:tc>
          <w:tcPr>
            <w:tcW w:w="1844" w:type="dxa"/>
            <w:tcBorders>
              <w:top w:val="single" w:sz="4" w:space="0" w:color="auto"/>
              <w:left w:val="single" w:sz="4" w:space="0" w:color="auto"/>
              <w:bottom w:val="single" w:sz="4" w:space="0" w:color="auto"/>
              <w:right w:val="single" w:sz="4" w:space="0" w:color="auto"/>
            </w:tcBorders>
          </w:tcPr>
          <w:p w:rsidR="00B774BA" w:rsidRPr="00C631E3" w:rsidRDefault="00B774BA" w:rsidP="000D1C8A">
            <w:pPr>
              <w:spacing w:before="0" w:after="0"/>
              <w:jc w:val="center"/>
              <w:rPr>
                <w:sz w:val="18"/>
                <w:szCs w:val="18"/>
              </w:rPr>
            </w:pPr>
            <w:r w:rsidRPr="00C631E3">
              <w:rPr>
                <w:sz w:val="18"/>
                <w:szCs w:val="18"/>
              </w:rPr>
              <w:t>6</w:t>
            </w:r>
          </w:p>
        </w:tc>
        <w:tc>
          <w:tcPr>
            <w:tcW w:w="2025" w:type="dxa"/>
            <w:tcBorders>
              <w:top w:val="single" w:sz="4" w:space="0" w:color="auto"/>
              <w:left w:val="single" w:sz="4" w:space="0" w:color="auto"/>
              <w:bottom w:val="single" w:sz="4" w:space="0" w:color="auto"/>
              <w:right w:val="single" w:sz="4" w:space="0" w:color="auto"/>
            </w:tcBorders>
          </w:tcPr>
          <w:p w:rsidR="00B774BA" w:rsidRPr="00C631E3" w:rsidRDefault="00B774BA" w:rsidP="000D1C8A">
            <w:pPr>
              <w:spacing w:before="0" w:after="0"/>
              <w:rPr>
                <w:sz w:val="18"/>
                <w:szCs w:val="18"/>
              </w:rPr>
            </w:pPr>
          </w:p>
        </w:tc>
      </w:tr>
      <w:tr w:rsidR="00B774BA" w:rsidTr="00C631E3">
        <w:trPr>
          <w:trHeight w:val="250"/>
          <w:jc w:val="center"/>
        </w:trPr>
        <w:tc>
          <w:tcPr>
            <w:tcW w:w="2689" w:type="dxa"/>
            <w:tcBorders>
              <w:top w:val="single" w:sz="4" w:space="0" w:color="auto"/>
              <w:left w:val="single" w:sz="4" w:space="0" w:color="auto"/>
              <w:bottom w:val="single" w:sz="4" w:space="0" w:color="auto"/>
              <w:right w:val="single" w:sz="4" w:space="0" w:color="auto"/>
            </w:tcBorders>
          </w:tcPr>
          <w:p w:rsidR="00B774BA" w:rsidRPr="00C631E3" w:rsidRDefault="00B774BA" w:rsidP="000D1C8A">
            <w:pPr>
              <w:spacing w:before="0" w:after="0"/>
              <w:jc w:val="left"/>
              <w:rPr>
                <w:sz w:val="18"/>
                <w:szCs w:val="18"/>
              </w:rPr>
            </w:pPr>
            <w:r w:rsidRPr="00C631E3">
              <w:rPr>
                <w:sz w:val="18"/>
                <w:szCs w:val="18"/>
              </w:rPr>
              <w:t>Data Transfer</w:t>
            </w:r>
          </w:p>
        </w:tc>
        <w:tc>
          <w:tcPr>
            <w:tcW w:w="1989" w:type="dxa"/>
            <w:tcBorders>
              <w:top w:val="single" w:sz="4" w:space="0" w:color="auto"/>
              <w:left w:val="single" w:sz="4" w:space="0" w:color="auto"/>
              <w:bottom w:val="single" w:sz="4" w:space="0" w:color="auto"/>
              <w:right w:val="single" w:sz="4" w:space="0" w:color="auto"/>
            </w:tcBorders>
          </w:tcPr>
          <w:p w:rsidR="00B774BA" w:rsidRPr="00C631E3" w:rsidRDefault="00B774BA" w:rsidP="000D1C8A">
            <w:pPr>
              <w:spacing w:before="0" w:after="0"/>
              <w:jc w:val="left"/>
              <w:rPr>
                <w:sz w:val="18"/>
                <w:szCs w:val="18"/>
              </w:rPr>
            </w:pPr>
          </w:p>
        </w:tc>
        <w:tc>
          <w:tcPr>
            <w:tcW w:w="1844" w:type="dxa"/>
            <w:tcBorders>
              <w:top w:val="single" w:sz="4" w:space="0" w:color="auto"/>
              <w:left w:val="single" w:sz="4" w:space="0" w:color="auto"/>
              <w:bottom w:val="single" w:sz="4" w:space="0" w:color="auto"/>
              <w:right w:val="single" w:sz="4" w:space="0" w:color="auto"/>
            </w:tcBorders>
          </w:tcPr>
          <w:p w:rsidR="00B774BA" w:rsidRPr="00C631E3" w:rsidRDefault="00B774BA" w:rsidP="000D1C8A">
            <w:pPr>
              <w:spacing w:before="0" w:after="0"/>
              <w:jc w:val="center"/>
              <w:rPr>
                <w:sz w:val="18"/>
                <w:szCs w:val="18"/>
              </w:rPr>
            </w:pPr>
            <w:r w:rsidRPr="00C631E3">
              <w:rPr>
                <w:sz w:val="18"/>
                <w:szCs w:val="18"/>
              </w:rPr>
              <w:t>2</w:t>
            </w:r>
          </w:p>
        </w:tc>
        <w:tc>
          <w:tcPr>
            <w:tcW w:w="2025" w:type="dxa"/>
            <w:tcBorders>
              <w:top w:val="single" w:sz="4" w:space="0" w:color="auto"/>
              <w:left w:val="single" w:sz="4" w:space="0" w:color="auto"/>
              <w:bottom w:val="single" w:sz="4" w:space="0" w:color="auto"/>
              <w:right w:val="single" w:sz="4" w:space="0" w:color="auto"/>
            </w:tcBorders>
          </w:tcPr>
          <w:p w:rsidR="00B774BA" w:rsidRPr="00C631E3" w:rsidRDefault="00B774BA" w:rsidP="000D1C8A">
            <w:pPr>
              <w:spacing w:before="0" w:after="0"/>
              <w:jc w:val="center"/>
              <w:rPr>
                <w:sz w:val="18"/>
                <w:szCs w:val="18"/>
              </w:rPr>
            </w:pPr>
          </w:p>
        </w:tc>
      </w:tr>
      <w:tr w:rsidR="00B774BA" w:rsidTr="00C631E3">
        <w:trPr>
          <w:trHeight w:val="250"/>
          <w:jc w:val="center"/>
        </w:trPr>
        <w:tc>
          <w:tcPr>
            <w:tcW w:w="2689" w:type="dxa"/>
            <w:tcBorders>
              <w:top w:val="single" w:sz="4" w:space="0" w:color="auto"/>
              <w:left w:val="single" w:sz="4" w:space="0" w:color="auto"/>
              <w:bottom w:val="single" w:sz="4" w:space="0" w:color="auto"/>
              <w:right w:val="single" w:sz="4" w:space="0" w:color="auto"/>
            </w:tcBorders>
          </w:tcPr>
          <w:p w:rsidR="00B774BA" w:rsidRPr="00C631E3" w:rsidRDefault="00B774BA" w:rsidP="000D1C8A">
            <w:pPr>
              <w:spacing w:before="0" w:after="0"/>
              <w:jc w:val="left"/>
              <w:rPr>
                <w:sz w:val="18"/>
                <w:szCs w:val="18"/>
              </w:rPr>
            </w:pPr>
            <w:r w:rsidRPr="00C631E3">
              <w:rPr>
                <w:sz w:val="18"/>
                <w:szCs w:val="18"/>
              </w:rPr>
              <w:t>Service Agreement</w:t>
            </w:r>
          </w:p>
        </w:tc>
        <w:tc>
          <w:tcPr>
            <w:tcW w:w="1989" w:type="dxa"/>
            <w:tcBorders>
              <w:top w:val="single" w:sz="4" w:space="0" w:color="auto"/>
              <w:left w:val="single" w:sz="4" w:space="0" w:color="auto"/>
              <w:bottom w:val="single" w:sz="4" w:space="0" w:color="auto"/>
              <w:right w:val="single" w:sz="4" w:space="0" w:color="auto"/>
            </w:tcBorders>
          </w:tcPr>
          <w:p w:rsidR="00B774BA" w:rsidRPr="00C631E3" w:rsidRDefault="00B774BA" w:rsidP="000D1C8A">
            <w:pPr>
              <w:spacing w:before="0" w:after="0"/>
              <w:jc w:val="left"/>
              <w:rPr>
                <w:sz w:val="18"/>
                <w:szCs w:val="18"/>
              </w:rPr>
            </w:pPr>
          </w:p>
        </w:tc>
        <w:tc>
          <w:tcPr>
            <w:tcW w:w="1844" w:type="dxa"/>
            <w:tcBorders>
              <w:top w:val="single" w:sz="4" w:space="0" w:color="auto"/>
              <w:left w:val="single" w:sz="4" w:space="0" w:color="auto"/>
              <w:bottom w:val="single" w:sz="4" w:space="0" w:color="auto"/>
              <w:right w:val="single" w:sz="4" w:space="0" w:color="auto"/>
            </w:tcBorders>
          </w:tcPr>
          <w:p w:rsidR="00B774BA" w:rsidRPr="00C631E3" w:rsidRDefault="00B774BA" w:rsidP="000D1C8A">
            <w:pPr>
              <w:spacing w:before="0" w:after="0"/>
              <w:jc w:val="center"/>
              <w:rPr>
                <w:sz w:val="18"/>
                <w:szCs w:val="18"/>
              </w:rPr>
            </w:pPr>
            <w:r w:rsidRPr="00C631E3">
              <w:rPr>
                <w:sz w:val="18"/>
                <w:szCs w:val="18"/>
              </w:rPr>
              <w:t>1</w:t>
            </w:r>
          </w:p>
        </w:tc>
        <w:tc>
          <w:tcPr>
            <w:tcW w:w="2025" w:type="dxa"/>
            <w:tcBorders>
              <w:top w:val="single" w:sz="4" w:space="0" w:color="auto"/>
              <w:left w:val="single" w:sz="4" w:space="0" w:color="auto"/>
              <w:bottom w:val="single" w:sz="4" w:space="0" w:color="auto"/>
              <w:right w:val="single" w:sz="4" w:space="0" w:color="auto"/>
            </w:tcBorders>
          </w:tcPr>
          <w:p w:rsidR="00B774BA" w:rsidRPr="00C631E3" w:rsidRDefault="00B774BA" w:rsidP="000D1C8A">
            <w:pPr>
              <w:spacing w:before="0" w:after="0"/>
              <w:jc w:val="center"/>
              <w:rPr>
                <w:sz w:val="18"/>
                <w:szCs w:val="18"/>
              </w:rPr>
            </w:pPr>
          </w:p>
        </w:tc>
      </w:tr>
      <w:tr w:rsidR="00B774BA" w:rsidTr="00C631E3">
        <w:trPr>
          <w:trHeight w:val="250"/>
          <w:jc w:val="center"/>
        </w:trPr>
        <w:tc>
          <w:tcPr>
            <w:tcW w:w="2689" w:type="dxa"/>
            <w:tcBorders>
              <w:top w:val="single" w:sz="4" w:space="0" w:color="auto"/>
              <w:left w:val="single" w:sz="4" w:space="0" w:color="auto"/>
              <w:bottom w:val="single" w:sz="4" w:space="0" w:color="auto"/>
              <w:right w:val="single" w:sz="4" w:space="0" w:color="auto"/>
            </w:tcBorders>
          </w:tcPr>
          <w:p w:rsidR="00B774BA" w:rsidRPr="00C631E3" w:rsidRDefault="00B774BA" w:rsidP="000D1C8A">
            <w:pPr>
              <w:spacing w:before="0" w:after="0"/>
              <w:jc w:val="left"/>
              <w:rPr>
                <w:sz w:val="18"/>
                <w:szCs w:val="18"/>
              </w:rPr>
            </w:pPr>
            <w:r w:rsidRPr="00C631E3">
              <w:rPr>
                <w:sz w:val="18"/>
                <w:szCs w:val="18"/>
              </w:rPr>
              <w:t>SLAs</w:t>
            </w:r>
          </w:p>
        </w:tc>
        <w:tc>
          <w:tcPr>
            <w:tcW w:w="1989" w:type="dxa"/>
            <w:tcBorders>
              <w:top w:val="single" w:sz="4" w:space="0" w:color="auto"/>
              <w:left w:val="single" w:sz="4" w:space="0" w:color="auto"/>
              <w:bottom w:val="single" w:sz="4" w:space="0" w:color="auto"/>
              <w:right w:val="single" w:sz="4" w:space="0" w:color="auto"/>
            </w:tcBorders>
          </w:tcPr>
          <w:p w:rsidR="00B774BA" w:rsidRPr="00C631E3" w:rsidRDefault="00B774BA" w:rsidP="000D1C8A">
            <w:pPr>
              <w:spacing w:before="0" w:after="0"/>
              <w:jc w:val="left"/>
              <w:rPr>
                <w:sz w:val="18"/>
                <w:szCs w:val="18"/>
              </w:rPr>
            </w:pPr>
          </w:p>
        </w:tc>
        <w:tc>
          <w:tcPr>
            <w:tcW w:w="1844" w:type="dxa"/>
            <w:tcBorders>
              <w:top w:val="single" w:sz="4" w:space="0" w:color="auto"/>
              <w:left w:val="single" w:sz="4" w:space="0" w:color="auto"/>
              <w:bottom w:val="single" w:sz="4" w:space="0" w:color="auto"/>
              <w:right w:val="single" w:sz="4" w:space="0" w:color="auto"/>
            </w:tcBorders>
          </w:tcPr>
          <w:p w:rsidR="00B774BA" w:rsidRPr="00C631E3" w:rsidRDefault="00B774BA" w:rsidP="000D1C8A">
            <w:pPr>
              <w:spacing w:before="0" w:after="0"/>
              <w:jc w:val="center"/>
              <w:rPr>
                <w:sz w:val="18"/>
                <w:szCs w:val="18"/>
              </w:rPr>
            </w:pPr>
          </w:p>
        </w:tc>
        <w:tc>
          <w:tcPr>
            <w:tcW w:w="2025" w:type="dxa"/>
            <w:tcBorders>
              <w:top w:val="single" w:sz="4" w:space="0" w:color="auto"/>
              <w:left w:val="single" w:sz="4" w:space="0" w:color="auto"/>
              <w:bottom w:val="single" w:sz="4" w:space="0" w:color="auto"/>
              <w:right w:val="single" w:sz="4" w:space="0" w:color="auto"/>
            </w:tcBorders>
          </w:tcPr>
          <w:p w:rsidR="00B774BA" w:rsidRPr="00C631E3" w:rsidRDefault="00B774BA" w:rsidP="000D1C8A">
            <w:pPr>
              <w:tabs>
                <w:tab w:val="center" w:pos="904"/>
                <w:tab w:val="right" w:pos="1809"/>
              </w:tabs>
              <w:spacing w:before="0" w:after="0"/>
              <w:jc w:val="left"/>
              <w:rPr>
                <w:sz w:val="18"/>
                <w:szCs w:val="18"/>
              </w:rPr>
            </w:pPr>
            <w:r w:rsidRPr="00C631E3">
              <w:rPr>
                <w:sz w:val="18"/>
                <w:szCs w:val="18"/>
              </w:rPr>
              <w:tab/>
              <w:t>4</w:t>
            </w:r>
            <w:r w:rsidRPr="00C631E3">
              <w:rPr>
                <w:sz w:val="18"/>
                <w:szCs w:val="18"/>
              </w:rPr>
              <w:tab/>
            </w:r>
          </w:p>
        </w:tc>
      </w:tr>
      <w:tr w:rsidR="00B774BA" w:rsidTr="00C631E3">
        <w:trPr>
          <w:trHeight w:val="250"/>
          <w:jc w:val="center"/>
        </w:trPr>
        <w:tc>
          <w:tcPr>
            <w:tcW w:w="2689" w:type="dxa"/>
            <w:tcBorders>
              <w:top w:val="single" w:sz="4" w:space="0" w:color="auto"/>
              <w:left w:val="single" w:sz="4" w:space="0" w:color="auto"/>
              <w:bottom w:val="single" w:sz="4" w:space="0" w:color="auto"/>
              <w:right w:val="single" w:sz="4" w:space="0" w:color="auto"/>
            </w:tcBorders>
          </w:tcPr>
          <w:p w:rsidR="00B774BA" w:rsidRPr="00C631E3" w:rsidRDefault="00B774BA" w:rsidP="000D1C8A">
            <w:pPr>
              <w:spacing w:before="0" w:after="0"/>
              <w:jc w:val="left"/>
              <w:rPr>
                <w:sz w:val="18"/>
                <w:szCs w:val="18"/>
              </w:rPr>
            </w:pPr>
            <w:r w:rsidRPr="00C631E3">
              <w:rPr>
                <w:sz w:val="18"/>
                <w:szCs w:val="18"/>
              </w:rPr>
              <w:t>PIC Agreement</w:t>
            </w:r>
          </w:p>
        </w:tc>
        <w:tc>
          <w:tcPr>
            <w:tcW w:w="1989" w:type="dxa"/>
            <w:tcBorders>
              <w:top w:val="single" w:sz="4" w:space="0" w:color="auto"/>
              <w:left w:val="single" w:sz="4" w:space="0" w:color="auto"/>
              <w:bottom w:val="single" w:sz="4" w:space="0" w:color="auto"/>
              <w:right w:val="single" w:sz="4" w:space="0" w:color="auto"/>
            </w:tcBorders>
          </w:tcPr>
          <w:p w:rsidR="00B774BA" w:rsidRPr="00C631E3" w:rsidRDefault="00B774BA" w:rsidP="000D1C8A">
            <w:pPr>
              <w:spacing w:before="0" w:after="0"/>
              <w:jc w:val="left"/>
              <w:rPr>
                <w:sz w:val="18"/>
                <w:szCs w:val="18"/>
              </w:rPr>
            </w:pPr>
          </w:p>
        </w:tc>
        <w:tc>
          <w:tcPr>
            <w:tcW w:w="1844" w:type="dxa"/>
            <w:tcBorders>
              <w:top w:val="single" w:sz="4" w:space="0" w:color="auto"/>
              <w:left w:val="single" w:sz="4" w:space="0" w:color="auto"/>
              <w:bottom w:val="single" w:sz="4" w:space="0" w:color="auto"/>
              <w:right w:val="single" w:sz="4" w:space="0" w:color="auto"/>
            </w:tcBorders>
          </w:tcPr>
          <w:p w:rsidR="00B774BA" w:rsidRPr="00C631E3" w:rsidRDefault="00B774BA" w:rsidP="000D1C8A">
            <w:pPr>
              <w:spacing w:before="0" w:after="0"/>
              <w:jc w:val="center"/>
              <w:rPr>
                <w:sz w:val="18"/>
                <w:szCs w:val="18"/>
              </w:rPr>
            </w:pPr>
          </w:p>
        </w:tc>
        <w:tc>
          <w:tcPr>
            <w:tcW w:w="2025" w:type="dxa"/>
            <w:tcBorders>
              <w:top w:val="single" w:sz="4" w:space="0" w:color="auto"/>
              <w:left w:val="single" w:sz="4" w:space="0" w:color="auto"/>
              <w:bottom w:val="single" w:sz="4" w:space="0" w:color="auto"/>
              <w:right w:val="single" w:sz="4" w:space="0" w:color="auto"/>
            </w:tcBorders>
          </w:tcPr>
          <w:p w:rsidR="00B774BA" w:rsidRPr="00C631E3" w:rsidRDefault="00B774BA" w:rsidP="000D1C8A">
            <w:pPr>
              <w:tabs>
                <w:tab w:val="center" w:pos="904"/>
                <w:tab w:val="right" w:pos="1809"/>
              </w:tabs>
              <w:spacing w:before="0" w:after="0"/>
              <w:jc w:val="center"/>
              <w:rPr>
                <w:sz w:val="18"/>
                <w:szCs w:val="18"/>
              </w:rPr>
            </w:pPr>
            <w:r w:rsidRPr="00C631E3">
              <w:rPr>
                <w:sz w:val="18"/>
                <w:szCs w:val="18"/>
              </w:rPr>
              <w:t>1</w:t>
            </w:r>
          </w:p>
        </w:tc>
      </w:tr>
      <w:tr w:rsidR="00B774BA" w:rsidTr="00C631E3">
        <w:trPr>
          <w:trHeight w:val="250"/>
          <w:jc w:val="center"/>
        </w:trPr>
        <w:tc>
          <w:tcPr>
            <w:tcW w:w="2689" w:type="dxa"/>
            <w:tcBorders>
              <w:top w:val="single" w:sz="4" w:space="0" w:color="auto"/>
              <w:left w:val="single" w:sz="4" w:space="0" w:color="auto"/>
              <w:bottom w:val="single" w:sz="4" w:space="0" w:color="auto"/>
              <w:right w:val="single" w:sz="4" w:space="0" w:color="auto"/>
            </w:tcBorders>
          </w:tcPr>
          <w:p w:rsidR="00B774BA" w:rsidRPr="00C631E3" w:rsidRDefault="00B774BA" w:rsidP="000D1C8A">
            <w:pPr>
              <w:spacing w:before="0" w:after="0"/>
              <w:jc w:val="left"/>
              <w:rPr>
                <w:sz w:val="18"/>
                <w:szCs w:val="18"/>
              </w:rPr>
            </w:pPr>
            <w:r w:rsidRPr="00C631E3">
              <w:rPr>
                <w:sz w:val="18"/>
                <w:szCs w:val="18"/>
              </w:rPr>
              <w:t>Amendments to agreements</w:t>
            </w:r>
          </w:p>
        </w:tc>
        <w:tc>
          <w:tcPr>
            <w:tcW w:w="1989" w:type="dxa"/>
            <w:tcBorders>
              <w:top w:val="single" w:sz="4" w:space="0" w:color="auto"/>
              <w:left w:val="single" w:sz="4" w:space="0" w:color="auto"/>
              <w:bottom w:val="single" w:sz="4" w:space="0" w:color="auto"/>
              <w:right w:val="single" w:sz="4" w:space="0" w:color="auto"/>
            </w:tcBorders>
          </w:tcPr>
          <w:p w:rsidR="00B774BA" w:rsidRPr="00C631E3" w:rsidRDefault="00B774BA" w:rsidP="000D1C8A">
            <w:pPr>
              <w:spacing w:before="0" w:after="0"/>
              <w:jc w:val="left"/>
              <w:rPr>
                <w:sz w:val="18"/>
                <w:szCs w:val="18"/>
              </w:rPr>
            </w:pPr>
          </w:p>
        </w:tc>
        <w:tc>
          <w:tcPr>
            <w:tcW w:w="1844" w:type="dxa"/>
            <w:tcBorders>
              <w:top w:val="single" w:sz="4" w:space="0" w:color="auto"/>
              <w:left w:val="single" w:sz="4" w:space="0" w:color="auto"/>
              <w:bottom w:val="single" w:sz="4" w:space="0" w:color="auto"/>
              <w:right w:val="single" w:sz="4" w:space="0" w:color="auto"/>
            </w:tcBorders>
          </w:tcPr>
          <w:p w:rsidR="00B774BA" w:rsidRPr="00C631E3" w:rsidRDefault="00B774BA" w:rsidP="000D1C8A">
            <w:pPr>
              <w:spacing w:before="0" w:after="0"/>
              <w:jc w:val="center"/>
              <w:rPr>
                <w:sz w:val="18"/>
                <w:szCs w:val="18"/>
              </w:rPr>
            </w:pPr>
          </w:p>
        </w:tc>
        <w:tc>
          <w:tcPr>
            <w:tcW w:w="2025" w:type="dxa"/>
            <w:tcBorders>
              <w:top w:val="single" w:sz="4" w:space="0" w:color="auto"/>
              <w:left w:val="single" w:sz="4" w:space="0" w:color="auto"/>
              <w:bottom w:val="single" w:sz="4" w:space="0" w:color="auto"/>
              <w:right w:val="single" w:sz="4" w:space="0" w:color="auto"/>
            </w:tcBorders>
          </w:tcPr>
          <w:p w:rsidR="00B774BA" w:rsidRPr="00C631E3" w:rsidRDefault="00B774BA" w:rsidP="000D1C8A">
            <w:pPr>
              <w:tabs>
                <w:tab w:val="center" w:pos="904"/>
                <w:tab w:val="right" w:pos="1809"/>
              </w:tabs>
              <w:spacing w:before="0" w:after="0"/>
              <w:jc w:val="center"/>
              <w:rPr>
                <w:sz w:val="18"/>
                <w:szCs w:val="18"/>
              </w:rPr>
            </w:pPr>
            <w:r w:rsidRPr="00C631E3">
              <w:rPr>
                <w:sz w:val="18"/>
                <w:szCs w:val="18"/>
              </w:rPr>
              <w:t>3</w:t>
            </w:r>
          </w:p>
        </w:tc>
      </w:tr>
    </w:tbl>
    <w:p w:rsidR="00B774BA" w:rsidRDefault="00B774BA" w:rsidP="00B774BA">
      <w:pPr>
        <w:spacing w:before="0" w:after="0"/>
      </w:pPr>
    </w:p>
    <w:p w:rsidR="00D8784D" w:rsidRDefault="00C631E3" w:rsidP="00B774BA">
      <w:pPr>
        <w:spacing w:before="0" w:after="0"/>
      </w:pPr>
      <w:r>
        <w:t xml:space="preserve">OHFT outsource their management of research contracts to </w:t>
      </w:r>
      <w:r w:rsidR="00B774BA">
        <w:t xml:space="preserve">OH.  </w:t>
      </w:r>
      <w:r w:rsidR="00B774BA" w:rsidRPr="006240B8">
        <w:t xml:space="preserve"> </w:t>
      </w:r>
      <w:r w:rsidR="004726CE">
        <w:t xml:space="preserve">OHFT’s approach to unlimited liability in confidentiality agreements has led to </w:t>
      </w:r>
      <w:r w:rsidR="00B774BA">
        <w:t xml:space="preserve">longer than the industry standard </w:t>
      </w:r>
      <w:r w:rsidR="00D8784D">
        <w:t>s</w:t>
      </w:r>
      <w:r w:rsidR="00B774BA">
        <w:t>et</w:t>
      </w:r>
      <w:r w:rsidR="00D8784D">
        <w:t>-</w:t>
      </w:r>
      <w:r w:rsidR="00B774BA">
        <w:t>up</w:t>
      </w:r>
      <w:r w:rsidR="00D8784D">
        <w:t xml:space="preserve"> time</w:t>
      </w:r>
      <w:r w:rsidR="00B774BA">
        <w:t xml:space="preserve">. We are aware of </w:t>
      </w:r>
      <w:r w:rsidR="00D8784D">
        <w:t xml:space="preserve">two </w:t>
      </w:r>
      <w:r w:rsidR="00B774BA">
        <w:t>instances where we have lost out on potential commercial trials due to this position</w:t>
      </w:r>
      <w:r w:rsidR="00D8784D">
        <w:t>.</w:t>
      </w:r>
    </w:p>
    <w:p w:rsidR="00B774BA" w:rsidRPr="006240B8" w:rsidRDefault="00B774BA" w:rsidP="00B774BA">
      <w:pPr>
        <w:spacing w:before="0" w:after="0"/>
      </w:pPr>
    </w:p>
    <w:p w:rsidR="00DF386E" w:rsidRPr="00801BE7" w:rsidRDefault="00DF386E" w:rsidP="00DF386E">
      <w:pPr>
        <w:pStyle w:val="Heading2"/>
        <w:rPr>
          <w:color w:val="000000" w:themeColor="text1"/>
          <w:lang w:val="en-GB"/>
        </w:rPr>
      </w:pPr>
      <w:bookmarkStart w:id="42" w:name="_Toc31286137"/>
      <w:bookmarkStart w:id="43" w:name="_Toc34407429"/>
      <w:bookmarkStart w:id="44" w:name="_Hlk31291008"/>
      <w:bookmarkEnd w:id="33"/>
      <w:r w:rsidRPr="00801BE7">
        <w:rPr>
          <w:color w:val="000000" w:themeColor="text1"/>
          <w:lang w:val="en-GB"/>
        </w:rPr>
        <w:t>Finance</w:t>
      </w:r>
      <w:bookmarkEnd w:id="42"/>
      <w:bookmarkEnd w:id="43"/>
      <w:r w:rsidRPr="00801BE7">
        <w:rPr>
          <w:color w:val="000000" w:themeColor="text1"/>
          <w:lang w:val="en-GB"/>
        </w:rPr>
        <w:t xml:space="preserve"> </w:t>
      </w:r>
    </w:p>
    <w:p w:rsidR="00DF386E" w:rsidRPr="00801BE7" w:rsidRDefault="00DF386E" w:rsidP="00DF386E">
      <w:pPr>
        <w:rPr>
          <w:b/>
          <w:color w:val="000000" w:themeColor="text1"/>
          <w:sz w:val="24"/>
        </w:rPr>
      </w:pPr>
      <w:r w:rsidRPr="00801BE7">
        <w:rPr>
          <w:b/>
          <w:color w:val="000000" w:themeColor="text1"/>
          <w:sz w:val="24"/>
        </w:rPr>
        <w:t xml:space="preserve">Research Income </w:t>
      </w:r>
    </w:p>
    <w:p w:rsidR="00DF386E" w:rsidRPr="00801BE7" w:rsidRDefault="00DF386E" w:rsidP="00DF386E">
      <w:pPr>
        <w:rPr>
          <w:color w:val="000000" w:themeColor="text1"/>
        </w:rPr>
      </w:pPr>
      <w:r w:rsidRPr="00801BE7">
        <w:rPr>
          <w:color w:val="000000" w:themeColor="text1"/>
        </w:rPr>
        <w:t xml:space="preserve">Over the last ten years, OHFT income generated from research activity has grown from just under £2m in FY10 to an FY20 budget of £11.7m. </w:t>
      </w:r>
    </w:p>
    <w:p w:rsidR="00D8784D" w:rsidRDefault="00D8784D" w:rsidP="00DF386E">
      <w:pPr>
        <w:rPr>
          <w:color w:val="000000" w:themeColor="text1"/>
        </w:rPr>
      </w:pPr>
      <w:r>
        <w:rPr>
          <w:color w:val="000000" w:themeColor="text1"/>
        </w:rPr>
        <w:t xml:space="preserve">Income is </w:t>
      </w:r>
      <w:r w:rsidR="00DF386E" w:rsidRPr="00801BE7">
        <w:rPr>
          <w:color w:val="000000" w:themeColor="text1"/>
        </w:rPr>
        <w:t xml:space="preserve">forecast </w:t>
      </w:r>
      <w:r>
        <w:rPr>
          <w:color w:val="000000" w:themeColor="text1"/>
        </w:rPr>
        <w:t xml:space="preserve">to drop </w:t>
      </w:r>
      <w:r w:rsidRPr="00801BE7">
        <w:rPr>
          <w:color w:val="000000" w:themeColor="text1"/>
        </w:rPr>
        <w:t>to £9.7m</w:t>
      </w:r>
      <w:r>
        <w:rPr>
          <w:color w:val="000000" w:themeColor="text1"/>
        </w:rPr>
        <w:t xml:space="preserve"> in FY22 due to a number of grants coming to an end.</w:t>
      </w:r>
    </w:p>
    <w:p w:rsidR="00DF386E" w:rsidRDefault="00DF386E" w:rsidP="00DF386E">
      <w:pPr>
        <w:jc w:val="left"/>
        <w:rPr>
          <w:noProof/>
        </w:rPr>
      </w:pPr>
    </w:p>
    <w:p w:rsidR="00C96C5B" w:rsidRPr="003744EB" w:rsidRDefault="00C96C5B" w:rsidP="00D8784D">
      <w:pPr>
        <w:jc w:val="center"/>
        <w:rPr>
          <w:color w:val="FF0000"/>
          <w:lang w:val="en-GB"/>
        </w:rPr>
      </w:pPr>
      <w:r>
        <w:rPr>
          <w:noProof/>
        </w:rPr>
        <w:lastRenderedPageBreak/>
        <w:drawing>
          <wp:inline distT="0" distB="0" distL="0" distR="0" wp14:anchorId="14AF476A" wp14:editId="500A3D3C">
            <wp:extent cx="4839067" cy="2885440"/>
            <wp:effectExtent l="0" t="0" r="0" b="10160"/>
            <wp:docPr id="1" name="Chart 1">
              <a:extLst xmlns:a="http://schemas.openxmlformats.org/drawingml/2006/main">
                <a:ext uri="{FF2B5EF4-FFF2-40B4-BE49-F238E27FC236}">
                  <a16:creationId xmlns:a16="http://schemas.microsoft.com/office/drawing/2014/main" id="{8EE8515E-346D-4E4D-B268-137C31FAFE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A79A1" w:rsidRDefault="000A79A1" w:rsidP="00DF386E">
      <w:pPr>
        <w:rPr>
          <w:b/>
          <w:color w:val="000000" w:themeColor="text1"/>
          <w:sz w:val="24"/>
        </w:rPr>
      </w:pPr>
    </w:p>
    <w:p w:rsidR="000A79A1" w:rsidRDefault="000A79A1" w:rsidP="00DF386E">
      <w:pPr>
        <w:rPr>
          <w:b/>
          <w:color w:val="000000" w:themeColor="text1"/>
          <w:sz w:val="24"/>
        </w:rPr>
      </w:pPr>
    </w:p>
    <w:p w:rsidR="000A79A1" w:rsidRDefault="000A79A1" w:rsidP="000A79A1">
      <w:pPr>
        <w:rPr>
          <w:b/>
          <w:color w:val="000000" w:themeColor="text1"/>
          <w:sz w:val="24"/>
        </w:rPr>
      </w:pPr>
      <w:r w:rsidRPr="00C60904">
        <w:rPr>
          <w:b/>
          <w:color w:val="000000" w:themeColor="text1"/>
          <w:sz w:val="24"/>
        </w:rPr>
        <w:t>Infrastructure and key award funding Timeframes</w:t>
      </w:r>
    </w:p>
    <w:tbl>
      <w:tblPr>
        <w:tblW w:w="9517" w:type="dxa"/>
        <w:tblLayout w:type="fixed"/>
        <w:tblLook w:val="04A0" w:firstRow="1" w:lastRow="0" w:firstColumn="1" w:lastColumn="0" w:noHBand="0" w:noVBand="1"/>
      </w:tblPr>
      <w:tblGrid>
        <w:gridCol w:w="3959"/>
        <w:gridCol w:w="2835"/>
        <w:gridCol w:w="907"/>
        <w:gridCol w:w="908"/>
        <w:gridCol w:w="908"/>
      </w:tblGrid>
      <w:tr w:rsidR="000A79A1" w:rsidRPr="000A79A1" w:rsidTr="00184321">
        <w:trPr>
          <w:trHeight w:val="264"/>
        </w:trPr>
        <w:tc>
          <w:tcPr>
            <w:tcW w:w="395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A79A1" w:rsidRPr="00D8784D" w:rsidRDefault="000A79A1" w:rsidP="006F795B">
            <w:pPr>
              <w:spacing w:before="0" w:after="0"/>
              <w:jc w:val="left"/>
              <w:rPr>
                <w:rFonts w:ascii="Arial" w:hAnsi="Arial" w:cs="Arial"/>
                <w:b/>
                <w:bCs/>
                <w:sz w:val="16"/>
                <w:szCs w:val="16"/>
                <w:lang w:val="en-GB" w:eastAsia="en-GB"/>
              </w:rPr>
            </w:pPr>
            <w:r w:rsidRPr="00D8784D">
              <w:rPr>
                <w:rFonts w:ascii="Arial" w:hAnsi="Arial" w:cs="Arial"/>
                <w:b/>
                <w:bCs/>
                <w:sz w:val="16"/>
                <w:szCs w:val="16"/>
                <w:lang w:val="en-GB" w:eastAsia="en-GB"/>
              </w:rPr>
              <w:t>Award</w:t>
            </w:r>
          </w:p>
        </w:tc>
        <w:tc>
          <w:tcPr>
            <w:tcW w:w="283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0A79A1" w:rsidRPr="00D8784D" w:rsidRDefault="000A79A1" w:rsidP="006F795B">
            <w:pPr>
              <w:spacing w:before="0" w:after="0"/>
              <w:jc w:val="left"/>
              <w:rPr>
                <w:rFonts w:ascii="Arial" w:hAnsi="Arial" w:cs="Arial"/>
                <w:b/>
                <w:bCs/>
                <w:sz w:val="16"/>
                <w:szCs w:val="16"/>
                <w:lang w:val="en-GB" w:eastAsia="en-GB"/>
              </w:rPr>
            </w:pPr>
            <w:r w:rsidRPr="00D8784D">
              <w:rPr>
                <w:rFonts w:ascii="Arial" w:hAnsi="Arial" w:cs="Arial"/>
                <w:b/>
                <w:bCs/>
                <w:sz w:val="16"/>
                <w:szCs w:val="16"/>
                <w:lang w:val="en-GB" w:eastAsia="en-GB"/>
              </w:rPr>
              <w:t>Director/PI</w:t>
            </w:r>
          </w:p>
        </w:tc>
        <w:tc>
          <w:tcPr>
            <w:tcW w:w="907" w:type="dxa"/>
            <w:tcBorders>
              <w:top w:val="single" w:sz="8" w:space="0" w:color="auto"/>
              <w:left w:val="nil"/>
              <w:bottom w:val="single" w:sz="4" w:space="0" w:color="auto"/>
              <w:right w:val="single" w:sz="4" w:space="0" w:color="auto"/>
            </w:tcBorders>
            <w:shd w:val="clear" w:color="auto" w:fill="auto"/>
            <w:noWrap/>
            <w:vAlign w:val="bottom"/>
            <w:hideMark/>
          </w:tcPr>
          <w:p w:rsidR="000A79A1" w:rsidRPr="00D8784D" w:rsidRDefault="000A79A1" w:rsidP="006F795B">
            <w:pPr>
              <w:spacing w:before="0" w:after="0"/>
              <w:jc w:val="center"/>
              <w:rPr>
                <w:rFonts w:ascii="Arial" w:hAnsi="Arial" w:cs="Arial"/>
                <w:b/>
                <w:bCs/>
                <w:sz w:val="16"/>
                <w:szCs w:val="16"/>
                <w:lang w:val="en-GB" w:eastAsia="en-GB"/>
              </w:rPr>
            </w:pPr>
            <w:r w:rsidRPr="00D8784D">
              <w:rPr>
                <w:rFonts w:ascii="Arial" w:hAnsi="Arial" w:cs="Arial"/>
                <w:b/>
                <w:bCs/>
                <w:sz w:val="16"/>
                <w:szCs w:val="16"/>
                <w:lang w:val="en-GB" w:eastAsia="en-GB"/>
              </w:rPr>
              <w:t>FY 20</w:t>
            </w:r>
          </w:p>
        </w:tc>
        <w:tc>
          <w:tcPr>
            <w:tcW w:w="908" w:type="dxa"/>
            <w:tcBorders>
              <w:top w:val="single" w:sz="8" w:space="0" w:color="auto"/>
              <w:left w:val="nil"/>
              <w:bottom w:val="single" w:sz="4" w:space="0" w:color="auto"/>
              <w:right w:val="single" w:sz="4" w:space="0" w:color="auto"/>
            </w:tcBorders>
            <w:shd w:val="clear" w:color="auto" w:fill="auto"/>
            <w:noWrap/>
            <w:vAlign w:val="bottom"/>
            <w:hideMark/>
          </w:tcPr>
          <w:p w:rsidR="000A79A1" w:rsidRPr="00D8784D" w:rsidRDefault="000A79A1" w:rsidP="006F795B">
            <w:pPr>
              <w:spacing w:before="0" w:after="0"/>
              <w:jc w:val="center"/>
              <w:rPr>
                <w:rFonts w:ascii="Arial" w:hAnsi="Arial" w:cs="Arial"/>
                <w:b/>
                <w:bCs/>
                <w:sz w:val="16"/>
                <w:szCs w:val="16"/>
                <w:lang w:val="en-GB" w:eastAsia="en-GB"/>
              </w:rPr>
            </w:pPr>
            <w:r w:rsidRPr="00D8784D">
              <w:rPr>
                <w:rFonts w:ascii="Arial" w:hAnsi="Arial" w:cs="Arial"/>
                <w:b/>
                <w:bCs/>
                <w:sz w:val="16"/>
                <w:szCs w:val="16"/>
                <w:lang w:val="en-GB" w:eastAsia="en-GB"/>
              </w:rPr>
              <w:t>FY21</w:t>
            </w:r>
          </w:p>
        </w:tc>
        <w:tc>
          <w:tcPr>
            <w:tcW w:w="908" w:type="dxa"/>
            <w:tcBorders>
              <w:top w:val="single" w:sz="8" w:space="0" w:color="auto"/>
              <w:left w:val="nil"/>
              <w:bottom w:val="single" w:sz="4" w:space="0" w:color="auto"/>
              <w:right w:val="single" w:sz="8" w:space="0" w:color="auto"/>
            </w:tcBorders>
            <w:shd w:val="clear" w:color="auto" w:fill="auto"/>
            <w:noWrap/>
            <w:vAlign w:val="bottom"/>
            <w:hideMark/>
          </w:tcPr>
          <w:p w:rsidR="000A79A1" w:rsidRPr="00D8784D" w:rsidRDefault="000A79A1" w:rsidP="006F795B">
            <w:pPr>
              <w:spacing w:before="0" w:after="0"/>
              <w:jc w:val="center"/>
              <w:rPr>
                <w:rFonts w:ascii="Arial" w:hAnsi="Arial" w:cs="Arial"/>
                <w:b/>
                <w:bCs/>
                <w:sz w:val="16"/>
                <w:szCs w:val="16"/>
                <w:lang w:val="en-GB" w:eastAsia="en-GB"/>
              </w:rPr>
            </w:pPr>
            <w:r w:rsidRPr="00D8784D">
              <w:rPr>
                <w:rFonts w:ascii="Arial" w:hAnsi="Arial" w:cs="Arial"/>
                <w:b/>
                <w:bCs/>
                <w:sz w:val="16"/>
                <w:szCs w:val="16"/>
                <w:lang w:val="en-GB" w:eastAsia="en-GB"/>
              </w:rPr>
              <w:t>FY22</w:t>
            </w:r>
          </w:p>
        </w:tc>
      </w:tr>
      <w:tr w:rsidR="000A79A1" w:rsidRPr="000A79A1" w:rsidTr="00184321">
        <w:trPr>
          <w:trHeight w:val="264"/>
        </w:trPr>
        <w:tc>
          <w:tcPr>
            <w:tcW w:w="395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A79A1" w:rsidRPr="00D8784D" w:rsidRDefault="000A79A1" w:rsidP="006F795B">
            <w:pPr>
              <w:spacing w:before="0" w:after="0"/>
              <w:jc w:val="left"/>
              <w:rPr>
                <w:rFonts w:ascii="Arial" w:hAnsi="Arial" w:cs="Arial"/>
                <w:b/>
                <w:bCs/>
                <w:sz w:val="16"/>
                <w:szCs w:val="16"/>
                <w:lang w:val="en-GB" w:eastAsia="en-GB"/>
              </w:rPr>
            </w:pPr>
            <w:r w:rsidRPr="00D8784D">
              <w:rPr>
                <w:rFonts w:ascii="Arial" w:hAnsi="Arial" w:cs="Arial"/>
                <w:b/>
                <w:bCs/>
                <w:sz w:val="16"/>
                <w:szCs w:val="16"/>
                <w:lang w:val="en-GB"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79A1" w:rsidRPr="00D8784D" w:rsidRDefault="000A79A1" w:rsidP="006F795B">
            <w:pPr>
              <w:spacing w:before="0" w:after="0"/>
              <w:jc w:val="left"/>
              <w:rPr>
                <w:rFonts w:ascii="Arial" w:hAnsi="Arial" w:cs="Arial"/>
                <w:b/>
                <w:bCs/>
                <w:sz w:val="16"/>
                <w:szCs w:val="16"/>
                <w:lang w:val="en-GB" w:eastAsia="en-GB"/>
              </w:rPr>
            </w:pPr>
            <w:r w:rsidRPr="00D8784D">
              <w:rPr>
                <w:rFonts w:ascii="Arial" w:hAnsi="Arial" w:cs="Arial"/>
                <w:b/>
                <w:bCs/>
                <w:sz w:val="16"/>
                <w:szCs w:val="16"/>
                <w:lang w:val="en-GB" w:eastAsia="en-GB"/>
              </w:rPr>
              <w:t> </w:t>
            </w: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rsidR="000A79A1" w:rsidRPr="00D8784D" w:rsidRDefault="000A79A1" w:rsidP="006F795B">
            <w:pPr>
              <w:spacing w:before="0" w:after="0"/>
              <w:jc w:val="center"/>
              <w:rPr>
                <w:rFonts w:ascii="Arial" w:hAnsi="Arial" w:cs="Arial"/>
                <w:b/>
                <w:bCs/>
                <w:sz w:val="16"/>
                <w:szCs w:val="16"/>
                <w:lang w:val="en-GB" w:eastAsia="en-GB"/>
              </w:rPr>
            </w:pPr>
            <w:r w:rsidRPr="00D8784D">
              <w:rPr>
                <w:rFonts w:ascii="Arial" w:hAnsi="Arial" w:cs="Arial"/>
                <w:b/>
                <w:bCs/>
                <w:sz w:val="16"/>
                <w:szCs w:val="16"/>
                <w:lang w:val="en-GB" w:eastAsia="en-GB"/>
              </w:rPr>
              <w:t>£'000's</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0A79A1" w:rsidRPr="00D8784D" w:rsidRDefault="000A79A1" w:rsidP="006F795B">
            <w:pPr>
              <w:spacing w:before="0" w:after="0"/>
              <w:jc w:val="center"/>
              <w:rPr>
                <w:rFonts w:ascii="Arial" w:hAnsi="Arial" w:cs="Arial"/>
                <w:b/>
                <w:bCs/>
                <w:sz w:val="16"/>
                <w:szCs w:val="16"/>
                <w:lang w:val="en-GB" w:eastAsia="en-GB"/>
              </w:rPr>
            </w:pPr>
            <w:r w:rsidRPr="00D8784D">
              <w:rPr>
                <w:rFonts w:ascii="Arial" w:hAnsi="Arial" w:cs="Arial"/>
                <w:b/>
                <w:bCs/>
                <w:sz w:val="16"/>
                <w:szCs w:val="16"/>
                <w:lang w:val="en-GB" w:eastAsia="en-GB"/>
              </w:rPr>
              <w:t>£'000's</w:t>
            </w:r>
          </w:p>
        </w:tc>
        <w:tc>
          <w:tcPr>
            <w:tcW w:w="908" w:type="dxa"/>
            <w:tcBorders>
              <w:top w:val="single" w:sz="4" w:space="0" w:color="auto"/>
              <w:left w:val="nil"/>
              <w:bottom w:val="single" w:sz="4" w:space="0" w:color="auto"/>
              <w:right w:val="single" w:sz="8" w:space="0" w:color="auto"/>
            </w:tcBorders>
            <w:shd w:val="clear" w:color="auto" w:fill="auto"/>
            <w:noWrap/>
            <w:vAlign w:val="bottom"/>
            <w:hideMark/>
          </w:tcPr>
          <w:p w:rsidR="000A79A1" w:rsidRPr="00D8784D" w:rsidRDefault="000A79A1" w:rsidP="006F795B">
            <w:pPr>
              <w:spacing w:before="0" w:after="0"/>
              <w:jc w:val="center"/>
              <w:rPr>
                <w:rFonts w:ascii="Arial" w:hAnsi="Arial" w:cs="Arial"/>
                <w:b/>
                <w:bCs/>
                <w:sz w:val="16"/>
                <w:szCs w:val="16"/>
                <w:lang w:val="en-GB" w:eastAsia="en-GB"/>
              </w:rPr>
            </w:pPr>
            <w:r w:rsidRPr="00D8784D">
              <w:rPr>
                <w:rFonts w:ascii="Arial" w:hAnsi="Arial" w:cs="Arial"/>
                <w:b/>
                <w:bCs/>
                <w:sz w:val="16"/>
                <w:szCs w:val="16"/>
                <w:lang w:val="en-GB" w:eastAsia="en-GB"/>
              </w:rPr>
              <w:t>£'000's</w:t>
            </w:r>
          </w:p>
        </w:tc>
      </w:tr>
      <w:tr w:rsidR="000A79A1" w:rsidRPr="000A79A1" w:rsidTr="00184321">
        <w:trPr>
          <w:trHeight w:val="528"/>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A79A1" w:rsidRPr="00D8784D" w:rsidRDefault="000A79A1" w:rsidP="006F795B">
            <w:pPr>
              <w:spacing w:before="0" w:after="0"/>
              <w:jc w:val="left"/>
              <w:rPr>
                <w:rFonts w:ascii="Arial" w:hAnsi="Arial" w:cs="Arial"/>
                <w:sz w:val="16"/>
                <w:szCs w:val="16"/>
                <w:lang w:val="en-GB" w:eastAsia="en-GB"/>
              </w:rPr>
            </w:pPr>
            <w:r w:rsidRPr="00D8784D">
              <w:rPr>
                <w:rFonts w:ascii="Arial" w:hAnsi="Arial" w:cs="Arial"/>
                <w:sz w:val="16"/>
                <w:szCs w:val="16"/>
                <w:lang w:val="en-GB" w:eastAsia="en-GB"/>
              </w:rPr>
              <w:t>Biomedical Research Centre (BRC)</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0A79A1" w:rsidRPr="00D8784D" w:rsidRDefault="000A79A1" w:rsidP="006F795B">
            <w:pPr>
              <w:spacing w:before="0" w:after="0"/>
              <w:jc w:val="left"/>
              <w:rPr>
                <w:rFonts w:ascii="Arial" w:hAnsi="Arial" w:cs="Arial"/>
                <w:sz w:val="16"/>
                <w:szCs w:val="16"/>
                <w:lang w:val="en-GB" w:eastAsia="en-GB"/>
              </w:rPr>
            </w:pPr>
            <w:r w:rsidRPr="00D8784D">
              <w:rPr>
                <w:rFonts w:ascii="Arial" w:hAnsi="Arial" w:cs="Arial"/>
                <w:sz w:val="16"/>
                <w:szCs w:val="16"/>
                <w:lang w:val="en-GB" w:eastAsia="en-GB"/>
              </w:rPr>
              <w:t>Prof John Geddes (Dept of Psychiatry)</w:t>
            </w:r>
          </w:p>
        </w:tc>
        <w:tc>
          <w:tcPr>
            <w:tcW w:w="907" w:type="dxa"/>
            <w:tcBorders>
              <w:top w:val="nil"/>
              <w:left w:val="nil"/>
              <w:bottom w:val="single" w:sz="4" w:space="0" w:color="auto"/>
              <w:right w:val="single" w:sz="4" w:space="0" w:color="auto"/>
            </w:tcBorders>
            <w:shd w:val="clear" w:color="auto" w:fill="auto"/>
            <w:noWrap/>
            <w:vAlign w:val="center"/>
            <w:hideMark/>
          </w:tcPr>
          <w:p w:rsidR="000A79A1" w:rsidRPr="00D8784D" w:rsidRDefault="000A79A1" w:rsidP="006F795B">
            <w:pPr>
              <w:spacing w:before="0" w:after="0"/>
              <w:jc w:val="center"/>
              <w:rPr>
                <w:rFonts w:ascii="Arial" w:hAnsi="Arial" w:cs="Arial"/>
                <w:sz w:val="16"/>
                <w:szCs w:val="16"/>
                <w:lang w:val="en-GB" w:eastAsia="en-GB"/>
              </w:rPr>
            </w:pPr>
            <w:r w:rsidRPr="00D8784D">
              <w:rPr>
                <w:rFonts w:ascii="Arial" w:hAnsi="Arial" w:cs="Arial"/>
                <w:sz w:val="16"/>
                <w:szCs w:val="16"/>
                <w:lang w:val="en-GB" w:eastAsia="en-GB"/>
              </w:rPr>
              <w:t xml:space="preserve">         2,850 </w:t>
            </w:r>
          </w:p>
        </w:tc>
        <w:tc>
          <w:tcPr>
            <w:tcW w:w="908" w:type="dxa"/>
            <w:tcBorders>
              <w:top w:val="nil"/>
              <w:left w:val="nil"/>
              <w:bottom w:val="single" w:sz="4" w:space="0" w:color="auto"/>
              <w:right w:val="single" w:sz="4" w:space="0" w:color="auto"/>
            </w:tcBorders>
            <w:shd w:val="clear" w:color="auto" w:fill="auto"/>
            <w:noWrap/>
            <w:vAlign w:val="center"/>
            <w:hideMark/>
          </w:tcPr>
          <w:p w:rsidR="000A79A1" w:rsidRPr="00D8784D" w:rsidRDefault="000A79A1" w:rsidP="006F795B">
            <w:pPr>
              <w:spacing w:before="0" w:after="0"/>
              <w:jc w:val="center"/>
              <w:rPr>
                <w:rFonts w:ascii="Arial" w:hAnsi="Arial" w:cs="Arial"/>
                <w:sz w:val="16"/>
                <w:szCs w:val="16"/>
                <w:lang w:val="en-GB" w:eastAsia="en-GB"/>
              </w:rPr>
            </w:pPr>
            <w:r w:rsidRPr="00D8784D">
              <w:rPr>
                <w:rFonts w:ascii="Arial" w:hAnsi="Arial" w:cs="Arial"/>
                <w:sz w:val="16"/>
                <w:szCs w:val="16"/>
                <w:lang w:val="en-GB" w:eastAsia="en-GB"/>
              </w:rPr>
              <w:t xml:space="preserve">        2,816 </w:t>
            </w:r>
          </w:p>
        </w:tc>
        <w:tc>
          <w:tcPr>
            <w:tcW w:w="908" w:type="dxa"/>
            <w:tcBorders>
              <w:top w:val="nil"/>
              <w:left w:val="nil"/>
              <w:bottom w:val="single" w:sz="4" w:space="0" w:color="auto"/>
              <w:right w:val="single" w:sz="8" w:space="0" w:color="auto"/>
            </w:tcBorders>
            <w:shd w:val="clear" w:color="auto" w:fill="auto"/>
            <w:noWrap/>
            <w:vAlign w:val="center"/>
            <w:hideMark/>
          </w:tcPr>
          <w:p w:rsidR="000A79A1" w:rsidRPr="00D8784D" w:rsidRDefault="000A79A1" w:rsidP="006F795B">
            <w:pPr>
              <w:spacing w:before="0" w:after="0"/>
              <w:jc w:val="center"/>
              <w:rPr>
                <w:rFonts w:ascii="Arial" w:hAnsi="Arial" w:cs="Arial"/>
                <w:sz w:val="16"/>
                <w:szCs w:val="16"/>
                <w:lang w:val="en-GB" w:eastAsia="en-GB"/>
              </w:rPr>
            </w:pPr>
            <w:r w:rsidRPr="00D8784D">
              <w:rPr>
                <w:rFonts w:ascii="Arial" w:hAnsi="Arial" w:cs="Arial"/>
                <w:sz w:val="16"/>
                <w:szCs w:val="16"/>
                <w:lang w:val="en-GB" w:eastAsia="en-GB"/>
              </w:rPr>
              <w:t xml:space="preserve">     2,818 </w:t>
            </w:r>
          </w:p>
        </w:tc>
      </w:tr>
      <w:tr w:rsidR="000A79A1" w:rsidRPr="000A79A1" w:rsidTr="00184321">
        <w:trPr>
          <w:trHeight w:val="528"/>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A79A1" w:rsidRPr="00D8784D" w:rsidRDefault="000A79A1" w:rsidP="006F795B">
            <w:pPr>
              <w:spacing w:before="0" w:after="0"/>
              <w:jc w:val="left"/>
              <w:rPr>
                <w:rFonts w:ascii="Arial" w:hAnsi="Arial" w:cs="Arial"/>
                <w:sz w:val="16"/>
                <w:szCs w:val="16"/>
                <w:lang w:val="en-GB" w:eastAsia="en-GB"/>
              </w:rPr>
            </w:pPr>
            <w:r w:rsidRPr="00D8784D">
              <w:rPr>
                <w:rFonts w:ascii="Arial" w:hAnsi="Arial" w:cs="Arial"/>
                <w:sz w:val="16"/>
                <w:szCs w:val="16"/>
                <w:lang w:val="en-GB" w:eastAsia="en-GB"/>
              </w:rPr>
              <w:t>Clinical Research Facility (CRF)</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0A79A1" w:rsidRPr="00D8784D" w:rsidRDefault="000A79A1" w:rsidP="006F795B">
            <w:pPr>
              <w:spacing w:before="0" w:after="0"/>
              <w:jc w:val="left"/>
              <w:rPr>
                <w:rFonts w:ascii="Arial" w:hAnsi="Arial" w:cs="Arial"/>
                <w:sz w:val="16"/>
                <w:szCs w:val="16"/>
                <w:lang w:val="en-GB" w:eastAsia="en-GB"/>
              </w:rPr>
            </w:pPr>
            <w:r w:rsidRPr="00D8784D">
              <w:rPr>
                <w:rFonts w:ascii="Arial" w:hAnsi="Arial" w:cs="Arial"/>
                <w:sz w:val="16"/>
                <w:szCs w:val="16"/>
                <w:lang w:val="en-GB" w:eastAsia="en-GB"/>
              </w:rPr>
              <w:t>Prof Andrea Cipriani (Dept of Psychiatry)</w:t>
            </w:r>
          </w:p>
        </w:tc>
        <w:tc>
          <w:tcPr>
            <w:tcW w:w="907" w:type="dxa"/>
            <w:tcBorders>
              <w:top w:val="nil"/>
              <w:left w:val="nil"/>
              <w:bottom w:val="single" w:sz="4" w:space="0" w:color="auto"/>
              <w:right w:val="single" w:sz="4" w:space="0" w:color="auto"/>
            </w:tcBorders>
            <w:shd w:val="clear" w:color="auto" w:fill="auto"/>
            <w:noWrap/>
            <w:vAlign w:val="center"/>
            <w:hideMark/>
          </w:tcPr>
          <w:p w:rsidR="000A79A1" w:rsidRPr="00D8784D" w:rsidRDefault="000A79A1" w:rsidP="006F795B">
            <w:pPr>
              <w:spacing w:before="0" w:after="0"/>
              <w:jc w:val="center"/>
              <w:rPr>
                <w:rFonts w:ascii="Arial" w:hAnsi="Arial" w:cs="Arial"/>
                <w:sz w:val="16"/>
                <w:szCs w:val="16"/>
                <w:lang w:val="en-GB" w:eastAsia="en-GB"/>
              </w:rPr>
            </w:pPr>
            <w:r w:rsidRPr="00D8784D">
              <w:rPr>
                <w:rFonts w:ascii="Arial" w:hAnsi="Arial" w:cs="Arial"/>
                <w:sz w:val="16"/>
                <w:szCs w:val="16"/>
                <w:lang w:val="en-GB" w:eastAsia="en-GB"/>
              </w:rPr>
              <w:t xml:space="preserve">            748 </w:t>
            </w:r>
          </w:p>
        </w:tc>
        <w:tc>
          <w:tcPr>
            <w:tcW w:w="908" w:type="dxa"/>
            <w:tcBorders>
              <w:top w:val="nil"/>
              <w:left w:val="nil"/>
              <w:bottom w:val="single" w:sz="4" w:space="0" w:color="auto"/>
              <w:right w:val="single" w:sz="4" w:space="0" w:color="auto"/>
            </w:tcBorders>
            <w:shd w:val="clear" w:color="auto" w:fill="auto"/>
            <w:noWrap/>
            <w:vAlign w:val="center"/>
            <w:hideMark/>
          </w:tcPr>
          <w:p w:rsidR="000A79A1" w:rsidRPr="00D8784D" w:rsidRDefault="000A79A1" w:rsidP="006F795B">
            <w:pPr>
              <w:spacing w:before="0" w:after="0"/>
              <w:jc w:val="center"/>
              <w:rPr>
                <w:rFonts w:ascii="Arial" w:hAnsi="Arial" w:cs="Arial"/>
                <w:sz w:val="16"/>
                <w:szCs w:val="16"/>
                <w:lang w:val="en-GB" w:eastAsia="en-GB"/>
              </w:rPr>
            </w:pPr>
            <w:r w:rsidRPr="00D8784D">
              <w:rPr>
                <w:rFonts w:ascii="Arial" w:hAnsi="Arial" w:cs="Arial"/>
                <w:sz w:val="16"/>
                <w:szCs w:val="16"/>
                <w:lang w:val="en-GB" w:eastAsia="en-GB"/>
              </w:rPr>
              <w:t xml:space="preserve">           751 </w:t>
            </w:r>
          </w:p>
        </w:tc>
        <w:tc>
          <w:tcPr>
            <w:tcW w:w="908" w:type="dxa"/>
            <w:tcBorders>
              <w:top w:val="nil"/>
              <w:left w:val="nil"/>
              <w:bottom w:val="single" w:sz="4" w:space="0" w:color="auto"/>
              <w:right w:val="single" w:sz="8" w:space="0" w:color="auto"/>
            </w:tcBorders>
            <w:shd w:val="clear" w:color="auto" w:fill="auto"/>
            <w:noWrap/>
            <w:vAlign w:val="center"/>
            <w:hideMark/>
          </w:tcPr>
          <w:p w:rsidR="000A79A1" w:rsidRPr="00D8784D" w:rsidRDefault="000A79A1" w:rsidP="006F795B">
            <w:pPr>
              <w:spacing w:before="0" w:after="0"/>
              <w:jc w:val="center"/>
              <w:rPr>
                <w:rFonts w:ascii="Arial" w:hAnsi="Arial" w:cs="Arial"/>
                <w:sz w:val="16"/>
                <w:szCs w:val="16"/>
                <w:lang w:val="en-GB" w:eastAsia="en-GB"/>
              </w:rPr>
            </w:pPr>
            <w:r w:rsidRPr="00D8784D">
              <w:rPr>
                <w:rFonts w:ascii="Arial" w:hAnsi="Arial" w:cs="Arial"/>
                <w:sz w:val="16"/>
                <w:szCs w:val="16"/>
                <w:lang w:val="en-GB" w:eastAsia="en-GB"/>
              </w:rPr>
              <w:t xml:space="preserve">        755 </w:t>
            </w:r>
          </w:p>
        </w:tc>
      </w:tr>
      <w:tr w:rsidR="000A79A1" w:rsidRPr="000A79A1" w:rsidTr="00184321">
        <w:trPr>
          <w:trHeight w:val="528"/>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A79A1" w:rsidRPr="00D8784D" w:rsidRDefault="000A79A1" w:rsidP="006F795B">
            <w:pPr>
              <w:spacing w:before="0" w:after="0"/>
              <w:jc w:val="left"/>
              <w:rPr>
                <w:rFonts w:ascii="Arial" w:hAnsi="Arial" w:cs="Arial"/>
                <w:sz w:val="16"/>
                <w:szCs w:val="16"/>
                <w:lang w:val="en-GB" w:eastAsia="en-GB"/>
              </w:rPr>
            </w:pPr>
            <w:r w:rsidRPr="00D8784D">
              <w:rPr>
                <w:rFonts w:ascii="Arial" w:hAnsi="Arial" w:cs="Arial"/>
                <w:sz w:val="16"/>
                <w:szCs w:val="16"/>
                <w:lang w:val="en-GB" w:eastAsia="en-GB"/>
              </w:rPr>
              <w:t>Applied Research Collaborations (ARC)</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0A79A1" w:rsidRPr="00D8784D" w:rsidRDefault="000A79A1" w:rsidP="006F795B">
            <w:pPr>
              <w:spacing w:before="0" w:after="0"/>
              <w:jc w:val="left"/>
              <w:rPr>
                <w:rFonts w:ascii="Arial" w:hAnsi="Arial" w:cs="Arial"/>
                <w:sz w:val="16"/>
                <w:szCs w:val="16"/>
                <w:lang w:val="en-GB" w:eastAsia="en-GB"/>
              </w:rPr>
            </w:pPr>
            <w:r w:rsidRPr="00D8784D">
              <w:rPr>
                <w:rFonts w:ascii="Arial" w:hAnsi="Arial" w:cs="Arial"/>
                <w:sz w:val="16"/>
                <w:szCs w:val="16"/>
                <w:lang w:val="en-GB" w:eastAsia="en-GB"/>
              </w:rPr>
              <w:t>Prof Richard Hobbs (Dept of Primary Care)</w:t>
            </w:r>
          </w:p>
        </w:tc>
        <w:tc>
          <w:tcPr>
            <w:tcW w:w="907" w:type="dxa"/>
            <w:tcBorders>
              <w:top w:val="nil"/>
              <w:left w:val="nil"/>
              <w:bottom w:val="single" w:sz="4" w:space="0" w:color="auto"/>
              <w:right w:val="single" w:sz="4" w:space="0" w:color="auto"/>
            </w:tcBorders>
            <w:shd w:val="clear" w:color="auto" w:fill="auto"/>
            <w:noWrap/>
            <w:vAlign w:val="center"/>
            <w:hideMark/>
          </w:tcPr>
          <w:p w:rsidR="000A79A1" w:rsidRPr="00D8784D" w:rsidRDefault="000A79A1" w:rsidP="006F795B">
            <w:pPr>
              <w:spacing w:before="0" w:after="0"/>
              <w:jc w:val="center"/>
              <w:rPr>
                <w:rFonts w:ascii="Arial" w:hAnsi="Arial" w:cs="Arial"/>
                <w:sz w:val="16"/>
                <w:szCs w:val="16"/>
                <w:lang w:val="en-GB" w:eastAsia="en-GB"/>
              </w:rPr>
            </w:pPr>
            <w:r w:rsidRPr="00D8784D">
              <w:rPr>
                <w:rFonts w:ascii="Arial" w:hAnsi="Arial" w:cs="Arial"/>
                <w:sz w:val="16"/>
                <w:szCs w:val="16"/>
                <w:lang w:val="en-GB" w:eastAsia="en-GB"/>
              </w:rPr>
              <w:t xml:space="preserve">            824 </w:t>
            </w:r>
          </w:p>
        </w:tc>
        <w:tc>
          <w:tcPr>
            <w:tcW w:w="908" w:type="dxa"/>
            <w:tcBorders>
              <w:top w:val="nil"/>
              <w:left w:val="nil"/>
              <w:bottom w:val="single" w:sz="4" w:space="0" w:color="auto"/>
              <w:right w:val="single" w:sz="4" w:space="0" w:color="auto"/>
            </w:tcBorders>
            <w:shd w:val="clear" w:color="auto" w:fill="auto"/>
            <w:noWrap/>
            <w:vAlign w:val="center"/>
            <w:hideMark/>
          </w:tcPr>
          <w:p w:rsidR="000A79A1" w:rsidRPr="00D8784D" w:rsidRDefault="000A79A1" w:rsidP="006F795B">
            <w:pPr>
              <w:spacing w:before="0" w:after="0"/>
              <w:jc w:val="center"/>
              <w:rPr>
                <w:rFonts w:ascii="Arial" w:hAnsi="Arial" w:cs="Arial"/>
                <w:sz w:val="16"/>
                <w:szCs w:val="16"/>
                <w:lang w:val="en-GB" w:eastAsia="en-GB"/>
              </w:rPr>
            </w:pPr>
            <w:r w:rsidRPr="00D8784D">
              <w:rPr>
                <w:rFonts w:ascii="Arial" w:hAnsi="Arial" w:cs="Arial"/>
                <w:sz w:val="16"/>
                <w:szCs w:val="16"/>
                <w:lang w:val="en-GB" w:eastAsia="en-GB"/>
              </w:rPr>
              <w:t xml:space="preserve">        1,647 </w:t>
            </w:r>
          </w:p>
        </w:tc>
        <w:tc>
          <w:tcPr>
            <w:tcW w:w="908" w:type="dxa"/>
            <w:tcBorders>
              <w:top w:val="nil"/>
              <w:left w:val="nil"/>
              <w:bottom w:val="single" w:sz="4" w:space="0" w:color="auto"/>
              <w:right w:val="single" w:sz="8" w:space="0" w:color="auto"/>
            </w:tcBorders>
            <w:shd w:val="clear" w:color="auto" w:fill="auto"/>
            <w:noWrap/>
            <w:vAlign w:val="center"/>
            <w:hideMark/>
          </w:tcPr>
          <w:p w:rsidR="000A79A1" w:rsidRPr="00D8784D" w:rsidRDefault="000A79A1" w:rsidP="006F795B">
            <w:pPr>
              <w:spacing w:before="0" w:after="0"/>
              <w:jc w:val="center"/>
              <w:rPr>
                <w:rFonts w:ascii="Arial" w:hAnsi="Arial" w:cs="Arial"/>
                <w:sz w:val="16"/>
                <w:szCs w:val="16"/>
                <w:lang w:val="en-GB" w:eastAsia="en-GB"/>
              </w:rPr>
            </w:pPr>
            <w:r w:rsidRPr="00D8784D">
              <w:rPr>
                <w:rFonts w:ascii="Arial" w:hAnsi="Arial" w:cs="Arial"/>
                <w:sz w:val="16"/>
                <w:szCs w:val="16"/>
                <w:lang w:val="en-GB" w:eastAsia="en-GB"/>
              </w:rPr>
              <w:t xml:space="preserve">     1,647 </w:t>
            </w:r>
          </w:p>
        </w:tc>
      </w:tr>
      <w:tr w:rsidR="000A79A1" w:rsidRPr="000A79A1" w:rsidTr="00184321">
        <w:trPr>
          <w:trHeight w:val="528"/>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A79A1" w:rsidRPr="00D8784D" w:rsidRDefault="000A79A1" w:rsidP="006F795B">
            <w:pPr>
              <w:spacing w:before="0" w:after="0"/>
              <w:jc w:val="left"/>
              <w:rPr>
                <w:rFonts w:ascii="Arial" w:hAnsi="Arial" w:cs="Arial"/>
                <w:sz w:val="16"/>
                <w:szCs w:val="16"/>
                <w:lang w:val="en-GB" w:eastAsia="en-GB"/>
              </w:rPr>
            </w:pPr>
            <w:proofErr w:type="spellStart"/>
            <w:r w:rsidRPr="00D8784D">
              <w:rPr>
                <w:rFonts w:ascii="Arial" w:hAnsi="Arial" w:cs="Arial"/>
                <w:sz w:val="16"/>
                <w:szCs w:val="16"/>
                <w:lang w:val="en-GB" w:eastAsia="en-GB"/>
              </w:rPr>
              <w:t>Medtech</w:t>
            </w:r>
            <w:proofErr w:type="spellEnd"/>
            <w:r w:rsidRPr="00D8784D">
              <w:rPr>
                <w:rFonts w:ascii="Arial" w:hAnsi="Arial" w:cs="Arial"/>
                <w:sz w:val="16"/>
                <w:szCs w:val="16"/>
                <w:lang w:val="en-GB" w:eastAsia="en-GB"/>
              </w:rPr>
              <w:t xml:space="preserve"> and In Vitro diagnostic Co-operative (MIC)</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0A79A1" w:rsidRPr="00D8784D" w:rsidRDefault="000A79A1" w:rsidP="006F795B">
            <w:pPr>
              <w:spacing w:before="0" w:after="0"/>
              <w:jc w:val="left"/>
              <w:rPr>
                <w:rFonts w:ascii="Arial" w:hAnsi="Arial" w:cs="Arial"/>
                <w:sz w:val="16"/>
                <w:szCs w:val="16"/>
                <w:lang w:val="en-GB" w:eastAsia="en-GB"/>
              </w:rPr>
            </w:pPr>
            <w:r w:rsidRPr="00D8784D">
              <w:rPr>
                <w:rFonts w:ascii="Arial" w:hAnsi="Arial" w:cs="Arial"/>
                <w:sz w:val="16"/>
                <w:szCs w:val="16"/>
                <w:lang w:val="en-GB" w:eastAsia="en-GB"/>
              </w:rPr>
              <w:t>Prof Christopher Butler (Dept of Primary Care)</w:t>
            </w:r>
          </w:p>
        </w:tc>
        <w:tc>
          <w:tcPr>
            <w:tcW w:w="907" w:type="dxa"/>
            <w:tcBorders>
              <w:top w:val="nil"/>
              <w:left w:val="nil"/>
              <w:bottom w:val="single" w:sz="4" w:space="0" w:color="auto"/>
              <w:right w:val="single" w:sz="4" w:space="0" w:color="auto"/>
            </w:tcBorders>
            <w:shd w:val="clear" w:color="auto" w:fill="auto"/>
            <w:noWrap/>
            <w:vAlign w:val="center"/>
            <w:hideMark/>
          </w:tcPr>
          <w:p w:rsidR="000A79A1" w:rsidRPr="00D8784D" w:rsidRDefault="000A79A1" w:rsidP="006F795B">
            <w:pPr>
              <w:spacing w:before="0" w:after="0"/>
              <w:jc w:val="center"/>
              <w:rPr>
                <w:rFonts w:ascii="Arial" w:hAnsi="Arial" w:cs="Arial"/>
                <w:sz w:val="16"/>
                <w:szCs w:val="16"/>
                <w:lang w:val="en-GB" w:eastAsia="en-GB"/>
              </w:rPr>
            </w:pPr>
            <w:r w:rsidRPr="00D8784D">
              <w:rPr>
                <w:rFonts w:ascii="Arial" w:hAnsi="Arial" w:cs="Arial"/>
                <w:sz w:val="16"/>
                <w:szCs w:val="16"/>
                <w:lang w:val="en-GB" w:eastAsia="en-GB"/>
              </w:rPr>
              <w:t xml:space="preserve">            249 </w:t>
            </w:r>
          </w:p>
        </w:tc>
        <w:tc>
          <w:tcPr>
            <w:tcW w:w="908" w:type="dxa"/>
            <w:tcBorders>
              <w:top w:val="nil"/>
              <w:left w:val="nil"/>
              <w:bottom w:val="single" w:sz="4" w:space="0" w:color="auto"/>
              <w:right w:val="single" w:sz="4" w:space="0" w:color="auto"/>
            </w:tcBorders>
            <w:shd w:val="clear" w:color="auto" w:fill="auto"/>
            <w:noWrap/>
            <w:vAlign w:val="center"/>
            <w:hideMark/>
          </w:tcPr>
          <w:p w:rsidR="000A79A1" w:rsidRPr="00D8784D" w:rsidRDefault="000A79A1" w:rsidP="006F795B">
            <w:pPr>
              <w:spacing w:before="0" w:after="0"/>
              <w:jc w:val="center"/>
              <w:rPr>
                <w:rFonts w:ascii="Arial" w:hAnsi="Arial" w:cs="Arial"/>
                <w:sz w:val="16"/>
                <w:szCs w:val="16"/>
                <w:lang w:val="en-GB" w:eastAsia="en-GB"/>
              </w:rPr>
            </w:pPr>
            <w:r w:rsidRPr="00D8784D">
              <w:rPr>
                <w:rFonts w:ascii="Arial" w:hAnsi="Arial" w:cs="Arial"/>
                <w:sz w:val="16"/>
                <w:szCs w:val="16"/>
                <w:lang w:val="en-GB" w:eastAsia="en-GB"/>
              </w:rPr>
              <w:t xml:space="preserve">           249 </w:t>
            </w:r>
          </w:p>
        </w:tc>
        <w:tc>
          <w:tcPr>
            <w:tcW w:w="908" w:type="dxa"/>
            <w:tcBorders>
              <w:top w:val="nil"/>
              <w:left w:val="nil"/>
              <w:bottom w:val="single" w:sz="4" w:space="0" w:color="auto"/>
              <w:right w:val="single" w:sz="8" w:space="0" w:color="auto"/>
            </w:tcBorders>
            <w:shd w:val="clear" w:color="auto" w:fill="auto"/>
            <w:noWrap/>
            <w:vAlign w:val="center"/>
            <w:hideMark/>
          </w:tcPr>
          <w:p w:rsidR="000A79A1" w:rsidRPr="00D8784D" w:rsidRDefault="000A79A1" w:rsidP="006F795B">
            <w:pPr>
              <w:spacing w:before="0" w:after="0"/>
              <w:jc w:val="center"/>
              <w:rPr>
                <w:rFonts w:ascii="Arial" w:hAnsi="Arial" w:cs="Arial"/>
                <w:sz w:val="16"/>
                <w:szCs w:val="16"/>
                <w:lang w:val="en-GB" w:eastAsia="en-GB"/>
              </w:rPr>
            </w:pPr>
            <w:r w:rsidRPr="00D8784D">
              <w:rPr>
                <w:rFonts w:ascii="Arial" w:hAnsi="Arial" w:cs="Arial"/>
                <w:sz w:val="16"/>
                <w:szCs w:val="16"/>
                <w:lang w:val="en-GB" w:eastAsia="en-GB"/>
              </w:rPr>
              <w:t xml:space="preserve">        249 </w:t>
            </w:r>
          </w:p>
        </w:tc>
      </w:tr>
      <w:tr w:rsidR="000A79A1" w:rsidRPr="000A79A1" w:rsidTr="00184321">
        <w:trPr>
          <w:trHeight w:val="528"/>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A79A1" w:rsidRPr="00D8784D" w:rsidRDefault="000A79A1" w:rsidP="006F795B">
            <w:pPr>
              <w:spacing w:before="0" w:after="0"/>
              <w:jc w:val="left"/>
              <w:rPr>
                <w:rFonts w:ascii="Arial" w:hAnsi="Arial" w:cs="Arial"/>
                <w:sz w:val="16"/>
                <w:szCs w:val="16"/>
                <w:lang w:val="en-GB" w:eastAsia="en-GB"/>
              </w:rPr>
            </w:pPr>
            <w:r w:rsidRPr="00D8784D">
              <w:rPr>
                <w:rFonts w:ascii="Arial" w:hAnsi="Arial" w:cs="Arial"/>
                <w:sz w:val="16"/>
                <w:szCs w:val="16"/>
                <w:lang w:val="en-GB" w:eastAsia="en-GB"/>
              </w:rPr>
              <w:t>Collaboration in Leadership in Applied Health Research &amp; Care (CLAHRC)</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0A79A1" w:rsidRPr="00D8784D" w:rsidRDefault="000A79A1" w:rsidP="006F795B">
            <w:pPr>
              <w:spacing w:before="0" w:after="0"/>
              <w:jc w:val="left"/>
              <w:rPr>
                <w:rFonts w:ascii="Arial" w:hAnsi="Arial" w:cs="Arial"/>
                <w:sz w:val="16"/>
                <w:szCs w:val="16"/>
                <w:lang w:val="en-GB" w:eastAsia="en-GB"/>
              </w:rPr>
            </w:pPr>
            <w:r w:rsidRPr="00D8784D">
              <w:rPr>
                <w:rFonts w:ascii="Arial" w:hAnsi="Arial" w:cs="Arial"/>
                <w:sz w:val="16"/>
                <w:szCs w:val="16"/>
                <w:lang w:val="en-GB" w:eastAsia="en-GB"/>
              </w:rPr>
              <w:t>Prof Richard Hobbs (Dept of Primary Care)</w:t>
            </w:r>
          </w:p>
        </w:tc>
        <w:tc>
          <w:tcPr>
            <w:tcW w:w="907" w:type="dxa"/>
            <w:tcBorders>
              <w:top w:val="nil"/>
              <w:left w:val="nil"/>
              <w:bottom w:val="single" w:sz="4" w:space="0" w:color="auto"/>
              <w:right w:val="single" w:sz="4" w:space="0" w:color="auto"/>
            </w:tcBorders>
            <w:shd w:val="clear" w:color="auto" w:fill="auto"/>
            <w:noWrap/>
            <w:vAlign w:val="center"/>
            <w:hideMark/>
          </w:tcPr>
          <w:p w:rsidR="000A79A1" w:rsidRPr="00D8784D" w:rsidRDefault="000A79A1" w:rsidP="006F795B">
            <w:pPr>
              <w:spacing w:before="0" w:after="0"/>
              <w:jc w:val="center"/>
              <w:rPr>
                <w:rFonts w:ascii="Arial" w:hAnsi="Arial" w:cs="Arial"/>
                <w:sz w:val="16"/>
                <w:szCs w:val="16"/>
                <w:lang w:val="en-GB" w:eastAsia="en-GB"/>
              </w:rPr>
            </w:pPr>
            <w:r w:rsidRPr="00D8784D">
              <w:rPr>
                <w:rFonts w:ascii="Arial" w:hAnsi="Arial" w:cs="Arial"/>
                <w:sz w:val="16"/>
                <w:szCs w:val="16"/>
                <w:lang w:val="en-GB" w:eastAsia="en-GB"/>
              </w:rPr>
              <w:t xml:space="preserve">         1,000 </w:t>
            </w:r>
          </w:p>
        </w:tc>
        <w:tc>
          <w:tcPr>
            <w:tcW w:w="908" w:type="dxa"/>
            <w:tcBorders>
              <w:top w:val="nil"/>
              <w:left w:val="nil"/>
              <w:bottom w:val="single" w:sz="4" w:space="0" w:color="auto"/>
              <w:right w:val="single" w:sz="4" w:space="0" w:color="auto"/>
            </w:tcBorders>
            <w:shd w:val="clear" w:color="auto" w:fill="auto"/>
            <w:noWrap/>
            <w:vAlign w:val="center"/>
            <w:hideMark/>
          </w:tcPr>
          <w:p w:rsidR="000A79A1" w:rsidRPr="00D8784D" w:rsidRDefault="000A79A1" w:rsidP="006F795B">
            <w:pPr>
              <w:spacing w:before="0" w:after="0"/>
              <w:jc w:val="center"/>
              <w:rPr>
                <w:rFonts w:ascii="Arial" w:hAnsi="Arial" w:cs="Arial"/>
                <w:sz w:val="16"/>
                <w:szCs w:val="16"/>
                <w:lang w:val="en-GB" w:eastAsia="en-GB"/>
              </w:rPr>
            </w:pPr>
            <w:r w:rsidRPr="00D8784D">
              <w:rPr>
                <w:rFonts w:ascii="Arial" w:hAnsi="Arial" w:cs="Arial"/>
                <w:sz w:val="16"/>
                <w:szCs w:val="16"/>
                <w:lang w:val="en-GB" w:eastAsia="en-GB"/>
              </w:rPr>
              <w:t xml:space="preserve">               - </w:t>
            </w:r>
          </w:p>
        </w:tc>
        <w:tc>
          <w:tcPr>
            <w:tcW w:w="908" w:type="dxa"/>
            <w:tcBorders>
              <w:top w:val="nil"/>
              <w:left w:val="nil"/>
              <w:bottom w:val="single" w:sz="4" w:space="0" w:color="auto"/>
              <w:right w:val="single" w:sz="8" w:space="0" w:color="auto"/>
            </w:tcBorders>
            <w:shd w:val="clear" w:color="auto" w:fill="auto"/>
            <w:noWrap/>
            <w:vAlign w:val="center"/>
            <w:hideMark/>
          </w:tcPr>
          <w:p w:rsidR="000A79A1" w:rsidRPr="00D8784D" w:rsidRDefault="000A79A1" w:rsidP="006F795B">
            <w:pPr>
              <w:spacing w:before="0" w:after="0"/>
              <w:jc w:val="center"/>
              <w:rPr>
                <w:rFonts w:ascii="Arial" w:hAnsi="Arial" w:cs="Arial"/>
                <w:sz w:val="16"/>
                <w:szCs w:val="16"/>
                <w:lang w:val="en-GB" w:eastAsia="en-GB"/>
              </w:rPr>
            </w:pPr>
            <w:r w:rsidRPr="00D8784D">
              <w:rPr>
                <w:rFonts w:ascii="Arial" w:hAnsi="Arial" w:cs="Arial"/>
                <w:sz w:val="16"/>
                <w:szCs w:val="16"/>
                <w:lang w:val="en-GB" w:eastAsia="en-GB"/>
              </w:rPr>
              <w:t xml:space="preserve">            - </w:t>
            </w:r>
          </w:p>
        </w:tc>
      </w:tr>
      <w:tr w:rsidR="000A79A1" w:rsidRPr="000A79A1" w:rsidTr="00184321">
        <w:trPr>
          <w:trHeight w:val="528"/>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A79A1" w:rsidRPr="00D8784D" w:rsidRDefault="000A79A1" w:rsidP="006F795B">
            <w:pPr>
              <w:spacing w:before="0" w:after="0"/>
              <w:jc w:val="left"/>
              <w:rPr>
                <w:rFonts w:ascii="Arial" w:hAnsi="Arial" w:cs="Arial"/>
                <w:sz w:val="16"/>
                <w:szCs w:val="16"/>
                <w:lang w:val="en-GB" w:eastAsia="en-GB"/>
              </w:rPr>
            </w:pPr>
            <w:r w:rsidRPr="00D8784D">
              <w:rPr>
                <w:rFonts w:ascii="Arial" w:hAnsi="Arial" w:cs="Arial"/>
                <w:sz w:val="16"/>
                <w:szCs w:val="16"/>
                <w:lang w:val="en-GB" w:eastAsia="en-GB"/>
              </w:rPr>
              <w:t>Gamechanger (I4I)</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0A79A1" w:rsidRPr="00D8784D" w:rsidRDefault="000A79A1" w:rsidP="006F795B">
            <w:pPr>
              <w:spacing w:before="0" w:after="0"/>
              <w:jc w:val="left"/>
              <w:rPr>
                <w:rFonts w:ascii="Arial" w:hAnsi="Arial" w:cs="Arial"/>
                <w:sz w:val="16"/>
                <w:szCs w:val="16"/>
                <w:lang w:val="en-GB" w:eastAsia="en-GB"/>
              </w:rPr>
            </w:pPr>
            <w:r w:rsidRPr="00D8784D">
              <w:rPr>
                <w:rFonts w:ascii="Arial" w:hAnsi="Arial" w:cs="Arial"/>
                <w:sz w:val="16"/>
                <w:szCs w:val="16"/>
                <w:lang w:val="en-GB" w:eastAsia="en-GB"/>
              </w:rPr>
              <w:t>Prof Daniel Freeman (Dept of Psychiatry)</w:t>
            </w:r>
          </w:p>
        </w:tc>
        <w:tc>
          <w:tcPr>
            <w:tcW w:w="907" w:type="dxa"/>
            <w:tcBorders>
              <w:top w:val="nil"/>
              <w:left w:val="nil"/>
              <w:bottom w:val="single" w:sz="4" w:space="0" w:color="auto"/>
              <w:right w:val="single" w:sz="4" w:space="0" w:color="auto"/>
            </w:tcBorders>
            <w:shd w:val="clear" w:color="auto" w:fill="auto"/>
            <w:noWrap/>
            <w:vAlign w:val="center"/>
            <w:hideMark/>
          </w:tcPr>
          <w:p w:rsidR="000A79A1" w:rsidRPr="00D8784D" w:rsidRDefault="000A79A1" w:rsidP="006F795B">
            <w:pPr>
              <w:spacing w:before="0" w:after="0"/>
              <w:jc w:val="center"/>
              <w:rPr>
                <w:rFonts w:ascii="Arial" w:hAnsi="Arial" w:cs="Arial"/>
                <w:sz w:val="16"/>
                <w:szCs w:val="16"/>
                <w:lang w:val="en-GB" w:eastAsia="en-GB"/>
              </w:rPr>
            </w:pPr>
            <w:r w:rsidRPr="00D8784D">
              <w:rPr>
                <w:rFonts w:ascii="Arial" w:hAnsi="Arial" w:cs="Arial"/>
                <w:sz w:val="16"/>
                <w:szCs w:val="16"/>
                <w:lang w:val="en-GB" w:eastAsia="en-GB"/>
              </w:rPr>
              <w:t xml:space="preserve">         1,295 </w:t>
            </w:r>
          </w:p>
        </w:tc>
        <w:tc>
          <w:tcPr>
            <w:tcW w:w="908" w:type="dxa"/>
            <w:tcBorders>
              <w:top w:val="nil"/>
              <w:left w:val="nil"/>
              <w:bottom w:val="single" w:sz="4" w:space="0" w:color="auto"/>
              <w:right w:val="single" w:sz="4" w:space="0" w:color="auto"/>
            </w:tcBorders>
            <w:shd w:val="clear" w:color="auto" w:fill="auto"/>
            <w:noWrap/>
            <w:vAlign w:val="center"/>
            <w:hideMark/>
          </w:tcPr>
          <w:p w:rsidR="000A79A1" w:rsidRPr="00D8784D" w:rsidRDefault="000A79A1" w:rsidP="006F795B">
            <w:pPr>
              <w:spacing w:before="0" w:after="0"/>
              <w:jc w:val="center"/>
              <w:rPr>
                <w:rFonts w:ascii="Arial" w:hAnsi="Arial" w:cs="Arial"/>
                <w:sz w:val="16"/>
                <w:szCs w:val="16"/>
                <w:lang w:val="en-GB" w:eastAsia="en-GB"/>
              </w:rPr>
            </w:pPr>
            <w:r w:rsidRPr="00D8784D">
              <w:rPr>
                <w:rFonts w:ascii="Arial" w:hAnsi="Arial" w:cs="Arial"/>
                <w:sz w:val="16"/>
                <w:szCs w:val="16"/>
                <w:lang w:val="en-GB" w:eastAsia="en-GB"/>
              </w:rPr>
              <w:t xml:space="preserve">        1,384 </w:t>
            </w:r>
          </w:p>
        </w:tc>
        <w:tc>
          <w:tcPr>
            <w:tcW w:w="908" w:type="dxa"/>
            <w:tcBorders>
              <w:top w:val="nil"/>
              <w:left w:val="nil"/>
              <w:bottom w:val="single" w:sz="4" w:space="0" w:color="auto"/>
              <w:right w:val="single" w:sz="8" w:space="0" w:color="auto"/>
            </w:tcBorders>
            <w:shd w:val="clear" w:color="auto" w:fill="auto"/>
            <w:noWrap/>
            <w:vAlign w:val="center"/>
            <w:hideMark/>
          </w:tcPr>
          <w:p w:rsidR="000A79A1" w:rsidRPr="00D8784D" w:rsidRDefault="000A79A1" w:rsidP="006F795B">
            <w:pPr>
              <w:spacing w:before="0" w:after="0"/>
              <w:jc w:val="center"/>
              <w:rPr>
                <w:rFonts w:ascii="Arial" w:hAnsi="Arial" w:cs="Arial"/>
                <w:sz w:val="16"/>
                <w:szCs w:val="16"/>
                <w:lang w:val="en-GB" w:eastAsia="en-GB"/>
              </w:rPr>
            </w:pPr>
            <w:r w:rsidRPr="00D8784D">
              <w:rPr>
                <w:rFonts w:ascii="Arial" w:hAnsi="Arial" w:cs="Arial"/>
                <w:sz w:val="16"/>
                <w:szCs w:val="16"/>
                <w:lang w:val="en-GB" w:eastAsia="en-GB"/>
              </w:rPr>
              <w:t xml:space="preserve">        232 </w:t>
            </w:r>
          </w:p>
        </w:tc>
      </w:tr>
      <w:tr w:rsidR="000A79A1" w:rsidRPr="000A79A1" w:rsidTr="00184321">
        <w:trPr>
          <w:trHeight w:val="637"/>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A79A1" w:rsidRPr="00D8784D" w:rsidRDefault="000A79A1" w:rsidP="006F795B">
            <w:pPr>
              <w:spacing w:before="0" w:after="0"/>
              <w:jc w:val="left"/>
              <w:rPr>
                <w:rFonts w:ascii="Arial" w:hAnsi="Arial" w:cs="Arial"/>
                <w:sz w:val="16"/>
                <w:szCs w:val="16"/>
                <w:lang w:val="en-GB" w:eastAsia="en-GB"/>
              </w:rPr>
            </w:pPr>
            <w:r w:rsidRPr="00D8784D">
              <w:rPr>
                <w:rFonts w:ascii="Arial" w:hAnsi="Arial" w:cs="Arial"/>
                <w:sz w:val="16"/>
                <w:szCs w:val="16"/>
                <w:lang w:val="en-GB" w:eastAsia="en-GB"/>
              </w:rPr>
              <w:t>Development and evaluation of a pathway from 'Universal screening' to online intervention for children with anxiety problems</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0A79A1" w:rsidRPr="00D8784D" w:rsidRDefault="000A79A1" w:rsidP="006F795B">
            <w:pPr>
              <w:spacing w:before="0" w:after="0"/>
              <w:jc w:val="left"/>
              <w:rPr>
                <w:rFonts w:ascii="Arial" w:hAnsi="Arial" w:cs="Arial"/>
                <w:sz w:val="16"/>
                <w:szCs w:val="16"/>
                <w:lang w:val="en-GB" w:eastAsia="en-GB"/>
              </w:rPr>
            </w:pPr>
            <w:r w:rsidRPr="00D8784D">
              <w:rPr>
                <w:rFonts w:ascii="Arial" w:hAnsi="Arial" w:cs="Arial"/>
                <w:sz w:val="16"/>
                <w:szCs w:val="16"/>
                <w:lang w:val="en-GB" w:eastAsia="en-GB"/>
              </w:rPr>
              <w:t>Prof Cathy Creswell (Dept of Experimental Psychology)</w:t>
            </w:r>
          </w:p>
        </w:tc>
        <w:tc>
          <w:tcPr>
            <w:tcW w:w="907" w:type="dxa"/>
            <w:tcBorders>
              <w:top w:val="nil"/>
              <w:left w:val="nil"/>
              <w:bottom w:val="single" w:sz="4" w:space="0" w:color="auto"/>
              <w:right w:val="single" w:sz="4" w:space="0" w:color="auto"/>
            </w:tcBorders>
            <w:shd w:val="clear" w:color="auto" w:fill="auto"/>
            <w:noWrap/>
            <w:vAlign w:val="center"/>
            <w:hideMark/>
          </w:tcPr>
          <w:p w:rsidR="000A79A1" w:rsidRPr="00D8784D" w:rsidRDefault="000A79A1" w:rsidP="006F795B">
            <w:pPr>
              <w:spacing w:before="0" w:after="0"/>
              <w:jc w:val="center"/>
              <w:rPr>
                <w:rFonts w:ascii="Arial" w:hAnsi="Arial" w:cs="Arial"/>
                <w:sz w:val="16"/>
                <w:szCs w:val="16"/>
                <w:lang w:val="en-GB" w:eastAsia="en-GB"/>
              </w:rPr>
            </w:pPr>
            <w:r w:rsidRPr="00D8784D">
              <w:rPr>
                <w:rFonts w:ascii="Arial" w:hAnsi="Arial" w:cs="Arial"/>
                <w:sz w:val="16"/>
                <w:szCs w:val="16"/>
                <w:lang w:val="en-GB" w:eastAsia="en-GB"/>
              </w:rPr>
              <w:t xml:space="preserve">            439 </w:t>
            </w:r>
          </w:p>
        </w:tc>
        <w:tc>
          <w:tcPr>
            <w:tcW w:w="908" w:type="dxa"/>
            <w:tcBorders>
              <w:top w:val="nil"/>
              <w:left w:val="nil"/>
              <w:bottom w:val="single" w:sz="4" w:space="0" w:color="auto"/>
              <w:right w:val="single" w:sz="4" w:space="0" w:color="auto"/>
            </w:tcBorders>
            <w:shd w:val="clear" w:color="auto" w:fill="auto"/>
            <w:noWrap/>
            <w:vAlign w:val="center"/>
            <w:hideMark/>
          </w:tcPr>
          <w:p w:rsidR="000A79A1" w:rsidRPr="00D8784D" w:rsidRDefault="000A79A1" w:rsidP="006F795B">
            <w:pPr>
              <w:spacing w:before="0" w:after="0"/>
              <w:jc w:val="center"/>
              <w:rPr>
                <w:rFonts w:ascii="Arial" w:hAnsi="Arial" w:cs="Arial"/>
                <w:sz w:val="16"/>
                <w:szCs w:val="16"/>
                <w:lang w:val="en-GB" w:eastAsia="en-GB"/>
              </w:rPr>
            </w:pPr>
            <w:r w:rsidRPr="00D8784D">
              <w:rPr>
                <w:rFonts w:ascii="Arial" w:hAnsi="Arial" w:cs="Arial"/>
                <w:sz w:val="16"/>
                <w:szCs w:val="16"/>
                <w:lang w:val="en-GB" w:eastAsia="en-GB"/>
              </w:rPr>
              <w:t xml:space="preserve">           531 </w:t>
            </w:r>
          </w:p>
        </w:tc>
        <w:tc>
          <w:tcPr>
            <w:tcW w:w="908" w:type="dxa"/>
            <w:tcBorders>
              <w:top w:val="nil"/>
              <w:left w:val="nil"/>
              <w:bottom w:val="single" w:sz="4" w:space="0" w:color="auto"/>
              <w:right w:val="single" w:sz="8" w:space="0" w:color="auto"/>
            </w:tcBorders>
            <w:shd w:val="clear" w:color="auto" w:fill="auto"/>
            <w:noWrap/>
            <w:vAlign w:val="center"/>
            <w:hideMark/>
          </w:tcPr>
          <w:p w:rsidR="000A79A1" w:rsidRPr="00D8784D" w:rsidRDefault="000A79A1" w:rsidP="006F795B">
            <w:pPr>
              <w:spacing w:before="0" w:after="0"/>
              <w:jc w:val="center"/>
              <w:rPr>
                <w:rFonts w:ascii="Arial" w:hAnsi="Arial" w:cs="Arial"/>
                <w:sz w:val="16"/>
                <w:szCs w:val="16"/>
                <w:lang w:val="en-GB" w:eastAsia="en-GB"/>
              </w:rPr>
            </w:pPr>
            <w:r w:rsidRPr="00D8784D">
              <w:rPr>
                <w:rFonts w:ascii="Arial" w:hAnsi="Arial" w:cs="Arial"/>
                <w:sz w:val="16"/>
                <w:szCs w:val="16"/>
                <w:lang w:val="en-GB" w:eastAsia="en-GB"/>
              </w:rPr>
              <w:t xml:space="preserve">        466 </w:t>
            </w:r>
          </w:p>
        </w:tc>
      </w:tr>
      <w:tr w:rsidR="000A79A1" w:rsidRPr="000A79A1" w:rsidTr="00184321">
        <w:trPr>
          <w:trHeight w:val="703"/>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A79A1" w:rsidRPr="00D8784D" w:rsidRDefault="000A79A1" w:rsidP="006F795B">
            <w:pPr>
              <w:spacing w:before="0" w:after="0"/>
              <w:jc w:val="left"/>
              <w:rPr>
                <w:rFonts w:ascii="Arial" w:hAnsi="Arial" w:cs="Arial"/>
                <w:sz w:val="16"/>
                <w:szCs w:val="16"/>
                <w:lang w:val="en-GB" w:eastAsia="en-GB"/>
              </w:rPr>
            </w:pPr>
            <w:r w:rsidRPr="00D8784D">
              <w:rPr>
                <w:rFonts w:ascii="Arial" w:hAnsi="Arial" w:cs="Arial"/>
                <w:sz w:val="16"/>
                <w:szCs w:val="16"/>
                <w:lang w:val="en-GB" w:eastAsia="en-GB"/>
              </w:rPr>
              <w:t>Preventing psychosis in young people at ultra-</w:t>
            </w:r>
            <w:proofErr w:type="gramStart"/>
            <w:r w:rsidRPr="00D8784D">
              <w:rPr>
                <w:rFonts w:ascii="Arial" w:hAnsi="Arial" w:cs="Arial"/>
                <w:sz w:val="16"/>
                <w:szCs w:val="16"/>
                <w:lang w:val="en-GB" w:eastAsia="en-GB"/>
              </w:rPr>
              <w:t>high-risk</w:t>
            </w:r>
            <w:proofErr w:type="gramEnd"/>
            <w:r w:rsidRPr="00D8784D">
              <w:rPr>
                <w:rFonts w:ascii="Arial" w:hAnsi="Arial" w:cs="Arial"/>
                <w:sz w:val="16"/>
                <w:szCs w:val="16"/>
                <w:lang w:val="en-GB" w:eastAsia="en-GB"/>
              </w:rPr>
              <w:t xml:space="preserve"> attending NHS mental health services: a feasibility study of a novel intervention target</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0A79A1" w:rsidRPr="00D8784D" w:rsidRDefault="000A79A1" w:rsidP="006F795B">
            <w:pPr>
              <w:spacing w:before="0" w:after="0"/>
              <w:jc w:val="left"/>
              <w:rPr>
                <w:rFonts w:ascii="Arial" w:hAnsi="Arial" w:cs="Arial"/>
                <w:sz w:val="16"/>
                <w:szCs w:val="16"/>
                <w:lang w:val="en-GB" w:eastAsia="en-GB"/>
              </w:rPr>
            </w:pPr>
            <w:r w:rsidRPr="00D8784D">
              <w:rPr>
                <w:rFonts w:ascii="Arial" w:hAnsi="Arial" w:cs="Arial"/>
                <w:sz w:val="16"/>
                <w:szCs w:val="16"/>
                <w:lang w:val="en-GB" w:eastAsia="en-GB"/>
              </w:rPr>
              <w:t>Dr Felicity Waite (Dept of Psychiatry)</w:t>
            </w:r>
          </w:p>
        </w:tc>
        <w:tc>
          <w:tcPr>
            <w:tcW w:w="907" w:type="dxa"/>
            <w:tcBorders>
              <w:top w:val="nil"/>
              <w:left w:val="nil"/>
              <w:bottom w:val="single" w:sz="4" w:space="0" w:color="auto"/>
              <w:right w:val="single" w:sz="4" w:space="0" w:color="auto"/>
            </w:tcBorders>
            <w:shd w:val="clear" w:color="auto" w:fill="auto"/>
            <w:noWrap/>
            <w:vAlign w:val="center"/>
            <w:hideMark/>
          </w:tcPr>
          <w:p w:rsidR="000A79A1" w:rsidRPr="00D8784D" w:rsidRDefault="000A79A1" w:rsidP="006F795B">
            <w:pPr>
              <w:spacing w:before="0" w:after="0"/>
              <w:jc w:val="center"/>
              <w:rPr>
                <w:rFonts w:ascii="Arial" w:hAnsi="Arial" w:cs="Arial"/>
                <w:sz w:val="16"/>
                <w:szCs w:val="16"/>
                <w:lang w:val="en-GB" w:eastAsia="en-GB"/>
              </w:rPr>
            </w:pPr>
            <w:r w:rsidRPr="00D8784D">
              <w:rPr>
                <w:rFonts w:ascii="Arial" w:hAnsi="Arial" w:cs="Arial"/>
                <w:sz w:val="16"/>
                <w:szCs w:val="16"/>
                <w:lang w:val="en-GB" w:eastAsia="en-GB"/>
              </w:rPr>
              <w:t xml:space="preserve">              30 </w:t>
            </w:r>
          </w:p>
        </w:tc>
        <w:tc>
          <w:tcPr>
            <w:tcW w:w="908" w:type="dxa"/>
            <w:tcBorders>
              <w:top w:val="nil"/>
              <w:left w:val="nil"/>
              <w:bottom w:val="single" w:sz="4" w:space="0" w:color="auto"/>
              <w:right w:val="single" w:sz="4" w:space="0" w:color="auto"/>
            </w:tcBorders>
            <w:shd w:val="clear" w:color="auto" w:fill="auto"/>
            <w:noWrap/>
            <w:vAlign w:val="center"/>
            <w:hideMark/>
          </w:tcPr>
          <w:p w:rsidR="000A79A1" w:rsidRPr="00D8784D" w:rsidRDefault="000A79A1" w:rsidP="006F795B">
            <w:pPr>
              <w:spacing w:before="0" w:after="0"/>
              <w:jc w:val="center"/>
              <w:rPr>
                <w:rFonts w:ascii="Arial" w:hAnsi="Arial" w:cs="Arial"/>
                <w:sz w:val="16"/>
                <w:szCs w:val="16"/>
                <w:lang w:val="en-GB" w:eastAsia="en-GB"/>
              </w:rPr>
            </w:pPr>
            <w:r w:rsidRPr="00D8784D">
              <w:rPr>
                <w:rFonts w:ascii="Arial" w:hAnsi="Arial" w:cs="Arial"/>
                <w:sz w:val="16"/>
                <w:szCs w:val="16"/>
                <w:lang w:val="en-GB" w:eastAsia="en-GB"/>
              </w:rPr>
              <w:t xml:space="preserve">           118 </w:t>
            </w:r>
          </w:p>
        </w:tc>
        <w:tc>
          <w:tcPr>
            <w:tcW w:w="908" w:type="dxa"/>
            <w:tcBorders>
              <w:top w:val="nil"/>
              <w:left w:val="nil"/>
              <w:bottom w:val="single" w:sz="4" w:space="0" w:color="auto"/>
              <w:right w:val="single" w:sz="8" w:space="0" w:color="auto"/>
            </w:tcBorders>
            <w:shd w:val="clear" w:color="auto" w:fill="auto"/>
            <w:noWrap/>
            <w:vAlign w:val="center"/>
            <w:hideMark/>
          </w:tcPr>
          <w:p w:rsidR="000A79A1" w:rsidRPr="00D8784D" w:rsidRDefault="000A79A1" w:rsidP="006F795B">
            <w:pPr>
              <w:spacing w:before="0" w:after="0"/>
              <w:jc w:val="center"/>
              <w:rPr>
                <w:rFonts w:ascii="Arial" w:hAnsi="Arial" w:cs="Arial"/>
                <w:sz w:val="16"/>
                <w:szCs w:val="16"/>
                <w:lang w:val="en-GB" w:eastAsia="en-GB"/>
              </w:rPr>
            </w:pPr>
            <w:r w:rsidRPr="00D8784D">
              <w:rPr>
                <w:rFonts w:ascii="Arial" w:hAnsi="Arial" w:cs="Arial"/>
                <w:sz w:val="16"/>
                <w:szCs w:val="16"/>
                <w:lang w:val="en-GB" w:eastAsia="en-GB"/>
              </w:rPr>
              <w:t xml:space="preserve">        103 </w:t>
            </w:r>
          </w:p>
        </w:tc>
      </w:tr>
      <w:tr w:rsidR="000A79A1" w:rsidRPr="000A79A1" w:rsidTr="00184321">
        <w:trPr>
          <w:trHeight w:val="528"/>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A79A1" w:rsidRPr="00D8784D" w:rsidRDefault="000A79A1" w:rsidP="006F795B">
            <w:pPr>
              <w:spacing w:before="0" w:after="0"/>
              <w:jc w:val="left"/>
              <w:rPr>
                <w:rFonts w:ascii="Arial" w:hAnsi="Arial" w:cs="Arial"/>
                <w:sz w:val="16"/>
                <w:szCs w:val="16"/>
                <w:lang w:val="en-GB" w:eastAsia="en-GB"/>
              </w:rPr>
            </w:pPr>
            <w:r w:rsidRPr="00D8784D">
              <w:rPr>
                <w:rFonts w:ascii="Arial" w:hAnsi="Arial" w:cs="Arial"/>
                <w:sz w:val="16"/>
                <w:szCs w:val="16"/>
                <w:lang w:val="en-GB" w:eastAsia="en-GB"/>
              </w:rPr>
              <w:t>Fractures in people with intellectual disabilities</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0A79A1" w:rsidRPr="00D8784D" w:rsidRDefault="000A79A1" w:rsidP="006F795B">
            <w:pPr>
              <w:spacing w:before="0" w:after="0"/>
              <w:jc w:val="left"/>
              <w:rPr>
                <w:rFonts w:ascii="Arial" w:hAnsi="Arial" w:cs="Arial"/>
                <w:sz w:val="16"/>
                <w:szCs w:val="16"/>
                <w:lang w:val="en-GB" w:eastAsia="en-GB"/>
              </w:rPr>
            </w:pPr>
            <w:r w:rsidRPr="00D8784D">
              <w:rPr>
                <w:rFonts w:ascii="Arial" w:hAnsi="Arial" w:cs="Arial"/>
                <w:sz w:val="16"/>
                <w:szCs w:val="16"/>
                <w:lang w:val="en-GB" w:eastAsia="en-GB"/>
              </w:rPr>
              <w:t>Dr Valeria Frighi (Dept of Psychiatry)</w:t>
            </w:r>
          </w:p>
        </w:tc>
        <w:tc>
          <w:tcPr>
            <w:tcW w:w="907" w:type="dxa"/>
            <w:tcBorders>
              <w:top w:val="nil"/>
              <w:left w:val="nil"/>
              <w:bottom w:val="single" w:sz="4" w:space="0" w:color="auto"/>
              <w:right w:val="single" w:sz="4" w:space="0" w:color="auto"/>
            </w:tcBorders>
            <w:shd w:val="clear" w:color="auto" w:fill="auto"/>
            <w:noWrap/>
            <w:vAlign w:val="center"/>
            <w:hideMark/>
          </w:tcPr>
          <w:p w:rsidR="000A79A1" w:rsidRPr="00D8784D" w:rsidRDefault="000A79A1" w:rsidP="006F795B">
            <w:pPr>
              <w:spacing w:before="0" w:after="0"/>
              <w:jc w:val="center"/>
              <w:rPr>
                <w:rFonts w:ascii="Arial" w:hAnsi="Arial" w:cs="Arial"/>
                <w:sz w:val="16"/>
                <w:szCs w:val="16"/>
                <w:lang w:val="en-GB" w:eastAsia="en-GB"/>
              </w:rPr>
            </w:pPr>
            <w:r w:rsidRPr="00D8784D">
              <w:rPr>
                <w:rFonts w:ascii="Arial" w:hAnsi="Arial" w:cs="Arial"/>
                <w:sz w:val="16"/>
                <w:szCs w:val="16"/>
                <w:lang w:val="en-GB" w:eastAsia="en-GB"/>
              </w:rPr>
              <w:t xml:space="preserve">              53 </w:t>
            </w:r>
          </w:p>
        </w:tc>
        <w:tc>
          <w:tcPr>
            <w:tcW w:w="908" w:type="dxa"/>
            <w:tcBorders>
              <w:top w:val="nil"/>
              <w:left w:val="nil"/>
              <w:bottom w:val="single" w:sz="4" w:space="0" w:color="auto"/>
              <w:right w:val="single" w:sz="4" w:space="0" w:color="auto"/>
            </w:tcBorders>
            <w:shd w:val="clear" w:color="auto" w:fill="auto"/>
            <w:noWrap/>
            <w:vAlign w:val="center"/>
            <w:hideMark/>
          </w:tcPr>
          <w:p w:rsidR="000A79A1" w:rsidRPr="00D8784D" w:rsidRDefault="000A79A1" w:rsidP="006F795B">
            <w:pPr>
              <w:spacing w:before="0" w:after="0"/>
              <w:jc w:val="center"/>
              <w:rPr>
                <w:rFonts w:ascii="Arial" w:hAnsi="Arial" w:cs="Arial"/>
                <w:sz w:val="16"/>
                <w:szCs w:val="16"/>
                <w:lang w:val="en-GB" w:eastAsia="en-GB"/>
              </w:rPr>
            </w:pPr>
            <w:r w:rsidRPr="00D8784D">
              <w:rPr>
                <w:rFonts w:ascii="Arial" w:hAnsi="Arial" w:cs="Arial"/>
                <w:sz w:val="16"/>
                <w:szCs w:val="16"/>
                <w:lang w:val="en-GB" w:eastAsia="en-GB"/>
              </w:rPr>
              <w:t xml:space="preserve">             27 </w:t>
            </w:r>
          </w:p>
        </w:tc>
        <w:tc>
          <w:tcPr>
            <w:tcW w:w="908" w:type="dxa"/>
            <w:tcBorders>
              <w:top w:val="nil"/>
              <w:left w:val="nil"/>
              <w:bottom w:val="single" w:sz="4" w:space="0" w:color="auto"/>
              <w:right w:val="single" w:sz="8" w:space="0" w:color="auto"/>
            </w:tcBorders>
            <w:shd w:val="clear" w:color="auto" w:fill="auto"/>
            <w:noWrap/>
            <w:vAlign w:val="center"/>
            <w:hideMark/>
          </w:tcPr>
          <w:p w:rsidR="000A79A1" w:rsidRPr="00D8784D" w:rsidRDefault="000A79A1" w:rsidP="006F795B">
            <w:pPr>
              <w:spacing w:before="0" w:after="0"/>
              <w:jc w:val="center"/>
              <w:rPr>
                <w:rFonts w:ascii="Arial" w:hAnsi="Arial" w:cs="Arial"/>
                <w:sz w:val="16"/>
                <w:szCs w:val="16"/>
                <w:lang w:val="en-GB" w:eastAsia="en-GB"/>
              </w:rPr>
            </w:pPr>
            <w:r w:rsidRPr="00D8784D">
              <w:rPr>
                <w:rFonts w:ascii="Arial" w:hAnsi="Arial" w:cs="Arial"/>
                <w:sz w:val="16"/>
                <w:szCs w:val="16"/>
                <w:lang w:val="en-GB" w:eastAsia="en-GB"/>
              </w:rPr>
              <w:t xml:space="preserve">            - </w:t>
            </w:r>
          </w:p>
        </w:tc>
      </w:tr>
      <w:tr w:rsidR="000A79A1" w:rsidRPr="000A79A1" w:rsidTr="00184321">
        <w:trPr>
          <w:trHeight w:val="735"/>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A79A1" w:rsidRPr="00D8784D" w:rsidRDefault="000A79A1" w:rsidP="006F795B">
            <w:pPr>
              <w:spacing w:before="0" w:after="0"/>
              <w:jc w:val="left"/>
              <w:rPr>
                <w:rFonts w:ascii="Arial" w:hAnsi="Arial" w:cs="Arial"/>
                <w:sz w:val="16"/>
                <w:szCs w:val="16"/>
                <w:lang w:val="en-GB" w:eastAsia="en-GB"/>
              </w:rPr>
            </w:pPr>
            <w:r w:rsidRPr="00D8784D">
              <w:rPr>
                <w:rFonts w:ascii="Arial" w:hAnsi="Arial" w:cs="Arial"/>
                <w:sz w:val="16"/>
                <w:szCs w:val="16"/>
                <w:lang w:val="en-GB" w:eastAsia="en-GB"/>
              </w:rPr>
              <w:t>A comparison of usual care versus usual care plus a smartphone self-harm prevention app (Blue Ice) in Young Adolescents aged 12-17 who self harm</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0A79A1" w:rsidRPr="00D8784D" w:rsidRDefault="000A79A1" w:rsidP="006F795B">
            <w:pPr>
              <w:spacing w:before="0" w:after="0"/>
              <w:jc w:val="left"/>
              <w:rPr>
                <w:rFonts w:ascii="Arial" w:hAnsi="Arial" w:cs="Arial"/>
                <w:sz w:val="16"/>
                <w:szCs w:val="16"/>
                <w:lang w:val="en-GB" w:eastAsia="en-GB"/>
              </w:rPr>
            </w:pPr>
            <w:r w:rsidRPr="00D8784D">
              <w:rPr>
                <w:rFonts w:ascii="Arial" w:hAnsi="Arial" w:cs="Arial"/>
                <w:sz w:val="16"/>
                <w:szCs w:val="16"/>
                <w:lang w:val="en-GB" w:eastAsia="en-GB"/>
              </w:rPr>
              <w:t>Prof Paul Stallard (University of Bath)</w:t>
            </w:r>
          </w:p>
        </w:tc>
        <w:tc>
          <w:tcPr>
            <w:tcW w:w="907" w:type="dxa"/>
            <w:tcBorders>
              <w:top w:val="nil"/>
              <w:left w:val="nil"/>
              <w:bottom w:val="single" w:sz="4" w:space="0" w:color="auto"/>
              <w:right w:val="single" w:sz="4" w:space="0" w:color="auto"/>
            </w:tcBorders>
            <w:shd w:val="clear" w:color="auto" w:fill="auto"/>
            <w:noWrap/>
            <w:vAlign w:val="center"/>
            <w:hideMark/>
          </w:tcPr>
          <w:p w:rsidR="000A79A1" w:rsidRPr="00D8784D" w:rsidRDefault="000A79A1" w:rsidP="006F795B">
            <w:pPr>
              <w:spacing w:before="0" w:after="0"/>
              <w:jc w:val="center"/>
              <w:rPr>
                <w:rFonts w:ascii="Arial" w:hAnsi="Arial" w:cs="Arial"/>
                <w:sz w:val="16"/>
                <w:szCs w:val="16"/>
                <w:lang w:val="en-GB" w:eastAsia="en-GB"/>
              </w:rPr>
            </w:pPr>
            <w:r w:rsidRPr="00D8784D">
              <w:rPr>
                <w:rFonts w:ascii="Arial" w:hAnsi="Arial" w:cs="Arial"/>
                <w:sz w:val="16"/>
                <w:szCs w:val="16"/>
                <w:lang w:val="en-GB" w:eastAsia="en-GB"/>
              </w:rPr>
              <w:t xml:space="preserve">              66 </w:t>
            </w:r>
          </w:p>
        </w:tc>
        <w:tc>
          <w:tcPr>
            <w:tcW w:w="908" w:type="dxa"/>
            <w:tcBorders>
              <w:top w:val="nil"/>
              <w:left w:val="nil"/>
              <w:bottom w:val="single" w:sz="4" w:space="0" w:color="auto"/>
              <w:right w:val="single" w:sz="4" w:space="0" w:color="auto"/>
            </w:tcBorders>
            <w:shd w:val="clear" w:color="auto" w:fill="auto"/>
            <w:noWrap/>
            <w:vAlign w:val="center"/>
            <w:hideMark/>
          </w:tcPr>
          <w:p w:rsidR="000A79A1" w:rsidRPr="00D8784D" w:rsidRDefault="000A79A1" w:rsidP="006F795B">
            <w:pPr>
              <w:spacing w:before="0" w:after="0"/>
              <w:jc w:val="center"/>
              <w:rPr>
                <w:rFonts w:ascii="Arial" w:hAnsi="Arial" w:cs="Arial"/>
                <w:sz w:val="16"/>
                <w:szCs w:val="16"/>
                <w:lang w:val="en-GB" w:eastAsia="en-GB"/>
              </w:rPr>
            </w:pPr>
            <w:r w:rsidRPr="00D8784D">
              <w:rPr>
                <w:rFonts w:ascii="Arial" w:hAnsi="Arial" w:cs="Arial"/>
                <w:sz w:val="16"/>
                <w:szCs w:val="16"/>
                <w:lang w:val="en-GB" w:eastAsia="en-GB"/>
              </w:rPr>
              <w:t xml:space="preserve">           130 </w:t>
            </w:r>
          </w:p>
        </w:tc>
        <w:tc>
          <w:tcPr>
            <w:tcW w:w="908" w:type="dxa"/>
            <w:tcBorders>
              <w:top w:val="nil"/>
              <w:left w:val="nil"/>
              <w:bottom w:val="single" w:sz="4" w:space="0" w:color="auto"/>
              <w:right w:val="single" w:sz="8" w:space="0" w:color="auto"/>
            </w:tcBorders>
            <w:shd w:val="clear" w:color="auto" w:fill="auto"/>
            <w:noWrap/>
            <w:vAlign w:val="center"/>
            <w:hideMark/>
          </w:tcPr>
          <w:p w:rsidR="000A79A1" w:rsidRPr="00D8784D" w:rsidRDefault="000A79A1" w:rsidP="006F795B">
            <w:pPr>
              <w:spacing w:before="0" w:after="0"/>
              <w:jc w:val="center"/>
              <w:rPr>
                <w:rFonts w:ascii="Arial" w:hAnsi="Arial" w:cs="Arial"/>
                <w:sz w:val="16"/>
                <w:szCs w:val="16"/>
                <w:lang w:val="en-GB" w:eastAsia="en-GB"/>
              </w:rPr>
            </w:pPr>
            <w:r w:rsidRPr="00D8784D">
              <w:rPr>
                <w:rFonts w:ascii="Arial" w:hAnsi="Arial" w:cs="Arial"/>
                <w:sz w:val="16"/>
                <w:szCs w:val="16"/>
                <w:lang w:val="en-GB" w:eastAsia="en-GB"/>
              </w:rPr>
              <w:t xml:space="preserve">        119 </w:t>
            </w:r>
          </w:p>
        </w:tc>
      </w:tr>
      <w:tr w:rsidR="000A79A1" w:rsidRPr="000A79A1" w:rsidTr="00184321">
        <w:trPr>
          <w:trHeight w:val="561"/>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A79A1" w:rsidRPr="00D8784D" w:rsidRDefault="000A79A1" w:rsidP="006F795B">
            <w:pPr>
              <w:spacing w:before="0" w:after="0"/>
              <w:jc w:val="left"/>
              <w:rPr>
                <w:rFonts w:ascii="Arial" w:hAnsi="Arial" w:cs="Arial"/>
                <w:sz w:val="16"/>
                <w:szCs w:val="16"/>
                <w:lang w:val="en-GB" w:eastAsia="en-GB"/>
              </w:rPr>
            </w:pPr>
            <w:r w:rsidRPr="00D8784D">
              <w:rPr>
                <w:rFonts w:ascii="Arial" w:hAnsi="Arial" w:cs="Arial"/>
                <w:sz w:val="16"/>
                <w:szCs w:val="16"/>
                <w:lang w:val="en-GB" w:eastAsia="en-GB"/>
              </w:rPr>
              <w:t>Optimising the monitoring and management of raised blood pressure during and after pregnancy</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0A79A1" w:rsidRPr="00D8784D" w:rsidRDefault="000A79A1" w:rsidP="006F795B">
            <w:pPr>
              <w:spacing w:before="0" w:after="0"/>
              <w:jc w:val="left"/>
              <w:rPr>
                <w:rFonts w:ascii="Arial" w:hAnsi="Arial" w:cs="Arial"/>
                <w:sz w:val="16"/>
                <w:szCs w:val="16"/>
                <w:lang w:val="en-GB" w:eastAsia="en-GB"/>
              </w:rPr>
            </w:pPr>
            <w:r w:rsidRPr="00D8784D">
              <w:rPr>
                <w:rFonts w:ascii="Arial" w:hAnsi="Arial" w:cs="Arial"/>
                <w:sz w:val="16"/>
                <w:szCs w:val="16"/>
                <w:lang w:val="en-GB" w:eastAsia="en-GB"/>
              </w:rPr>
              <w:t>Prof Richard McManus (Dept of Primary Care)</w:t>
            </w:r>
          </w:p>
        </w:tc>
        <w:tc>
          <w:tcPr>
            <w:tcW w:w="907" w:type="dxa"/>
            <w:tcBorders>
              <w:top w:val="nil"/>
              <w:left w:val="nil"/>
              <w:bottom w:val="single" w:sz="4" w:space="0" w:color="auto"/>
              <w:right w:val="single" w:sz="4" w:space="0" w:color="auto"/>
            </w:tcBorders>
            <w:shd w:val="clear" w:color="auto" w:fill="auto"/>
            <w:noWrap/>
            <w:vAlign w:val="center"/>
            <w:hideMark/>
          </w:tcPr>
          <w:p w:rsidR="000A79A1" w:rsidRPr="00D8784D" w:rsidRDefault="000A79A1" w:rsidP="006F795B">
            <w:pPr>
              <w:spacing w:before="0" w:after="0"/>
              <w:jc w:val="center"/>
              <w:rPr>
                <w:rFonts w:ascii="Arial" w:hAnsi="Arial" w:cs="Arial"/>
                <w:sz w:val="16"/>
                <w:szCs w:val="16"/>
                <w:lang w:val="en-GB" w:eastAsia="en-GB"/>
              </w:rPr>
            </w:pPr>
            <w:r w:rsidRPr="00D8784D">
              <w:rPr>
                <w:rFonts w:ascii="Arial" w:hAnsi="Arial" w:cs="Arial"/>
                <w:sz w:val="16"/>
                <w:szCs w:val="16"/>
                <w:lang w:val="en-GB" w:eastAsia="en-GB"/>
              </w:rPr>
              <w:t xml:space="preserve">            536 </w:t>
            </w:r>
          </w:p>
        </w:tc>
        <w:tc>
          <w:tcPr>
            <w:tcW w:w="908" w:type="dxa"/>
            <w:tcBorders>
              <w:top w:val="nil"/>
              <w:left w:val="nil"/>
              <w:bottom w:val="single" w:sz="4" w:space="0" w:color="auto"/>
              <w:right w:val="single" w:sz="4" w:space="0" w:color="auto"/>
            </w:tcBorders>
            <w:shd w:val="clear" w:color="auto" w:fill="auto"/>
            <w:noWrap/>
            <w:vAlign w:val="center"/>
            <w:hideMark/>
          </w:tcPr>
          <w:p w:rsidR="000A79A1" w:rsidRPr="00D8784D" w:rsidRDefault="000A79A1" w:rsidP="006F795B">
            <w:pPr>
              <w:spacing w:before="0" w:after="0"/>
              <w:jc w:val="center"/>
              <w:rPr>
                <w:rFonts w:ascii="Arial" w:hAnsi="Arial" w:cs="Arial"/>
                <w:sz w:val="16"/>
                <w:szCs w:val="16"/>
                <w:lang w:val="en-GB" w:eastAsia="en-GB"/>
              </w:rPr>
            </w:pPr>
            <w:r w:rsidRPr="00D8784D">
              <w:rPr>
                <w:rFonts w:ascii="Arial" w:hAnsi="Arial" w:cs="Arial"/>
                <w:sz w:val="16"/>
                <w:szCs w:val="16"/>
                <w:lang w:val="en-GB" w:eastAsia="en-GB"/>
              </w:rPr>
              <w:t xml:space="preserve">           689 </w:t>
            </w:r>
          </w:p>
        </w:tc>
        <w:tc>
          <w:tcPr>
            <w:tcW w:w="908" w:type="dxa"/>
            <w:tcBorders>
              <w:top w:val="nil"/>
              <w:left w:val="nil"/>
              <w:bottom w:val="single" w:sz="4" w:space="0" w:color="auto"/>
              <w:right w:val="single" w:sz="8" w:space="0" w:color="auto"/>
            </w:tcBorders>
            <w:shd w:val="clear" w:color="auto" w:fill="auto"/>
            <w:noWrap/>
            <w:vAlign w:val="center"/>
            <w:hideMark/>
          </w:tcPr>
          <w:p w:rsidR="000A79A1" w:rsidRPr="00D8784D" w:rsidRDefault="000A79A1" w:rsidP="006F795B">
            <w:pPr>
              <w:spacing w:before="0" w:after="0"/>
              <w:jc w:val="center"/>
              <w:rPr>
                <w:rFonts w:ascii="Arial" w:hAnsi="Arial" w:cs="Arial"/>
                <w:sz w:val="16"/>
                <w:szCs w:val="16"/>
                <w:lang w:val="en-GB" w:eastAsia="en-GB"/>
              </w:rPr>
            </w:pPr>
            <w:r w:rsidRPr="00D8784D">
              <w:rPr>
                <w:rFonts w:ascii="Arial" w:hAnsi="Arial" w:cs="Arial"/>
                <w:sz w:val="16"/>
                <w:szCs w:val="16"/>
                <w:lang w:val="en-GB" w:eastAsia="en-GB"/>
              </w:rPr>
              <w:t xml:space="preserve">            - </w:t>
            </w:r>
          </w:p>
        </w:tc>
      </w:tr>
      <w:tr w:rsidR="000A79A1" w:rsidRPr="000A79A1" w:rsidTr="00184321">
        <w:trPr>
          <w:trHeight w:val="825"/>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A79A1" w:rsidRPr="00D8784D" w:rsidRDefault="000A79A1" w:rsidP="006F795B">
            <w:pPr>
              <w:spacing w:before="0" w:after="0"/>
              <w:jc w:val="left"/>
              <w:rPr>
                <w:rFonts w:ascii="Arial" w:hAnsi="Arial" w:cs="Arial"/>
                <w:sz w:val="16"/>
                <w:szCs w:val="16"/>
                <w:lang w:val="en-GB" w:eastAsia="en-GB"/>
              </w:rPr>
            </w:pPr>
            <w:r w:rsidRPr="00D8784D">
              <w:rPr>
                <w:rFonts w:ascii="Arial" w:hAnsi="Arial" w:cs="Arial"/>
                <w:sz w:val="16"/>
                <w:szCs w:val="16"/>
                <w:lang w:val="en-GB" w:eastAsia="en-GB"/>
              </w:rPr>
              <w:t>Supporting people with type 2 diabetes in effective use of their medicine through a system comprising mobile health technology integrated with clinical care</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0A79A1" w:rsidRPr="00D8784D" w:rsidRDefault="000A79A1" w:rsidP="006F795B">
            <w:pPr>
              <w:spacing w:before="0" w:after="0"/>
              <w:jc w:val="left"/>
              <w:rPr>
                <w:rFonts w:ascii="Arial" w:hAnsi="Arial" w:cs="Arial"/>
                <w:sz w:val="16"/>
                <w:szCs w:val="16"/>
                <w:lang w:val="en-GB" w:eastAsia="en-GB"/>
              </w:rPr>
            </w:pPr>
            <w:r w:rsidRPr="00D8784D">
              <w:rPr>
                <w:rFonts w:ascii="Arial" w:hAnsi="Arial" w:cs="Arial"/>
                <w:sz w:val="16"/>
                <w:szCs w:val="16"/>
                <w:lang w:val="en-GB" w:eastAsia="en-GB"/>
              </w:rPr>
              <w:t>Prof Andrew Farmer (Dept of Primary Care)</w:t>
            </w:r>
          </w:p>
        </w:tc>
        <w:tc>
          <w:tcPr>
            <w:tcW w:w="907" w:type="dxa"/>
            <w:tcBorders>
              <w:top w:val="nil"/>
              <w:left w:val="nil"/>
              <w:bottom w:val="single" w:sz="4" w:space="0" w:color="auto"/>
              <w:right w:val="single" w:sz="4" w:space="0" w:color="auto"/>
            </w:tcBorders>
            <w:shd w:val="clear" w:color="auto" w:fill="auto"/>
            <w:noWrap/>
            <w:vAlign w:val="center"/>
            <w:hideMark/>
          </w:tcPr>
          <w:p w:rsidR="000A79A1" w:rsidRPr="00D8784D" w:rsidRDefault="000A79A1" w:rsidP="006F795B">
            <w:pPr>
              <w:spacing w:before="0" w:after="0"/>
              <w:jc w:val="center"/>
              <w:rPr>
                <w:rFonts w:ascii="Arial" w:hAnsi="Arial" w:cs="Arial"/>
                <w:sz w:val="16"/>
                <w:szCs w:val="16"/>
                <w:lang w:val="en-GB" w:eastAsia="en-GB"/>
              </w:rPr>
            </w:pPr>
            <w:r w:rsidRPr="00D8784D">
              <w:rPr>
                <w:rFonts w:ascii="Arial" w:hAnsi="Arial" w:cs="Arial"/>
                <w:sz w:val="16"/>
                <w:szCs w:val="16"/>
                <w:lang w:val="en-GB" w:eastAsia="en-GB"/>
              </w:rPr>
              <w:t xml:space="preserve">            470 </w:t>
            </w:r>
          </w:p>
        </w:tc>
        <w:tc>
          <w:tcPr>
            <w:tcW w:w="908" w:type="dxa"/>
            <w:tcBorders>
              <w:top w:val="nil"/>
              <w:left w:val="nil"/>
              <w:bottom w:val="single" w:sz="4" w:space="0" w:color="auto"/>
              <w:right w:val="single" w:sz="4" w:space="0" w:color="auto"/>
            </w:tcBorders>
            <w:shd w:val="clear" w:color="auto" w:fill="auto"/>
            <w:noWrap/>
            <w:vAlign w:val="center"/>
            <w:hideMark/>
          </w:tcPr>
          <w:p w:rsidR="000A79A1" w:rsidRPr="00D8784D" w:rsidRDefault="000A79A1" w:rsidP="006F795B">
            <w:pPr>
              <w:spacing w:before="0" w:after="0"/>
              <w:jc w:val="center"/>
              <w:rPr>
                <w:rFonts w:ascii="Arial" w:hAnsi="Arial" w:cs="Arial"/>
                <w:sz w:val="16"/>
                <w:szCs w:val="16"/>
                <w:lang w:val="en-GB" w:eastAsia="en-GB"/>
              </w:rPr>
            </w:pPr>
            <w:r w:rsidRPr="00D8784D">
              <w:rPr>
                <w:rFonts w:ascii="Arial" w:hAnsi="Arial" w:cs="Arial"/>
                <w:sz w:val="16"/>
                <w:szCs w:val="16"/>
                <w:lang w:val="en-GB" w:eastAsia="en-GB"/>
              </w:rPr>
              <w:t xml:space="preserve">           517 </w:t>
            </w:r>
          </w:p>
        </w:tc>
        <w:tc>
          <w:tcPr>
            <w:tcW w:w="908" w:type="dxa"/>
            <w:tcBorders>
              <w:top w:val="nil"/>
              <w:left w:val="nil"/>
              <w:bottom w:val="single" w:sz="4" w:space="0" w:color="auto"/>
              <w:right w:val="single" w:sz="8" w:space="0" w:color="auto"/>
            </w:tcBorders>
            <w:shd w:val="clear" w:color="auto" w:fill="auto"/>
            <w:noWrap/>
            <w:vAlign w:val="center"/>
            <w:hideMark/>
          </w:tcPr>
          <w:p w:rsidR="000A79A1" w:rsidRPr="00D8784D" w:rsidRDefault="000A79A1" w:rsidP="006F795B">
            <w:pPr>
              <w:spacing w:before="0" w:after="0"/>
              <w:jc w:val="center"/>
              <w:rPr>
                <w:rFonts w:ascii="Arial" w:hAnsi="Arial" w:cs="Arial"/>
                <w:sz w:val="16"/>
                <w:szCs w:val="16"/>
                <w:lang w:val="en-GB" w:eastAsia="en-GB"/>
              </w:rPr>
            </w:pPr>
            <w:r w:rsidRPr="00D8784D">
              <w:rPr>
                <w:rFonts w:ascii="Arial" w:hAnsi="Arial" w:cs="Arial"/>
                <w:sz w:val="16"/>
                <w:szCs w:val="16"/>
                <w:lang w:val="en-GB" w:eastAsia="en-GB"/>
              </w:rPr>
              <w:t xml:space="preserve">        483 </w:t>
            </w:r>
          </w:p>
        </w:tc>
      </w:tr>
      <w:tr w:rsidR="000A79A1" w:rsidRPr="000A79A1" w:rsidTr="00184321">
        <w:trPr>
          <w:trHeight w:val="792"/>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A79A1" w:rsidRPr="00D8784D" w:rsidRDefault="000A79A1" w:rsidP="006F795B">
            <w:pPr>
              <w:spacing w:before="0" w:after="0"/>
              <w:jc w:val="left"/>
              <w:rPr>
                <w:rFonts w:ascii="Arial" w:hAnsi="Arial" w:cs="Arial"/>
                <w:sz w:val="16"/>
                <w:szCs w:val="16"/>
                <w:lang w:val="en-GB" w:eastAsia="en-GB"/>
              </w:rPr>
            </w:pPr>
            <w:r w:rsidRPr="00D8784D">
              <w:rPr>
                <w:rFonts w:ascii="Arial" w:hAnsi="Arial" w:cs="Arial"/>
                <w:sz w:val="16"/>
                <w:szCs w:val="16"/>
                <w:lang w:val="en-GB" w:eastAsia="en-GB"/>
              </w:rPr>
              <w:lastRenderedPageBreak/>
              <w:t>Safety netting in Primary Care: A realistic review of the contexts and mechanisms on its effectiveness</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0A79A1" w:rsidRPr="00D8784D" w:rsidRDefault="000A79A1" w:rsidP="006F795B">
            <w:pPr>
              <w:spacing w:before="0" w:after="0"/>
              <w:jc w:val="left"/>
              <w:rPr>
                <w:rFonts w:ascii="Arial" w:hAnsi="Arial" w:cs="Arial"/>
                <w:sz w:val="16"/>
                <w:szCs w:val="16"/>
                <w:lang w:val="en-GB" w:eastAsia="en-GB"/>
              </w:rPr>
            </w:pPr>
            <w:r w:rsidRPr="00D8784D">
              <w:rPr>
                <w:rFonts w:ascii="Arial" w:hAnsi="Arial" w:cs="Arial"/>
                <w:sz w:val="16"/>
                <w:szCs w:val="16"/>
                <w:lang w:val="en-GB" w:eastAsia="en-GB"/>
              </w:rPr>
              <w:t>Dr Claire Friedmann-Smith (Dept of Primary Care)</w:t>
            </w:r>
          </w:p>
        </w:tc>
        <w:tc>
          <w:tcPr>
            <w:tcW w:w="907" w:type="dxa"/>
            <w:tcBorders>
              <w:top w:val="nil"/>
              <w:left w:val="nil"/>
              <w:bottom w:val="single" w:sz="4" w:space="0" w:color="auto"/>
              <w:right w:val="single" w:sz="4" w:space="0" w:color="auto"/>
            </w:tcBorders>
            <w:shd w:val="clear" w:color="auto" w:fill="auto"/>
            <w:noWrap/>
            <w:vAlign w:val="center"/>
            <w:hideMark/>
          </w:tcPr>
          <w:p w:rsidR="000A79A1" w:rsidRPr="00D8784D" w:rsidRDefault="000A79A1" w:rsidP="006F795B">
            <w:pPr>
              <w:spacing w:before="0" w:after="0"/>
              <w:jc w:val="center"/>
              <w:rPr>
                <w:rFonts w:ascii="Arial" w:hAnsi="Arial" w:cs="Arial"/>
                <w:sz w:val="16"/>
                <w:szCs w:val="16"/>
                <w:lang w:val="en-GB" w:eastAsia="en-GB"/>
              </w:rPr>
            </w:pPr>
            <w:r w:rsidRPr="00D8784D">
              <w:rPr>
                <w:rFonts w:ascii="Arial" w:hAnsi="Arial" w:cs="Arial"/>
                <w:sz w:val="16"/>
                <w:szCs w:val="16"/>
                <w:lang w:val="en-GB" w:eastAsia="en-GB"/>
              </w:rPr>
              <w:t xml:space="preserve">              42 </w:t>
            </w:r>
          </w:p>
        </w:tc>
        <w:tc>
          <w:tcPr>
            <w:tcW w:w="908" w:type="dxa"/>
            <w:tcBorders>
              <w:top w:val="nil"/>
              <w:left w:val="nil"/>
              <w:bottom w:val="single" w:sz="4" w:space="0" w:color="auto"/>
              <w:right w:val="single" w:sz="4" w:space="0" w:color="auto"/>
            </w:tcBorders>
            <w:shd w:val="clear" w:color="auto" w:fill="auto"/>
            <w:noWrap/>
            <w:vAlign w:val="center"/>
            <w:hideMark/>
          </w:tcPr>
          <w:p w:rsidR="000A79A1" w:rsidRPr="00D8784D" w:rsidRDefault="000A79A1" w:rsidP="006F795B">
            <w:pPr>
              <w:spacing w:before="0" w:after="0"/>
              <w:jc w:val="center"/>
              <w:rPr>
                <w:rFonts w:ascii="Arial" w:hAnsi="Arial" w:cs="Arial"/>
                <w:sz w:val="16"/>
                <w:szCs w:val="16"/>
                <w:lang w:val="en-GB" w:eastAsia="en-GB"/>
              </w:rPr>
            </w:pPr>
            <w:r w:rsidRPr="00D8784D">
              <w:rPr>
                <w:rFonts w:ascii="Arial" w:hAnsi="Arial" w:cs="Arial"/>
                <w:sz w:val="16"/>
                <w:szCs w:val="16"/>
                <w:lang w:val="en-GB" w:eastAsia="en-GB"/>
              </w:rPr>
              <w:t xml:space="preserve">           108 </w:t>
            </w:r>
          </w:p>
        </w:tc>
        <w:tc>
          <w:tcPr>
            <w:tcW w:w="908" w:type="dxa"/>
            <w:tcBorders>
              <w:top w:val="nil"/>
              <w:left w:val="nil"/>
              <w:bottom w:val="single" w:sz="4" w:space="0" w:color="auto"/>
              <w:right w:val="single" w:sz="8" w:space="0" w:color="auto"/>
            </w:tcBorders>
            <w:shd w:val="clear" w:color="auto" w:fill="auto"/>
            <w:noWrap/>
            <w:vAlign w:val="center"/>
            <w:hideMark/>
          </w:tcPr>
          <w:p w:rsidR="000A79A1" w:rsidRPr="00D8784D" w:rsidRDefault="000A79A1" w:rsidP="006F795B">
            <w:pPr>
              <w:spacing w:before="0" w:after="0"/>
              <w:jc w:val="center"/>
              <w:rPr>
                <w:rFonts w:ascii="Arial" w:hAnsi="Arial" w:cs="Arial"/>
                <w:sz w:val="16"/>
                <w:szCs w:val="16"/>
                <w:lang w:val="en-GB" w:eastAsia="en-GB"/>
              </w:rPr>
            </w:pPr>
            <w:r w:rsidRPr="00D8784D">
              <w:rPr>
                <w:rFonts w:ascii="Arial" w:hAnsi="Arial" w:cs="Arial"/>
                <w:sz w:val="16"/>
                <w:szCs w:val="16"/>
                <w:lang w:val="en-GB" w:eastAsia="en-GB"/>
              </w:rPr>
              <w:t xml:space="preserve">            - </w:t>
            </w:r>
          </w:p>
        </w:tc>
      </w:tr>
      <w:tr w:rsidR="000A79A1" w:rsidRPr="000A79A1" w:rsidTr="00184321">
        <w:trPr>
          <w:trHeight w:val="748"/>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A79A1" w:rsidRPr="00D8784D" w:rsidRDefault="000A79A1" w:rsidP="006F795B">
            <w:pPr>
              <w:spacing w:before="0" w:after="0"/>
              <w:jc w:val="left"/>
              <w:rPr>
                <w:rFonts w:ascii="Arial" w:hAnsi="Arial" w:cs="Arial"/>
                <w:sz w:val="16"/>
                <w:szCs w:val="16"/>
                <w:lang w:val="en-GB" w:eastAsia="en-GB"/>
              </w:rPr>
            </w:pPr>
            <w:r w:rsidRPr="00D8784D">
              <w:rPr>
                <w:rFonts w:ascii="Arial" w:hAnsi="Arial" w:cs="Arial"/>
                <w:sz w:val="16"/>
                <w:szCs w:val="16"/>
                <w:lang w:val="en-GB" w:eastAsia="en-GB"/>
              </w:rPr>
              <w:t>Identifying, explaining and addressing unwarranted variation in GP prescribing behaviour: a mixed methods programme with low cost RCTs</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0A79A1" w:rsidRPr="00D8784D" w:rsidRDefault="000A79A1" w:rsidP="006F795B">
            <w:pPr>
              <w:spacing w:before="0" w:after="0"/>
              <w:jc w:val="left"/>
              <w:rPr>
                <w:rFonts w:ascii="Arial" w:hAnsi="Arial" w:cs="Arial"/>
                <w:sz w:val="16"/>
                <w:szCs w:val="16"/>
                <w:lang w:val="en-GB" w:eastAsia="en-GB"/>
              </w:rPr>
            </w:pPr>
            <w:r w:rsidRPr="00D8784D">
              <w:rPr>
                <w:rFonts w:ascii="Arial" w:hAnsi="Arial" w:cs="Arial"/>
                <w:sz w:val="16"/>
                <w:szCs w:val="16"/>
                <w:lang w:val="en-GB" w:eastAsia="en-GB"/>
              </w:rPr>
              <w:t>Dr Ben Goldacre (Dept of Primary Care)</w:t>
            </w:r>
          </w:p>
        </w:tc>
        <w:tc>
          <w:tcPr>
            <w:tcW w:w="907" w:type="dxa"/>
            <w:tcBorders>
              <w:top w:val="nil"/>
              <w:left w:val="nil"/>
              <w:bottom w:val="single" w:sz="4" w:space="0" w:color="auto"/>
              <w:right w:val="single" w:sz="4" w:space="0" w:color="auto"/>
            </w:tcBorders>
            <w:shd w:val="clear" w:color="auto" w:fill="auto"/>
            <w:noWrap/>
            <w:vAlign w:val="center"/>
            <w:hideMark/>
          </w:tcPr>
          <w:p w:rsidR="000A79A1" w:rsidRPr="00D8784D" w:rsidRDefault="000A79A1" w:rsidP="006F795B">
            <w:pPr>
              <w:spacing w:before="0" w:after="0"/>
              <w:jc w:val="center"/>
              <w:rPr>
                <w:rFonts w:ascii="Arial" w:hAnsi="Arial" w:cs="Arial"/>
                <w:sz w:val="16"/>
                <w:szCs w:val="16"/>
                <w:lang w:val="en-GB" w:eastAsia="en-GB"/>
              </w:rPr>
            </w:pPr>
            <w:r w:rsidRPr="00D8784D">
              <w:rPr>
                <w:rFonts w:ascii="Arial" w:hAnsi="Arial" w:cs="Arial"/>
                <w:sz w:val="16"/>
                <w:szCs w:val="16"/>
                <w:lang w:val="en-GB" w:eastAsia="en-GB"/>
              </w:rPr>
              <w:t xml:space="preserve">              30 </w:t>
            </w:r>
          </w:p>
        </w:tc>
        <w:tc>
          <w:tcPr>
            <w:tcW w:w="908" w:type="dxa"/>
            <w:tcBorders>
              <w:top w:val="nil"/>
              <w:left w:val="nil"/>
              <w:bottom w:val="single" w:sz="4" w:space="0" w:color="auto"/>
              <w:right w:val="single" w:sz="4" w:space="0" w:color="auto"/>
            </w:tcBorders>
            <w:shd w:val="clear" w:color="auto" w:fill="auto"/>
            <w:noWrap/>
            <w:vAlign w:val="center"/>
            <w:hideMark/>
          </w:tcPr>
          <w:p w:rsidR="000A79A1" w:rsidRPr="00D8784D" w:rsidRDefault="000A79A1" w:rsidP="006F795B">
            <w:pPr>
              <w:spacing w:before="0" w:after="0"/>
              <w:jc w:val="center"/>
              <w:rPr>
                <w:rFonts w:ascii="Arial" w:hAnsi="Arial" w:cs="Arial"/>
                <w:sz w:val="16"/>
                <w:szCs w:val="16"/>
                <w:lang w:val="en-GB" w:eastAsia="en-GB"/>
              </w:rPr>
            </w:pPr>
            <w:r w:rsidRPr="00D8784D">
              <w:rPr>
                <w:rFonts w:ascii="Arial" w:hAnsi="Arial" w:cs="Arial"/>
                <w:sz w:val="16"/>
                <w:szCs w:val="16"/>
                <w:lang w:val="en-GB" w:eastAsia="en-GB"/>
              </w:rPr>
              <w:t xml:space="preserve">             95 </w:t>
            </w:r>
          </w:p>
        </w:tc>
        <w:tc>
          <w:tcPr>
            <w:tcW w:w="908" w:type="dxa"/>
            <w:tcBorders>
              <w:top w:val="nil"/>
              <w:left w:val="nil"/>
              <w:bottom w:val="single" w:sz="4" w:space="0" w:color="auto"/>
              <w:right w:val="single" w:sz="8" w:space="0" w:color="auto"/>
            </w:tcBorders>
            <w:shd w:val="clear" w:color="auto" w:fill="auto"/>
            <w:noWrap/>
            <w:vAlign w:val="center"/>
            <w:hideMark/>
          </w:tcPr>
          <w:p w:rsidR="000A79A1" w:rsidRPr="00D8784D" w:rsidRDefault="000A79A1" w:rsidP="006F795B">
            <w:pPr>
              <w:spacing w:before="0" w:after="0"/>
              <w:jc w:val="center"/>
              <w:rPr>
                <w:rFonts w:ascii="Arial" w:hAnsi="Arial" w:cs="Arial"/>
                <w:sz w:val="16"/>
                <w:szCs w:val="16"/>
                <w:lang w:val="en-GB" w:eastAsia="en-GB"/>
              </w:rPr>
            </w:pPr>
            <w:r w:rsidRPr="00D8784D">
              <w:rPr>
                <w:rFonts w:ascii="Arial" w:hAnsi="Arial" w:cs="Arial"/>
                <w:sz w:val="16"/>
                <w:szCs w:val="16"/>
                <w:lang w:val="en-GB" w:eastAsia="en-GB"/>
              </w:rPr>
              <w:t xml:space="preserve">          25 </w:t>
            </w:r>
          </w:p>
        </w:tc>
      </w:tr>
      <w:tr w:rsidR="000A79A1" w:rsidRPr="000A79A1" w:rsidTr="00184321">
        <w:trPr>
          <w:trHeight w:val="288"/>
        </w:trPr>
        <w:tc>
          <w:tcPr>
            <w:tcW w:w="3959" w:type="dxa"/>
            <w:tcBorders>
              <w:top w:val="nil"/>
              <w:left w:val="single" w:sz="8" w:space="0" w:color="auto"/>
              <w:bottom w:val="single" w:sz="8" w:space="0" w:color="auto"/>
              <w:right w:val="single" w:sz="4" w:space="0" w:color="auto"/>
            </w:tcBorders>
            <w:shd w:val="clear" w:color="auto" w:fill="auto"/>
            <w:vAlign w:val="bottom"/>
            <w:hideMark/>
          </w:tcPr>
          <w:p w:rsidR="000A79A1" w:rsidRPr="00D8784D" w:rsidRDefault="000A79A1" w:rsidP="006F795B">
            <w:pPr>
              <w:spacing w:before="0" w:after="0"/>
              <w:jc w:val="left"/>
              <w:rPr>
                <w:rFonts w:ascii="Arial" w:hAnsi="Arial" w:cs="Arial"/>
                <w:b/>
                <w:bCs/>
                <w:sz w:val="16"/>
                <w:szCs w:val="16"/>
                <w:lang w:val="en-GB" w:eastAsia="en-GB"/>
              </w:rPr>
            </w:pPr>
            <w:r w:rsidRPr="00D8784D">
              <w:rPr>
                <w:rFonts w:ascii="Arial" w:hAnsi="Arial" w:cs="Arial"/>
                <w:b/>
                <w:bCs/>
                <w:sz w:val="16"/>
                <w:szCs w:val="16"/>
                <w:lang w:val="en-GB" w:eastAsia="en-GB"/>
              </w:rPr>
              <w:t>Total</w:t>
            </w:r>
          </w:p>
        </w:tc>
        <w:tc>
          <w:tcPr>
            <w:tcW w:w="2835" w:type="dxa"/>
            <w:tcBorders>
              <w:top w:val="single" w:sz="4" w:space="0" w:color="auto"/>
              <w:left w:val="nil"/>
              <w:bottom w:val="single" w:sz="8" w:space="0" w:color="auto"/>
              <w:right w:val="single" w:sz="4" w:space="0" w:color="auto"/>
            </w:tcBorders>
            <w:shd w:val="clear" w:color="auto" w:fill="auto"/>
            <w:noWrap/>
            <w:vAlign w:val="bottom"/>
            <w:hideMark/>
          </w:tcPr>
          <w:p w:rsidR="000A79A1" w:rsidRPr="00D8784D" w:rsidRDefault="000A79A1" w:rsidP="006F795B">
            <w:pPr>
              <w:spacing w:before="0" w:after="0"/>
              <w:jc w:val="left"/>
              <w:rPr>
                <w:rFonts w:ascii="Arial" w:hAnsi="Arial" w:cs="Arial"/>
                <w:b/>
                <w:bCs/>
                <w:sz w:val="16"/>
                <w:szCs w:val="16"/>
                <w:lang w:val="en-GB" w:eastAsia="en-GB"/>
              </w:rPr>
            </w:pPr>
            <w:r w:rsidRPr="00D8784D">
              <w:rPr>
                <w:rFonts w:ascii="Arial" w:hAnsi="Arial" w:cs="Arial"/>
                <w:b/>
                <w:bCs/>
                <w:sz w:val="16"/>
                <w:szCs w:val="16"/>
                <w:lang w:val="en-GB" w:eastAsia="en-GB"/>
              </w:rPr>
              <w:t> </w:t>
            </w:r>
          </w:p>
        </w:tc>
        <w:tc>
          <w:tcPr>
            <w:tcW w:w="907" w:type="dxa"/>
            <w:tcBorders>
              <w:top w:val="single" w:sz="4" w:space="0" w:color="auto"/>
              <w:left w:val="nil"/>
              <w:bottom w:val="single" w:sz="8" w:space="0" w:color="auto"/>
              <w:right w:val="single" w:sz="4" w:space="0" w:color="auto"/>
            </w:tcBorders>
            <w:shd w:val="clear" w:color="auto" w:fill="auto"/>
            <w:noWrap/>
            <w:vAlign w:val="bottom"/>
            <w:hideMark/>
          </w:tcPr>
          <w:p w:rsidR="000A79A1" w:rsidRPr="00D8784D" w:rsidRDefault="000A79A1" w:rsidP="00184321">
            <w:pPr>
              <w:spacing w:before="0" w:after="0"/>
              <w:jc w:val="center"/>
              <w:rPr>
                <w:rFonts w:ascii="Arial" w:hAnsi="Arial" w:cs="Arial"/>
                <w:b/>
                <w:bCs/>
                <w:sz w:val="16"/>
                <w:szCs w:val="16"/>
                <w:lang w:val="en-GB" w:eastAsia="en-GB"/>
              </w:rPr>
            </w:pPr>
            <w:r w:rsidRPr="00D8784D">
              <w:rPr>
                <w:rFonts w:ascii="Arial" w:hAnsi="Arial" w:cs="Arial"/>
                <w:b/>
                <w:bCs/>
                <w:sz w:val="16"/>
                <w:szCs w:val="16"/>
                <w:lang w:val="en-GB" w:eastAsia="en-GB"/>
              </w:rPr>
              <w:t>8,631</w:t>
            </w:r>
          </w:p>
        </w:tc>
        <w:tc>
          <w:tcPr>
            <w:tcW w:w="908" w:type="dxa"/>
            <w:tcBorders>
              <w:top w:val="single" w:sz="4" w:space="0" w:color="auto"/>
              <w:left w:val="nil"/>
              <w:bottom w:val="single" w:sz="8" w:space="0" w:color="auto"/>
              <w:right w:val="single" w:sz="4" w:space="0" w:color="auto"/>
            </w:tcBorders>
            <w:shd w:val="clear" w:color="auto" w:fill="auto"/>
            <w:noWrap/>
            <w:vAlign w:val="bottom"/>
            <w:hideMark/>
          </w:tcPr>
          <w:p w:rsidR="000A79A1" w:rsidRPr="00D8784D" w:rsidRDefault="000A79A1" w:rsidP="00184321">
            <w:pPr>
              <w:spacing w:before="0" w:after="0"/>
              <w:jc w:val="center"/>
              <w:rPr>
                <w:rFonts w:ascii="Arial" w:hAnsi="Arial" w:cs="Arial"/>
                <w:b/>
                <w:bCs/>
                <w:sz w:val="16"/>
                <w:szCs w:val="16"/>
                <w:lang w:val="en-GB" w:eastAsia="en-GB"/>
              </w:rPr>
            </w:pPr>
            <w:r w:rsidRPr="00D8784D">
              <w:rPr>
                <w:rFonts w:ascii="Arial" w:hAnsi="Arial" w:cs="Arial"/>
                <w:b/>
                <w:bCs/>
                <w:sz w:val="16"/>
                <w:szCs w:val="16"/>
                <w:lang w:val="en-GB" w:eastAsia="en-GB"/>
              </w:rPr>
              <w:t>9,061</w:t>
            </w:r>
          </w:p>
        </w:tc>
        <w:tc>
          <w:tcPr>
            <w:tcW w:w="908" w:type="dxa"/>
            <w:tcBorders>
              <w:top w:val="nil"/>
              <w:left w:val="single" w:sz="4" w:space="0" w:color="auto"/>
              <w:bottom w:val="single" w:sz="8" w:space="0" w:color="auto"/>
              <w:right w:val="single" w:sz="8" w:space="0" w:color="auto"/>
            </w:tcBorders>
            <w:shd w:val="clear" w:color="auto" w:fill="auto"/>
            <w:noWrap/>
            <w:vAlign w:val="bottom"/>
            <w:hideMark/>
          </w:tcPr>
          <w:p w:rsidR="000A79A1" w:rsidRPr="00D8784D" w:rsidRDefault="000A79A1" w:rsidP="00184321">
            <w:pPr>
              <w:spacing w:before="0" w:after="0"/>
              <w:jc w:val="center"/>
              <w:rPr>
                <w:rFonts w:ascii="Arial" w:hAnsi="Arial" w:cs="Arial"/>
                <w:b/>
                <w:bCs/>
                <w:sz w:val="16"/>
                <w:szCs w:val="16"/>
                <w:lang w:val="en-GB" w:eastAsia="en-GB"/>
              </w:rPr>
            </w:pPr>
            <w:r w:rsidRPr="00D8784D">
              <w:rPr>
                <w:rFonts w:ascii="Arial" w:hAnsi="Arial" w:cs="Arial"/>
                <w:b/>
                <w:bCs/>
                <w:sz w:val="16"/>
                <w:szCs w:val="16"/>
                <w:lang w:val="en-GB" w:eastAsia="en-GB"/>
              </w:rPr>
              <w:t>6,896</w:t>
            </w:r>
          </w:p>
        </w:tc>
      </w:tr>
    </w:tbl>
    <w:p w:rsidR="000A79A1" w:rsidRDefault="000A79A1" w:rsidP="00DF386E">
      <w:pPr>
        <w:rPr>
          <w:b/>
          <w:color w:val="000000" w:themeColor="text1"/>
          <w:sz w:val="24"/>
        </w:rPr>
      </w:pPr>
    </w:p>
    <w:p w:rsidR="00DF386E" w:rsidRPr="00062ED2" w:rsidRDefault="00DF386E" w:rsidP="00DF386E">
      <w:pPr>
        <w:rPr>
          <w:b/>
          <w:color w:val="000000" w:themeColor="text1"/>
          <w:sz w:val="24"/>
        </w:rPr>
      </w:pPr>
      <w:r w:rsidRPr="00062ED2">
        <w:rPr>
          <w:b/>
          <w:color w:val="000000" w:themeColor="text1"/>
          <w:sz w:val="24"/>
        </w:rPr>
        <w:t xml:space="preserve">FY20 Income Budget </w:t>
      </w:r>
    </w:p>
    <w:p w:rsidR="00DF386E" w:rsidRDefault="00DF386E" w:rsidP="00DF386E">
      <w:pPr>
        <w:rPr>
          <w:rFonts w:cs="Arial"/>
          <w:color w:val="000000" w:themeColor="text1"/>
          <w:lang w:val="en-GB"/>
        </w:rPr>
      </w:pPr>
      <w:r w:rsidRPr="00062ED2">
        <w:rPr>
          <w:rFonts w:cs="Arial"/>
          <w:color w:val="000000" w:themeColor="text1"/>
          <w:lang w:val="en-GB"/>
        </w:rPr>
        <w:t>The FY20 Income budget of £11.</w:t>
      </w:r>
      <w:r>
        <w:rPr>
          <w:rFonts w:cs="Arial"/>
          <w:color w:val="000000" w:themeColor="text1"/>
          <w:lang w:val="en-GB"/>
        </w:rPr>
        <w:t>7</w:t>
      </w:r>
      <w:r w:rsidRPr="00062ED2">
        <w:rPr>
          <w:rFonts w:cs="Arial"/>
          <w:color w:val="000000" w:themeColor="text1"/>
          <w:lang w:val="en-GB"/>
        </w:rPr>
        <w:t xml:space="preserve">m is made-up </w:t>
      </w:r>
      <w:r w:rsidR="000A79A1">
        <w:rPr>
          <w:rFonts w:cs="Arial"/>
          <w:color w:val="000000" w:themeColor="text1"/>
          <w:lang w:val="en-GB"/>
        </w:rPr>
        <w:t>a</w:t>
      </w:r>
      <w:r w:rsidRPr="00062ED2">
        <w:rPr>
          <w:rFonts w:cs="Arial"/>
          <w:color w:val="000000" w:themeColor="text1"/>
          <w:lang w:val="en-GB"/>
        </w:rPr>
        <w:t xml:space="preserve">s follows: </w:t>
      </w:r>
    </w:p>
    <w:tbl>
      <w:tblPr>
        <w:tblW w:w="9314" w:type="dxa"/>
        <w:tblLook w:val="04A0" w:firstRow="1" w:lastRow="0" w:firstColumn="1" w:lastColumn="0" w:noHBand="0" w:noVBand="1"/>
      </w:tblPr>
      <w:tblGrid>
        <w:gridCol w:w="8115"/>
        <w:gridCol w:w="1199"/>
      </w:tblGrid>
      <w:tr w:rsidR="00C96C5B" w:rsidRPr="00C96C5B" w:rsidTr="00C96C5B">
        <w:trPr>
          <w:trHeight w:val="225"/>
        </w:trPr>
        <w:tc>
          <w:tcPr>
            <w:tcW w:w="8115" w:type="dxa"/>
            <w:tcBorders>
              <w:top w:val="single" w:sz="8" w:space="0" w:color="auto"/>
              <w:left w:val="single" w:sz="8" w:space="0" w:color="auto"/>
              <w:bottom w:val="single" w:sz="4" w:space="0" w:color="auto"/>
              <w:right w:val="single" w:sz="8" w:space="0" w:color="auto"/>
            </w:tcBorders>
            <w:shd w:val="clear" w:color="000000" w:fill="D9D9D9"/>
            <w:vAlign w:val="bottom"/>
            <w:hideMark/>
          </w:tcPr>
          <w:p w:rsidR="00C96C5B" w:rsidRPr="00C96C5B" w:rsidRDefault="00C96C5B" w:rsidP="00C96C5B">
            <w:pPr>
              <w:spacing w:before="0" w:after="0"/>
              <w:jc w:val="center"/>
              <w:rPr>
                <w:rFonts w:ascii="Arial" w:hAnsi="Arial" w:cs="Arial"/>
                <w:b/>
                <w:bCs/>
                <w:sz w:val="18"/>
                <w:szCs w:val="18"/>
                <w:lang w:val="en-GB" w:eastAsia="en-GB"/>
              </w:rPr>
            </w:pPr>
            <w:r w:rsidRPr="00C96C5B">
              <w:rPr>
                <w:rFonts w:ascii="Arial" w:hAnsi="Arial" w:cs="Arial"/>
                <w:b/>
                <w:bCs/>
                <w:sz w:val="18"/>
                <w:szCs w:val="18"/>
                <w:lang w:val="en-GB" w:eastAsia="en-GB"/>
              </w:rPr>
              <w:t>FY20 Income Budget</w:t>
            </w:r>
          </w:p>
        </w:tc>
        <w:tc>
          <w:tcPr>
            <w:tcW w:w="1199" w:type="dxa"/>
            <w:tcBorders>
              <w:top w:val="single" w:sz="8" w:space="0" w:color="auto"/>
              <w:left w:val="nil"/>
              <w:bottom w:val="single" w:sz="4" w:space="0" w:color="auto"/>
              <w:right w:val="single" w:sz="8" w:space="0" w:color="auto"/>
            </w:tcBorders>
            <w:shd w:val="clear" w:color="000000" w:fill="D9D9D9"/>
            <w:hideMark/>
          </w:tcPr>
          <w:p w:rsidR="00C96C5B" w:rsidRPr="00C96C5B" w:rsidRDefault="00C96C5B" w:rsidP="00C96C5B">
            <w:pPr>
              <w:spacing w:before="0" w:after="0"/>
              <w:jc w:val="center"/>
              <w:rPr>
                <w:rFonts w:ascii="Arial" w:hAnsi="Arial" w:cs="Arial"/>
                <w:b/>
                <w:bCs/>
                <w:sz w:val="18"/>
                <w:szCs w:val="18"/>
                <w:lang w:val="en-GB" w:eastAsia="en-GB"/>
              </w:rPr>
            </w:pPr>
            <w:r w:rsidRPr="00C96C5B">
              <w:rPr>
                <w:rFonts w:ascii="Arial" w:hAnsi="Arial" w:cs="Arial"/>
                <w:b/>
                <w:bCs/>
                <w:sz w:val="18"/>
                <w:szCs w:val="18"/>
                <w:lang w:val="en-GB" w:eastAsia="en-GB"/>
              </w:rPr>
              <w:t xml:space="preserve"> Total </w:t>
            </w:r>
          </w:p>
        </w:tc>
      </w:tr>
      <w:tr w:rsidR="00C96C5B" w:rsidRPr="00C96C5B" w:rsidTr="00C96C5B">
        <w:trPr>
          <w:trHeight w:val="225"/>
        </w:trPr>
        <w:tc>
          <w:tcPr>
            <w:tcW w:w="8115" w:type="dxa"/>
            <w:tcBorders>
              <w:top w:val="nil"/>
              <w:left w:val="single" w:sz="8" w:space="0" w:color="auto"/>
              <w:bottom w:val="single" w:sz="4" w:space="0" w:color="auto"/>
              <w:right w:val="single" w:sz="8" w:space="0" w:color="auto"/>
            </w:tcBorders>
            <w:shd w:val="clear" w:color="000000" w:fill="FFFFFF"/>
            <w:vAlign w:val="bottom"/>
            <w:hideMark/>
          </w:tcPr>
          <w:p w:rsidR="00C96C5B" w:rsidRPr="00C96C5B" w:rsidRDefault="00C96C5B" w:rsidP="00C96C5B">
            <w:pPr>
              <w:spacing w:before="0" w:after="0"/>
              <w:jc w:val="left"/>
              <w:rPr>
                <w:rFonts w:ascii="Arial" w:hAnsi="Arial" w:cs="Arial"/>
                <w:b/>
                <w:bCs/>
                <w:sz w:val="18"/>
                <w:szCs w:val="18"/>
                <w:lang w:val="en-GB" w:eastAsia="en-GB"/>
              </w:rPr>
            </w:pPr>
            <w:r w:rsidRPr="00C96C5B">
              <w:rPr>
                <w:rFonts w:ascii="Arial" w:hAnsi="Arial" w:cs="Arial"/>
                <w:b/>
                <w:bCs/>
                <w:sz w:val="18"/>
                <w:szCs w:val="18"/>
                <w:lang w:val="en-GB" w:eastAsia="en-GB"/>
              </w:rPr>
              <w:t>National Institute for Health Research</w:t>
            </w:r>
          </w:p>
        </w:tc>
        <w:tc>
          <w:tcPr>
            <w:tcW w:w="1199" w:type="dxa"/>
            <w:tcBorders>
              <w:top w:val="nil"/>
              <w:left w:val="nil"/>
              <w:bottom w:val="single" w:sz="4" w:space="0" w:color="auto"/>
              <w:right w:val="single" w:sz="8" w:space="0" w:color="auto"/>
            </w:tcBorders>
            <w:shd w:val="clear" w:color="000000" w:fill="FFFFFF"/>
            <w:hideMark/>
          </w:tcPr>
          <w:p w:rsidR="00C96C5B" w:rsidRPr="00C96C5B" w:rsidRDefault="00C96C5B" w:rsidP="00C96C5B">
            <w:pPr>
              <w:spacing w:before="0" w:after="0"/>
              <w:jc w:val="center"/>
              <w:rPr>
                <w:rFonts w:ascii="Arial" w:hAnsi="Arial" w:cs="Arial"/>
                <w:b/>
                <w:bCs/>
                <w:sz w:val="18"/>
                <w:szCs w:val="18"/>
                <w:lang w:val="en-GB" w:eastAsia="en-GB"/>
              </w:rPr>
            </w:pPr>
            <w:r w:rsidRPr="00C96C5B">
              <w:rPr>
                <w:rFonts w:ascii="Arial" w:hAnsi="Arial" w:cs="Arial"/>
                <w:b/>
                <w:bCs/>
                <w:sz w:val="18"/>
                <w:szCs w:val="18"/>
                <w:lang w:val="en-GB" w:eastAsia="en-GB"/>
              </w:rPr>
              <w:t xml:space="preserve"> £k </w:t>
            </w:r>
          </w:p>
        </w:tc>
      </w:tr>
      <w:tr w:rsidR="00C96C5B" w:rsidRPr="00C96C5B" w:rsidTr="00C96C5B">
        <w:trPr>
          <w:trHeight w:val="225"/>
        </w:trPr>
        <w:tc>
          <w:tcPr>
            <w:tcW w:w="8115" w:type="dxa"/>
            <w:tcBorders>
              <w:top w:val="nil"/>
              <w:left w:val="single" w:sz="8" w:space="0" w:color="auto"/>
              <w:bottom w:val="single" w:sz="4" w:space="0" w:color="auto"/>
              <w:right w:val="single" w:sz="8" w:space="0" w:color="auto"/>
            </w:tcBorders>
            <w:shd w:val="clear" w:color="auto" w:fill="auto"/>
            <w:noWrap/>
            <w:hideMark/>
          </w:tcPr>
          <w:p w:rsidR="00C96C5B" w:rsidRPr="00C96C5B" w:rsidRDefault="00C96C5B" w:rsidP="00C96C5B">
            <w:pPr>
              <w:spacing w:before="0" w:after="0"/>
              <w:jc w:val="left"/>
              <w:rPr>
                <w:rFonts w:ascii="Arial" w:hAnsi="Arial" w:cs="Arial"/>
                <w:sz w:val="18"/>
                <w:szCs w:val="18"/>
                <w:lang w:val="en-GB" w:eastAsia="en-GB"/>
              </w:rPr>
            </w:pPr>
            <w:r w:rsidRPr="00C96C5B">
              <w:rPr>
                <w:rFonts w:ascii="Arial" w:hAnsi="Arial" w:cs="Arial"/>
                <w:sz w:val="18"/>
                <w:szCs w:val="18"/>
                <w:lang w:val="en-GB" w:eastAsia="en-GB"/>
              </w:rPr>
              <w:t xml:space="preserve"> Biomedical Research Centre (BRC) </w:t>
            </w:r>
          </w:p>
        </w:tc>
        <w:tc>
          <w:tcPr>
            <w:tcW w:w="1199" w:type="dxa"/>
            <w:tcBorders>
              <w:top w:val="nil"/>
              <w:left w:val="nil"/>
              <w:bottom w:val="single" w:sz="4" w:space="0" w:color="auto"/>
              <w:right w:val="single" w:sz="8" w:space="0" w:color="auto"/>
            </w:tcBorders>
            <w:shd w:val="clear" w:color="auto" w:fill="auto"/>
            <w:noWrap/>
            <w:hideMark/>
          </w:tcPr>
          <w:p w:rsidR="00C96C5B" w:rsidRPr="00C96C5B" w:rsidRDefault="00C96C5B" w:rsidP="00C96C5B">
            <w:pPr>
              <w:spacing w:before="0" w:after="0"/>
              <w:jc w:val="left"/>
              <w:rPr>
                <w:rFonts w:ascii="Arial" w:hAnsi="Arial" w:cs="Arial"/>
                <w:sz w:val="18"/>
                <w:szCs w:val="18"/>
                <w:lang w:val="en-GB" w:eastAsia="en-GB"/>
              </w:rPr>
            </w:pPr>
            <w:r w:rsidRPr="00C96C5B">
              <w:rPr>
                <w:rFonts w:ascii="Arial" w:hAnsi="Arial" w:cs="Arial"/>
                <w:sz w:val="18"/>
                <w:szCs w:val="18"/>
                <w:lang w:val="en-GB" w:eastAsia="en-GB"/>
              </w:rPr>
              <w:t xml:space="preserve">       2,846 </w:t>
            </w:r>
          </w:p>
        </w:tc>
      </w:tr>
      <w:tr w:rsidR="00C96C5B" w:rsidRPr="00C96C5B" w:rsidTr="00C96C5B">
        <w:trPr>
          <w:trHeight w:val="225"/>
        </w:trPr>
        <w:tc>
          <w:tcPr>
            <w:tcW w:w="8115" w:type="dxa"/>
            <w:tcBorders>
              <w:top w:val="nil"/>
              <w:left w:val="single" w:sz="8" w:space="0" w:color="auto"/>
              <w:bottom w:val="single" w:sz="4" w:space="0" w:color="auto"/>
              <w:right w:val="single" w:sz="8" w:space="0" w:color="auto"/>
            </w:tcBorders>
            <w:shd w:val="clear" w:color="auto" w:fill="auto"/>
            <w:noWrap/>
            <w:hideMark/>
          </w:tcPr>
          <w:p w:rsidR="00C96C5B" w:rsidRPr="00C96C5B" w:rsidRDefault="00C96C5B" w:rsidP="00C96C5B">
            <w:pPr>
              <w:spacing w:before="0" w:after="0"/>
              <w:jc w:val="left"/>
              <w:rPr>
                <w:rFonts w:ascii="Arial" w:hAnsi="Arial" w:cs="Arial"/>
                <w:sz w:val="18"/>
                <w:szCs w:val="18"/>
                <w:lang w:val="en-GB" w:eastAsia="en-GB"/>
              </w:rPr>
            </w:pPr>
            <w:r w:rsidRPr="00C96C5B">
              <w:rPr>
                <w:rFonts w:ascii="Arial" w:hAnsi="Arial" w:cs="Arial"/>
                <w:sz w:val="18"/>
                <w:szCs w:val="18"/>
                <w:lang w:val="en-GB" w:eastAsia="en-GB"/>
              </w:rPr>
              <w:t xml:space="preserve"> Collaboration in Leadership in Applied Health Research &amp; Care (CLAHRC) </w:t>
            </w:r>
          </w:p>
        </w:tc>
        <w:tc>
          <w:tcPr>
            <w:tcW w:w="1199" w:type="dxa"/>
            <w:tcBorders>
              <w:top w:val="nil"/>
              <w:left w:val="nil"/>
              <w:bottom w:val="single" w:sz="4" w:space="0" w:color="auto"/>
              <w:right w:val="single" w:sz="8" w:space="0" w:color="auto"/>
            </w:tcBorders>
            <w:shd w:val="clear" w:color="auto" w:fill="auto"/>
            <w:noWrap/>
            <w:hideMark/>
          </w:tcPr>
          <w:p w:rsidR="00C96C5B" w:rsidRPr="00C96C5B" w:rsidRDefault="00C96C5B" w:rsidP="00C96C5B">
            <w:pPr>
              <w:spacing w:before="0" w:after="0"/>
              <w:jc w:val="left"/>
              <w:rPr>
                <w:rFonts w:ascii="Arial" w:hAnsi="Arial" w:cs="Arial"/>
                <w:sz w:val="18"/>
                <w:szCs w:val="18"/>
                <w:lang w:val="en-GB" w:eastAsia="en-GB"/>
              </w:rPr>
            </w:pPr>
            <w:r w:rsidRPr="00C96C5B">
              <w:rPr>
                <w:rFonts w:ascii="Arial" w:hAnsi="Arial" w:cs="Arial"/>
                <w:sz w:val="18"/>
                <w:szCs w:val="18"/>
                <w:lang w:val="en-GB" w:eastAsia="en-GB"/>
              </w:rPr>
              <w:t xml:space="preserve">       1,000 </w:t>
            </w:r>
          </w:p>
        </w:tc>
      </w:tr>
      <w:tr w:rsidR="00C96C5B" w:rsidRPr="00C96C5B" w:rsidTr="00C96C5B">
        <w:trPr>
          <w:trHeight w:val="225"/>
        </w:trPr>
        <w:tc>
          <w:tcPr>
            <w:tcW w:w="8115" w:type="dxa"/>
            <w:tcBorders>
              <w:top w:val="nil"/>
              <w:left w:val="single" w:sz="8" w:space="0" w:color="auto"/>
              <w:bottom w:val="single" w:sz="4" w:space="0" w:color="auto"/>
              <w:right w:val="single" w:sz="8" w:space="0" w:color="auto"/>
            </w:tcBorders>
            <w:shd w:val="clear" w:color="auto" w:fill="auto"/>
            <w:noWrap/>
            <w:hideMark/>
          </w:tcPr>
          <w:p w:rsidR="00C96C5B" w:rsidRPr="00C96C5B" w:rsidRDefault="00C96C5B" w:rsidP="00C96C5B">
            <w:pPr>
              <w:spacing w:before="0" w:after="0"/>
              <w:jc w:val="left"/>
              <w:rPr>
                <w:rFonts w:ascii="Arial" w:hAnsi="Arial" w:cs="Arial"/>
                <w:sz w:val="18"/>
                <w:szCs w:val="18"/>
                <w:lang w:val="en-GB" w:eastAsia="en-GB"/>
              </w:rPr>
            </w:pPr>
            <w:r w:rsidRPr="00C96C5B">
              <w:rPr>
                <w:rFonts w:ascii="Arial" w:hAnsi="Arial" w:cs="Arial"/>
                <w:sz w:val="18"/>
                <w:szCs w:val="18"/>
                <w:lang w:val="en-GB" w:eastAsia="en-GB"/>
              </w:rPr>
              <w:t xml:space="preserve"> Applied Research Collaboration (ARC) </w:t>
            </w:r>
          </w:p>
        </w:tc>
        <w:tc>
          <w:tcPr>
            <w:tcW w:w="1199" w:type="dxa"/>
            <w:tcBorders>
              <w:top w:val="nil"/>
              <w:left w:val="nil"/>
              <w:bottom w:val="single" w:sz="4" w:space="0" w:color="auto"/>
              <w:right w:val="single" w:sz="8" w:space="0" w:color="auto"/>
            </w:tcBorders>
            <w:shd w:val="clear" w:color="auto" w:fill="auto"/>
            <w:noWrap/>
            <w:hideMark/>
          </w:tcPr>
          <w:p w:rsidR="00C96C5B" w:rsidRPr="00C96C5B" w:rsidRDefault="00C96C5B" w:rsidP="00C96C5B">
            <w:pPr>
              <w:spacing w:before="0" w:after="0"/>
              <w:jc w:val="left"/>
              <w:rPr>
                <w:rFonts w:ascii="Arial" w:hAnsi="Arial" w:cs="Arial"/>
                <w:sz w:val="18"/>
                <w:szCs w:val="18"/>
                <w:lang w:val="en-GB" w:eastAsia="en-GB"/>
              </w:rPr>
            </w:pPr>
            <w:r w:rsidRPr="00C96C5B">
              <w:rPr>
                <w:rFonts w:ascii="Arial" w:hAnsi="Arial" w:cs="Arial"/>
                <w:sz w:val="18"/>
                <w:szCs w:val="18"/>
                <w:lang w:val="en-GB" w:eastAsia="en-GB"/>
              </w:rPr>
              <w:t xml:space="preserve">          824 </w:t>
            </w:r>
          </w:p>
        </w:tc>
      </w:tr>
      <w:tr w:rsidR="00C96C5B" w:rsidRPr="00C96C5B" w:rsidTr="00C96C5B">
        <w:trPr>
          <w:trHeight w:val="225"/>
        </w:trPr>
        <w:tc>
          <w:tcPr>
            <w:tcW w:w="8115" w:type="dxa"/>
            <w:tcBorders>
              <w:top w:val="nil"/>
              <w:left w:val="single" w:sz="8" w:space="0" w:color="auto"/>
              <w:bottom w:val="single" w:sz="4" w:space="0" w:color="auto"/>
              <w:right w:val="single" w:sz="8" w:space="0" w:color="auto"/>
            </w:tcBorders>
            <w:shd w:val="clear" w:color="auto" w:fill="auto"/>
            <w:noWrap/>
            <w:hideMark/>
          </w:tcPr>
          <w:p w:rsidR="00C96C5B" w:rsidRPr="00C96C5B" w:rsidRDefault="00C96C5B" w:rsidP="00C96C5B">
            <w:pPr>
              <w:spacing w:before="0" w:after="0"/>
              <w:jc w:val="left"/>
              <w:rPr>
                <w:rFonts w:ascii="Arial" w:hAnsi="Arial" w:cs="Arial"/>
                <w:sz w:val="18"/>
                <w:szCs w:val="18"/>
                <w:lang w:val="en-GB" w:eastAsia="en-GB"/>
              </w:rPr>
            </w:pPr>
            <w:r w:rsidRPr="00C96C5B">
              <w:rPr>
                <w:rFonts w:ascii="Arial" w:hAnsi="Arial" w:cs="Arial"/>
                <w:sz w:val="18"/>
                <w:szCs w:val="18"/>
                <w:lang w:val="en-GB" w:eastAsia="en-GB"/>
              </w:rPr>
              <w:t xml:space="preserve"> Research Capability Funding (RCF) </w:t>
            </w:r>
          </w:p>
        </w:tc>
        <w:tc>
          <w:tcPr>
            <w:tcW w:w="1199" w:type="dxa"/>
            <w:tcBorders>
              <w:top w:val="nil"/>
              <w:left w:val="nil"/>
              <w:bottom w:val="single" w:sz="4" w:space="0" w:color="auto"/>
              <w:right w:val="single" w:sz="8" w:space="0" w:color="auto"/>
            </w:tcBorders>
            <w:shd w:val="clear" w:color="auto" w:fill="auto"/>
            <w:noWrap/>
            <w:hideMark/>
          </w:tcPr>
          <w:p w:rsidR="00C96C5B" w:rsidRPr="00C96C5B" w:rsidRDefault="00C96C5B" w:rsidP="00C96C5B">
            <w:pPr>
              <w:spacing w:before="0" w:after="0"/>
              <w:jc w:val="left"/>
              <w:rPr>
                <w:rFonts w:ascii="Arial" w:hAnsi="Arial" w:cs="Arial"/>
                <w:sz w:val="18"/>
                <w:szCs w:val="18"/>
                <w:lang w:val="en-GB" w:eastAsia="en-GB"/>
              </w:rPr>
            </w:pPr>
            <w:r w:rsidRPr="00C96C5B">
              <w:rPr>
                <w:rFonts w:ascii="Arial" w:hAnsi="Arial" w:cs="Arial"/>
                <w:sz w:val="18"/>
                <w:szCs w:val="18"/>
                <w:lang w:val="en-GB" w:eastAsia="en-GB"/>
              </w:rPr>
              <w:t xml:space="preserve">       1,428 </w:t>
            </w:r>
          </w:p>
        </w:tc>
      </w:tr>
      <w:tr w:rsidR="00C96C5B" w:rsidRPr="00C96C5B" w:rsidTr="00C96C5B">
        <w:trPr>
          <w:trHeight w:val="225"/>
        </w:trPr>
        <w:tc>
          <w:tcPr>
            <w:tcW w:w="8115" w:type="dxa"/>
            <w:tcBorders>
              <w:top w:val="nil"/>
              <w:left w:val="single" w:sz="8" w:space="0" w:color="auto"/>
              <w:bottom w:val="single" w:sz="4" w:space="0" w:color="auto"/>
              <w:right w:val="single" w:sz="8" w:space="0" w:color="auto"/>
            </w:tcBorders>
            <w:shd w:val="clear" w:color="auto" w:fill="auto"/>
            <w:noWrap/>
            <w:hideMark/>
          </w:tcPr>
          <w:p w:rsidR="00C96C5B" w:rsidRPr="00C96C5B" w:rsidRDefault="00C96C5B" w:rsidP="00C96C5B">
            <w:pPr>
              <w:spacing w:before="0" w:after="0"/>
              <w:jc w:val="left"/>
              <w:rPr>
                <w:rFonts w:ascii="Arial" w:hAnsi="Arial" w:cs="Arial"/>
                <w:sz w:val="18"/>
                <w:szCs w:val="18"/>
                <w:lang w:val="en-GB" w:eastAsia="en-GB"/>
              </w:rPr>
            </w:pPr>
            <w:r w:rsidRPr="00C96C5B">
              <w:rPr>
                <w:rFonts w:ascii="Arial" w:hAnsi="Arial" w:cs="Arial"/>
                <w:sz w:val="18"/>
                <w:szCs w:val="18"/>
                <w:lang w:val="en-GB" w:eastAsia="en-GB"/>
              </w:rPr>
              <w:t xml:space="preserve"> Grant Income </w:t>
            </w:r>
          </w:p>
        </w:tc>
        <w:tc>
          <w:tcPr>
            <w:tcW w:w="1199" w:type="dxa"/>
            <w:tcBorders>
              <w:top w:val="nil"/>
              <w:left w:val="nil"/>
              <w:bottom w:val="single" w:sz="4" w:space="0" w:color="auto"/>
              <w:right w:val="single" w:sz="8" w:space="0" w:color="auto"/>
            </w:tcBorders>
            <w:shd w:val="clear" w:color="auto" w:fill="auto"/>
            <w:noWrap/>
            <w:hideMark/>
          </w:tcPr>
          <w:p w:rsidR="00C96C5B" w:rsidRPr="00C96C5B" w:rsidRDefault="00C96C5B" w:rsidP="00C96C5B">
            <w:pPr>
              <w:spacing w:before="0" w:after="0"/>
              <w:jc w:val="left"/>
              <w:rPr>
                <w:rFonts w:ascii="Arial" w:hAnsi="Arial" w:cs="Arial"/>
                <w:sz w:val="18"/>
                <w:szCs w:val="18"/>
                <w:lang w:val="en-GB" w:eastAsia="en-GB"/>
              </w:rPr>
            </w:pPr>
            <w:r w:rsidRPr="00C96C5B">
              <w:rPr>
                <w:rFonts w:ascii="Arial" w:hAnsi="Arial" w:cs="Arial"/>
                <w:sz w:val="18"/>
                <w:szCs w:val="18"/>
                <w:lang w:val="en-GB" w:eastAsia="en-GB"/>
              </w:rPr>
              <w:t xml:space="preserve">       1,586 </w:t>
            </w:r>
          </w:p>
        </w:tc>
      </w:tr>
      <w:tr w:rsidR="00C96C5B" w:rsidRPr="00C96C5B" w:rsidTr="00C96C5B">
        <w:trPr>
          <w:trHeight w:val="225"/>
        </w:trPr>
        <w:tc>
          <w:tcPr>
            <w:tcW w:w="8115" w:type="dxa"/>
            <w:tcBorders>
              <w:top w:val="nil"/>
              <w:left w:val="single" w:sz="8" w:space="0" w:color="auto"/>
              <w:bottom w:val="single" w:sz="4" w:space="0" w:color="auto"/>
              <w:right w:val="single" w:sz="8" w:space="0" w:color="auto"/>
            </w:tcBorders>
            <w:shd w:val="clear" w:color="auto" w:fill="auto"/>
            <w:noWrap/>
            <w:hideMark/>
          </w:tcPr>
          <w:p w:rsidR="00C96C5B" w:rsidRPr="00C96C5B" w:rsidRDefault="00C96C5B" w:rsidP="00C96C5B">
            <w:pPr>
              <w:spacing w:before="0" w:after="0"/>
              <w:jc w:val="left"/>
              <w:rPr>
                <w:rFonts w:ascii="Arial" w:hAnsi="Arial" w:cs="Arial"/>
                <w:sz w:val="18"/>
                <w:szCs w:val="18"/>
                <w:lang w:val="en-GB" w:eastAsia="en-GB"/>
              </w:rPr>
            </w:pPr>
            <w:r w:rsidRPr="00C96C5B">
              <w:rPr>
                <w:rFonts w:ascii="Arial" w:hAnsi="Arial" w:cs="Arial"/>
                <w:sz w:val="18"/>
                <w:szCs w:val="18"/>
                <w:lang w:val="en-GB" w:eastAsia="en-GB"/>
              </w:rPr>
              <w:t xml:space="preserve"> Clinical Research Facility (CRF) </w:t>
            </w:r>
          </w:p>
        </w:tc>
        <w:tc>
          <w:tcPr>
            <w:tcW w:w="1199" w:type="dxa"/>
            <w:tcBorders>
              <w:top w:val="nil"/>
              <w:left w:val="nil"/>
              <w:bottom w:val="single" w:sz="4" w:space="0" w:color="auto"/>
              <w:right w:val="single" w:sz="8" w:space="0" w:color="auto"/>
            </w:tcBorders>
            <w:shd w:val="clear" w:color="auto" w:fill="auto"/>
            <w:noWrap/>
            <w:hideMark/>
          </w:tcPr>
          <w:p w:rsidR="00C96C5B" w:rsidRPr="00C96C5B" w:rsidRDefault="00C96C5B" w:rsidP="00C96C5B">
            <w:pPr>
              <w:spacing w:before="0" w:after="0"/>
              <w:jc w:val="left"/>
              <w:rPr>
                <w:rFonts w:ascii="Arial" w:hAnsi="Arial" w:cs="Arial"/>
                <w:sz w:val="18"/>
                <w:szCs w:val="18"/>
                <w:lang w:val="en-GB" w:eastAsia="en-GB"/>
              </w:rPr>
            </w:pPr>
            <w:r w:rsidRPr="00C96C5B">
              <w:rPr>
                <w:rFonts w:ascii="Arial" w:hAnsi="Arial" w:cs="Arial"/>
                <w:sz w:val="18"/>
                <w:szCs w:val="18"/>
                <w:lang w:val="en-GB" w:eastAsia="en-GB"/>
              </w:rPr>
              <w:t xml:space="preserve">          748 </w:t>
            </w:r>
          </w:p>
        </w:tc>
      </w:tr>
      <w:tr w:rsidR="00C96C5B" w:rsidRPr="00C96C5B" w:rsidTr="00C96C5B">
        <w:trPr>
          <w:trHeight w:val="225"/>
        </w:trPr>
        <w:tc>
          <w:tcPr>
            <w:tcW w:w="8115" w:type="dxa"/>
            <w:tcBorders>
              <w:top w:val="nil"/>
              <w:left w:val="single" w:sz="8" w:space="0" w:color="auto"/>
              <w:bottom w:val="single" w:sz="4" w:space="0" w:color="auto"/>
              <w:right w:val="single" w:sz="8" w:space="0" w:color="auto"/>
            </w:tcBorders>
            <w:shd w:val="clear" w:color="auto" w:fill="auto"/>
            <w:noWrap/>
            <w:hideMark/>
          </w:tcPr>
          <w:p w:rsidR="00C96C5B" w:rsidRPr="00C96C5B" w:rsidRDefault="00C96C5B" w:rsidP="00C96C5B">
            <w:pPr>
              <w:spacing w:before="0" w:after="0"/>
              <w:jc w:val="left"/>
              <w:rPr>
                <w:rFonts w:ascii="Arial" w:hAnsi="Arial" w:cs="Arial"/>
                <w:sz w:val="18"/>
                <w:szCs w:val="18"/>
                <w:lang w:val="en-GB" w:eastAsia="en-GB"/>
              </w:rPr>
            </w:pPr>
            <w:r w:rsidRPr="00C96C5B">
              <w:rPr>
                <w:rFonts w:ascii="Arial" w:hAnsi="Arial" w:cs="Arial"/>
                <w:sz w:val="18"/>
                <w:szCs w:val="18"/>
                <w:lang w:val="en-GB" w:eastAsia="en-GB"/>
              </w:rPr>
              <w:t xml:space="preserve"> Gamechanger (I4I) </w:t>
            </w:r>
          </w:p>
        </w:tc>
        <w:tc>
          <w:tcPr>
            <w:tcW w:w="1199" w:type="dxa"/>
            <w:tcBorders>
              <w:top w:val="nil"/>
              <w:left w:val="nil"/>
              <w:bottom w:val="single" w:sz="4" w:space="0" w:color="auto"/>
              <w:right w:val="single" w:sz="8" w:space="0" w:color="auto"/>
            </w:tcBorders>
            <w:shd w:val="clear" w:color="auto" w:fill="auto"/>
            <w:noWrap/>
            <w:hideMark/>
          </w:tcPr>
          <w:p w:rsidR="00C96C5B" w:rsidRPr="00C96C5B" w:rsidRDefault="00C96C5B" w:rsidP="00C96C5B">
            <w:pPr>
              <w:spacing w:before="0" w:after="0"/>
              <w:jc w:val="left"/>
              <w:rPr>
                <w:rFonts w:ascii="Arial" w:hAnsi="Arial" w:cs="Arial"/>
                <w:sz w:val="18"/>
                <w:szCs w:val="18"/>
                <w:lang w:val="en-GB" w:eastAsia="en-GB"/>
              </w:rPr>
            </w:pPr>
            <w:r w:rsidRPr="00C96C5B">
              <w:rPr>
                <w:rFonts w:ascii="Arial" w:hAnsi="Arial" w:cs="Arial"/>
                <w:sz w:val="18"/>
                <w:szCs w:val="18"/>
                <w:lang w:val="en-GB" w:eastAsia="en-GB"/>
              </w:rPr>
              <w:t xml:space="preserve">       1,234 </w:t>
            </w:r>
          </w:p>
        </w:tc>
      </w:tr>
      <w:tr w:rsidR="00C96C5B" w:rsidRPr="00C96C5B" w:rsidTr="00C96C5B">
        <w:trPr>
          <w:trHeight w:val="225"/>
        </w:trPr>
        <w:tc>
          <w:tcPr>
            <w:tcW w:w="8115" w:type="dxa"/>
            <w:tcBorders>
              <w:top w:val="nil"/>
              <w:left w:val="single" w:sz="8" w:space="0" w:color="auto"/>
              <w:bottom w:val="single" w:sz="4" w:space="0" w:color="auto"/>
              <w:right w:val="single" w:sz="8" w:space="0" w:color="auto"/>
            </w:tcBorders>
            <w:shd w:val="clear" w:color="auto" w:fill="auto"/>
            <w:noWrap/>
            <w:hideMark/>
          </w:tcPr>
          <w:p w:rsidR="00C96C5B" w:rsidRPr="00C96C5B" w:rsidRDefault="00C96C5B" w:rsidP="00C96C5B">
            <w:pPr>
              <w:spacing w:before="0" w:after="0"/>
              <w:jc w:val="left"/>
              <w:rPr>
                <w:rFonts w:ascii="Arial" w:hAnsi="Arial" w:cs="Arial"/>
                <w:sz w:val="18"/>
                <w:szCs w:val="18"/>
                <w:lang w:val="en-GB" w:eastAsia="en-GB"/>
              </w:rPr>
            </w:pPr>
            <w:r w:rsidRPr="00C96C5B">
              <w:rPr>
                <w:rFonts w:ascii="Arial" w:hAnsi="Arial" w:cs="Arial"/>
                <w:sz w:val="18"/>
                <w:szCs w:val="18"/>
                <w:lang w:val="en-GB" w:eastAsia="en-GB"/>
              </w:rPr>
              <w:t xml:space="preserve"> </w:t>
            </w:r>
            <w:proofErr w:type="spellStart"/>
            <w:r w:rsidRPr="00C96C5B">
              <w:rPr>
                <w:rFonts w:ascii="Arial" w:hAnsi="Arial" w:cs="Arial"/>
                <w:sz w:val="18"/>
                <w:szCs w:val="18"/>
                <w:lang w:val="en-GB" w:eastAsia="en-GB"/>
              </w:rPr>
              <w:t>Medtech</w:t>
            </w:r>
            <w:proofErr w:type="spellEnd"/>
            <w:r w:rsidRPr="00C96C5B">
              <w:rPr>
                <w:rFonts w:ascii="Arial" w:hAnsi="Arial" w:cs="Arial"/>
                <w:sz w:val="18"/>
                <w:szCs w:val="18"/>
                <w:lang w:val="en-GB" w:eastAsia="en-GB"/>
              </w:rPr>
              <w:t xml:space="preserve"> and </w:t>
            </w:r>
            <w:proofErr w:type="spellStart"/>
            <w:r w:rsidRPr="00C96C5B">
              <w:rPr>
                <w:rFonts w:ascii="Arial" w:hAnsi="Arial" w:cs="Arial"/>
                <w:sz w:val="18"/>
                <w:szCs w:val="18"/>
                <w:lang w:val="en-GB" w:eastAsia="en-GB"/>
              </w:rPr>
              <w:t>InVitro</w:t>
            </w:r>
            <w:proofErr w:type="spellEnd"/>
            <w:r w:rsidRPr="00C96C5B">
              <w:rPr>
                <w:rFonts w:ascii="Arial" w:hAnsi="Arial" w:cs="Arial"/>
                <w:sz w:val="18"/>
                <w:szCs w:val="18"/>
                <w:lang w:val="en-GB" w:eastAsia="en-GB"/>
              </w:rPr>
              <w:t xml:space="preserve"> Diagnostic Co-Operative (MIC) </w:t>
            </w:r>
          </w:p>
        </w:tc>
        <w:tc>
          <w:tcPr>
            <w:tcW w:w="1199" w:type="dxa"/>
            <w:tcBorders>
              <w:top w:val="nil"/>
              <w:left w:val="nil"/>
              <w:bottom w:val="single" w:sz="4" w:space="0" w:color="auto"/>
              <w:right w:val="single" w:sz="8" w:space="0" w:color="auto"/>
            </w:tcBorders>
            <w:shd w:val="clear" w:color="auto" w:fill="auto"/>
            <w:noWrap/>
            <w:hideMark/>
          </w:tcPr>
          <w:p w:rsidR="00C96C5B" w:rsidRPr="00C96C5B" w:rsidRDefault="00C96C5B" w:rsidP="00C96C5B">
            <w:pPr>
              <w:spacing w:before="0" w:after="0"/>
              <w:jc w:val="left"/>
              <w:rPr>
                <w:rFonts w:ascii="Arial" w:hAnsi="Arial" w:cs="Arial"/>
                <w:sz w:val="18"/>
                <w:szCs w:val="18"/>
                <w:lang w:val="en-GB" w:eastAsia="en-GB"/>
              </w:rPr>
            </w:pPr>
            <w:r w:rsidRPr="00C96C5B">
              <w:rPr>
                <w:rFonts w:ascii="Arial" w:hAnsi="Arial" w:cs="Arial"/>
                <w:sz w:val="18"/>
                <w:szCs w:val="18"/>
                <w:lang w:val="en-GB" w:eastAsia="en-GB"/>
              </w:rPr>
              <w:t xml:space="preserve">          249 </w:t>
            </w:r>
          </w:p>
        </w:tc>
      </w:tr>
      <w:tr w:rsidR="00C96C5B" w:rsidRPr="00C96C5B" w:rsidTr="00C96C5B">
        <w:trPr>
          <w:trHeight w:val="225"/>
        </w:trPr>
        <w:tc>
          <w:tcPr>
            <w:tcW w:w="8115" w:type="dxa"/>
            <w:tcBorders>
              <w:top w:val="nil"/>
              <w:left w:val="single" w:sz="8" w:space="0" w:color="auto"/>
              <w:bottom w:val="single" w:sz="4" w:space="0" w:color="auto"/>
              <w:right w:val="single" w:sz="8" w:space="0" w:color="auto"/>
            </w:tcBorders>
            <w:shd w:val="clear" w:color="000000" w:fill="D9D9D9"/>
            <w:vAlign w:val="bottom"/>
            <w:hideMark/>
          </w:tcPr>
          <w:p w:rsidR="00C96C5B" w:rsidRPr="00C96C5B" w:rsidRDefault="00C96C5B" w:rsidP="00C96C5B">
            <w:pPr>
              <w:spacing w:before="0" w:after="0"/>
              <w:jc w:val="left"/>
              <w:rPr>
                <w:rFonts w:ascii="Arial" w:hAnsi="Arial" w:cs="Arial"/>
                <w:b/>
                <w:bCs/>
                <w:sz w:val="18"/>
                <w:szCs w:val="18"/>
                <w:lang w:val="en-GB" w:eastAsia="en-GB"/>
              </w:rPr>
            </w:pPr>
            <w:r w:rsidRPr="00C96C5B">
              <w:rPr>
                <w:rFonts w:ascii="Arial" w:hAnsi="Arial" w:cs="Arial"/>
                <w:b/>
                <w:bCs/>
                <w:sz w:val="18"/>
                <w:szCs w:val="18"/>
                <w:lang w:val="en-GB" w:eastAsia="en-GB"/>
              </w:rPr>
              <w:t>National Institute for Health Research</w:t>
            </w:r>
          </w:p>
        </w:tc>
        <w:tc>
          <w:tcPr>
            <w:tcW w:w="1199" w:type="dxa"/>
            <w:tcBorders>
              <w:top w:val="nil"/>
              <w:left w:val="nil"/>
              <w:bottom w:val="single" w:sz="4" w:space="0" w:color="auto"/>
              <w:right w:val="single" w:sz="8" w:space="0" w:color="auto"/>
            </w:tcBorders>
            <w:shd w:val="clear" w:color="000000" w:fill="D9D9D9"/>
            <w:vAlign w:val="bottom"/>
            <w:hideMark/>
          </w:tcPr>
          <w:p w:rsidR="00C96C5B" w:rsidRPr="00C96C5B" w:rsidRDefault="00C96C5B" w:rsidP="00C96C5B">
            <w:pPr>
              <w:spacing w:before="0" w:after="0"/>
              <w:jc w:val="left"/>
              <w:rPr>
                <w:rFonts w:ascii="Arial" w:hAnsi="Arial" w:cs="Arial"/>
                <w:b/>
                <w:bCs/>
                <w:sz w:val="18"/>
                <w:szCs w:val="18"/>
                <w:lang w:val="en-GB" w:eastAsia="en-GB"/>
              </w:rPr>
            </w:pPr>
            <w:r w:rsidRPr="00C96C5B">
              <w:rPr>
                <w:rFonts w:ascii="Arial" w:hAnsi="Arial" w:cs="Arial"/>
                <w:b/>
                <w:bCs/>
                <w:sz w:val="18"/>
                <w:szCs w:val="18"/>
                <w:lang w:val="en-GB" w:eastAsia="en-GB"/>
              </w:rPr>
              <w:t xml:space="preserve">       9,915 </w:t>
            </w:r>
          </w:p>
        </w:tc>
      </w:tr>
      <w:tr w:rsidR="00C96C5B" w:rsidRPr="00C96C5B" w:rsidTr="00C96C5B">
        <w:trPr>
          <w:trHeight w:val="225"/>
        </w:trPr>
        <w:tc>
          <w:tcPr>
            <w:tcW w:w="8115" w:type="dxa"/>
            <w:tcBorders>
              <w:top w:val="nil"/>
              <w:left w:val="single" w:sz="8" w:space="0" w:color="auto"/>
              <w:bottom w:val="single" w:sz="4" w:space="0" w:color="auto"/>
              <w:right w:val="single" w:sz="8" w:space="0" w:color="auto"/>
            </w:tcBorders>
            <w:shd w:val="clear" w:color="auto" w:fill="auto"/>
            <w:noWrap/>
            <w:hideMark/>
          </w:tcPr>
          <w:p w:rsidR="00C96C5B" w:rsidRPr="00C96C5B" w:rsidRDefault="00C96C5B" w:rsidP="00C96C5B">
            <w:pPr>
              <w:spacing w:before="0" w:after="0"/>
              <w:jc w:val="left"/>
              <w:rPr>
                <w:rFonts w:ascii="Arial" w:hAnsi="Arial" w:cs="Arial"/>
                <w:sz w:val="18"/>
                <w:szCs w:val="18"/>
                <w:lang w:val="en-GB" w:eastAsia="en-GB"/>
              </w:rPr>
            </w:pPr>
            <w:r w:rsidRPr="00C96C5B">
              <w:rPr>
                <w:rFonts w:ascii="Arial" w:hAnsi="Arial" w:cs="Arial"/>
                <w:sz w:val="18"/>
                <w:szCs w:val="18"/>
                <w:lang w:val="en-GB" w:eastAsia="en-GB"/>
              </w:rPr>
              <w:t xml:space="preserve"> Clinical Research </w:t>
            </w:r>
            <w:proofErr w:type="gramStart"/>
            <w:r w:rsidRPr="00C96C5B">
              <w:rPr>
                <w:rFonts w:ascii="Arial" w:hAnsi="Arial" w:cs="Arial"/>
                <w:sz w:val="18"/>
                <w:szCs w:val="18"/>
                <w:lang w:val="en-GB" w:eastAsia="en-GB"/>
              </w:rPr>
              <w:t>Network  :</w:t>
            </w:r>
            <w:proofErr w:type="gramEnd"/>
            <w:r w:rsidRPr="00C96C5B">
              <w:rPr>
                <w:rFonts w:ascii="Arial" w:hAnsi="Arial" w:cs="Arial"/>
                <w:sz w:val="18"/>
                <w:szCs w:val="18"/>
                <w:lang w:val="en-GB" w:eastAsia="en-GB"/>
              </w:rPr>
              <w:t xml:space="preserve"> Core Funding </w:t>
            </w:r>
          </w:p>
        </w:tc>
        <w:tc>
          <w:tcPr>
            <w:tcW w:w="1199" w:type="dxa"/>
            <w:tcBorders>
              <w:top w:val="nil"/>
              <w:left w:val="nil"/>
              <w:bottom w:val="single" w:sz="4" w:space="0" w:color="auto"/>
              <w:right w:val="single" w:sz="8" w:space="0" w:color="auto"/>
            </w:tcBorders>
            <w:shd w:val="clear" w:color="auto" w:fill="auto"/>
            <w:vAlign w:val="bottom"/>
            <w:hideMark/>
          </w:tcPr>
          <w:p w:rsidR="00C96C5B" w:rsidRPr="00C96C5B" w:rsidRDefault="00C96C5B" w:rsidP="00C96C5B">
            <w:pPr>
              <w:spacing w:before="0" w:after="0"/>
              <w:jc w:val="left"/>
              <w:rPr>
                <w:rFonts w:ascii="Arial" w:hAnsi="Arial" w:cs="Arial"/>
                <w:sz w:val="18"/>
                <w:szCs w:val="18"/>
                <w:lang w:val="en-GB" w:eastAsia="en-GB"/>
              </w:rPr>
            </w:pPr>
            <w:r w:rsidRPr="00C96C5B">
              <w:rPr>
                <w:rFonts w:ascii="Arial" w:hAnsi="Arial" w:cs="Arial"/>
                <w:sz w:val="18"/>
                <w:szCs w:val="18"/>
                <w:lang w:val="en-GB" w:eastAsia="en-GB"/>
              </w:rPr>
              <w:t xml:space="preserve">          830 </w:t>
            </w:r>
          </w:p>
        </w:tc>
      </w:tr>
      <w:tr w:rsidR="00C96C5B" w:rsidRPr="00C96C5B" w:rsidTr="00C96C5B">
        <w:trPr>
          <w:trHeight w:val="225"/>
        </w:trPr>
        <w:tc>
          <w:tcPr>
            <w:tcW w:w="8115" w:type="dxa"/>
            <w:tcBorders>
              <w:top w:val="nil"/>
              <w:left w:val="single" w:sz="8" w:space="0" w:color="auto"/>
              <w:bottom w:val="single" w:sz="4" w:space="0" w:color="auto"/>
              <w:right w:val="single" w:sz="8" w:space="0" w:color="auto"/>
            </w:tcBorders>
            <w:shd w:val="clear" w:color="auto" w:fill="auto"/>
            <w:noWrap/>
            <w:hideMark/>
          </w:tcPr>
          <w:p w:rsidR="00C96C5B" w:rsidRPr="00C96C5B" w:rsidRDefault="00C96C5B" w:rsidP="00C96C5B">
            <w:pPr>
              <w:spacing w:before="0" w:after="0"/>
              <w:jc w:val="left"/>
              <w:rPr>
                <w:rFonts w:ascii="Arial" w:hAnsi="Arial" w:cs="Arial"/>
                <w:sz w:val="18"/>
                <w:szCs w:val="18"/>
                <w:lang w:val="en-GB" w:eastAsia="en-GB"/>
              </w:rPr>
            </w:pPr>
            <w:r w:rsidRPr="00C96C5B">
              <w:rPr>
                <w:rFonts w:ascii="Arial" w:hAnsi="Arial" w:cs="Arial"/>
                <w:sz w:val="18"/>
                <w:szCs w:val="18"/>
                <w:lang w:val="en-GB" w:eastAsia="en-GB"/>
              </w:rPr>
              <w:t xml:space="preserve"> Clinical Research </w:t>
            </w:r>
            <w:proofErr w:type="gramStart"/>
            <w:r w:rsidRPr="00C96C5B">
              <w:rPr>
                <w:rFonts w:ascii="Arial" w:hAnsi="Arial" w:cs="Arial"/>
                <w:sz w:val="18"/>
                <w:szCs w:val="18"/>
                <w:lang w:val="en-GB" w:eastAsia="en-GB"/>
              </w:rPr>
              <w:t>Network  :</w:t>
            </w:r>
            <w:proofErr w:type="gramEnd"/>
            <w:r w:rsidRPr="00C96C5B">
              <w:rPr>
                <w:rFonts w:ascii="Arial" w:hAnsi="Arial" w:cs="Arial"/>
                <w:sz w:val="18"/>
                <w:szCs w:val="18"/>
                <w:lang w:val="en-GB" w:eastAsia="en-GB"/>
              </w:rPr>
              <w:t xml:space="preserve"> Hosting of Primary Care Research Partnership </w:t>
            </w:r>
          </w:p>
        </w:tc>
        <w:tc>
          <w:tcPr>
            <w:tcW w:w="1199" w:type="dxa"/>
            <w:tcBorders>
              <w:top w:val="nil"/>
              <w:left w:val="nil"/>
              <w:bottom w:val="single" w:sz="4" w:space="0" w:color="auto"/>
              <w:right w:val="single" w:sz="8" w:space="0" w:color="auto"/>
            </w:tcBorders>
            <w:shd w:val="clear" w:color="auto" w:fill="auto"/>
            <w:noWrap/>
            <w:hideMark/>
          </w:tcPr>
          <w:p w:rsidR="00C96C5B" w:rsidRPr="00C96C5B" w:rsidRDefault="00C96C5B" w:rsidP="00C96C5B">
            <w:pPr>
              <w:spacing w:before="0" w:after="0"/>
              <w:jc w:val="left"/>
              <w:rPr>
                <w:rFonts w:ascii="Arial" w:hAnsi="Arial" w:cs="Arial"/>
                <w:sz w:val="18"/>
                <w:szCs w:val="18"/>
                <w:lang w:val="en-GB" w:eastAsia="en-GB"/>
              </w:rPr>
            </w:pPr>
            <w:r w:rsidRPr="00C96C5B">
              <w:rPr>
                <w:rFonts w:ascii="Arial" w:hAnsi="Arial" w:cs="Arial"/>
                <w:sz w:val="18"/>
                <w:szCs w:val="18"/>
                <w:lang w:val="en-GB" w:eastAsia="en-GB"/>
              </w:rPr>
              <w:t xml:space="preserve">          390 </w:t>
            </w:r>
          </w:p>
        </w:tc>
      </w:tr>
      <w:tr w:rsidR="00C96C5B" w:rsidRPr="00C96C5B" w:rsidTr="00C96C5B">
        <w:trPr>
          <w:trHeight w:val="225"/>
        </w:trPr>
        <w:tc>
          <w:tcPr>
            <w:tcW w:w="8115" w:type="dxa"/>
            <w:tcBorders>
              <w:top w:val="nil"/>
              <w:left w:val="single" w:sz="8" w:space="0" w:color="auto"/>
              <w:bottom w:val="single" w:sz="4" w:space="0" w:color="auto"/>
              <w:right w:val="single" w:sz="8" w:space="0" w:color="auto"/>
            </w:tcBorders>
            <w:shd w:val="clear" w:color="auto" w:fill="auto"/>
            <w:noWrap/>
            <w:hideMark/>
          </w:tcPr>
          <w:p w:rsidR="00C96C5B" w:rsidRPr="00C96C5B" w:rsidRDefault="00C96C5B" w:rsidP="00C96C5B">
            <w:pPr>
              <w:spacing w:before="0" w:after="0"/>
              <w:jc w:val="left"/>
              <w:rPr>
                <w:rFonts w:ascii="Arial" w:hAnsi="Arial" w:cs="Arial"/>
                <w:sz w:val="18"/>
                <w:szCs w:val="18"/>
                <w:lang w:val="en-GB" w:eastAsia="en-GB"/>
              </w:rPr>
            </w:pPr>
            <w:r w:rsidRPr="00C96C5B">
              <w:rPr>
                <w:rFonts w:ascii="Arial" w:hAnsi="Arial" w:cs="Arial"/>
                <w:sz w:val="18"/>
                <w:szCs w:val="18"/>
                <w:lang w:val="en-GB" w:eastAsia="en-GB"/>
              </w:rPr>
              <w:t xml:space="preserve"> Study Delivery </w:t>
            </w:r>
          </w:p>
        </w:tc>
        <w:tc>
          <w:tcPr>
            <w:tcW w:w="1199" w:type="dxa"/>
            <w:tcBorders>
              <w:top w:val="nil"/>
              <w:left w:val="nil"/>
              <w:bottom w:val="single" w:sz="4" w:space="0" w:color="auto"/>
              <w:right w:val="single" w:sz="8" w:space="0" w:color="auto"/>
            </w:tcBorders>
            <w:shd w:val="clear" w:color="auto" w:fill="auto"/>
            <w:noWrap/>
            <w:hideMark/>
          </w:tcPr>
          <w:p w:rsidR="00C96C5B" w:rsidRPr="00C96C5B" w:rsidRDefault="00C96C5B" w:rsidP="00C96C5B">
            <w:pPr>
              <w:spacing w:before="0" w:after="0"/>
              <w:jc w:val="left"/>
              <w:rPr>
                <w:rFonts w:ascii="Arial" w:hAnsi="Arial" w:cs="Arial"/>
                <w:sz w:val="18"/>
                <w:szCs w:val="18"/>
                <w:lang w:val="en-GB" w:eastAsia="en-GB"/>
              </w:rPr>
            </w:pPr>
            <w:r w:rsidRPr="00C96C5B">
              <w:rPr>
                <w:rFonts w:ascii="Arial" w:hAnsi="Arial" w:cs="Arial"/>
                <w:sz w:val="18"/>
                <w:szCs w:val="18"/>
                <w:lang w:val="en-GB" w:eastAsia="en-GB"/>
              </w:rPr>
              <w:t xml:space="preserve">            91 </w:t>
            </w:r>
          </w:p>
        </w:tc>
      </w:tr>
      <w:tr w:rsidR="00C96C5B" w:rsidRPr="00C96C5B" w:rsidTr="00C96C5B">
        <w:trPr>
          <w:trHeight w:val="225"/>
        </w:trPr>
        <w:tc>
          <w:tcPr>
            <w:tcW w:w="8115" w:type="dxa"/>
            <w:tcBorders>
              <w:top w:val="nil"/>
              <w:left w:val="single" w:sz="8" w:space="0" w:color="auto"/>
              <w:bottom w:val="single" w:sz="4" w:space="0" w:color="auto"/>
              <w:right w:val="single" w:sz="8" w:space="0" w:color="auto"/>
            </w:tcBorders>
            <w:shd w:val="clear" w:color="auto" w:fill="auto"/>
            <w:noWrap/>
            <w:hideMark/>
          </w:tcPr>
          <w:p w:rsidR="00C96C5B" w:rsidRPr="00C96C5B" w:rsidRDefault="00C96C5B" w:rsidP="00C96C5B">
            <w:pPr>
              <w:spacing w:before="0" w:after="0"/>
              <w:jc w:val="left"/>
              <w:rPr>
                <w:rFonts w:ascii="Arial" w:hAnsi="Arial" w:cs="Arial"/>
                <w:sz w:val="18"/>
                <w:szCs w:val="18"/>
                <w:lang w:val="en-GB" w:eastAsia="en-GB"/>
              </w:rPr>
            </w:pPr>
            <w:r w:rsidRPr="00C96C5B">
              <w:rPr>
                <w:rFonts w:ascii="Arial" w:hAnsi="Arial" w:cs="Arial"/>
                <w:sz w:val="18"/>
                <w:szCs w:val="18"/>
                <w:lang w:val="en-GB" w:eastAsia="en-GB"/>
              </w:rPr>
              <w:t xml:space="preserve"> Other Grants </w:t>
            </w:r>
          </w:p>
        </w:tc>
        <w:tc>
          <w:tcPr>
            <w:tcW w:w="1199" w:type="dxa"/>
            <w:tcBorders>
              <w:top w:val="nil"/>
              <w:left w:val="nil"/>
              <w:bottom w:val="single" w:sz="4" w:space="0" w:color="auto"/>
              <w:right w:val="single" w:sz="8" w:space="0" w:color="auto"/>
            </w:tcBorders>
            <w:shd w:val="clear" w:color="auto" w:fill="auto"/>
            <w:noWrap/>
            <w:hideMark/>
          </w:tcPr>
          <w:p w:rsidR="00C96C5B" w:rsidRPr="00C96C5B" w:rsidRDefault="00C96C5B" w:rsidP="00C96C5B">
            <w:pPr>
              <w:spacing w:before="0" w:after="0"/>
              <w:jc w:val="left"/>
              <w:rPr>
                <w:rFonts w:ascii="Arial" w:hAnsi="Arial" w:cs="Arial"/>
                <w:sz w:val="18"/>
                <w:szCs w:val="18"/>
                <w:lang w:val="en-GB" w:eastAsia="en-GB"/>
              </w:rPr>
            </w:pPr>
            <w:r w:rsidRPr="00C96C5B">
              <w:rPr>
                <w:rFonts w:ascii="Arial" w:hAnsi="Arial" w:cs="Arial"/>
                <w:sz w:val="18"/>
                <w:szCs w:val="18"/>
                <w:lang w:val="en-GB" w:eastAsia="en-GB"/>
              </w:rPr>
              <w:t xml:space="preserve">          483 </w:t>
            </w:r>
          </w:p>
        </w:tc>
      </w:tr>
      <w:tr w:rsidR="00C96C5B" w:rsidRPr="00C96C5B" w:rsidTr="00C96C5B">
        <w:trPr>
          <w:trHeight w:val="225"/>
        </w:trPr>
        <w:tc>
          <w:tcPr>
            <w:tcW w:w="8115" w:type="dxa"/>
            <w:tcBorders>
              <w:top w:val="nil"/>
              <w:left w:val="single" w:sz="8" w:space="0" w:color="auto"/>
              <w:bottom w:val="single" w:sz="4" w:space="0" w:color="auto"/>
              <w:right w:val="single" w:sz="8" w:space="0" w:color="auto"/>
            </w:tcBorders>
            <w:shd w:val="clear" w:color="000000" w:fill="D9D9D9"/>
            <w:vAlign w:val="bottom"/>
            <w:hideMark/>
          </w:tcPr>
          <w:p w:rsidR="00C96C5B" w:rsidRPr="00C96C5B" w:rsidRDefault="00C96C5B" w:rsidP="00C96C5B">
            <w:pPr>
              <w:spacing w:before="0" w:after="0"/>
              <w:jc w:val="left"/>
              <w:rPr>
                <w:rFonts w:ascii="Arial" w:hAnsi="Arial" w:cs="Arial"/>
                <w:b/>
                <w:bCs/>
                <w:sz w:val="18"/>
                <w:szCs w:val="18"/>
                <w:lang w:val="en-GB" w:eastAsia="en-GB"/>
              </w:rPr>
            </w:pPr>
            <w:r w:rsidRPr="00C96C5B">
              <w:rPr>
                <w:rFonts w:ascii="Arial" w:hAnsi="Arial" w:cs="Arial"/>
                <w:b/>
                <w:bCs/>
                <w:sz w:val="18"/>
                <w:szCs w:val="18"/>
                <w:lang w:val="en-GB" w:eastAsia="en-GB"/>
              </w:rPr>
              <w:t> </w:t>
            </w:r>
            <w:r>
              <w:rPr>
                <w:rFonts w:ascii="Arial" w:hAnsi="Arial" w:cs="Arial"/>
                <w:b/>
                <w:bCs/>
                <w:sz w:val="18"/>
                <w:szCs w:val="18"/>
                <w:lang w:val="en-GB" w:eastAsia="en-GB"/>
              </w:rPr>
              <w:t xml:space="preserve">Other </w:t>
            </w:r>
          </w:p>
        </w:tc>
        <w:tc>
          <w:tcPr>
            <w:tcW w:w="1199" w:type="dxa"/>
            <w:tcBorders>
              <w:top w:val="nil"/>
              <w:left w:val="nil"/>
              <w:bottom w:val="single" w:sz="4" w:space="0" w:color="auto"/>
              <w:right w:val="single" w:sz="8" w:space="0" w:color="auto"/>
            </w:tcBorders>
            <w:shd w:val="clear" w:color="000000" w:fill="D9D9D9"/>
            <w:vAlign w:val="bottom"/>
            <w:hideMark/>
          </w:tcPr>
          <w:p w:rsidR="00C96C5B" w:rsidRPr="00C96C5B" w:rsidRDefault="00C96C5B" w:rsidP="00C96C5B">
            <w:pPr>
              <w:spacing w:before="0" w:after="0"/>
              <w:jc w:val="left"/>
              <w:rPr>
                <w:rFonts w:ascii="Arial" w:hAnsi="Arial" w:cs="Arial"/>
                <w:b/>
                <w:bCs/>
                <w:sz w:val="18"/>
                <w:szCs w:val="18"/>
                <w:lang w:val="en-GB" w:eastAsia="en-GB"/>
              </w:rPr>
            </w:pPr>
            <w:r w:rsidRPr="00C96C5B">
              <w:rPr>
                <w:rFonts w:ascii="Arial" w:hAnsi="Arial" w:cs="Arial"/>
                <w:b/>
                <w:bCs/>
                <w:sz w:val="18"/>
                <w:szCs w:val="18"/>
                <w:lang w:val="en-GB" w:eastAsia="en-GB"/>
              </w:rPr>
              <w:t xml:space="preserve">       1,794 </w:t>
            </w:r>
          </w:p>
        </w:tc>
      </w:tr>
      <w:tr w:rsidR="00C96C5B" w:rsidRPr="00C96C5B" w:rsidTr="00C96C5B">
        <w:trPr>
          <w:trHeight w:val="235"/>
        </w:trPr>
        <w:tc>
          <w:tcPr>
            <w:tcW w:w="8115" w:type="dxa"/>
            <w:tcBorders>
              <w:top w:val="single" w:sz="4" w:space="0" w:color="auto"/>
              <w:left w:val="single" w:sz="8" w:space="0" w:color="auto"/>
              <w:bottom w:val="single" w:sz="8" w:space="0" w:color="auto"/>
              <w:right w:val="single" w:sz="8" w:space="0" w:color="auto"/>
            </w:tcBorders>
            <w:shd w:val="clear" w:color="000000" w:fill="D9D9D9"/>
            <w:vAlign w:val="bottom"/>
            <w:hideMark/>
          </w:tcPr>
          <w:p w:rsidR="00C96C5B" w:rsidRPr="00C96C5B" w:rsidRDefault="00C96C5B" w:rsidP="00C96C5B">
            <w:pPr>
              <w:spacing w:before="0" w:after="0"/>
              <w:jc w:val="left"/>
              <w:rPr>
                <w:rFonts w:ascii="Arial" w:hAnsi="Arial" w:cs="Arial"/>
                <w:b/>
                <w:bCs/>
                <w:sz w:val="18"/>
                <w:szCs w:val="18"/>
                <w:lang w:val="en-GB" w:eastAsia="en-GB"/>
              </w:rPr>
            </w:pPr>
            <w:r w:rsidRPr="00C96C5B">
              <w:rPr>
                <w:rFonts w:ascii="Arial" w:hAnsi="Arial" w:cs="Arial"/>
                <w:b/>
                <w:bCs/>
                <w:sz w:val="18"/>
                <w:szCs w:val="18"/>
                <w:lang w:val="en-GB" w:eastAsia="en-GB"/>
              </w:rPr>
              <w:t>Grand Total</w:t>
            </w:r>
          </w:p>
        </w:tc>
        <w:tc>
          <w:tcPr>
            <w:tcW w:w="1199" w:type="dxa"/>
            <w:tcBorders>
              <w:top w:val="single" w:sz="4" w:space="0" w:color="auto"/>
              <w:left w:val="nil"/>
              <w:bottom w:val="single" w:sz="8" w:space="0" w:color="auto"/>
              <w:right w:val="single" w:sz="8" w:space="0" w:color="auto"/>
            </w:tcBorders>
            <w:shd w:val="clear" w:color="000000" w:fill="D9D9D9"/>
            <w:vAlign w:val="bottom"/>
            <w:hideMark/>
          </w:tcPr>
          <w:p w:rsidR="00C96C5B" w:rsidRPr="00C96C5B" w:rsidRDefault="00C96C5B" w:rsidP="00C96C5B">
            <w:pPr>
              <w:spacing w:before="0" w:after="0"/>
              <w:jc w:val="left"/>
              <w:rPr>
                <w:rFonts w:ascii="Arial" w:hAnsi="Arial" w:cs="Arial"/>
                <w:b/>
                <w:bCs/>
                <w:sz w:val="18"/>
                <w:szCs w:val="18"/>
                <w:lang w:val="en-GB" w:eastAsia="en-GB"/>
              </w:rPr>
            </w:pPr>
            <w:r w:rsidRPr="00C96C5B">
              <w:rPr>
                <w:rFonts w:ascii="Arial" w:hAnsi="Arial" w:cs="Arial"/>
                <w:b/>
                <w:bCs/>
                <w:sz w:val="18"/>
                <w:szCs w:val="18"/>
                <w:lang w:val="en-GB" w:eastAsia="en-GB"/>
              </w:rPr>
              <w:t xml:space="preserve">     11,709 </w:t>
            </w:r>
          </w:p>
        </w:tc>
      </w:tr>
    </w:tbl>
    <w:p w:rsidR="00C96C5B" w:rsidRPr="00062ED2" w:rsidRDefault="00C96C5B" w:rsidP="00DF386E">
      <w:pPr>
        <w:rPr>
          <w:rFonts w:cs="Arial"/>
          <w:color w:val="000000" w:themeColor="text1"/>
          <w:lang w:val="en-GB"/>
        </w:rPr>
      </w:pPr>
    </w:p>
    <w:p w:rsidR="00DF386E" w:rsidRPr="007E31BA" w:rsidRDefault="000A79A1" w:rsidP="00DF386E">
      <w:pPr>
        <w:rPr>
          <w:b/>
          <w:color w:val="000000" w:themeColor="text1"/>
          <w:sz w:val="24"/>
        </w:rPr>
      </w:pPr>
      <w:r>
        <w:rPr>
          <w:b/>
          <w:color w:val="000000" w:themeColor="text1"/>
          <w:sz w:val="24"/>
        </w:rPr>
        <w:t xml:space="preserve">FY20 </w:t>
      </w:r>
      <w:r w:rsidR="00DF386E" w:rsidRPr="007E31BA">
        <w:rPr>
          <w:b/>
          <w:color w:val="000000" w:themeColor="text1"/>
          <w:sz w:val="24"/>
        </w:rPr>
        <w:t>Performance</w:t>
      </w:r>
    </w:p>
    <w:p w:rsidR="00DF386E" w:rsidRPr="007E31BA" w:rsidRDefault="00DF386E" w:rsidP="00DF386E">
      <w:pPr>
        <w:rPr>
          <w:rFonts w:cs="Arial"/>
          <w:color w:val="000000" w:themeColor="text1"/>
          <w:lang w:val="en-GB"/>
        </w:rPr>
      </w:pPr>
      <w:r w:rsidRPr="007E31BA">
        <w:rPr>
          <w:rFonts w:cs="Arial"/>
          <w:color w:val="000000" w:themeColor="text1"/>
          <w:lang w:val="en-GB"/>
        </w:rPr>
        <w:t>As at Month 10 in FY20 expenditure was £44k, compared to expected costs of £181k, generating a favourable variance of £137k. Currently the expectation is that R&amp;D will generate a £</w:t>
      </w:r>
      <w:r w:rsidR="00620D12">
        <w:rPr>
          <w:rFonts w:cs="Arial"/>
          <w:color w:val="000000" w:themeColor="text1"/>
          <w:lang w:val="en-GB"/>
        </w:rPr>
        <w:t>95</w:t>
      </w:r>
      <w:r w:rsidRPr="007E31BA">
        <w:rPr>
          <w:rFonts w:cs="Arial"/>
          <w:color w:val="000000" w:themeColor="text1"/>
          <w:lang w:val="en-GB"/>
        </w:rPr>
        <w:t xml:space="preserve">k </w:t>
      </w:r>
      <w:r w:rsidR="00620D12">
        <w:rPr>
          <w:rFonts w:cs="Arial"/>
          <w:color w:val="000000" w:themeColor="text1"/>
          <w:lang w:val="en-GB"/>
        </w:rPr>
        <w:t>f</w:t>
      </w:r>
      <w:r w:rsidRPr="007E31BA">
        <w:rPr>
          <w:rFonts w:cs="Arial"/>
          <w:color w:val="000000" w:themeColor="text1"/>
          <w:lang w:val="en-GB"/>
        </w:rPr>
        <w:t xml:space="preserve">avourable variance at the year end. </w:t>
      </w:r>
    </w:p>
    <w:p w:rsidR="00DF386E" w:rsidRPr="00506379" w:rsidRDefault="00DF386E" w:rsidP="00DF386E">
      <w:pPr>
        <w:rPr>
          <w:b/>
          <w:color w:val="000000" w:themeColor="text1"/>
          <w:sz w:val="24"/>
        </w:rPr>
      </w:pPr>
      <w:r w:rsidRPr="00506379">
        <w:rPr>
          <w:b/>
          <w:color w:val="000000" w:themeColor="text1"/>
          <w:sz w:val="24"/>
        </w:rPr>
        <w:t>Clinical Research Network: Thames Valley and South Midlands (CRN)</w:t>
      </w:r>
    </w:p>
    <w:p w:rsidR="00DF386E" w:rsidRPr="00506379" w:rsidRDefault="00DF386E" w:rsidP="00DF386E">
      <w:pPr>
        <w:rPr>
          <w:color w:val="000000" w:themeColor="text1"/>
        </w:rPr>
      </w:pPr>
      <w:r w:rsidRPr="00506379">
        <w:rPr>
          <w:color w:val="000000" w:themeColor="text1"/>
        </w:rPr>
        <w:t>The FY20 core CRN budget of £830k funds Service Support Activity (primarily patient recruitment). It is currently predicted that only £805k will be utili</w:t>
      </w:r>
      <w:r w:rsidR="00620D12">
        <w:rPr>
          <w:color w:val="000000" w:themeColor="text1"/>
        </w:rPr>
        <w:t>s</w:t>
      </w:r>
      <w:r w:rsidRPr="00506379">
        <w:rPr>
          <w:color w:val="000000" w:themeColor="text1"/>
        </w:rPr>
        <w:t xml:space="preserve">ed by OHFT with the balance being returned to the CRN. </w:t>
      </w:r>
    </w:p>
    <w:p w:rsidR="00DF386E" w:rsidRPr="003744EB" w:rsidRDefault="00DF386E" w:rsidP="00DF386E">
      <w:pPr>
        <w:rPr>
          <w:color w:val="FF0000"/>
        </w:rPr>
      </w:pPr>
      <w:r w:rsidRPr="00506379">
        <w:rPr>
          <w:color w:val="000000" w:themeColor="text1"/>
        </w:rPr>
        <w:t xml:space="preserve">CRN Network staff such as the Thames Valley Primary Care Research Partnership are hosted by the Trust but not under the management of the R&amp;D Senior Management Team. their costs are recovered on a direct cost basis from the CRN (FY20 </w:t>
      </w:r>
      <w:r w:rsidRPr="00FF4515">
        <w:rPr>
          <w:color w:val="000000" w:themeColor="text1"/>
        </w:rPr>
        <w:t>budget £329k).</w:t>
      </w:r>
    </w:p>
    <w:p w:rsidR="00DF386E" w:rsidRPr="00506379" w:rsidRDefault="00DF386E" w:rsidP="00DF386E">
      <w:pPr>
        <w:rPr>
          <w:color w:val="000000" w:themeColor="text1"/>
        </w:rPr>
      </w:pPr>
      <w:r w:rsidRPr="00506379">
        <w:rPr>
          <w:color w:val="000000" w:themeColor="text1"/>
        </w:rPr>
        <w:t>The CRN also supported, the Oxford Health project, to involve more Consultants in Research. This funded 1 session per week of 4 Consultants, for 9 months, this ended on 31 December 2019.</w:t>
      </w:r>
    </w:p>
    <w:p w:rsidR="00DF386E" w:rsidRPr="00506379" w:rsidRDefault="00DF386E" w:rsidP="00DF386E">
      <w:pPr>
        <w:rPr>
          <w:b/>
          <w:color w:val="000000" w:themeColor="text1"/>
        </w:rPr>
      </w:pPr>
      <w:r w:rsidRPr="00506379">
        <w:rPr>
          <w:b/>
          <w:color w:val="000000" w:themeColor="text1"/>
        </w:rPr>
        <w:t>Research Capability Funding (RCF)</w:t>
      </w:r>
    </w:p>
    <w:p w:rsidR="00DF386E" w:rsidRPr="00506379" w:rsidRDefault="00DF386E" w:rsidP="00DF386E">
      <w:pPr>
        <w:rPr>
          <w:rFonts w:cs="Arial"/>
          <w:color w:val="000000" w:themeColor="text1"/>
          <w:lang w:val="en-GB"/>
        </w:rPr>
      </w:pPr>
      <w:r w:rsidRPr="00506379">
        <w:rPr>
          <w:rFonts w:cs="Arial"/>
          <w:color w:val="000000" w:themeColor="text1"/>
          <w:lang w:val="en-GB"/>
        </w:rPr>
        <w:t xml:space="preserve">Research active NHS organisations receive RCF to enable them to meet some, or all, of the research-related component of the salary of their researchers and research support staff. The annual RCF allocation combines a percentage of NIHR funding received in the previous calendar year with </w:t>
      </w:r>
      <w:proofErr w:type="gramStart"/>
      <w:r w:rsidRPr="00506379">
        <w:rPr>
          <w:rFonts w:cs="Arial"/>
          <w:color w:val="000000" w:themeColor="text1"/>
          <w:lang w:val="en-GB"/>
        </w:rPr>
        <w:t>a</w:t>
      </w:r>
      <w:proofErr w:type="gramEnd"/>
      <w:r w:rsidRPr="00506379">
        <w:rPr>
          <w:rFonts w:cs="Arial"/>
          <w:color w:val="000000" w:themeColor="text1"/>
          <w:lang w:val="en-GB"/>
        </w:rPr>
        <w:t xml:space="preserve"> allowance for each Senior Investigator associated with Trust. </w:t>
      </w:r>
    </w:p>
    <w:p w:rsidR="00DF386E" w:rsidRPr="00506379" w:rsidRDefault="00DF386E" w:rsidP="00DF386E">
      <w:pPr>
        <w:rPr>
          <w:rFonts w:cs="Arial"/>
          <w:color w:val="000000" w:themeColor="text1"/>
          <w:lang w:val="en-GB"/>
        </w:rPr>
      </w:pPr>
      <w:r w:rsidRPr="00506379">
        <w:rPr>
          <w:rFonts w:cs="Arial"/>
          <w:color w:val="000000" w:themeColor="text1"/>
          <w:lang w:val="en-GB"/>
        </w:rPr>
        <w:t xml:space="preserve">The FY20 RCF allocation of £1,428m showed an increase of £223k on FY19. This was generated from an additional Senior Investigator Award (Prof </w:t>
      </w:r>
      <w:proofErr w:type="spellStart"/>
      <w:r w:rsidRPr="00506379">
        <w:rPr>
          <w:rFonts w:cs="Arial"/>
          <w:color w:val="000000" w:themeColor="text1"/>
          <w:lang w:val="en-GB"/>
        </w:rPr>
        <w:t>Anke</w:t>
      </w:r>
      <w:proofErr w:type="spellEnd"/>
      <w:r w:rsidRPr="00506379">
        <w:rPr>
          <w:rFonts w:cs="Arial"/>
          <w:color w:val="000000" w:themeColor="text1"/>
          <w:lang w:val="en-GB"/>
        </w:rPr>
        <w:t xml:space="preserve"> Ehlers) £75k, the full year effect of the BRC funding £111k </w:t>
      </w:r>
      <w:r w:rsidRPr="00506379">
        <w:rPr>
          <w:rFonts w:cs="Arial"/>
          <w:color w:val="000000" w:themeColor="text1"/>
          <w:lang w:val="en-GB"/>
        </w:rPr>
        <w:lastRenderedPageBreak/>
        <w:t>and additional Grant Income £37k. The FY20 award was split between the Trust &amp; Department of Psychiatry (including CLAHRC) £767k and the Department of Primary Care £661k.</w:t>
      </w:r>
    </w:p>
    <w:p w:rsidR="00DF386E" w:rsidRPr="003744EB" w:rsidRDefault="00DF386E" w:rsidP="00DF386E">
      <w:pPr>
        <w:rPr>
          <w:rFonts w:cs="Arial"/>
          <w:color w:val="FF0000"/>
          <w:lang w:val="en-GB"/>
        </w:rPr>
      </w:pPr>
      <w:r w:rsidRPr="00506379">
        <w:rPr>
          <w:rFonts w:cs="Arial"/>
          <w:color w:val="000000" w:themeColor="text1"/>
          <w:lang w:val="en-GB"/>
        </w:rPr>
        <w:t>Following a review of RCF by the Department of Health (DH), the amounts based on Infrastructure awards will reduce over the coming years, the Senior Investigators element will be removed. The grants element remains unchanged</w:t>
      </w:r>
      <w:r w:rsidRPr="003744EB">
        <w:rPr>
          <w:rFonts w:cs="Arial"/>
          <w:color w:val="FF0000"/>
          <w:lang w:val="en-GB"/>
        </w:rPr>
        <w:t xml:space="preserve">. </w:t>
      </w:r>
    </w:p>
    <w:p w:rsidR="00DF386E" w:rsidRPr="002B3B87" w:rsidRDefault="00DF386E" w:rsidP="00DF386E">
      <w:pPr>
        <w:rPr>
          <w:rFonts w:cs="Arial"/>
          <w:color w:val="000000" w:themeColor="text1"/>
          <w:lang w:val="en-GB"/>
        </w:rPr>
      </w:pPr>
      <w:r w:rsidRPr="002B3B87">
        <w:rPr>
          <w:rFonts w:cs="Arial"/>
          <w:color w:val="000000" w:themeColor="text1"/>
          <w:lang w:val="en-GB"/>
        </w:rPr>
        <w:t xml:space="preserve">There was an expectation that RCF would increase to £1.6m in FY21, however due to delays in Gamechanger collaboration, payments were withheld from the NIHR, meaning that only £1.2m will be received in FY21. The delayed payments from Gamechanger, will </w:t>
      </w:r>
      <w:r>
        <w:rPr>
          <w:rFonts w:cs="Arial"/>
          <w:color w:val="000000" w:themeColor="text1"/>
          <w:lang w:val="en-GB"/>
        </w:rPr>
        <w:t>increase</w:t>
      </w:r>
      <w:r w:rsidRPr="002B3B87">
        <w:rPr>
          <w:rFonts w:cs="Arial"/>
          <w:color w:val="000000" w:themeColor="text1"/>
          <w:lang w:val="en-GB"/>
        </w:rPr>
        <w:t xml:space="preserve"> RCF in FY22, to £1.4m. RCF is only expected to be £800k in FY23, as the current NIHR Grants reduce. </w:t>
      </w:r>
    </w:p>
    <w:p w:rsidR="00DF386E" w:rsidRPr="003744EB" w:rsidRDefault="00DF386E" w:rsidP="00DF386E">
      <w:pPr>
        <w:spacing w:before="0" w:after="0"/>
        <w:rPr>
          <w:color w:val="FF0000"/>
        </w:rPr>
      </w:pPr>
    </w:p>
    <w:p w:rsidR="00DF386E" w:rsidRPr="004A7A68" w:rsidRDefault="00DF386E" w:rsidP="00DF386E">
      <w:pPr>
        <w:rPr>
          <w:b/>
          <w:color w:val="000000" w:themeColor="text1"/>
          <w:sz w:val="24"/>
        </w:rPr>
      </w:pPr>
      <w:r w:rsidRPr="004A7A68">
        <w:rPr>
          <w:b/>
          <w:color w:val="000000" w:themeColor="text1"/>
          <w:sz w:val="24"/>
        </w:rPr>
        <w:t>Excess treatment costs</w:t>
      </w:r>
      <w:r w:rsidR="00620D12">
        <w:rPr>
          <w:b/>
          <w:color w:val="000000" w:themeColor="text1"/>
          <w:sz w:val="24"/>
        </w:rPr>
        <w:t xml:space="preserve"> (ETC)</w:t>
      </w:r>
    </w:p>
    <w:p w:rsidR="00DF386E" w:rsidRPr="00620D12" w:rsidRDefault="00620D12" w:rsidP="00DF386E">
      <w:pPr>
        <w:rPr>
          <w:rFonts w:cs="Arial"/>
          <w:color w:val="000000" w:themeColor="text1"/>
          <w:lang w:val="en-GB"/>
        </w:rPr>
      </w:pPr>
      <w:r>
        <w:rPr>
          <w:rFonts w:cs="Arial"/>
          <w:color w:val="000000" w:themeColor="text1"/>
          <w:lang w:val="en-GB"/>
        </w:rPr>
        <w:t xml:space="preserve">All Trusts must meet a threshold before they receive ETC. This is </w:t>
      </w:r>
      <w:r w:rsidR="00DF386E" w:rsidRPr="00620D12">
        <w:rPr>
          <w:rFonts w:cs="Arial"/>
          <w:color w:val="000000" w:themeColor="text1"/>
          <w:lang w:val="en-GB"/>
        </w:rPr>
        <w:t xml:space="preserve">0.1% of its operating income </w:t>
      </w:r>
      <w:r>
        <w:rPr>
          <w:rFonts w:cs="Arial"/>
          <w:color w:val="000000" w:themeColor="text1"/>
          <w:lang w:val="en-GB"/>
        </w:rPr>
        <w:t xml:space="preserve">which for OHFT in </w:t>
      </w:r>
      <w:r w:rsidR="00DF386E" w:rsidRPr="00620D12">
        <w:rPr>
          <w:rFonts w:cs="Arial"/>
          <w:color w:val="000000" w:themeColor="text1"/>
          <w:lang w:val="en-GB"/>
        </w:rPr>
        <w:t>FY20</w:t>
      </w:r>
      <w:r>
        <w:rPr>
          <w:rFonts w:cs="Arial"/>
          <w:color w:val="000000" w:themeColor="text1"/>
          <w:lang w:val="en-GB"/>
        </w:rPr>
        <w:t xml:space="preserve"> is </w:t>
      </w:r>
      <w:r w:rsidR="00DF386E" w:rsidRPr="00620D12">
        <w:rPr>
          <w:rFonts w:cs="Arial"/>
          <w:color w:val="000000" w:themeColor="text1"/>
          <w:lang w:val="en-GB"/>
        </w:rPr>
        <w:t>£3</w:t>
      </w:r>
      <w:r>
        <w:rPr>
          <w:rFonts w:cs="Arial"/>
          <w:color w:val="000000" w:themeColor="text1"/>
          <w:lang w:val="en-GB"/>
        </w:rPr>
        <w:t xml:space="preserve">2k. </w:t>
      </w:r>
      <w:r w:rsidR="00DF386E" w:rsidRPr="00620D12">
        <w:rPr>
          <w:rFonts w:cs="Arial"/>
          <w:color w:val="000000" w:themeColor="text1"/>
          <w:lang w:val="en-GB"/>
        </w:rPr>
        <w:t xml:space="preserve">In the first </w:t>
      </w:r>
      <w:r>
        <w:rPr>
          <w:rFonts w:cs="Arial"/>
          <w:color w:val="000000" w:themeColor="text1"/>
          <w:lang w:val="en-GB"/>
        </w:rPr>
        <w:t>nine</w:t>
      </w:r>
      <w:r w:rsidR="00DF386E" w:rsidRPr="00620D12">
        <w:rPr>
          <w:rFonts w:cs="Arial"/>
          <w:color w:val="000000" w:themeColor="text1"/>
          <w:lang w:val="en-GB"/>
        </w:rPr>
        <w:t xml:space="preserve"> months</w:t>
      </w:r>
      <w:r>
        <w:rPr>
          <w:rFonts w:cs="Arial"/>
          <w:color w:val="000000" w:themeColor="text1"/>
          <w:lang w:val="en-GB"/>
        </w:rPr>
        <w:t xml:space="preserve"> of FY20</w:t>
      </w:r>
      <w:r w:rsidR="00DF386E" w:rsidRPr="00620D12">
        <w:rPr>
          <w:rFonts w:cs="Arial"/>
          <w:color w:val="000000" w:themeColor="text1"/>
          <w:lang w:val="en-GB"/>
        </w:rPr>
        <w:t xml:space="preserve">, ETC’s </w:t>
      </w:r>
      <w:r>
        <w:rPr>
          <w:rFonts w:cs="Arial"/>
          <w:color w:val="000000" w:themeColor="text1"/>
          <w:lang w:val="en-GB"/>
        </w:rPr>
        <w:t xml:space="preserve">of </w:t>
      </w:r>
      <w:r w:rsidR="00DF386E" w:rsidRPr="00620D12">
        <w:rPr>
          <w:rFonts w:cs="Arial"/>
          <w:color w:val="000000" w:themeColor="text1"/>
          <w:lang w:val="en-GB"/>
        </w:rPr>
        <w:t>£35</w:t>
      </w:r>
      <w:r>
        <w:rPr>
          <w:rFonts w:cs="Arial"/>
          <w:color w:val="000000" w:themeColor="text1"/>
          <w:lang w:val="en-GB"/>
        </w:rPr>
        <w:t>k were calculated as being incurred which will gene</w:t>
      </w:r>
      <w:r w:rsidR="00C6166D">
        <w:rPr>
          <w:rFonts w:cs="Arial"/>
          <w:color w:val="000000" w:themeColor="text1"/>
          <w:lang w:val="en-GB"/>
        </w:rPr>
        <w:t xml:space="preserve">rate income </w:t>
      </w:r>
      <w:r w:rsidR="00DF386E" w:rsidRPr="00620D12">
        <w:rPr>
          <w:rFonts w:cs="Arial"/>
          <w:color w:val="000000" w:themeColor="text1"/>
          <w:lang w:val="en-GB"/>
        </w:rPr>
        <w:t>from the Local C</w:t>
      </w:r>
      <w:r>
        <w:rPr>
          <w:rFonts w:cs="Arial"/>
          <w:color w:val="000000" w:themeColor="text1"/>
          <w:lang w:val="en-GB"/>
        </w:rPr>
        <w:t xml:space="preserve">RN </w:t>
      </w:r>
      <w:r w:rsidR="00C6166D">
        <w:rPr>
          <w:rFonts w:cs="Arial"/>
          <w:color w:val="000000" w:themeColor="text1"/>
          <w:lang w:val="en-GB"/>
        </w:rPr>
        <w:t xml:space="preserve">of </w:t>
      </w:r>
      <w:r w:rsidR="00DF386E" w:rsidRPr="00620D12">
        <w:rPr>
          <w:rFonts w:cs="Arial"/>
          <w:color w:val="000000" w:themeColor="text1"/>
          <w:lang w:val="en-GB"/>
        </w:rPr>
        <w:t>£3k.</w:t>
      </w:r>
      <w:r w:rsidR="00C6166D">
        <w:rPr>
          <w:rFonts w:cs="Arial"/>
          <w:color w:val="000000" w:themeColor="text1"/>
          <w:lang w:val="en-GB"/>
        </w:rPr>
        <w:t xml:space="preserve"> OHFT meet the ETC threshold.</w:t>
      </w:r>
    </w:p>
    <w:p w:rsidR="00DF386E" w:rsidRDefault="00DF386E" w:rsidP="00DF386E">
      <w:pPr>
        <w:rPr>
          <w:rFonts w:eastAsiaTheme="minorHAnsi" w:cstheme="minorBidi"/>
          <w:szCs w:val="22"/>
          <w:lang w:val="en-GB"/>
        </w:rPr>
      </w:pPr>
      <w:r>
        <w:fldChar w:fldCharType="begin"/>
      </w:r>
      <w:r>
        <w:instrText xml:space="preserve"> LINK Excel.Sheet.12 "\\\\OBMH\\G_Data\\Oxfordshire\\Accounts\\Research and Development\\Excess Treatment Costs (ETC's)\\REPORT.xlsx" "19-20 Q3!R1C1:R10C6" \a \f 4 \h </w:instrText>
      </w:r>
      <w:r>
        <w:fldChar w:fldCharType="separate"/>
      </w:r>
    </w:p>
    <w:p w:rsidR="00DF386E" w:rsidRPr="00046D82" w:rsidRDefault="00DF386E" w:rsidP="00DF386E">
      <w:pPr>
        <w:rPr>
          <w:b/>
          <w:color w:val="000000" w:themeColor="text1"/>
          <w:sz w:val="24"/>
        </w:rPr>
      </w:pPr>
      <w:r>
        <w:rPr>
          <w:b/>
          <w:color w:val="FF0000"/>
          <w:sz w:val="24"/>
        </w:rPr>
        <w:fldChar w:fldCharType="end"/>
      </w:r>
      <w:r w:rsidRPr="00046D82">
        <w:rPr>
          <w:b/>
          <w:color w:val="000000" w:themeColor="text1"/>
          <w:sz w:val="24"/>
        </w:rPr>
        <w:t>Oxford Academic Health Science Network (OAHSN)</w:t>
      </w:r>
    </w:p>
    <w:p w:rsidR="00DF386E" w:rsidRPr="006369E8" w:rsidRDefault="00C6166D" w:rsidP="00DF386E">
      <w:pPr>
        <w:rPr>
          <w:color w:val="000000" w:themeColor="text1"/>
        </w:rPr>
      </w:pPr>
      <w:r>
        <w:rPr>
          <w:color w:val="000000" w:themeColor="text1"/>
        </w:rPr>
        <w:t>In FY20 the</w:t>
      </w:r>
      <w:r w:rsidR="00DF386E" w:rsidRPr="00046D82">
        <w:rPr>
          <w:color w:val="000000" w:themeColor="text1"/>
        </w:rPr>
        <w:t xml:space="preserve"> Anxiety and Depression network w</w:t>
      </w:r>
      <w:r>
        <w:rPr>
          <w:color w:val="000000" w:themeColor="text1"/>
        </w:rPr>
        <w:t>as f</w:t>
      </w:r>
      <w:r w:rsidR="00DF386E" w:rsidRPr="00046D82">
        <w:rPr>
          <w:color w:val="000000" w:themeColor="text1"/>
        </w:rPr>
        <w:t xml:space="preserve">unded by the AHSN </w:t>
      </w:r>
      <w:r w:rsidR="00DF386E" w:rsidRPr="006369E8">
        <w:rPr>
          <w:color w:val="000000" w:themeColor="text1"/>
        </w:rPr>
        <w:t>&amp; others £132k</w:t>
      </w:r>
      <w:r>
        <w:rPr>
          <w:color w:val="000000" w:themeColor="text1"/>
        </w:rPr>
        <w:t xml:space="preserve"> and the </w:t>
      </w:r>
      <w:r w:rsidR="00DF386E" w:rsidRPr="006369E8">
        <w:rPr>
          <w:color w:val="000000" w:themeColor="text1"/>
        </w:rPr>
        <w:t>CLAHRC £27k</w:t>
      </w:r>
      <w:r>
        <w:rPr>
          <w:color w:val="000000" w:themeColor="text1"/>
        </w:rPr>
        <w:t>.</w:t>
      </w:r>
      <w:r w:rsidR="00DF386E" w:rsidRPr="006369E8">
        <w:rPr>
          <w:color w:val="000000" w:themeColor="text1"/>
        </w:rPr>
        <w:t xml:space="preserve"> </w:t>
      </w:r>
      <w:r>
        <w:rPr>
          <w:color w:val="000000" w:themeColor="text1"/>
        </w:rPr>
        <w:t>A</w:t>
      </w:r>
      <w:r w:rsidR="00DF386E" w:rsidRPr="006369E8">
        <w:rPr>
          <w:color w:val="000000" w:themeColor="text1"/>
        </w:rPr>
        <w:t xml:space="preserve"> further £62k </w:t>
      </w:r>
      <w:r>
        <w:rPr>
          <w:color w:val="000000" w:themeColor="text1"/>
        </w:rPr>
        <w:t xml:space="preserve">is </w:t>
      </w:r>
      <w:r w:rsidR="00DF386E" w:rsidRPr="006369E8">
        <w:rPr>
          <w:color w:val="000000" w:themeColor="text1"/>
        </w:rPr>
        <w:t>available from the AHSN in FY21. Any funds not spent will be carried forward to support the Network in FY21.</w:t>
      </w:r>
    </w:p>
    <w:p w:rsidR="001171CE" w:rsidRPr="009A6932" w:rsidRDefault="001171CE" w:rsidP="009F7DF4">
      <w:pPr>
        <w:pStyle w:val="Heading2"/>
      </w:pPr>
      <w:bookmarkStart w:id="45" w:name="_Toc34407430"/>
      <w:bookmarkEnd w:id="44"/>
      <w:r w:rsidRPr="009A6932">
        <w:t>I</w:t>
      </w:r>
      <w:r w:rsidR="0080761C" w:rsidRPr="009A6932">
        <w:t>ntellectual Property</w:t>
      </w:r>
      <w:r w:rsidR="00342ECB" w:rsidRPr="009A6932">
        <w:t xml:space="preserve"> </w:t>
      </w:r>
      <w:r w:rsidR="00E6014F">
        <w:t xml:space="preserve">(IP) </w:t>
      </w:r>
      <w:r w:rsidR="00342ECB" w:rsidRPr="009A6932">
        <w:t>Management</w:t>
      </w:r>
      <w:bookmarkEnd w:id="45"/>
      <w:r w:rsidR="00342ECB" w:rsidRPr="009A6932">
        <w:t xml:space="preserve"> </w:t>
      </w:r>
    </w:p>
    <w:p w:rsidR="00E6014F" w:rsidRDefault="00BA0CF2" w:rsidP="00D7692D">
      <w:r>
        <w:t>O</w:t>
      </w:r>
      <w:r w:rsidR="00C6166D">
        <w:t xml:space="preserve">HFT </w:t>
      </w:r>
      <w:r>
        <w:t xml:space="preserve">is </w:t>
      </w:r>
      <w:r w:rsidR="00E6014F">
        <w:t>developing an IP Policy</w:t>
      </w:r>
      <w:r w:rsidR="003A589F">
        <w:t xml:space="preserve"> which is under the control of the Director of Finance</w:t>
      </w:r>
      <w:r w:rsidR="00E6014F">
        <w:t xml:space="preserve">. </w:t>
      </w:r>
    </w:p>
    <w:p w:rsidR="00E6014F" w:rsidRDefault="00E6014F" w:rsidP="00D7692D">
      <w:r>
        <w:t xml:space="preserve">The management process is shown below </w:t>
      </w:r>
    </w:p>
    <w:p w:rsidR="00E6014F" w:rsidRPr="00E6014F" w:rsidRDefault="00E6014F" w:rsidP="00E6014F">
      <w:r w:rsidRPr="00B4155B">
        <w:rPr>
          <w:rFonts w:ascii="Arial" w:hAnsi="Arial" w:cs="Arial"/>
          <w:noProof/>
          <w:u w:val="single"/>
        </w:rPr>
        <w:drawing>
          <wp:inline distT="0" distB="0" distL="0" distR="0">
            <wp:extent cx="6120765" cy="31419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765" cy="3141980"/>
                    </a:xfrm>
                    <a:prstGeom prst="rect">
                      <a:avLst/>
                    </a:prstGeom>
                    <a:noFill/>
                    <a:ln>
                      <a:noFill/>
                    </a:ln>
                  </pic:spPr>
                </pic:pic>
              </a:graphicData>
            </a:graphic>
          </wp:inline>
        </w:drawing>
      </w:r>
    </w:p>
    <w:p w:rsidR="00E6014F" w:rsidRDefault="00E6014F" w:rsidP="00E6014F">
      <w:pPr>
        <w:rPr>
          <w:rFonts w:ascii="Arial" w:hAnsi="Arial" w:cs="Arial"/>
          <w:szCs w:val="22"/>
        </w:rPr>
      </w:pPr>
    </w:p>
    <w:p w:rsidR="00E6014F" w:rsidRPr="00E6014F" w:rsidRDefault="00E6014F" w:rsidP="003A589F">
      <w:pPr>
        <w:rPr>
          <w:color w:val="000000" w:themeColor="text1"/>
        </w:rPr>
      </w:pPr>
      <w:r>
        <w:rPr>
          <w:color w:val="000000" w:themeColor="text1"/>
        </w:rPr>
        <w:t>For p</w:t>
      </w:r>
      <w:r w:rsidRPr="00E6014F">
        <w:rPr>
          <w:color w:val="000000" w:themeColor="text1"/>
        </w:rPr>
        <w:t xml:space="preserve">otential IP opportunities </w:t>
      </w:r>
      <w:r w:rsidR="003A589F">
        <w:rPr>
          <w:color w:val="000000" w:themeColor="text1"/>
        </w:rPr>
        <w:t xml:space="preserve">arising from </w:t>
      </w:r>
      <w:r w:rsidRPr="00E6014F">
        <w:rPr>
          <w:color w:val="000000" w:themeColor="text1"/>
        </w:rPr>
        <w:t xml:space="preserve">NIHR funding OHFT meet with OUI, the NIHR, NIHR infrastructure managers and researchers on a bi-monthly basis. These meetings will provide the NIHR with an update on </w:t>
      </w:r>
      <w:r w:rsidRPr="00E6014F">
        <w:rPr>
          <w:color w:val="000000" w:themeColor="text1"/>
        </w:rPr>
        <w:lastRenderedPageBreak/>
        <w:t xml:space="preserve">previously identified projects and outline newly identified opportunities. </w:t>
      </w:r>
      <w:r w:rsidR="003A589F">
        <w:rPr>
          <w:color w:val="000000" w:themeColor="text1"/>
        </w:rPr>
        <w:t>T</w:t>
      </w:r>
      <w:r w:rsidRPr="00E6014F">
        <w:rPr>
          <w:color w:val="000000" w:themeColor="text1"/>
        </w:rPr>
        <w:t xml:space="preserve">hey </w:t>
      </w:r>
      <w:r w:rsidR="003A589F">
        <w:rPr>
          <w:color w:val="000000" w:themeColor="text1"/>
        </w:rPr>
        <w:t>also a</w:t>
      </w:r>
      <w:r w:rsidRPr="00E6014F">
        <w:rPr>
          <w:color w:val="000000" w:themeColor="text1"/>
        </w:rPr>
        <w:t xml:space="preserve">llow the NIHR to indicate if they are likely to provide consent </w:t>
      </w:r>
      <w:r>
        <w:rPr>
          <w:color w:val="000000" w:themeColor="text1"/>
        </w:rPr>
        <w:t xml:space="preserve">to exploit any IP </w:t>
      </w:r>
      <w:r w:rsidRPr="00E6014F">
        <w:rPr>
          <w:color w:val="000000" w:themeColor="text1"/>
        </w:rPr>
        <w:t xml:space="preserve">arising </w:t>
      </w:r>
    </w:p>
    <w:p w:rsidR="00E6014F" w:rsidRPr="00E6014F" w:rsidRDefault="00E6014F" w:rsidP="00E6014F">
      <w:pPr>
        <w:rPr>
          <w:color w:val="000000" w:themeColor="text1"/>
        </w:rPr>
      </w:pPr>
      <w:r w:rsidRPr="00E6014F">
        <w:rPr>
          <w:color w:val="000000" w:themeColor="text1"/>
        </w:rPr>
        <w:t>Management of IP</w:t>
      </w:r>
      <w:r>
        <w:rPr>
          <w:color w:val="000000" w:themeColor="text1"/>
        </w:rPr>
        <w:t xml:space="preserve"> is </w:t>
      </w:r>
      <w:bookmarkStart w:id="46" w:name="_Hlk29823654"/>
      <w:r>
        <w:rPr>
          <w:color w:val="000000" w:themeColor="text1"/>
        </w:rPr>
        <w:t xml:space="preserve">assisted by Oxford University Innovations (OUI) in line with the IP </w:t>
      </w:r>
      <w:r w:rsidRPr="00E6014F">
        <w:rPr>
          <w:color w:val="000000" w:themeColor="text1"/>
        </w:rPr>
        <w:t>Framework Intellectual Property Agreement.</w:t>
      </w:r>
    </w:p>
    <w:bookmarkEnd w:id="46"/>
    <w:p w:rsidR="00E6014F" w:rsidRPr="00E6014F" w:rsidRDefault="00E6014F" w:rsidP="00E6014F">
      <w:pPr>
        <w:rPr>
          <w:color w:val="000000" w:themeColor="text1"/>
        </w:rPr>
      </w:pPr>
      <w:r w:rsidRPr="00E6014F">
        <w:rPr>
          <w:color w:val="000000" w:themeColor="text1"/>
        </w:rPr>
        <w:t xml:space="preserve">The process has three core elements cores elements; </w:t>
      </w:r>
    </w:p>
    <w:p w:rsidR="00315E49" w:rsidRPr="009A6932" w:rsidRDefault="00315E49" w:rsidP="0017480B">
      <w:pPr>
        <w:pStyle w:val="ListParagraph"/>
        <w:numPr>
          <w:ilvl w:val="0"/>
          <w:numId w:val="22"/>
        </w:numPr>
      </w:pPr>
      <w:r w:rsidRPr="00BA0CF2">
        <w:rPr>
          <w:b/>
        </w:rPr>
        <w:t>Contracting</w:t>
      </w:r>
      <w:r w:rsidRPr="009A6932">
        <w:t>, which is undertaken by OUH contracts under a service level agreement</w:t>
      </w:r>
    </w:p>
    <w:p w:rsidR="00315E49" w:rsidRPr="009A6932" w:rsidRDefault="00315E49" w:rsidP="0017480B">
      <w:pPr>
        <w:pStyle w:val="ListParagraph"/>
        <w:numPr>
          <w:ilvl w:val="0"/>
          <w:numId w:val="22"/>
        </w:numPr>
      </w:pPr>
      <w:r w:rsidRPr="00BA0CF2">
        <w:rPr>
          <w:b/>
        </w:rPr>
        <w:t>Identification and Management</w:t>
      </w:r>
      <w:r w:rsidRPr="009A6932">
        <w:t>, which involves the Head of R&amp;D</w:t>
      </w:r>
    </w:p>
    <w:p w:rsidR="00315E49" w:rsidRPr="009A6932" w:rsidRDefault="00315E49" w:rsidP="0017480B">
      <w:pPr>
        <w:pStyle w:val="ListParagraph"/>
        <w:numPr>
          <w:ilvl w:val="0"/>
          <w:numId w:val="22"/>
        </w:numPr>
      </w:pPr>
      <w:r w:rsidRPr="00BA0CF2">
        <w:rPr>
          <w:b/>
        </w:rPr>
        <w:t>Exploitation</w:t>
      </w:r>
      <w:r w:rsidRPr="009A6932">
        <w:t xml:space="preserve">, which is manage by Oxford University Innovations under the </w:t>
      </w:r>
      <w:r w:rsidR="00D7692D" w:rsidRPr="009A6932">
        <w:t>Framework Intellectual Property Agreement (FIPA)</w:t>
      </w:r>
    </w:p>
    <w:p w:rsidR="00AC266F" w:rsidRPr="009F7DF4" w:rsidRDefault="00AC266F" w:rsidP="009F7DF4">
      <w:pPr>
        <w:pStyle w:val="Heading2"/>
      </w:pPr>
      <w:bookmarkStart w:id="47" w:name="_Toc34407431"/>
      <w:r w:rsidRPr="009F7DF4">
        <w:t>Estates</w:t>
      </w:r>
      <w:bookmarkEnd w:id="47"/>
    </w:p>
    <w:p w:rsidR="00215633" w:rsidRPr="00215633" w:rsidRDefault="00215633" w:rsidP="00AC266F">
      <w:pPr>
        <w:rPr>
          <w:lang w:val="en-GB"/>
        </w:rPr>
      </w:pPr>
      <w:r w:rsidRPr="00215633">
        <w:rPr>
          <w:lang w:val="en-GB"/>
        </w:rPr>
        <w:t xml:space="preserve">Following expansion to cover key roles R&amp;D’s need for more space at the </w:t>
      </w:r>
      <w:r w:rsidR="00146EC8" w:rsidRPr="00215633">
        <w:rPr>
          <w:lang w:val="en-GB"/>
        </w:rPr>
        <w:t>Warneford</w:t>
      </w:r>
      <w:r w:rsidRPr="00215633">
        <w:rPr>
          <w:lang w:val="en-GB"/>
        </w:rPr>
        <w:t xml:space="preserve"> is becoming urgent. There is an immediate short-term problem and a longer strategic pressure in relation to the new build. Communication is on-going with the Estates department.</w:t>
      </w:r>
    </w:p>
    <w:p w:rsidR="00B806C9" w:rsidRDefault="00B806C9" w:rsidP="009F7DF4">
      <w:pPr>
        <w:pStyle w:val="Heading1"/>
      </w:pPr>
      <w:bookmarkStart w:id="48" w:name="_Toc34407432"/>
      <w:r>
        <w:t>Research Active Workforce</w:t>
      </w:r>
      <w:bookmarkEnd w:id="48"/>
    </w:p>
    <w:p w:rsidR="000302E0" w:rsidRPr="000302E0" w:rsidRDefault="000302E0" w:rsidP="000302E0">
      <w:pPr>
        <w:rPr>
          <w:b/>
          <w:color w:val="000000" w:themeColor="text1"/>
          <w:sz w:val="24"/>
        </w:rPr>
      </w:pPr>
      <w:r w:rsidRPr="000302E0">
        <w:rPr>
          <w:b/>
          <w:color w:val="000000" w:themeColor="text1"/>
          <w:sz w:val="24"/>
        </w:rPr>
        <w:t>NIHR 70@70</w:t>
      </w:r>
    </w:p>
    <w:p w:rsidR="000302E0" w:rsidRPr="000302E0" w:rsidRDefault="007E5C64" w:rsidP="000302E0">
      <w:pPr>
        <w:spacing w:before="0" w:after="0"/>
        <w:rPr>
          <w:lang w:val="en-GB"/>
        </w:rPr>
      </w:pPr>
      <w:r w:rsidRPr="000302E0">
        <w:rPr>
          <w:lang w:val="en-GB"/>
        </w:rPr>
        <w:t xml:space="preserve">Dr Cathy Henshall’s NIHR 70@70 award </w:t>
      </w:r>
      <w:r w:rsidR="000302E0" w:rsidRPr="000302E0">
        <w:rPr>
          <w:lang w:val="en-GB"/>
        </w:rPr>
        <w:t xml:space="preserve">commenced in </w:t>
      </w:r>
      <w:r w:rsidRPr="000302E0">
        <w:rPr>
          <w:lang w:val="en-GB"/>
        </w:rPr>
        <w:t>May 19</w:t>
      </w:r>
      <w:r w:rsidR="000302E0">
        <w:rPr>
          <w:lang w:val="en-GB"/>
        </w:rPr>
        <w:t xml:space="preserve"> and s</w:t>
      </w:r>
      <w:r w:rsidR="000302E0" w:rsidRPr="000302E0">
        <w:rPr>
          <w:lang w:val="en-GB"/>
        </w:rPr>
        <w:t xml:space="preserve">ince </w:t>
      </w:r>
      <w:proofErr w:type="gramStart"/>
      <w:r w:rsidR="000302E0" w:rsidRPr="000302E0">
        <w:rPr>
          <w:lang w:val="en-GB"/>
        </w:rPr>
        <w:t>then  a</w:t>
      </w:r>
      <w:proofErr w:type="gramEnd"/>
      <w:r w:rsidR="000302E0" w:rsidRPr="000302E0">
        <w:rPr>
          <w:lang w:val="en-GB"/>
        </w:rPr>
        <w:t xml:space="preserve"> number of 70@70 initiatives have been undertaken. </w:t>
      </w:r>
    </w:p>
    <w:p w:rsidR="000302E0" w:rsidRDefault="000302E0" w:rsidP="000302E0">
      <w:pPr>
        <w:rPr>
          <w:szCs w:val="22"/>
        </w:rPr>
      </w:pPr>
      <w:r>
        <w:t xml:space="preserve">These include: </w:t>
      </w:r>
    </w:p>
    <w:p w:rsidR="000302E0" w:rsidRDefault="000302E0" w:rsidP="000302E0">
      <w:pPr>
        <w:pStyle w:val="ListParagraph"/>
        <w:numPr>
          <w:ilvl w:val="0"/>
          <w:numId w:val="62"/>
        </w:numPr>
        <w:spacing w:line="256" w:lineRule="auto"/>
        <w:contextualSpacing/>
        <w:jc w:val="left"/>
      </w:pPr>
      <w:r>
        <w:t xml:space="preserve">Establishment of Oxford Nursing and Allied Health Professionals Clinical Academic Pathway Development working group. Commitment from Oxford BRC Directors and Chief Nurses at OUH and OHFT. First meeting held in Jan 2020, with stakeholders from </w:t>
      </w:r>
      <w:proofErr w:type="spellStart"/>
      <w:r>
        <w:t>OxINMAHR</w:t>
      </w:r>
      <w:proofErr w:type="spellEnd"/>
      <w:r>
        <w:t>, OHFT, OUH and the NIHR ARC and BRCs.</w:t>
      </w:r>
    </w:p>
    <w:p w:rsidR="000302E0" w:rsidRDefault="000302E0" w:rsidP="000302E0">
      <w:pPr>
        <w:pStyle w:val="ListParagraph"/>
        <w:numPr>
          <w:ilvl w:val="0"/>
          <w:numId w:val="62"/>
        </w:numPr>
        <w:spacing w:line="256" w:lineRule="auto"/>
        <w:contextualSpacing/>
        <w:jc w:val="left"/>
      </w:pPr>
      <w:r>
        <w:t xml:space="preserve">Establishment of Academic Writing Retreats for Nurses. These are co-funded by the OHFT and Oxford BRCs, CRF and </w:t>
      </w:r>
      <w:proofErr w:type="spellStart"/>
      <w:r>
        <w:t>OxINMAHR</w:t>
      </w:r>
      <w:proofErr w:type="spellEnd"/>
      <w:r>
        <w:t>. The first retreat was held in Sept 2019 and resulted in &gt;12 publications being submitted to academic journals. The second is planned for March 2019 and 15 spaces have been filled.</w:t>
      </w:r>
    </w:p>
    <w:p w:rsidR="000302E0" w:rsidRDefault="000302E0" w:rsidP="000302E0">
      <w:pPr>
        <w:pStyle w:val="ListParagraph"/>
        <w:numPr>
          <w:ilvl w:val="0"/>
          <w:numId w:val="62"/>
        </w:numPr>
        <w:spacing w:line="256" w:lineRule="auto"/>
        <w:contextualSpacing/>
        <w:jc w:val="left"/>
      </w:pPr>
      <w:r>
        <w:t>Development of an online and face-to-face ‘Research Support Package’ for nurses and AHPs in underway and is due to launch in Sept 2020. This will be available staff via OHFT Learning and Development and will include an introduction to research design and development, grant writing workshops, principal investigator essentials sessions and systematic review workshops. The package is being developed in collaboration with the Oxford BRCs.</w:t>
      </w:r>
    </w:p>
    <w:p w:rsidR="000302E0" w:rsidRDefault="000302E0" w:rsidP="000302E0">
      <w:pPr>
        <w:pStyle w:val="ListParagraph"/>
        <w:numPr>
          <w:ilvl w:val="0"/>
          <w:numId w:val="62"/>
        </w:numPr>
        <w:spacing w:line="256" w:lineRule="auto"/>
        <w:contextualSpacing/>
        <w:jc w:val="left"/>
      </w:pPr>
      <w:r>
        <w:t xml:space="preserve">Collaboration with 70@70 nurses at Kent, Leicestershire and </w:t>
      </w:r>
      <w:proofErr w:type="spellStart"/>
      <w:r>
        <w:t>Northumbria</w:t>
      </w:r>
      <w:proofErr w:type="spellEnd"/>
      <w:r>
        <w:t xml:space="preserve"> NHS Trusts to work in partnership with the James Lind Alliance to undertake a priority setting partnership in community nursing. Support for the process established from OHFT, NIHR ARCs and other national stakeholders. Funding for project is currently being explored. Potential to drive forward research priorities in this area, promote retention and recruitment in community nursing, increase patient care outcomes and service efficiency and increase staff training and development opportunities.</w:t>
      </w:r>
    </w:p>
    <w:p w:rsidR="000302E0" w:rsidRDefault="000302E0" w:rsidP="000302E0">
      <w:pPr>
        <w:pStyle w:val="ListParagraph"/>
        <w:numPr>
          <w:ilvl w:val="0"/>
          <w:numId w:val="62"/>
        </w:numPr>
        <w:spacing w:line="256" w:lineRule="auto"/>
        <w:contextualSpacing/>
        <w:jc w:val="left"/>
      </w:pPr>
      <w:r>
        <w:t xml:space="preserve">Increase in empirical research opportunities for </w:t>
      </w:r>
      <w:proofErr w:type="gramStart"/>
      <w:r>
        <w:t>Masters</w:t>
      </w:r>
      <w:proofErr w:type="gramEnd"/>
      <w:r>
        <w:t xml:space="preserve"> Nursing student dissertations and support with writing for publication. Currently six OBU students are undertaking empirical research projects. For the next academic year, project ideas have been sought from the OHFT clinical teams. This will ensure that the research projects undertaken increase the research engagement of clinical staff and that the research is of benefit to clinical teams. </w:t>
      </w:r>
    </w:p>
    <w:p w:rsidR="009F7DF4" w:rsidRPr="00ED3A46" w:rsidRDefault="009F7DF4" w:rsidP="009F7DF4">
      <w:pPr>
        <w:pStyle w:val="Heading1"/>
      </w:pPr>
      <w:bookmarkStart w:id="49" w:name="_Toc34407433"/>
      <w:bookmarkStart w:id="50" w:name="_Hlk31291484"/>
      <w:r w:rsidRPr="00ED3A46">
        <w:lastRenderedPageBreak/>
        <w:t>Research Informatics</w:t>
      </w:r>
      <w:bookmarkEnd w:id="49"/>
      <w:r w:rsidRPr="00ED3A46">
        <w:t xml:space="preserve"> </w:t>
      </w:r>
    </w:p>
    <w:p w:rsidR="001C7283" w:rsidRDefault="000302E0" w:rsidP="00650BCF">
      <w:pPr>
        <w:rPr>
          <w:bCs/>
          <w:szCs w:val="22"/>
        </w:rPr>
      </w:pPr>
      <w:r w:rsidRPr="000302E0">
        <w:rPr>
          <w:bCs/>
          <w:szCs w:val="22"/>
        </w:rPr>
        <w:t>The research informatics function includes CRIS, Data linkage</w:t>
      </w:r>
      <w:r>
        <w:rPr>
          <w:bCs/>
          <w:szCs w:val="22"/>
        </w:rPr>
        <w:t xml:space="preserve"> projects</w:t>
      </w:r>
      <w:r w:rsidRPr="000302E0">
        <w:rPr>
          <w:bCs/>
          <w:szCs w:val="22"/>
        </w:rPr>
        <w:t>, Information governance</w:t>
      </w:r>
      <w:r w:rsidR="001C7283">
        <w:rPr>
          <w:bCs/>
          <w:szCs w:val="22"/>
        </w:rPr>
        <w:t xml:space="preserve">, </w:t>
      </w:r>
      <w:r w:rsidRPr="000302E0">
        <w:rPr>
          <w:bCs/>
          <w:szCs w:val="22"/>
        </w:rPr>
        <w:t>GPDR</w:t>
      </w:r>
      <w:r w:rsidR="001C7283">
        <w:rPr>
          <w:bCs/>
          <w:szCs w:val="22"/>
        </w:rPr>
        <w:t xml:space="preserve"> and Data Management </w:t>
      </w:r>
    </w:p>
    <w:p w:rsidR="00650BCF" w:rsidRPr="005967A1" w:rsidRDefault="00650BCF" w:rsidP="00650BCF">
      <w:pPr>
        <w:rPr>
          <w:b/>
          <w:szCs w:val="22"/>
        </w:rPr>
      </w:pPr>
      <w:r w:rsidRPr="005967A1">
        <w:rPr>
          <w:b/>
          <w:szCs w:val="22"/>
        </w:rPr>
        <w:t xml:space="preserve">Case Records Interactive Search (CRIS) </w:t>
      </w:r>
    </w:p>
    <w:p w:rsidR="00650BCF" w:rsidRPr="0070768B" w:rsidRDefault="00650BCF" w:rsidP="00650BCF">
      <w:pPr>
        <w:rPr>
          <w:szCs w:val="22"/>
          <w:lang w:val="en-GB"/>
        </w:rPr>
      </w:pPr>
      <w:r w:rsidRPr="0070768B">
        <w:rPr>
          <w:szCs w:val="22"/>
          <w:lang w:val="en-GB"/>
        </w:rPr>
        <w:t>The Oxford team includes a CRIS Data Administrator who supports new users of CRIS to set up their user accounts, projects and conducts the audits and 2 CRIS Academic Support and Data Analysts who provide support to CRIS researchers in framing their CRIS question and running more complex searches and extracting relevant data for users to subsequently analyse.</w:t>
      </w:r>
    </w:p>
    <w:p w:rsidR="0070768B" w:rsidRPr="0070768B" w:rsidRDefault="0070768B" w:rsidP="00650BCF">
      <w:pPr>
        <w:rPr>
          <w:b/>
          <w:bCs/>
          <w:szCs w:val="22"/>
          <w:lang w:val="en-GB"/>
        </w:rPr>
      </w:pPr>
      <w:r w:rsidRPr="0070768B">
        <w:rPr>
          <w:b/>
          <w:bCs/>
          <w:szCs w:val="22"/>
          <w:lang w:val="en-GB"/>
        </w:rPr>
        <w:t>Oxford CRIS Oversight Group</w:t>
      </w:r>
    </w:p>
    <w:p w:rsidR="00650BCF" w:rsidRPr="005967A1" w:rsidRDefault="00650BCF" w:rsidP="00650BCF">
      <w:pPr>
        <w:rPr>
          <w:szCs w:val="22"/>
        </w:rPr>
      </w:pPr>
      <w:r w:rsidRPr="0070768B">
        <w:rPr>
          <w:szCs w:val="22"/>
          <w:lang w:val="en-GB"/>
        </w:rPr>
        <w:t xml:space="preserve">The Oxford CRIS Oversight Group is made up of two groups.  </w:t>
      </w:r>
      <w:r w:rsidRPr="0070768B">
        <w:rPr>
          <w:rFonts w:cstheme="minorHAnsi"/>
          <w:szCs w:val="22"/>
        </w:rPr>
        <w:t>The CRIS Operational Oversight Group which is a virtual group and they review all CRIS research applications prior to approval.  The second group is the CRIS Strategic Oversight Group</w:t>
      </w:r>
      <w:r w:rsidRPr="005967A1">
        <w:rPr>
          <w:rFonts w:cstheme="minorHAnsi"/>
          <w:b/>
          <w:bCs/>
          <w:szCs w:val="22"/>
        </w:rPr>
        <w:t xml:space="preserve"> </w:t>
      </w:r>
      <w:r w:rsidRPr="005967A1">
        <w:rPr>
          <w:rFonts w:cstheme="minorHAnsi"/>
          <w:szCs w:val="22"/>
        </w:rPr>
        <w:t xml:space="preserve">this group sit on </w:t>
      </w:r>
      <w:r w:rsidRPr="005967A1">
        <w:rPr>
          <w:szCs w:val="22"/>
        </w:rPr>
        <w:t>four fixed dates over the year with discussions being more strategic in nature and these meetings include updates on Akrivia Health, The National Governance Group, CRIS activity and includes a presentation from a CRIS researcher of a projects progress.</w:t>
      </w:r>
    </w:p>
    <w:p w:rsidR="00650BCF" w:rsidRPr="005967A1" w:rsidRDefault="00650BCF" w:rsidP="00650BCF">
      <w:pPr>
        <w:rPr>
          <w:szCs w:val="22"/>
          <w:lang w:val="en-GB"/>
        </w:rPr>
      </w:pPr>
      <w:r w:rsidRPr="005967A1">
        <w:rPr>
          <w:szCs w:val="22"/>
          <w:lang w:val="en-GB"/>
        </w:rPr>
        <w:t xml:space="preserve">The groups are chaired by the Medical Director and Caldicott Guardian and the voting members include the </w:t>
      </w:r>
      <w:r w:rsidRPr="005967A1">
        <w:rPr>
          <w:rFonts w:cstheme="minorHAnsi"/>
          <w:szCs w:val="22"/>
        </w:rPr>
        <w:t>Head of Information Governance, Patient and Public Involvement (PPI), Clinical Service Representation and members from the IAPT service where IAPT applications are submitted</w:t>
      </w:r>
    </w:p>
    <w:p w:rsidR="00650BCF" w:rsidRPr="005967A1" w:rsidRDefault="00650BCF" w:rsidP="00650BCF">
      <w:pPr>
        <w:rPr>
          <w:szCs w:val="22"/>
          <w:lang w:val="en-GB"/>
        </w:rPr>
      </w:pPr>
      <w:r w:rsidRPr="005967A1">
        <w:rPr>
          <w:szCs w:val="22"/>
          <w:lang w:val="en-GB"/>
        </w:rPr>
        <w:t>To date the CRIS have received appropriate approvals to conduct 72 UK CRIS applications, 37 research questions, 13 service evaluation, 22 clinical audit questions.  We currently have 27 active CRIS searches and 68 active CRIS users.</w:t>
      </w:r>
    </w:p>
    <w:p w:rsidR="0070768B" w:rsidRDefault="00650BCF" w:rsidP="00650BCF">
      <w:pPr>
        <w:pStyle w:val="Header"/>
        <w:rPr>
          <w:b/>
          <w:bCs/>
          <w:szCs w:val="22"/>
          <w:lang w:val="en-GB"/>
        </w:rPr>
      </w:pPr>
      <w:r w:rsidRPr="005967A1">
        <w:rPr>
          <w:b/>
          <w:bCs/>
          <w:szCs w:val="22"/>
          <w:lang w:val="en-GB"/>
        </w:rPr>
        <w:t>Cristal Health and Akrivia Health</w:t>
      </w:r>
    </w:p>
    <w:p w:rsidR="00650BCF" w:rsidRPr="005967A1" w:rsidRDefault="00650BCF" w:rsidP="00650BCF">
      <w:pPr>
        <w:pStyle w:val="Header"/>
        <w:rPr>
          <w:szCs w:val="22"/>
          <w:lang w:val="en-GB"/>
        </w:rPr>
      </w:pPr>
      <w:r w:rsidRPr="005967A1">
        <w:rPr>
          <w:szCs w:val="22"/>
          <w:lang w:val="en-GB"/>
        </w:rPr>
        <w:t xml:space="preserve">Oxford Health NHS FT has been using the CRIS system since 2015 as a tool to access and interrogate clinical records for research proposals, service evaluations and clinical audits. During this time the system has been provided by the University of Oxford and funded by various research awards. </w:t>
      </w:r>
    </w:p>
    <w:p w:rsidR="00650BCF" w:rsidRPr="005967A1" w:rsidRDefault="00650BCF" w:rsidP="00650BCF">
      <w:pPr>
        <w:rPr>
          <w:szCs w:val="22"/>
        </w:rPr>
      </w:pPr>
      <w:r w:rsidRPr="005967A1">
        <w:rPr>
          <w:szCs w:val="22"/>
        </w:rPr>
        <w:t>The National Institute for Health Research (NIHR) provided £1m over the period April 18 to March 19 for the Oxford Health BRC to identify options for a sustainable platform for CRIS.</w:t>
      </w:r>
    </w:p>
    <w:p w:rsidR="00650BCF" w:rsidRPr="005967A1" w:rsidRDefault="00650BCF" w:rsidP="00650BCF">
      <w:pPr>
        <w:rPr>
          <w:szCs w:val="22"/>
        </w:rPr>
      </w:pPr>
      <w:r w:rsidRPr="005967A1">
        <w:rPr>
          <w:szCs w:val="22"/>
        </w:rPr>
        <w:t xml:space="preserve">The option recommended was a spin-out which became Cristal Health Ltd which was established in May 2019. At the same time the NIHR gave consent to license the Technology developed to Cristal Health Ltd </w:t>
      </w:r>
    </w:p>
    <w:p w:rsidR="00650BCF" w:rsidRPr="005967A1" w:rsidRDefault="00650BCF" w:rsidP="00650BCF">
      <w:pPr>
        <w:rPr>
          <w:szCs w:val="22"/>
        </w:rPr>
      </w:pPr>
      <w:r w:rsidRPr="005967A1">
        <w:rPr>
          <w:szCs w:val="22"/>
        </w:rPr>
        <w:t>In September 2019 a supply of services contract was signed by the OHFT Director of Finance for Cristal Health to provide services to OHFT.</w:t>
      </w:r>
    </w:p>
    <w:p w:rsidR="00650BCF" w:rsidRPr="005967A1" w:rsidRDefault="00650BCF" w:rsidP="00650BCF">
      <w:pPr>
        <w:rPr>
          <w:szCs w:val="22"/>
        </w:rPr>
      </w:pPr>
      <w:r w:rsidRPr="005967A1">
        <w:rPr>
          <w:szCs w:val="22"/>
        </w:rPr>
        <w:t xml:space="preserve">In the early autumn of 2019, an overarching Services Agreement relating to services provided by Oxford Health was agreed in principle. Over the same period discussions took place regarding a specific commissioned work package to be provided by OHFT at a commercial rate. The requirements for this work package were agreed and the detail was included in the pre-agreed Services Agreement. The agreement for this specific work package was signed in October 2019 by the OHFT Medical Director. </w:t>
      </w:r>
    </w:p>
    <w:p w:rsidR="00650BCF" w:rsidRPr="005967A1" w:rsidRDefault="00650BCF" w:rsidP="00650BCF">
      <w:pPr>
        <w:rPr>
          <w:szCs w:val="22"/>
        </w:rPr>
      </w:pPr>
      <w:r w:rsidRPr="005967A1">
        <w:rPr>
          <w:szCs w:val="22"/>
        </w:rPr>
        <w:t>In December 2019 took on the trading name of Akrivia Health (Cristal Health Ltd remains the company) and the OHFT Director of Finance accepted a seat on the Board of Akrivia Health.</w:t>
      </w:r>
    </w:p>
    <w:p w:rsidR="00650BCF" w:rsidRPr="005967A1" w:rsidRDefault="00650BCF" w:rsidP="00650BCF">
      <w:pPr>
        <w:rPr>
          <w:szCs w:val="22"/>
        </w:rPr>
      </w:pPr>
      <w:r w:rsidRPr="005967A1">
        <w:rPr>
          <w:szCs w:val="22"/>
        </w:rPr>
        <w:t xml:space="preserve">in January 2020 the first work package was completed, and a meeting of lessons learned took place. </w:t>
      </w:r>
    </w:p>
    <w:p w:rsidR="00650BCF" w:rsidRPr="005967A1" w:rsidRDefault="00650BCF" w:rsidP="00650BCF">
      <w:pPr>
        <w:rPr>
          <w:szCs w:val="22"/>
        </w:rPr>
      </w:pPr>
      <w:r w:rsidRPr="005967A1">
        <w:rPr>
          <w:szCs w:val="22"/>
        </w:rPr>
        <w:t xml:space="preserve">Akrivia wish to continue to access the high level of expertise within the CRIS group at OHFT and we are working with them to identify areas of common interest which will benefit OHFT. These currently fall into three areas; </w:t>
      </w:r>
    </w:p>
    <w:p w:rsidR="00650BCF" w:rsidRPr="005967A1" w:rsidRDefault="00650BCF" w:rsidP="0017480B">
      <w:pPr>
        <w:pStyle w:val="ListParagraph"/>
        <w:numPr>
          <w:ilvl w:val="0"/>
          <w:numId w:val="34"/>
        </w:numPr>
        <w:spacing w:before="0" w:after="160" w:line="259" w:lineRule="auto"/>
        <w:contextualSpacing/>
        <w:jc w:val="left"/>
        <w:rPr>
          <w:bCs/>
          <w:szCs w:val="22"/>
        </w:rPr>
      </w:pPr>
      <w:r w:rsidRPr="005967A1">
        <w:rPr>
          <w:szCs w:val="22"/>
        </w:rPr>
        <w:t xml:space="preserve">Training - </w:t>
      </w:r>
      <w:r w:rsidRPr="005967A1">
        <w:rPr>
          <w:bCs/>
          <w:szCs w:val="22"/>
        </w:rPr>
        <w:t xml:space="preserve">OHFT already provides ad-hoc support to other Trusts. </w:t>
      </w:r>
    </w:p>
    <w:p w:rsidR="00650BCF" w:rsidRPr="005967A1" w:rsidRDefault="00650BCF" w:rsidP="0017480B">
      <w:pPr>
        <w:pStyle w:val="ListParagraph"/>
        <w:numPr>
          <w:ilvl w:val="0"/>
          <w:numId w:val="34"/>
        </w:numPr>
        <w:spacing w:before="0" w:after="160" w:line="259" w:lineRule="auto"/>
        <w:contextualSpacing/>
        <w:jc w:val="left"/>
        <w:rPr>
          <w:bCs/>
          <w:szCs w:val="22"/>
        </w:rPr>
      </w:pPr>
      <w:r w:rsidRPr="005967A1">
        <w:rPr>
          <w:szCs w:val="22"/>
        </w:rPr>
        <w:lastRenderedPageBreak/>
        <w:t xml:space="preserve">Platform Development - OHFT will have a vested interest in how the system develops in the future. Involvement here will </w:t>
      </w:r>
      <w:r w:rsidRPr="005967A1">
        <w:rPr>
          <w:bCs/>
          <w:szCs w:val="22"/>
        </w:rPr>
        <w:t xml:space="preserve">help provide advanced notice of future developments, allowing the consideration of potential impacts. </w:t>
      </w:r>
    </w:p>
    <w:p w:rsidR="00650BCF" w:rsidRPr="005967A1" w:rsidRDefault="00650BCF" w:rsidP="0017480B">
      <w:pPr>
        <w:pStyle w:val="ListParagraph"/>
        <w:numPr>
          <w:ilvl w:val="0"/>
          <w:numId w:val="34"/>
        </w:numPr>
        <w:spacing w:before="0" w:after="160" w:line="259" w:lineRule="auto"/>
        <w:contextualSpacing/>
        <w:jc w:val="left"/>
        <w:rPr>
          <w:szCs w:val="22"/>
        </w:rPr>
      </w:pPr>
      <w:r w:rsidRPr="005967A1">
        <w:rPr>
          <w:szCs w:val="22"/>
        </w:rPr>
        <w:t>Consultancy Work – after delivery of the first work package OHFT would consider future commissions on a case by case basis to ensure that we only accept those case where we can accrue some benefit</w:t>
      </w:r>
    </w:p>
    <w:p w:rsidR="00650BCF" w:rsidRPr="005967A1" w:rsidRDefault="00650BCF" w:rsidP="00650BCF">
      <w:pPr>
        <w:rPr>
          <w:bCs/>
          <w:szCs w:val="22"/>
        </w:rPr>
      </w:pPr>
      <w:r w:rsidRPr="005967A1">
        <w:rPr>
          <w:bCs/>
          <w:szCs w:val="22"/>
        </w:rPr>
        <w:t xml:space="preserve">OHFT is already seen nationally as a lead site in relation to CRIS and reputationally it is in its interest to have an awareness to Akrivia Health’s activity. </w:t>
      </w:r>
    </w:p>
    <w:p w:rsidR="00650BCF" w:rsidRDefault="00650BCF" w:rsidP="00650BCF">
      <w:pPr>
        <w:rPr>
          <w:bCs/>
          <w:szCs w:val="22"/>
        </w:rPr>
      </w:pPr>
      <w:r w:rsidRPr="005967A1">
        <w:rPr>
          <w:bCs/>
          <w:szCs w:val="22"/>
        </w:rPr>
        <w:t>The areas mentioned above would increase opportunities for OHFT staff, help provide advanced notice of future developments and provide an additional income stream</w:t>
      </w:r>
    </w:p>
    <w:p w:rsidR="0070768B" w:rsidRDefault="0070768B" w:rsidP="00650BCF">
      <w:pPr>
        <w:rPr>
          <w:b/>
          <w:szCs w:val="22"/>
        </w:rPr>
      </w:pPr>
    </w:p>
    <w:p w:rsidR="0070768B" w:rsidRDefault="0070768B" w:rsidP="00650BCF">
      <w:pPr>
        <w:rPr>
          <w:b/>
          <w:szCs w:val="22"/>
        </w:rPr>
      </w:pPr>
    </w:p>
    <w:p w:rsidR="0070768B" w:rsidRDefault="0070768B" w:rsidP="00650BCF">
      <w:pPr>
        <w:rPr>
          <w:b/>
          <w:szCs w:val="22"/>
        </w:rPr>
      </w:pPr>
      <w:r>
        <w:rPr>
          <w:b/>
          <w:szCs w:val="22"/>
        </w:rPr>
        <w:t>Specific elements of the work include:</w:t>
      </w:r>
    </w:p>
    <w:p w:rsidR="00650BCF" w:rsidRPr="0070768B" w:rsidRDefault="00650BCF" w:rsidP="0070768B">
      <w:pPr>
        <w:pStyle w:val="ListParagraph"/>
        <w:numPr>
          <w:ilvl w:val="0"/>
          <w:numId w:val="63"/>
        </w:numPr>
        <w:rPr>
          <w:szCs w:val="22"/>
          <w:lang w:val="en-GB"/>
        </w:rPr>
      </w:pPr>
      <w:r w:rsidRPr="0070768B">
        <w:rPr>
          <w:b/>
          <w:szCs w:val="22"/>
        </w:rPr>
        <w:t>Natural Language Processing (NLP) work</w:t>
      </w:r>
      <w:r w:rsidRPr="0070768B">
        <w:rPr>
          <w:szCs w:val="22"/>
        </w:rPr>
        <w:t xml:space="preserve"> - </w:t>
      </w:r>
      <w:r w:rsidRPr="0070768B">
        <w:rPr>
          <w:szCs w:val="22"/>
          <w:lang w:val="en-GB"/>
        </w:rPr>
        <w:t xml:space="preserve">This provides CRIS users with an automatic text reading facility for extracting and providing the context for relevant data currently only available within the free text fields of a medical record.  </w:t>
      </w:r>
    </w:p>
    <w:p w:rsidR="00650BCF" w:rsidRPr="0070768B" w:rsidRDefault="00650BCF" w:rsidP="0070768B">
      <w:pPr>
        <w:pStyle w:val="ListParagraph"/>
        <w:rPr>
          <w:szCs w:val="22"/>
        </w:rPr>
      </w:pPr>
      <w:r w:rsidRPr="0070768B">
        <w:rPr>
          <w:szCs w:val="22"/>
        </w:rPr>
        <w:t xml:space="preserve">Work continues in locating all mentions of drugs within the clinical notes and whether they are being prescribed, mentioned or ‘PRN’ along with their dose.  Akrivia Health are also now working on a number of additional concepts which will be made available to the whole CRIS Network.  These concepts include Medications, Diagnosis including the severity, Health Scores, Adverse Effects, Symptoms, </w:t>
      </w:r>
    </w:p>
    <w:p w:rsidR="00650BCF" w:rsidRPr="0070768B" w:rsidRDefault="00650BCF" w:rsidP="0070768B">
      <w:pPr>
        <w:pStyle w:val="ListParagraph"/>
        <w:numPr>
          <w:ilvl w:val="0"/>
          <w:numId w:val="63"/>
        </w:numPr>
        <w:rPr>
          <w:szCs w:val="22"/>
          <w:lang w:val="en-GB"/>
        </w:rPr>
      </w:pPr>
      <w:r w:rsidRPr="0070768B">
        <w:rPr>
          <w:b/>
          <w:szCs w:val="22"/>
          <w:lang w:val="en-GB"/>
        </w:rPr>
        <w:t>Virtual Desktop Environment</w:t>
      </w:r>
      <w:r w:rsidRPr="0070768B">
        <w:rPr>
          <w:szCs w:val="22"/>
          <w:lang w:val="en-GB"/>
        </w:rPr>
        <w:t xml:space="preserve"> – CRIS researchers have now moved onto the Swansea University - UK Secure Research Platform (UK </w:t>
      </w:r>
      <w:proofErr w:type="spellStart"/>
      <w:r w:rsidRPr="0070768B">
        <w:rPr>
          <w:szCs w:val="22"/>
          <w:lang w:val="en-GB"/>
        </w:rPr>
        <w:t>SeRP</w:t>
      </w:r>
      <w:proofErr w:type="spellEnd"/>
      <w:r w:rsidRPr="0070768B">
        <w:rPr>
          <w:szCs w:val="22"/>
          <w:lang w:val="en-GB"/>
        </w:rPr>
        <w:t>) facility where they can securely conduct their searches and store their extracts.  This facility also provides additional analysis and NLP tools.</w:t>
      </w:r>
    </w:p>
    <w:p w:rsidR="00650BCF" w:rsidRPr="0070768B" w:rsidRDefault="00650BCF" w:rsidP="0070768B">
      <w:pPr>
        <w:pStyle w:val="ListParagraph"/>
        <w:rPr>
          <w:szCs w:val="22"/>
          <w:lang w:val="en-GB"/>
        </w:rPr>
      </w:pPr>
      <w:r w:rsidRPr="0070768B">
        <w:rPr>
          <w:szCs w:val="22"/>
          <w:lang w:val="en-GB"/>
        </w:rPr>
        <w:t xml:space="preserve">We continue to offer an additional Microsoft Azure virtual desktop facility, created by Oxford Health Trust IT department, for our NLP scientists which has adequate resource to support their work. </w:t>
      </w:r>
    </w:p>
    <w:p w:rsidR="0070768B" w:rsidRPr="0070768B" w:rsidRDefault="00650BCF" w:rsidP="0070768B">
      <w:pPr>
        <w:pStyle w:val="ListParagraph"/>
        <w:numPr>
          <w:ilvl w:val="0"/>
          <w:numId w:val="63"/>
        </w:numPr>
        <w:rPr>
          <w:bCs/>
          <w:szCs w:val="22"/>
          <w:lang w:val="en-GB"/>
        </w:rPr>
      </w:pPr>
      <w:r w:rsidRPr="0070768B">
        <w:rPr>
          <w:b/>
          <w:szCs w:val="22"/>
          <w:lang w:val="en-GB"/>
        </w:rPr>
        <w:t>Consent for re-contact</w:t>
      </w:r>
      <w:r w:rsidR="0070768B">
        <w:rPr>
          <w:b/>
          <w:szCs w:val="22"/>
          <w:lang w:val="en-GB"/>
        </w:rPr>
        <w:t xml:space="preserve"> – </w:t>
      </w:r>
      <w:r w:rsidR="0070768B" w:rsidRPr="0070768B">
        <w:rPr>
          <w:bCs/>
          <w:szCs w:val="22"/>
          <w:lang w:val="en-GB"/>
        </w:rPr>
        <w:t>The Research Informatics team will play a key role in taking this forward</w:t>
      </w:r>
    </w:p>
    <w:p w:rsidR="0070768B" w:rsidRPr="0070768B" w:rsidRDefault="00650BCF" w:rsidP="0070768B">
      <w:pPr>
        <w:pStyle w:val="ListParagraph"/>
        <w:numPr>
          <w:ilvl w:val="0"/>
          <w:numId w:val="63"/>
        </w:numPr>
        <w:rPr>
          <w:bCs/>
          <w:szCs w:val="22"/>
        </w:rPr>
      </w:pPr>
      <w:r w:rsidRPr="0070768B">
        <w:rPr>
          <w:b/>
          <w:szCs w:val="22"/>
        </w:rPr>
        <w:t>Linkage</w:t>
      </w:r>
      <w:r w:rsidR="0070768B">
        <w:rPr>
          <w:b/>
          <w:szCs w:val="22"/>
        </w:rPr>
        <w:t xml:space="preserve"> – </w:t>
      </w:r>
      <w:r w:rsidR="0070768B" w:rsidRPr="0070768B">
        <w:rPr>
          <w:bCs/>
          <w:szCs w:val="22"/>
        </w:rPr>
        <w:t>This includes work with the Health Information Collaborative (HIC) which looks to develop linked datasets</w:t>
      </w:r>
    </w:p>
    <w:p w:rsidR="00650BCF" w:rsidRPr="0070768B" w:rsidRDefault="0070768B" w:rsidP="0070768B">
      <w:pPr>
        <w:pStyle w:val="ListParagraph"/>
        <w:numPr>
          <w:ilvl w:val="0"/>
          <w:numId w:val="63"/>
        </w:numPr>
        <w:rPr>
          <w:bCs/>
          <w:szCs w:val="22"/>
        </w:rPr>
      </w:pPr>
      <w:r w:rsidRPr="0070768B">
        <w:rPr>
          <w:b/>
          <w:szCs w:val="22"/>
        </w:rPr>
        <w:t>UK Biobank</w:t>
      </w:r>
      <w:r w:rsidRPr="0070768B">
        <w:rPr>
          <w:bCs/>
          <w:szCs w:val="22"/>
        </w:rPr>
        <w:t xml:space="preserve"> </w:t>
      </w:r>
      <w:r>
        <w:rPr>
          <w:bCs/>
          <w:szCs w:val="22"/>
        </w:rPr>
        <w:t xml:space="preserve">- </w:t>
      </w:r>
      <w:r w:rsidR="00650BCF" w:rsidRPr="0070768B">
        <w:rPr>
          <w:bCs/>
          <w:szCs w:val="22"/>
        </w:rPr>
        <w:t xml:space="preserve">CRIS data is linked to the UK Biobank and a static set of Improving Access to Psychological Therapies (IAPT) data, providing further opportunities for additional collaborations and larger de-identified data sets to be </w:t>
      </w:r>
      <w:proofErr w:type="spellStart"/>
      <w:r w:rsidR="00650BCF" w:rsidRPr="0070768B">
        <w:rPr>
          <w:bCs/>
          <w:szCs w:val="22"/>
        </w:rPr>
        <w:t>analysed</w:t>
      </w:r>
      <w:proofErr w:type="spellEnd"/>
      <w:r w:rsidR="00650BCF" w:rsidRPr="0070768B">
        <w:rPr>
          <w:bCs/>
          <w:szCs w:val="22"/>
        </w:rPr>
        <w:t>.  There are further ongoing collaborations taking place to link CRIS data in Oxford with National Cancer Registry (NCR) data held by Public Health England as well as a research data base held at Oxford University Hospitals called the ORCHARD Project.  All linkage projects require approval by the CRIS Oversight Group as well as a Data Protection Impact Assessment (DPIA) and relevant Data Sharing Agreements to be put in place.</w:t>
      </w:r>
    </w:p>
    <w:p w:rsidR="001C7283" w:rsidRPr="0070768B" w:rsidRDefault="00650BCF" w:rsidP="001C7283">
      <w:pPr>
        <w:pStyle w:val="ListParagraph"/>
        <w:numPr>
          <w:ilvl w:val="0"/>
          <w:numId w:val="63"/>
        </w:numPr>
        <w:spacing w:before="0" w:after="0"/>
        <w:rPr>
          <w:bCs/>
          <w:szCs w:val="22"/>
        </w:rPr>
      </w:pPr>
      <w:r w:rsidRPr="001C7283">
        <w:rPr>
          <w:bCs/>
          <w:szCs w:val="22"/>
        </w:rPr>
        <w:t>IMG</w:t>
      </w:r>
      <w:r w:rsidR="0070768B" w:rsidRPr="001C7283">
        <w:rPr>
          <w:bCs/>
          <w:szCs w:val="22"/>
        </w:rPr>
        <w:t xml:space="preserve"> </w:t>
      </w:r>
      <w:r w:rsidR="001C7283" w:rsidRPr="001C7283">
        <w:rPr>
          <w:bCs/>
          <w:szCs w:val="22"/>
        </w:rPr>
        <w:t>–</w:t>
      </w:r>
      <w:r w:rsidR="0070768B" w:rsidRPr="001C7283">
        <w:rPr>
          <w:bCs/>
          <w:szCs w:val="22"/>
        </w:rPr>
        <w:t xml:space="preserve"> </w:t>
      </w:r>
      <w:r w:rsidR="001C7283" w:rsidRPr="001C7283">
        <w:rPr>
          <w:bCs/>
          <w:szCs w:val="22"/>
        </w:rPr>
        <w:t xml:space="preserve">the monitoring of all </w:t>
      </w:r>
      <w:r w:rsidRPr="001C7283">
        <w:rPr>
          <w:bCs/>
          <w:szCs w:val="22"/>
        </w:rPr>
        <w:t xml:space="preserve">research data assets </w:t>
      </w:r>
      <w:r w:rsidR="001C7283">
        <w:rPr>
          <w:bCs/>
          <w:szCs w:val="22"/>
        </w:rPr>
        <w:t xml:space="preserve">is undertaken by the </w:t>
      </w:r>
      <w:r w:rsidR="001C7283" w:rsidRPr="0070768B">
        <w:rPr>
          <w:bCs/>
          <w:szCs w:val="22"/>
        </w:rPr>
        <w:t>Head of Research Informatics</w:t>
      </w:r>
    </w:p>
    <w:p w:rsidR="001C7283" w:rsidRDefault="00650BCF" w:rsidP="001C7283">
      <w:pPr>
        <w:pStyle w:val="ListParagraph"/>
        <w:spacing w:before="0" w:after="0"/>
        <w:rPr>
          <w:bCs/>
          <w:szCs w:val="22"/>
        </w:rPr>
      </w:pPr>
      <w:r w:rsidRPr="001C7283">
        <w:rPr>
          <w:bCs/>
          <w:szCs w:val="22"/>
        </w:rPr>
        <w:t xml:space="preserve">reported to the </w:t>
      </w:r>
      <w:r w:rsidR="001C7283">
        <w:rPr>
          <w:bCs/>
          <w:szCs w:val="22"/>
        </w:rPr>
        <w:t xml:space="preserve">Trust </w:t>
      </w:r>
      <w:r w:rsidRPr="001C7283">
        <w:rPr>
          <w:bCs/>
          <w:szCs w:val="22"/>
        </w:rPr>
        <w:t>Information Management Group</w:t>
      </w:r>
      <w:r w:rsidR="001C7283">
        <w:rPr>
          <w:bCs/>
          <w:szCs w:val="22"/>
        </w:rPr>
        <w:t xml:space="preserve"> </w:t>
      </w:r>
    </w:p>
    <w:p w:rsidR="00650BCF" w:rsidRPr="001C7283" w:rsidRDefault="00650BCF" w:rsidP="00800D69">
      <w:pPr>
        <w:pStyle w:val="ListParagraph"/>
        <w:numPr>
          <w:ilvl w:val="0"/>
          <w:numId w:val="63"/>
        </w:numPr>
        <w:rPr>
          <w:bCs/>
          <w:szCs w:val="22"/>
        </w:rPr>
      </w:pPr>
      <w:r w:rsidRPr="001C7283">
        <w:rPr>
          <w:b/>
          <w:szCs w:val="22"/>
        </w:rPr>
        <w:t>GDPR</w:t>
      </w:r>
      <w:r w:rsidR="001C7283" w:rsidRPr="001C7283">
        <w:rPr>
          <w:b/>
          <w:szCs w:val="22"/>
        </w:rPr>
        <w:t xml:space="preserve"> – </w:t>
      </w:r>
      <w:r w:rsidR="001C7283" w:rsidRPr="001C7283">
        <w:rPr>
          <w:bCs/>
          <w:szCs w:val="22"/>
        </w:rPr>
        <w:t>The implications and requirements of GDPR in relation to research data are still evolving. This is a significant piece of work which is led Head of Research Informatics</w:t>
      </w:r>
      <w:r w:rsidR="001C7283">
        <w:rPr>
          <w:bCs/>
          <w:szCs w:val="22"/>
        </w:rPr>
        <w:t xml:space="preserve"> who </w:t>
      </w:r>
      <w:r w:rsidRPr="001C7283">
        <w:rPr>
          <w:bCs/>
          <w:szCs w:val="22"/>
        </w:rPr>
        <w:t xml:space="preserve">attends the GDPR Future Forwards workshops and supports the Research staff with training and support on how personal data in research should be managed in accordance with the GDPR regulations.  </w:t>
      </w:r>
    </w:p>
    <w:p w:rsidR="001C7283" w:rsidRPr="001C7283" w:rsidRDefault="001C7283" w:rsidP="00124136">
      <w:pPr>
        <w:pStyle w:val="ListParagraph"/>
        <w:numPr>
          <w:ilvl w:val="0"/>
          <w:numId w:val="63"/>
        </w:numPr>
        <w:rPr>
          <w:bCs/>
          <w:szCs w:val="22"/>
        </w:rPr>
      </w:pPr>
      <w:r w:rsidRPr="001C7283">
        <w:rPr>
          <w:b/>
          <w:szCs w:val="22"/>
        </w:rPr>
        <w:t>Data Management</w:t>
      </w:r>
      <w:r w:rsidRPr="001C7283">
        <w:rPr>
          <w:bCs/>
          <w:szCs w:val="22"/>
        </w:rPr>
        <w:t xml:space="preserve"> – The </w:t>
      </w:r>
      <w:r w:rsidR="00650BCF" w:rsidRPr="001C7283">
        <w:rPr>
          <w:bCs/>
          <w:szCs w:val="22"/>
        </w:rPr>
        <w:t>R</w:t>
      </w:r>
      <w:r w:rsidRPr="001C7283">
        <w:rPr>
          <w:bCs/>
          <w:szCs w:val="22"/>
        </w:rPr>
        <w:t>&amp;D D</w:t>
      </w:r>
      <w:r w:rsidR="00650BCF" w:rsidRPr="001C7283">
        <w:rPr>
          <w:bCs/>
          <w:szCs w:val="22"/>
        </w:rPr>
        <w:t xml:space="preserve">ata Manager is responsible for a number of research systems including </w:t>
      </w:r>
      <w:r w:rsidRPr="001C7283">
        <w:rPr>
          <w:bCs/>
          <w:szCs w:val="22"/>
        </w:rPr>
        <w:t xml:space="preserve">those for administering </w:t>
      </w:r>
      <w:r w:rsidR="00650BCF" w:rsidRPr="001C7283">
        <w:rPr>
          <w:bCs/>
          <w:szCs w:val="22"/>
        </w:rPr>
        <w:t>clinical research studies</w:t>
      </w:r>
      <w:r w:rsidRPr="001C7283">
        <w:rPr>
          <w:bCs/>
          <w:szCs w:val="22"/>
        </w:rPr>
        <w:t xml:space="preserve">, </w:t>
      </w:r>
      <w:r w:rsidR="00650BCF" w:rsidRPr="001C7283">
        <w:rPr>
          <w:bCs/>
          <w:szCs w:val="22"/>
        </w:rPr>
        <w:t xml:space="preserve">project and portfolio management and </w:t>
      </w:r>
      <w:r w:rsidR="00650BCF" w:rsidRPr="001C7283">
        <w:rPr>
          <w:bCs/>
          <w:szCs w:val="22"/>
        </w:rPr>
        <w:lastRenderedPageBreak/>
        <w:t>the national performance</w:t>
      </w:r>
      <w:r w:rsidRPr="001C7283">
        <w:rPr>
          <w:bCs/>
          <w:szCs w:val="22"/>
        </w:rPr>
        <w:t xml:space="preserve">. </w:t>
      </w:r>
      <w:r w:rsidR="00650BCF" w:rsidRPr="001C7283">
        <w:rPr>
          <w:bCs/>
          <w:szCs w:val="22"/>
        </w:rPr>
        <w:t xml:space="preserve"> </w:t>
      </w:r>
      <w:r w:rsidRPr="001C7283">
        <w:rPr>
          <w:bCs/>
          <w:szCs w:val="22"/>
        </w:rPr>
        <w:t xml:space="preserve">This role has the responsibility for producing all the data required for the BRC and CRF </w:t>
      </w:r>
      <w:r w:rsidR="00650BCF" w:rsidRPr="001C7283">
        <w:rPr>
          <w:bCs/>
          <w:szCs w:val="22"/>
        </w:rPr>
        <w:t>annual reports</w:t>
      </w:r>
    </w:p>
    <w:p w:rsidR="0083751C" w:rsidRPr="00280498" w:rsidRDefault="0083751C" w:rsidP="0083751C">
      <w:pPr>
        <w:pStyle w:val="Heading1"/>
      </w:pPr>
      <w:bookmarkStart w:id="51" w:name="_Toc34407434"/>
      <w:bookmarkEnd w:id="50"/>
      <w:r w:rsidRPr="00280498">
        <w:t>Collaboration</w:t>
      </w:r>
      <w:r w:rsidR="00542993">
        <w:t>s</w:t>
      </w:r>
      <w:r w:rsidR="00B806C9">
        <w:t xml:space="preserve"> and Impact</w:t>
      </w:r>
      <w:bookmarkEnd w:id="51"/>
    </w:p>
    <w:p w:rsidR="00C421B3" w:rsidRPr="00D67C81" w:rsidRDefault="00C421B3" w:rsidP="00C421B3">
      <w:pPr>
        <w:pStyle w:val="Heading2"/>
      </w:pPr>
      <w:bookmarkStart w:id="52" w:name="_Toc34407435"/>
      <w:r w:rsidRPr="00D67C81">
        <w:t>Oxford Academic Health Sciences Centre (AHSC)</w:t>
      </w:r>
      <w:bookmarkEnd w:id="52"/>
    </w:p>
    <w:p w:rsidR="00C421B3" w:rsidRDefault="00C421B3" w:rsidP="00C421B3">
      <w:pPr>
        <w:rPr>
          <w:szCs w:val="22"/>
        </w:rPr>
      </w:pPr>
      <w:r w:rsidRPr="006B628F">
        <w:rPr>
          <w:szCs w:val="22"/>
        </w:rPr>
        <w:t>The ASHC will submit a separate report to the Board regarding activity across the four-partner organization in Oxford.  These reports will be on a biannual basis</w:t>
      </w:r>
    </w:p>
    <w:p w:rsidR="0083751C" w:rsidRPr="001C7283" w:rsidRDefault="0083751C" w:rsidP="0083751C">
      <w:pPr>
        <w:pStyle w:val="Heading2"/>
        <w:rPr>
          <w:lang w:val="en-GB"/>
        </w:rPr>
      </w:pPr>
      <w:bookmarkStart w:id="53" w:name="_Toc34407436"/>
      <w:r w:rsidRPr="001C7283">
        <w:rPr>
          <w:lang w:val="en-GB"/>
        </w:rPr>
        <w:t>Oxford Academic Health Science Network (OAHSN)</w:t>
      </w:r>
      <w:bookmarkEnd w:id="53"/>
      <w:r w:rsidRPr="001C7283">
        <w:rPr>
          <w:lang w:val="en-GB"/>
        </w:rPr>
        <w:t xml:space="preserve"> </w:t>
      </w:r>
    </w:p>
    <w:p w:rsidR="00ED3A46" w:rsidRPr="00AD6FD9" w:rsidRDefault="00ED3A46" w:rsidP="00ED3A46">
      <w:r w:rsidRPr="00AD6FD9">
        <w:t xml:space="preserve">Oxford Academic Health Science Network (AHSN) maintains a significant </w:t>
      </w:r>
      <w:r>
        <w:t>focus</w:t>
      </w:r>
      <w:r w:rsidRPr="00AD6FD9">
        <w:t xml:space="preserve"> of Mental Health </w:t>
      </w:r>
      <w:r>
        <w:t>within</w:t>
      </w:r>
      <w:r w:rsidRPr="00AD6FD9">
        <w:t xml:space="preserve"> its programmes and we highlight below </w:t>
      </w:r>
      <w:r>
        <w:t>M</w:t>
      </w:r>
      <w:r w:rsidRPr="00AD6FD9">
        <w:t xml:space="preserve">ental </w:t>
      </w:r>
      <w:r>
        <w:t>H</w:t>
      </w:r>
      <w:r w:rsidRPr="00AD6FD9">
        <w:t>ealth work that is either hosted within Oxford Health NHS Foundation Trust (OHFT) or of relevance to the trust.</w:t>
      </w:r>
    </w:p>
    <w:p w:rsidR="00ED3A46" w:rsidRPr="00ED3A46" w:rsidRDefault="00ED3A46" w:rsidP="00ED3A46">
      <w:pPr>
        <w:rPr>
          <w:b/>
          <w:bCs/>
        </w:rPr>
      </w:pPr>
      <w:r w:rsidRPr="00ED3A46">
        <w:rPr>
          <w:b/>
          <w:bCs/>
        </w:rPr>
        <w:t xml:space="preserve">Oxford AHSN Anxiety and Depression (A&amp;D) Network </w:t>
      </w:r>
    </w:p>
    <w:p w:rsidR="00ED3A46" w:rsidRDefault="00ED3A46" w:rsidP="00ED3A46">
      <w:r>
        <w:t>The A&amp;D Network is hosted by OHFT. Professor David Clark is</w:t>
      </w:r>
      <w:r w:rsidRPr="006D77DE">
        <w:t xml:space="preserve"> C</w:t>
      </w:r>
      <w:r>
        <w:t>linical Lead, Ineke Wolsey is the</w:t>
      </w:r>
      <w:r w:rsidRPr="006D77DE">
        <w:t xml:space="preserve"> Network Manager and all IAPT </w:t>
      </w:r>
      <w:r>
        <w:t xml:space="preserve">(Improving Access to Psychological Therapies) </w:t>
      </w:r>
      <w:r w:rsidRPr="006D77DE">
        <w:t xml:space="preserve">services across </w:t>
      </w:r>
      <w:r>
        <w:t xml:space="preserve">Thames Valley and Milton Keynes are active </w:t>
      </w:r>
      <w:r w:rsidRPr="006D77DE">
        <w:t xml:space="preserve">members. </w:t>
      </w:r>
      <w:r>
        <w:t xml:space="preserve">The overarching objective of the network is to continuously improve patient outcomes, working very closely with its active Patient Forum. </w:t>
      </w:r>
      <w:r w:rsidRPr="006D77DE">
        <w:t>Building on the last report to the Board</w:t>
      </w:r>
      <w:r>
        <w:t>,</w:t>
      </w:r>
      <w:r w:rsidRPr="006D77DE">
        <w:t xml:space="preserve"> when much deta</w:t>
      </w:r>
      <w:r>
        <w:t xml:space="preserve">il was provided on </w:t>
      </w:r>
      <w:r w:rsidRPr="006D77DE">
        <w:t xml:space="preserve">various projects </w:t>
      </w:r>
      <w:r>
        <w:t xml:space="preserve">that </w:t>
      </w:r>
      <w:r w:rsidRPr="006D77DE">
        <w:t xml:space="preserve">the Anxiety and Depression Network </w:t>
      </w:r>
      <w:r>
        <w:t>is driving forward, this report will provide an update on some of the</w:t>
      </w:r>
      <w:r w:rsidRPr="006D77DE">
        <w:t xml:space="preserve"> </w:t>
      </w:r>
      <w:r>
        <w:t>most recently initiated projects which have a strong focus on the following:</w:t>
      </w:r>
    </w:p>
    <w:p w:rsidR="00ED3A46" w:rsidRPr="001F2A12" w:rsidRDefault="00ED3A46" w:rsidP="00ED3A46">
      <w:pPr>
        <w:ind w:left="360"/>
        <w:rPr>
          <w:b/>
        </w:rPr>
      </w:pPr>
      <w:r w:rsidRPr="001F2A12">
        <w:rPr>
          <w:rStyle w:val="Heading3Char"/>
          <w:b w:val="0"/>
        </w:rPr>
        <w:t>1</w:t>
      </w:r>
      <w:r w:rsidRPr="001F2A12">
        <w:rPr>
          <w:b/>
        </w:rPr>
        <w:t>.</w:t>
      </w:r>
      <w:r w:rsidRPr="001F2A12">
        <w:rPr>
          <w:b/>
        </w:rPr>
        <w:tab/>
        <w:t>Relapse prevention/ staying well after patients have been discharged</w:t>
      </w:r>
    </w:p>
    <w:p w:rsidR="00ED3A46" w:rsidRPr="00436C10" w:rsidRDefault="00ED3A46" w:rsidP="001C7283">
      <w:pPr>
        <w:pStyle w:val="ListParagraph"/>
        <w:numPr>
          <w:ilvl w:val="0"/>
          <w:numId w:val="64"/>
        </w:numPr>
      </w:pPr>
      <w:r w:rsidRPr="001C7283">
        <w:rPr>
          <w:b/>
          <w:bCs/>
        </w:rPr>
        <w:t xml:space="preserve">A new step 2 (Guided Self-help) Staying Well protocol: </w:t>
      </w:r>
      <w:r>
        <w:t>Piloting</w:t>
      </w:r>
      <w:r w:rsidRPr="00436C10">
        <w:t xml:space="preserve"> of this new int</w:t>
      </w:r>
      <w:r>
        <w:t xml:space="preserve">egrated </w:t>
      </w:r>
      <w:r w:rsidRPr="00436C10">
        <w:t xml:space="preserve">relapse prevention/ staying well protocol has now started and </w:t>
      </w:r>
      <w:r>
        <w:t xml:space="preserve">staff </w:t>
      </w:r>
      <w:r w:rsidRPr="00436C10">
        <w:t xml:space="preserve">feedback, albeit anecdotally to date, </w:t>
      </w:r>
      <w:r>
        <w:t xml:space="preserve">is </w:t>
      </w:r>
      <w:r w:rsidRPr="00436C10">
        <w:t>very positive.</w:t>
      </w:r>
      <w:r>
        <w:t xml:space="preserve"> User experience and impact evaluations to be completed in the next 6 months.</w:t>
      </w:r>
    </w:p>
    <w:p w:rsidR="00ED3A46" w:rsidRDefault="00ED3A46" w:rsidP="001C7283">
      <w:pPr>
        <w:pStyle w:val="ListParagraph"/>
        <w:numPr>
          <w:ilvl w:val="0"/>
          <w:numId w:val="64"/>
        </w:numPr>
      </w:pPr>
      <w:r w:rsidRPr="001C7283">
        <w:rPr>
          <w:b/>
          <w:bCs/>
        </w:rPr>
        <w:t>The Paddle therapy support app</w:t>
      </w:r>
      <w:r w:rsidRPr="006D77DE">
        <w:t xml:space="preserve">: </w:t>
      </w:r>
      <w:r>
        <w:t xml:space="preserve">Building on the detailed description of this initiative for the last report Paddle is now piloted across Thames Valley by a small group of champions within each of the services. A user experience and impact evaluation will be completed within the next 6 months. More information can be found here: </w:t>
      </w:r>
      <w:hyperlink r:id="rId29" w:history="1">
        <w:r w:rsidRPr="00D60171">
          <w:rPr>
            <w:rStyle w:val="Hyperlink"/>
          </w:rPr>
          <w:t>https://www.paddleapp.org/</w:t>
        </w:r>
      </w:hyperlink>
      <w:r>
        <w:rPr>
          <w:rStyle w:val="Hyperlink"/>
        </w:rPr>
        <w:t xml:space="preserve"> </w:t>
      </w:r>
      <w:r>
        <w:t>.</w:t>
      </w:r>
    </w:p>
    <w:p w:rsidR="00ED3A46" w:rsidRPr="007D5B49" w:rsidRDefault="00ED3A46" w:rsidP="00ED3A46">
      <w:pPr>
        <w:ind w:left="360"/>
        <w:rPr>
          <w:bCs/>
        </w:rPr>
      </w:pPr>
      <w:r w:rsidRPr="007D5B49">
        <w:rPr>
          <w:b/>
        </w:rPr>
        <w:t>2.</w:t>
      </w:r>
      <w:r w:rsidRPr="007D5B49">
        <w:rPr>
          <w:b/>
        </w:rPr>
        <w:tab/>
        <w:t>Identifying patients who don’t do well in IAPT services</w:t>
      </w:r>
      <w:r>
        <w:rPr>
          <w:b/>
        </w:rPr>
        <w:t>:</w:t>
      </w:r>
      <w:r w:rsidRPr="007D5B49">
        <w:rPr>
          <w:b/>
        </w:rPr>
        <w:t xml:space="preserve"> </w:t>
      </w:r>
      <w:r>
        <w:t>This is a</w:t>
      </w:r>
      <w:r w:rsidRPr="00794B93">
        <w:t>n</w:t>
      </w:r>
      <w:r>
        <w:rPr>
          <w:b/>
        </w:rPr>
        <w:t xml:space="preserve"> </w:t>
      </w:r>
      <w:r w:rsidRPr="00794B93">
        <w:t>exploration of what needs are not me</w:t>
      </w:r>
      <w:r>
        <w:t xml:space="preserve">t, </w:t>
      </w:r>
      <w:r w:rsidRPr="00794B93">
        <w:t>how services might be able to change their treatment</w:t>
      </w:r>
      <w:r>
        <w:t>,</w:t>
      </w:r>
      <w:r w:rsidRPr="00794B93">
        <w:t xml:space="preserve"> and support options to meet these patients’ needs</w:t>
      </w:r>
      <w:r>
        <w:rPr>
          <w:b/>
        </w:rPr>
        <w:t xml:space="preserve">. </w:t>
      </w:r>
      <w:r w:rsidRPr="00794B93">
        <w:t>The</w:t>
      </w:r>
      <w:r>
        <w:rPr>
          <w:b/>
        </w:rPr>
        <w:t xml:space="preserve"> </w:t>
      </w:r>
      <w:r>
        <w:rPr>
          <w:bCs/>
        </w:rPr>
        <w:t xml:space="preserve">network has started some work on the above in collaboration with UCL. National data has been </w:t>
      </w:r>
      <w:proofErr w:type="spellStart"/>
      <w:r>
        <w:rPr>
          <w:bCs/>
        </w:rPr>
        <w:t>analysed</w:t>
      </w:r>
      <w:proofErr w:type="spellEnd"/>
      <w:r>
        <w:rPr>
          <w:bCs/>
        </w:rPr>
        <w:t xml:space="preserve"> to identify the profile of patients who do not do well in IAPT services (i.e. do not achieve recovery and often discontinue treatment). We are currently looking at local data to understand if this is replicated locally, and if so, next steps will be looking at how the treatment options may need to be adapted to help this group of patients.</w:t>
      </w:r>
    </w:p>
    <w:p w:rsidR="00ED3A46" w:rsidRDefault="00ED3A46" w:rsidP="00ED3A46">
      <w:pPr>
        <w:ind w:left="360"/>
        <w:rPr>
          <w:bCs/>
        </w:rPr>
      </w:pPr>
      <w:r w:rsidRPr="007D5B49">
        <w:rPr>
          <w:b/>
        </w:rPr>
        <w:t>3.</w:t>
      </w:r>
      <w:r w:rsidRPr="007D5B49">
        <w:rPr>
          <w:b/>
        </w:rPr>
        <w:tab/>
        <w:t xml:space="preserve">Looking for ways to </w:t>
      </w:r>
      <w:proofErr w:type="spellStart"/>
      <w:r w:rsidRPr="007D5B49">
        <w:rPr>
          <w:b/>
        </w:rPr>
        <w:t>utili</w:t>
      </w:r>
      <w:r>
        <w:rPr>
          <w:b/>
        </w:rPr>
        <w:t>s</w:t>
      </w:r>
      <w:r w:rsidRPr="007D5B49">
        <w:rPr>
          <w:b/>
        </w:rPr>
        <w:t>e</w:t>
      </w:r>
      <w:proofErr w:type="spellEnd"/>
      <w:r w:rsidRPr="007D5B49">
        <w:rPr>
          <w:b/>
        </w:rPr>
        <w:t xml:space="preserve"> dual trained staff more flexibly and improve patient outcomes and experience</w:t>
      </w:r>
      <w:r>
        <w:rPr>
          <w:b/>
        </w:rPr>
        <w:t xml:space="preserve">: </w:t>
      </w:r>
      <w:r>
        <w:rPr>
          <w:bCs/>
        </w:rPr>
        <w:t xml:space="preserve">many of the staff within IAPT services are dual trained i.e. they first trained as a step 2 Psychological Wellbeing Practitioner and then went on to train as a step 3 High Intensity Therapist. Currently steps 2 and 3 are separate entities, each with their own, exclusive treatment protocols. Sometimes patients are ‘stepped up’ from 2 to 3 when they are thought to need more intensive treatment and this can involve a wait between finishing step 2 and starting step 3 treatment which, patients let us know, they find distressing and unhelpful. We are carefully (as fidelity to the model and the evidence-based treatments is of utmost importance) looking at finding a blended solution for some of the patients, which would mean a more fluid transition between the two treatment steps, no waits and continuing to work with the same therapist. </w:t>
      </w:r>
    </w:p>
    <w:p w:rsidR="00ED3A46" w:rsidRPr="003B69F7" w:rsidRDefault="00ED3A46" w:rsidP="00ED3A46">
      <w:pPr>
        <w:ind w:left="360"/>
        <w:rPr>
          <w:bCs/>
        </w:rPr>
      </w:pPr>
      <w:r>
        <w:rPr>
          <w:bCs/>
        </w:rPr>
        <w:lastRenderedPageBreak/>
        <w:t>4.</w:t>
      </w:r>
      <w:r>
        <w:rPr>
          <w:bCs/>
        </w:rPr>
        <w:tab/>
      </w:r>
      <w:r w:rsidRPr="003B69F7">
        <w:rPr>
          <w:b/>
        </w:rPr>
        <w:t>Improving Access to Psychological therapies for older adults:</w:t>
      </w:r>
      <w:r>
        <w:t xml:space="preserve"> Building on the detailed description of this initiative in the last report, the Oxford AHSN has now set up an ‘Improving Access to Psychological therapies for older adults’ network. Members include all IAPT services across Thames Valley, secondary care older adult psychology staff, third sector representation and care home links. The group has met twice in the past 6 months, and members are working in partnership to improve on the current low numbers of older adults accessing psychological therapies. The first two projects include firstly </w:t>
      </w:r>
      <w:proofErr w:type="spellStart"/>
      <w:r>
        <w:t>maximising</w:t>
      </w:r>
      <w:proofErr w:type="spellEnd"/>
      <w:r>
        <w:t xml:space="preserve"> the current national awareness raising campaign to increase number of referrals, and secondly an awareness raising and educational initiative which is aimed at older adults (to reduce stigma and encourage self-referral) and Health Care Professionals (especially in primary care), to encourage the latter to have a conversation about mental health with older adults when needed and to sign post them if helpful.</w:t>
      </w:r>
      <w:r w:rsidRPr="003B69F7">
        <w:rPr>
          <w:bCs/>
        </w:rPr>
        <w:t xml:space="preserve"> </w:t>
      </w:r>
    </w:p>
    <w:p w:rsidR="00ED3A46" w:rsidRPr="00ED3A46" w:rsidRDefault="00ED3A46" w:rsidP="00ED3A46">
      <w:pPr>
        <w:rPr>
          <w:b/>
          <w:bCs/>
        </w:rPr>
      </w:pPr>
      <w:r w:rsidRPr="00ED3A46">
        <w:rPr>
          <w:b/>
          <w:bCs/>
        </w:rPr>
        <w:t>Dementia</w:t>
      </w:r>
    </w:p>
    <w:p w:rsidR="00ED3A46" w:rsidRPr="001F2A12" w:rsidRDefault="00ED3A46" w:rsidP="00ED3A46">
      <w:pPr>
        <w:rPr>
          <w:lang w:eastAsia="en-GB"/>
        </w:rPr>
      </w:pPr>
      <w:r w:rsidRPr="001F2A12">
        <w:rPr>
          <w:lang w:eastAsia="en-GB"/>
        </w:rPr>
        <w:t>Some dementia work continues within the AHSN</w:t>
      </w:r>
      <w:r>
        <w:rPr>
          <w:lang w:eastAsia="en-GB"/>
        </w:rPr>
        <w:t>,</w:t>
      </w:r>
      <w:r w:rsidRPr="001F2A12">
        <w:rPr>
          <w:lang w:eastAsia="en-GB"/>
        </w:rPr>
        <w:t xml:space="preserve"> though the Dementia Clinical Network no longer exists in its previous form.  </w:t>
      </w:r>
    </w:p>
    <w:p w:rsidR="00ED3A46" w:rsidRPr="00AD6FD9" w:rsidRDefault="00ED3A46" w:rsidP="00ED3A46">
      <w:r w:rsidRPr="001F2A12">
        <w:rPr>
          <w:b/>
          <w:szCs w:val="22"/>
        </w:rPr>
        <w:t>Best practice network for Care homes</w:t>
      </w:r>
      <w:r>
        <w:rPr>
          <w:b/>
          <w:szCs w:val="22"/>
        </w:rPr>
        <w:t xml:space="preserve"> health</w:t>
      </w:r>
      <w:r w:rsidRPr="001F2A12">
        <w:rPr>
          <w:b/>
          <w:szCs w:val="22"/>
        </w:rPr>
        <w:t xml:space="preserve"> in-reach teams </w:t>
      </w:r>
      <w:r w:rsidRPr="001F2A12">
        <w:rPr>
          <w:rFonts w:eastAsia="SimSun" w:cs="Segoe UI"/>
          <w:szCs w:val="22"/>
          <w:lang w:eastAsia="zh-CN"/>
        </w:rPr>
        <w:t>This network has been in place for almost four years and supports</w:t>
      </w:r>
      <w:r w:rsidRPr="001F2A12">
        <w:rPr>
          <w:rFonts w:eastAsia="SimSun" w:cs="Segoe UI"/>
          <w:lang w:eastAsia="zh-CN"/>
        </w:rPr>
        <w:t xml:space="preserve"> the health teams (including OHFT’s Care Home Support Service) that in-reach into care homes, helping care homes to provide </w:t>
      </w:r>
      <w:r w:rsidRPr="001F2A12">
        <w:rPr>
          <w:rFonts w:eastAsia="SimSun" w:cs="Segoe UI"/>
          <w:szCs w:val="22"/>
          <w:lang w:eastAsia="zh-CN"/>
        </w:rPr>
        <w:t xml:space="preserve">better care to people living with dementia. The network holds quarterly meetings for sharing of best practice and CPD for these teams.  </w:t>
      </w:r>
      <w:r>
        <w:rPr>
          <w:rFonts w:eastAsia="SimSun" w:cs="Segoe UI"/>
          <w:szCs w:val="22"/>
          <w:lang w:eastAsia="zh-CN"/>
        </w:rPr>
        <w:t>In October t</w:t>
      </w:r>
      <w:r w:rsidRPr="001F2A12">
        <w:rPr>
          <w:rFonts w:eastAsia="SimSun" w:cs="Segoe UI"/>
          <w:szCs w:val="22"/>
          <w:lang w:eastAsia="zh-CN"/>
        </w:rPr>
        <w:t xml:space="preserve">he network held a well-received meeting focusing on dementia in people with learning disabilities, with an excellent presentation given by Rachel Evered and Jules McKim from OHFT.  </w:t>
      </w:r>
      <w:r w:rsidRPr="001F2A12">
        <w:rPr>
          <w:rFonts w:eastAsia="SimSun"/>
        </w:rPr>
        <w:t>They spoke about</w:t>
      </w:r>
      <w:r w:rsidRPr="001F2A12">
        <w:t xml:space="preserve"> </w:t>
      </w:r>
      <w:r w:rsidRPr="00AD6FD9">
        <w:t>how assessment of dementia in people with learning disabilities is carried out, about matters to consider for younger people with learning disabilities in dementia care homes and about training which is offered to care homes staff and health in-reach teams by the trust’s Learning Disabilities team.</w:t>
      </w:r>
    </w:p>
    <w:p w:rsidR="00ED3A46" w:rsidRPr="00ED3A46" w:rsidRDefault="00ED3A46" w:rsidP="00ED3A46">
      <w:pPr>
        <w:rPr>
          <w:b/>
          <w:bCs/>
        </w:rPr>
      </w:pPr>
      <w:r w:rsidRPr="00ED3A46">
        <w:rPr>
          <w:b/>
          <w:bCs/>
        </w:rPr>
        <w:t xml:space="preserve">Mental Health Care for Emergency Department Frequent Attenders - Regional Collaborative </w:t>
      </w:r>
    </w:p>
    <w:p w:rsidR="00ED3A46" w:rsidRPr="001F2A12" w:rsidRDefault="00ED3A46" w:rsidP="00ED3A46">
      <w:r w:rsidRPr="00AD6FD9">
        <w:t>This was a Health Foundation funded Thames Valley-wide project which explored different aspects of high intensity use of emergency departments.  In one of our initiatives, we developed with service users a psycho-social form which we hope can be used to understand better the driving factors in frequent attendance in the emergency department</w:t>
      </w:r>
      <w:r>
        <w:t>. W</w:t>
      </w:r>
      <w:r w:rsidRPr="00AD6FD9">
        <w:t xml:space="preserve">e have been </w:t>
      </w:r>
      <w:proofErr w:type="spellStart"/>
      <w:r w:rsidRPr="00AD6FD9">
        <w:t>trialling</w:t>
      </w:r>
      <w:proofErr w:type="spellEnd"/>
      <w:r w:rsidRPr="00AD6FD9">
        <w:t xml:space="preserve"> this form with the help of research nurses. Our website which we developed to report on the project </w:t>
      </w:r>
      <w:r>
        <w:t xml:space="preserve">as a whole </w:t>
      </w:r>
      <w:r w:rsidRPr="001F2A12">
        <w:t xml:space="preserve">has more details </w:t>
      </w:r>
      <w:hyperlink r:id="rId30" w:history="1">
        <w:r w:rsidRPr="001F2A12">
          <w:rPr>
            <w:rStyle w:val="Hyperlink"/>
          </w:rPr>
          <w:t>https://www.thamesvalleystarlingcollaborative.net</w:t>
        </w:r>
      </w:hyperlink>
      <w:r w:rsidRPr="001F2A12">
        <w:t xml:space="preserve"> </w:t>
      </w:r>
      <w:r>
        <w:t>.</w:t>
      </w:r>
    </w:p>
    <w:p w:rsidR="00ED3A46" w:rsidRPr="00ED3A46" w:rsidRDefault="00ED3A46" w:rsidP="00ED3A46">
      <w:pPr>
        <w:rPr>
          <w:b/>
          <w:bCs/>
        </w:rPr>
      </w:pPr>
      <w:r w:rsidRPr="00ED3A46">
        <w:rPr>
          <w:b/>
          <w:bCs/>
        </w:rPr>
        <w:t>Integrated mental health care and policing teams</w:t>
      </w:r>
    </w:p>
    <w:p w:rsidR="00ED3A46" w:rsidRPr="003B1B09" w:rsidRDefault="00ED3A46" w:rsidP="00ED3A46">
      <w:r w:rsidRPr="003B1B09">
        <w:rPr>
          <w:iCs/>
        </w:rPr>
        <w:t>This is a national programme being rolled out by AHSNs, in which police are integrated within a mental health team to work with high impact users of services</w:t>
      </w:r>
      <w:r>
        <w:rPr>
          <w:iCs/>
        </w:rPr>
        <w:t>,</w:t>
      </w:r>
      <w:r w:rsidRPr="003B1B09">
        <w:rPr>
          <w:iCs/>
        </w:rPr>
        <w:t xml:space="preserve"> helping them towards safer and healthier lives. Locally there </w:t>
      </w:r>
      <w:r w:rsidRPr="001F2A12">
        <w:t>has been particular interest in the model</w:t>
      </w:r>
      <w:r w:rsidRPr="003B1B09">
        <w:rPr>
          <w:iCs/>
        </w:rPr>
        <w:t xml:space="preserve"> in place in Hampshire and a similar version to this is now being </w:t>
      </w:r>
      <w:r>
        <w:rPr>
          <w:iCs/>
        </w:rPr>
        <w:t>developed</w:t>
      </w:r>
      <w:r w:rsidRPr="003B1B09">
        <w:rPr>
          <w:iCs/>
        </w:rPr>
        <w:t xml:space="preserve"> in Oxford.  The AHSN has contributed to the initial cost of the police officer who is working proactively alongside care coordinators with mental health service users.</w:t>
      </w:r>
    </w:p>
    <w:p w:rsidR="00ED3A46" w:rsidRPr="00ED3A46" w:rsidRDefault="00ED3A46" w:rsidP="00ED3A46">
      <w:pPr>
        <w:rPr>
          <w:b/>
          <w:bCs/>
        </w:rPr>
      </w:pPr>
      <w:r w:rsidRPr="00ED3A46">
        <w:rPr>
          <w:b/>
          <w:bCs/>
        </w:rPr>
        <w:t xml:space="preserve">Sleepio </w:t>
      </w:r>
    </w:p>
    <w:p w:rsidR="00ED3A46" w:rsidRPr="0047063A" w:rsidRDefault="00ED3A46" w:rsidP="001C7283">
      <w:pPr>
        <w:pStyle w:val="NormalWeb"/>
        <w:spacing w:before="0" w:beforeAutospacing="0"/>
        <w:jc w:val="both"/>
        <w:rPr>
          <w:rFonts w:asciiTheme="minorHAnsi" w:hAnsiTheme="minorHAnsi"/>
          <w:szCs w:val="22"/>
          <w:lang w:val="en-US"/>
        </w:rPr>
      </w:pPr>
      <w:r w:rsidRPr="0047063A">
        <w:rPr>
          <w:rFonts w:asciiTheme="minorHAnsi" w:hAnsiTheme="minorHAnsi"/>
          <w:color w:val="000000"/>
        </w:rPr>
        <w:t xml:space="preserve">Innovate UK has funded a collaborative partnership which has enabled free direct access to Sleepio, an evidence-based sleep improvement programme, for the 2.7 million adults living and working within the Oxford AHSN footprint.  This project (the ‘Sleepio project’) is jointly delivered by Oxford AHSN and Big </w:t>
      </w:r>
      <w:proofErr w:type="gramStart"/>
      <w:r w:rsidRPr="0047063A">
        <w:rPr>
          <w:rFonts w:asciiTheme="minorHAnsi" w:hAnsiTheme="minorHAnsi"/>
          <w:color w:val="000000"/>
        </w:rPr>
        <w:t>Health, and</w:t>
      </w:r>
      <w:proofErr w:type="gramEnd"/>
      <w:r w:rsidRPr="0047063A">
        <w:rPr>
          <w:rFonts w:asciiTheme="minorHAnsi" w:hAnsiTheme="minorHAnsi"/>
          <w:color w:val="000000"/>
        </w:rPr>
        <w:t xml:space="preserve"> is supported by NHS England.  </w:t>
      </w:r>
      <w:r w:rsidRPr="0047063A">
        <w:rPr>
          <w:rFonts w:asciiTheme="minorHAnsi" w:hAnsiTheme="minorHAnsi"/>
          <w:color w:val="000000"/>
          <w:szCs w:val="22"/>
          <w:lang w:val="en-US"/>
        </w:rPr>
        <w:t xml:space="preserve">The AHSN is working in partnership with Big Health to explore the best ways for people experiencing insomnia to access the online cognitive </w:t>
      </w:r>
      <w:proofErr w:type="spellStart"/>
      <w:r w:rsidRPr="0047063A">
        <w:rPr>
          <w:rFonts w:asciiTheme="minorHAnsi" w:hAnsiTheme="minorHAnsi"/>
          <w:color w:val="000000"/>
          <w:szCs w:val="22"/>
          <w:lang w:val="en-US"/>
        </w:rPr>
        <w:t>behavioural</w:t>
      </w:r>
      <w:proofErr w:type="spellEnd"/>
      <w:r w:rsidRPr="0047063A">
        <w:rPr>
          <w:rFonts w:asciiTheme="minorHAnsi" w:hAnsiTheme="minorHAnsi"/>
          <w:color w:val="000000"/>
          <w:szCs w:val="22"/>
          <w:lang w:val="en-US"/>
        </w:rPr>
        <w:t xml:space="preserve"> therapy-based digital therapeutic Sleepio.  Since </w:t>
      </w:r>
      <w:r w:rsidRPr="0047063A">
        <w:rPr>
          <w:rFonts w:asciiTheme="minorHAnsi" w:hAnsiTheme="minorHAnsi"/>
          <w:szCs w:val="22"/>
          <w:lang w:val="en-US"/>
        </w:rPr>
        <w:t xml:space="preserve">the launch of the project on World Mental Health Day (10 October 2018) over 11,000 people have engaged with Sleepio via the link </w:t>
      </w:r>
      <w:hyperlink r:id="rId31" w:history="1">
        <w:r w:rsidRPr="0047063A">
          <w:rPr>
            <w:rStyle w:val="Hyperlink"/>
            <w:rFonts w:asciiTheme="minorHAnsi" w:hAnsiTheme="minorHAnsi"/>
            <w:color w:val="auto"/>
            <w:szCs w:val="22"/>
          </w:rPr>
          <w:t>www.sleepio.com/nhs</w:t>
        </w:r>
      </w:hyperlink>
      <w:r w:rsidRPr="0047063A">
        <w:rPr>
          <w:rFonts w:asciiTheme="minorHAnsi" w:hAnsiTheme="minorHAnsi"/>
          <w:szCs w:val="22"/>
          <w:lang w:val="en-US"/>
        </w:rPr>
        <w:t xml:space="preserve"> .  Oxford AHSN is working with GPs, and primary and mental health NHS staff, local employers, and third sector organisations, to explore how the NHS can expand the provision of digital medicines, like Sleepio, at scale.</w:t>
      </w:r>
    </w:p>
    <w:p w:rsidR="001C7283" w:rsidRDefault="00ED3A46" w:rsidP="001C7283">
      <w:pPr>
        <w:pStyle w:val="NormalWeb"/>
        <w:spacing w:after="0" w:afterAutospacing="0"/>
        <w:jc w:val="both"/>
        <w:rPr>
          <w:rFonts w:asciiTheme="minorHAnsi" w:hAnsiTheme="minorHAnsi"/>
          <w:szCs w:val="22"/>
          <w:lang w:val="en-US"/>
        </w:rPr>
      </w:pPr>
      <w:r w:rsidRPr="0047063A">
        <w:rPr>
          <w:rFonts w:asciiTheme="minorHAnsi" w:hAnsiTheme="minorHAnsi"/>
          <w:szCs w:val="22"/>
          <w:lang w:val="en-US"/>
        </w:rPr>
        <w:lastRenderedPageBreak/>
        <w:t xml:space="preserve">Since the project began, over 13,000 individuals have engaged with Sleepio across the Thames Valley.  Around 40% of those engaging recently have begun the Cognitive </w:t>
      </w:r>
      <w:proofErr w:type="spellStart"/>
      <w:r w:rsidRPr="0047063A">
        <w:rPr>
          <w:rFonts w:asciiTheme="minorHAnsi" w:hAnsiTheme="minorHAnsi"/>
          <w:szCs w:val="22"/>
          <w:lang w:val="en-US"/>
        </w:rPr>
        <w:t>Behavioural</w:t>
      </w:r>
      <w:proofErr w:type="spellEnd"/>
      <w:r w:rsidRPr="0047063A">
        <w:rPr>
          <w:rFonts w:asciiTheme="minorHAnsi" w:hAnsiTheme="minorHAnsi"/>
          <w:szCs w:val="22"/>
          <w:lang w:val="en-US"/>
        </w:rPr>
        <w:t xml:space="preserve"> Therapy for Insomnia-based (</w:t>
      </w:r>
      <w:proofErr w:type="spellStart"/>
      <w:r w:rsidRPr="0047063A">
        <w:rPr>
          <w:rFonts w:asciiTheme="minorHAnsi" w:hAnsiTheme="minorHAnsi"/>
          <w:szCs w:val="22"/>
          <w:lang w:val="en-US"/>
        </w:rPr>
        <w:t>CBTi</w:t>
      </w:r>
      <w:proofErr w:type="spellEnd"/>
      <w:r w:rsidRPr="0047063A">
        <w:rPr>
          <w:rFonts w:asciiTheme="minorHAnsi" w:hAnsiTheme="minorHAnsi"/>
          <w:szCs w:val="22"/>
          <w:lang w:val="en-US"/>
        </w:rPr>
        <w:t>) element of the programme.  On average, those that do are enjoying 5.5 hours additional sleep per week.  Using GAD2 and PHQ2 indicators, users also report reductions in symptoms of Anxiety (-64%) and Depression (-69%), as well as reductions in Stress (62%).</w:t>
      </w:r>
    </w:p>
    <w:p w:rsidR="001C7283" w:rsidRDefault="001C7283" w:rsidP="000C7297">
      <w:pPr>
        <w:pStyle w:val="NormalWeb"/>
        <w:spacing w:after="0" w:afterAutospacing="0"/>
        <w:jc w:val="both"/>
        <w:rPr>
          <w:rFonts w:asciiTheme="minorHAnsi" w:hAnsiTheme="minorHAnsi"/>
          <w:szCs w:val="22"/>
          <w:lang w:val="en-US"/>
        </w:rPr>
      </w:pPr>
    </w:p>
    <w:p w:rsidR="00ED3A46" w:rsidRPr="0047063A" w:rsidRDefault="00ED3A46" w:rsidP="001C7283">
      <w:pPr>
        <w:pStyle w:val="NormalWeb"/>
        <w:spacing w:before="0" w:beforeAutospacing="0" w:after="0" w:afterAutospacing="0"/>
        <w:jc w:val="both"/>
        <w:rPr>
          <w:rFonts w:asciiTheme="minorHAnsi" w:hAnsiTheme="minorHAnsi"/>
        </w:rPr>
      </w:pPr>
      <w:r w:rsidRPr="0047063A">
        <w:rPr>
          <w:rFonts w:asciiTheme="minorHAnsi" w:hAnsiTheme="minorHAnsi"/>
          <w:szCs w:val="22"/>
          <w:lang w:val="en-US"/>
        </w:rPr>
        <w:t>A health economic evaluation will be conducted at the end of the project.  A variety of large organisations - including Unipart, Thames Water, University of Oxford, Oxfordshire County Council, West Berkshire Council, and Buckinghamshire Healthcare NHS Trust - have now rolled-out Sleepio to their staff and contacts.  A Public Health-style campaign is being arranged for launch on World Sleep Day (13 March) 2020.</w:t>
      </w:r>
    </w:p>
    <w:p w:rsidR="00ED3A46" w:rsidRPr="00ED3A46" w:rsidRDefault="00ED3A46" w:rsidP="00ED3A46">
      <w:pPr>
        <w:rPr>
          <w:b/>
          <w:bCs/>
        </w:rPr>
      </w:pPr>
      <w:r w:rsidRPr="00ED3A46">
        <w:rPr>
          <w:b/>
          <w:bCs/>
        </w:rPr>
        <w:t>Industry</w:t>
      </w:r>
    </w:p>
    <w:p w:rsidR="00ED3A46" w:rsidRPr="00AD6FD9" w:rsidRDefault="00ED3A46" w:rsidP="00ED3A46">
      <w:r w:rsidRPr="00C66B1B">
        <w:t xml:space="preserve">The Strategic and Industry Partnerships element of the AHSN supports the </w:t>
      </w:r>
      <w:r w:rsidRPr="00AD6FD9">
        <w:t xml:space="preserve">development of partnerships between academia, industry and the NHS across the development pathway for new products and services. In practice this covers new medicines, diagnostics, </w:t>
      </w:r>
      <w:proofErr w:type="spellStart"/>
      <w:r w:rsidRPr="00AD6FD9">
        <w:t>medtech</w:t>
      </w:r>
      <w:proofErr w:type="spellEnd"/>
      <w:r w:rsidRPr="00AD6FD9">
        <w:t xml:space="preserve"> and digital health innovations.  This includes supporting new products and services which have potential to improve mental health services. </w:t>
      </w:r>
    </w:p>
    <w:p w:rsidR="00ED3A46" w:rsidRPr="00ED3A46" w:rsidRDefault="00ED3A46" w:rsidP="00ED3A46">
      <w:pPr>
        <w:rPr>
          <w:b/>
          <w:bCs/>
        </w:rPr>
      </w:pPr>
      <w:r w:rsidRPr="00ED3A46">
        <w:rPr>
          <w:b/>
          <w:bCs/>
        </w:rPr>
        <w:t>Oversight of the AHSN’s Mental Health Programme – Steering Group</w:t>
      </w:r>
    </w:p>
    <w:p w:rsidR="00ED3A46" w:rsidRDefault="00ED3A46" w:rsidP="00ED3A46">
      <w:r w:rsidRPr="001F2A12">
        <w:t>To ensure oversight</w:t>
      </w:r>
      <w:r>
        <w:t xml:space="preserve"> by our stakeholders,</w:t>
      </w:r>
      <w:r w:rsidRPr="001F2A12">
        <w:t xml:space="preserve"> we have created a steering group with members from our three main mental health providers, Berkshire Healthcare, Oxford Health and Central and North West London. </w:t>
      </w:r>
      <w:r>
        <w:t>This</w:t>
      </w:r>
      <w:r w:rsidRPr="001F2A12">
        <w:t xml:space="preserve"> steering group, which we set up to inform the work of the AHSN Mental Health Programme</w:t>
      </w:r>
      <w:r>
        <w:t>,</w:t>
      </w:r>
      <w:r w:rsidRPr="001F2A12">
        <w:t xml:space="preserve"> has </w:t>
      </w:r>
      <w:r>
        <w:t>had its first meeting and</w:t>
      </w:r>
      <w:r w:rsidRPr="001F2A12">
        <w:t xml:space="preserve"> had a wide-ranging discussion about the priorities and challenges for mental health providers.</w:t>
      </w:r>
      <w:r>
        <w:t xml:space="preserve"> </w:t>
      </w:r>
    </w:p>
    <w:p w:rsidR="00ED3A46" w:rsidRPr="00ED3A46" w:rsidRDefault="00ED3A46" w:rsidP="00ED3A46">
      <w:pPr>
        <w:rPr>
          <w:b/>
          <w:bCs/>
        </w:rPr>
      </w:pPr>
      <w:r w:rsidRPr="00ED3A46">
        <w:rPr>
          <w:b/>
          <w:bCs/>
        </w:rPr>
        <w:t>NIHR ARC and the Oxford AHSN</w:t>
      </w:r>
    </w:p>
    <w:p w:rsidR="00ED3A46" w:rsidRPr="0047063A" w:rsidRDefault="00ED3A46" w:rsidP="00ED3A46">
      <w:pPr>
        <w:rPr>
          <w:szCs w:val="22"/>
          <w:lang w:val="en-GB" w:eastAsia="en-GB"/>
        </w:rPr>
      </w:pPr>
      <w:r w:rsidRPr="0047063A">
        <w:t xml:space="preserve">Oxford Health hosts the NIHR Oxford and Thames Valley ARC which followed the previous CLAHRC programme of work.  New areas of focus for the ARC are expanding public health and social care research capacity and developing closer working with the AHSN and regional partners to achieve more rapid implementation of research outputs of value to the NHS and social care system. Professor Ford, CEO of the Oxford AHSN, is the Implementation Lead for the ARC.  An implementation manager has been appointed to commence in post April 2020 and will work across the ARC research programmes and AHSN Clinical Innovation Adoption team to </w:t>
      </w:r>
      <w:proofErr w:type="spellStart"/>
      <w:r w:rsidRPr="0047063A">
        <w:t>optimise</w:t>
      </w:r>
      <w:proofErr w:type="spellEnd"/>
      <w:r w:rsidRPr="0047063A">
        <w:t xml:space="preserve"> the development of research outputs that are ready for implementation in the regional health and social care system and more widely.</w:t>
      </w:r>
    </w:p>
    <w:p w:rsidR="00ED3A46" w:rsidRPr="00AD6FD9" w:rsidRDefault="00ED3A46" w:rsidP="00ED3A46">
      <w:r>
        <w:t xml:space="preserve">Additionally, </w:t>
      </w:r>
      <w:r w:rsidRPr="00AD6FD9">
        <w:t>Oxford Health is a member of the R&amp;D group, represented by Bill Wells</w:t>
      </w:r>
      <w:r w:rsidR="000C7297">
        <w:t xml:space="preserve"> (Head of R&amp;D)</w:t>
      </w:r>
      <w:r w:rsidRPr="00AD6FD9">
        <w:t>, which discusses topics of common interest to Universities and NHS Trusts across the AHSN region.</w:t>
      </w:r>
    </w:p>
    <w:p w:rsidR="0083751C" w:rsidRPr="001B019D" w:rsidRDefault="0083751C" w:rsidP="00FC2E49">
      <w:pPr>
        <w:pStyle w:val="Heading2"/>
        <w:numPr>
          <w:ilvl w:val="1"/>
          <w:numId w:val="4"/>
        </w:numPr>
      </w:pPr>
      <w:bookmarkStart w:id="54" w:name="_Toc34407437"/>
      <w:r w:rsidRPr="001B019D">
        <w:t>Oxford Institute of Nursing, Midwifery and Allied Health Research</w:t>
      </w:r>
      <w:bookmarkEnd w:id="54"/>
    </w:p>
    <w:p w:rsidR="0083751C" w:rsidRPr="001B019D" w:rsidRDefault="0083751C" w:rsidP="0083751C">
      <w:pPr>
        <w:rPr>
          <w:b/>
          <w:bCs/>
        </w:rPr>
      </w:pPr>
      <w:r w:rsidRPr="001B019D">
        <w:rPr>
          <w:b/>
          <w:bCs/>
        </w:rPr>
        <w:t>Background</w:t>
      </w:r>
    </w:p>
    <w:p w:rsidR="001B019D" w:rsidRPr="001B019D" w:rsidRDefault="001B019D" w:rsidP="001B019D">
      <w:r w:rsidRPr="001B019D">
        <w:t>The Oxford Institute of Nursing, Midwifery and Allied Health Research (</w:t>
      </w:r>
      <w:proofErr w:type="spellStart"/>
      <w:r w:rsidRPr="001B019D">
        <w:t>OxINMAHR</w:t>
      </w:r>
      <w:proofErr w:type="spellEnd"/>
      <w:r w:rsidRPr="001B019D">
        <w:t xml:space="preserve">) is a unique research institute in the UK. </w:t>
      </w:r>
      <w:proofErr w:type="spellStart"/>
      <w:r w:rsidRPr="001B019D">
        <w:t>OxINMAHR</w:t>
      </w:r>
      <w:proofErr w:type="spellEnd"/>
      <w:r w:rsidRPr="001B019D">
        <w:t xml:space="preserve"> comprises three research centres and four additional research groups and includes 8 Professors, 9 senior researchers/fellows and over 45 other research academics. These include research experts in health research, physiotherapy, nutrition, nursing, exercise science, physiology, biology, movement science, midwifery, social care, occupational therapy and psychology</w:t>
      </w:r>
    </w:p>
    <w:p w:rsidR="001B019D" w:rsidRPr="001B019D" w:rsidRDefault="001B019D" w:rsidP="001B019D">
      <w:pPr>
        <w:rPr>
          <w:b/>
          <w:bCs/>
        </w:rPr>
      </w:pPr>
      <w:proofErr w:type="spellStart"/>
      <w:r w:rsidRPr="001B019D">
        <w:rPr>
          <w:b/>
          <w:bCs/>
        </w:rPr>
        <w:t>OxINMAHR</w:t>
      </w:r>
      <w:proofErr w:type="spellEnd"/>
      <w:r w:rsidRPr="001B019D">
        <w:rPr>
          <w:b/>
          <w:bCs/>
        </w:rPr>
        <w:t xml:space="preserve"> redefined aims 2020</w:t>
      </w:r>
    </w:p>
    <w:p w:rsidR="001B019D" w:rsidRPr="001B019D" w:rsidRDefault="001B019D" w:rsidP="001B019D">
      <w:r w:rsidRPr="001B019D">
        <w:t xml:space="preserve">Over the past year, </w:t>
      </w:r>
      <w:proofErr w:type="spellStart"/>
      <w:r w:rsidRPr="001B019D">
        <w:t>OxINMAHR</w:t>
      </w:r>
      <w:proofErr w:type="spellEnd"/>
      <w:r w:rsidRPr="001B019D">
        <w:t xml:space="preserve"> has redefined its remit, structures and activities. The key aims are to:</w:t>
      </w:r>
    </w:p>
    <w:p w:rsidR="001B019D" w:rsidRPr="001B019D" w:rsidRDefault="001B019D" w:rsidP="0017480B">
      <w:pPr>
        <w:pStyle w:val="ListParagraph"/>
        <w:numPr>
          <w:ilvl w:val="0"/>
          <w:numId w:val="47"/>
        </w:numPr>
        <w:spacing w:line="259" w:lineRule="auto"/>
        <w:ind w:left="428"/>
        <w:contextualSpacing/>
        <w:jc w:val="left"/>
      </w:pPr>
      <w:r w:rsidRPr="001B019D">
        <w:t>Produce world-class research which aligns with government and international health and social care priorities.</w:t>
      </w:r>
    </w:p>
    <w:p w:rsidR="001B019D" w:rsidRPr="001B019D" w:rsidRDefault="001B019D" w:rsidP="0017480B">
      <w:pPr>
        <w:pStyle w:val="ListParagraph"/>
        <w:numPr>
          <w:ilvl w:val="0"/>
          <w:numId w:val="46"/>
        </w:numPr>
        <w:spacing w:line="259" w:lineRule="auto"/>
        <w:ind w:left="428"/>
        <w:contextualSpacing/>
        <w:jc w:val="left"/>
      </w:pPr>
      <w:r w:rsidRPr="001B019D">
        <w:t>Build a community of inter-disciplinary research scholars to facilitate integration and maximise impact.</w:t>
      </w:r>
    </w:p>
    <w:p w:rsidR="001B019D" w:rsidRPr="001B019D" w:rsidRDefault="001B019D" w:rsidP="0017480B">
      <w:pPr>
        <w:pStyle w:val="ListParagraph"/>
        <w:numPr>
          <w:ilvl w:val="0"/>
          <w:numId w:val="46"/>
        </w:numPr>
        <w:spacing w:line="259" w:lineRule="auto"/>
        <w:ind w:left="428"/>
        <w:contextualSpacing/>
        <w:jc w:val="left"/>
      </w:pPr>
      <w:r w:rsidRPr="001B019D">
        <w:lastRenderedPageBreak/>
        <w:t>Develop research capacity within and across professions, disciplines and departments.</w:t>
      </w:r>
    </w:p>
    <w:p w:rsidR="001B019D" w:rsidRPr="001B019D" w:rsidRDefault="001B019D" w:rsidP="0017480B">
      <w:pPr>
        <w:pStyle w:val="ListParagraph"/>
        <w:numPr>
          <w:ilvl w:val="0"/>
          <w:numId w:val="46"/>
        </w:numPr>
        <w:spacing w:line="259" w:lineRule="auto"/>
        <w:ind w:left="428"/>
        <w:contextualSpacing/>
        <w:jc w:val="left"/>
      </w:pPr>
      <w:r w:rsidRPr="001B019D">
        <w:t>Develop sustainable research collaborations with world-class partners.</w:t>
      </w:r>
    </w:p>
    <w:p w:rsidR="001B019D" w:rsidRDefault="001B019D" w:rsidP="001B019D">
      <w:pPr>
        <w:jc w:val="left"/>
        <w:rPr>
          <w:rFonts w:ascii="Arial" w:hAnsi="Arial" w:cs="Arial"/>
          <w:color w:val="1155CC"/>
          <w:u w:val="single"/>
          <w:shd w:val="clear" w:color="auto" w:fill="FFFFFF"/>
        </w:rPr>
      </w:pPr>
      <w:r w:rsidRPr="001B019D">
        <w:rPr>
          <w:b/>
          <w:bCs/>
        </w:rPr>
        <w:t>Our 2019 Annual Report has been published</w:t>
      </w:r>
      <w:r>
        <w:rPr>
          <w:rFonts w:ascii="Arial" w:hAnsi="Arial" w:cs="Arial"/>
          <w:b/>
          <w:sz w:val="28"/>
          <w:szCs w:val="28"/>
        </w:rPr>
        <w:t xml:space="preserve"> (</w:t>
      </w:r>
      <w:hyperlink r:id="rId32" w:tgtFrame="_blank" w:history="1">
        <w:r w:rsidRPr="004533FC">
          <w:rPr>
            <w:rFonts w:ascii="Arial" w:hAnsi="Arial" w:cs="Arial"/>
            <w:color w:val="1155CC"/>
            <w:u w:val="single"/>
            <w:shd w:val="clear" w:color="auto" w:fill="FFFFFF"/>
          </w:rPr>
          <w:t>www.brookes.ac.uk/oxinmahr/</w:t>
        </w:r>
      </w:hyperlink>
      <w:r>
        <w:rPr>
          <w:rFonts w:ascii="Arial" w:hAnsi="Arial" w:cs="Arial"/>
          <w:color w:val="1155CC"/>
          <w:u w:val="single"/>
          <w:shd w:val="clear" w:color="auto" w:fill="FFFFFF"/>
        </w:rPr>
        <w:t>)</w:t>
      </w:r>
    </w:p>
    <w:p w:rsidR="001B019D" w:rsidRPr="001B019D" w:rsidRDefault="001B019D" w:rsidP="001B019D">
      <w:r w:rsidRPr="001B019D">
        <w:t>The highlights include that our researchers have:</w:t>
      </w:r>
    </w:p>
    <w:p w:rsidR="001B019D" w:rsidRPr="001B019D" w:rsidRDefault="001B019D" w:rsidP="0017480B">
      <w:pPr>
        <w:pStyle w:val="ListParagraph"/>
        <w:numPr>
          <w:ilvl w:val="0"/>
          <w:numId w:val="48"/>
        </w:numPr>
        <w:spacing w:line="259" w:lineRule="auto"/>
        <w:ind w:left="428"/>
        <w:contextualSpacing/>
        <w:jc w:val="left"/>
      </w:pPr>
      <w:r w:rsidRPr="001B019D">
        <w:t xml:space="preserve">Secured 36 grants totaling £1.4 million (including grants from NIHR, Cancer UK, British Heart Foundation, Health Education England, Action Medical Research Charities and a number of other charities) </w:t>
      </w:r>
    </w:p>
    <w:p w:rsidR="001B019D" w:rsidRPr="001B019D" w:rsidRDefault="001B019D" w:rsidP="0017480B">
      <w:pPr>
        <w:pStyle w:val="ListParagraph"/>
        <w:numPr>
          <w:ilvl w:val="0"/>
          <w:numId w:val="48"/>
        </w:numPr>
        <w:spacing w:line="259" w:lineRule="auto"/>
        <w:ind w:left="428"/>
        <w:contextualSpacing/>
        <w:jc w:val="left"/>
      </w:pPr>
      <w:r w:rsidRPr="001B019D">
        <w:t xml:space="preserve">Managed a total research portfolio of over £2.3 million </w:t>
      </w:r>
    </w:p>
    <w:p w:rsidR="001B019D" w:rsidRPr="001B019D" w:rsidRDefault="001B019D" w:rsidP="0017480B">
      <w:pPr>
        <w:pStyle w:val="ListParagraph"/>
        <w:numPr>
          <w:ilvl w:val="0"/>
          <w:numId w:val="48"/>
        </w:numPr>
        <w:spacing w:line="259" w:lineRule="auto"/>
        <w:ind w:left="428"/>
        <w:contextualSpacing/>
        <w:jc w:val="left"/>
      </w:pPr>
      <w:r w:rsidRPr="001B019D">
        <w:t xml:space="preserve">Published 106 papers in peer-reviewed high impact journals (an of 11% increase from the previous year) </w:t>
      </w:r>
    </w:p>
    <w:p w:rsidR="001B019D" w:rsidRPr="001B019D" w:rsidRDefault="001B019D" w:rsidP="0017480B">
      <w:pPr>
        <w:pStyle w:val="ListParagraph"/>
        <w:numPr>
          <w:ilvl w:val="0"/>
          <w:numId w:val="48"/>
        </w:numPr>
        <w:spacing w:line="259" w:lineRule="auto"/>
        <w:ind w:left="428"/>
        <w:contextualSpacing/>
        <w:jc w:val="left"/>
      </w:pPr>
      <w:r w:rsidRPr="001B019D">
        <w:t xml:space="preserve">Conferred 7 Doctoral degrees, recruited 20 new Doctoral students and continued to supervise an additional 44 Doctoral students </w:t>
      </w:r>
    </w:p>
    <w:p w:rsidR="001B019D" w:rsidRPr="001B019D" w:rsidRDefault="001B019D" w:rsidP="0017480B">
      <w:pPr>
        <w:pStyle w:val="ListParagraph"/>
        <w:numPr>
          <w:ilvl w:val="0"/>
          <w:numId w:val="48"/>
        </w:numPr>
        <w:spacing w:line="259" w:lineRule="auto"/>
        <w:ind w:left="428"/>
        <w:contextualSpacing/>
        <w:jc w:val="left"/>
      </w:pPr>
      <w:r w:rsidRPr="001B019D">
        <w:t xml:space="preserve">Contributed 25-30 (numbers to be </w:t>
      </w:r>
      <w:proofErr w:type="spellStart"/>
      <w:r w:rsidRPr="001B019D">
        <w:t>finalised</w:t>
      </w:r>
      <w:proofErr w:type="spellEnd"/>
      <w:r w:rsidRPr="001B019D">
        <w:t xml:space="preserve">) staff submissions to REF2021 Unit of Assessment 3 (a four-fold increase on REF 2014) </w:t>
      </w:r>
    </w:p>
    <w:p w:rsidR="001B019D" w:rsidRPr="001B019D" w:rsidRDefault="001B019D" w:rsidP="001B019D">
      <w:r w:rsidRPr="001B019D">
        <w:t>Some impact case study synopses:</w:t>
      </w:r>
    </w:p>
    <w:tbl>
      <w:tblPr>
        <w:tblStyle w:val="TableGrid"/>
        <w:tblW w:w="0" w:type="auto"/>
        <w:tblLook w:val="04A0" w:firstRow="1" w:lastRow="0" w:firstColumn="1" w:lastColumn="0" w:noHBand="0" w:noVBand="1"/>
      </w:tblPr>
      <w:tblGrid>
        <w:gridCol w:w="9016"/>
      </w:tblGrid>
      <w:tr w:rsidR="001B019D" w:rsidTr="00BA6A52">
        <w:tc>
          <w:tcPr>
            <w:tcW w:w="9016" w:type="dxa"/>
          </w:tcPr>
          <w:p w:rsidR="001B019D" w:rsidRPr="001B019D" w:rsidRDefault="001B019D" w:rsidP="00BA6A52">
            <w:pPr>
              <w:rPr>
                <w:b/>
                <w:bCs/>
              </w:rPr>
            </w:pPr>
            <w:r w:rsidRPr="001B019D">
              <w:rPr>
                <w:b/>
                <w:bCs/>
              </w:rPr>
              <w:t xml:space="preserve">Improving the quality of life of people living with and beyond a diagnosis of cancer </w:t>
            </w:r>
          </w:p>
          <w:p w:rsidR="001B019D" w:rsidRPr="001B019D" w:rsidRDefault="001B019D" w:rsidP="00BA6A52">
            <w:r w:rsidRPr="001B019D">
              <w:rPr>
                <w:b/>
                <w:bCs/>
              </w:rPr>
              <w:t xml:space="preserve">Professor </w:t>
            </w:r>
            <w:proofErr w:type="spellStart"/>
            <w:r w:rsidRPr="001B019D">
              <w:rPr>
                <w:b/>
                <w:bCs/>
              </w:rPr>
              <w:t>Eila</w:t>
            </w:r>
            <w:proofErr w:type="spellEnd"/>
            <w:r w:rsidRPr="001B019D">
              <w:rPr>
                <w:b/>
                <w:bCs/>
              </w:rPr>
              <w:t xml:space="preserve"> Watson</w:t>
            </w:r>
          </w:p>
        </w:tc>
      </w:tr>
      <w:tr w:rsidR="001B019D" w:rsidTr="00BA6A52">
        <w:tc>
          <w:tcPr>
            <w:tcW w:w="9016" w:type="dxa"/>
            <w:shd w:val="clear" w:color="auto" w:fill="F2F2F2" w:themeFill="background1" w:themeFillShade="F2"/>
          </w:tcPr>
          <w:p w:rsidR="001B019D" w:rsidRPr="001B019D" w:rsidRDefault="001B019D" w:rsidP="00BA6A52">
            <w:r w:rsidRPr="001B019D">
              <w:t xml:space="preserve">With earlier diagnosis, improved treatments and an ageing population, the prevalence of cancer survivors in the UK is rapidly increasing.  Understanding how quality of life can be </w:t>
            </w:r>
            <w:proofErr w:type="spellStart"/>
            <w:r w:rsidRPr="001B019D">
              <w:t>maximised</w:t>
            </w:r>
            <w:proofErr w:type="spellEnd"/>
            <w:r w:rsidRPr="001B019D">
              <w:t xml:space="preserve"> is therefore increasingly important.  This research focusses on understanding the experiences and needs of people following a cancer diagnosis especially in relation to a) men with prostate cancer b) patients with pancreatic cancer and c) patients who have had radiotherapy to the pelvic area.  The research has impact on the shaping cancer policy and service development, at both national and local level.  </w:t>
            </w:r>
          </w:p>
        </w:tc>
      </w:tr>
    </w:tbl>
    <w:p w:rsidR="001B019D" w:rsidRPr="001B019D" w:rsidRDefault="001B019D" w:rsidP="001B019D"/>
    <w:tbl>
      <w:tblPr>
        <w:tblStyle w:val="TableGrid"/>
        <w:tblW w:w="0" w:type="auto"/>
        <w:tblLook w:val="04A0" w:firstRow="1" w:lastRow="0" w:firstColumn="1" w:lastColumn="0" w:noHBand="0" w:noVBand="1"/>
      </w:tblPr>
      <w:tblGrid>
        <w:gridCol w:w="9016"/>
      </w:tblGrid>
      <w:tr w:rsidR="001B019D" w:rsidTr="00BA6A52">
        <w:tc>
          <w:tcPr>
            <w:tcW w:w="9016" w:type="dxa"/>
          </w:tcPr>
          <w:p w:rsidR="001B019D" w:rsidRPr="001B019D" w:rsidRDefault="001B019D" w:rsidP="00BA6A52">
            <w:pPr>
              <w:rPr>
                <w:b/>
                <w:bCs/>
              </w:rPr>
            </w:pPr>
            <w:r w:rsidRPr="001B019D">
              <w:rPr>
                <w:b/>
                <w:bCs/>
              </w:rPr>
              <w:t xml:space="preserve">Supporting people with impairments to live healthier lives through exercise and physical activity </w:t>
            </w:r>
          </w:p>
          <w:p w:rsidR="001B019D" w:rsidRPr="001B019D" w:rsidRDefault="001B019D" w:rsidP="00BA6A52">
            <w:proofErr w:type="gramStart"/>
            <w:r w:rsidRPr="001B019D">
              <w:rPr>
                <w:b/>
                <w:bCs/>
              </w:rPr>
              <w:t>Professor  Helen</w:t>
            </w:r>
            <w:proofErr w:type="gramEnd"/>
            <w:r w:rsidRPr="001B019D">
              <w:rPr>
                <w:b/>
                <w:bCs/>
              </w:rPr>
              <w:t xml:space="preserve"> Dawes and  Dr Johnny Collett</w:t>
            </w:r>
          </w:p>
        </w:tc>
      </w:tr>
      <w:tr w:rsidR="001B019D" w:rsidTr="00BA6A52">
        <w:tc>
          <w:tcPr>
            <w:tcW w:w="9016" w:type="dxa"/>
            <w:shd w:val="clear" w:color="auto" w:fill="F2F2F2" w:themeFill="background1" w:themeFillShade="F2"/>
          </w:tcPr>
          <w:p w:rsidR="001B019D" w:rsidRPr="001B019D" w:rsidRDefault="001B019D" w:rsidP="00BA6A52">
            <w:r w:rsidRPr="001B019D">
              <w:t>This research has nationally and internationally influenced how exercise and physical activity is supported and delivered for adults and young people with long-term neurological conditions. The team have produced an extensive amount of evidence informing exercise and participation in activity in these populations. The benefits have now been established and exercise is seen has an essential part of managing conditions where it had been previously discouraged. The team have produced evidence to improve understanding and support the specific needs of these individuals. The evidence has also been incorporated into accessible programs and training materials.</w:t>
            </w:r>
          </w:p>
        </w:tc>
      </w:tr>
    </w:tbl>
    <w:p w:rsidR="001B019D" w:rsidRPr="001B019D" w:rsidRDefault="001B019D" w:rsidP="001B019D"/>
    <w:tbl>
      <w:tblPr>
        <w:tblStyle w:val="TableGrid"/>
        <w:tblW w:w="0" w:type="auto"/>
        <w:tblLook w:val="04A0" w:firstRow="1" w:lastRow="0" w:firstColumn="1" w:lastColumn="0" w:noHBand="0" w:noVBand="1"/>
      </w:tblPr>
      <w:tblGrid>
        <w:gridCol w:w="5382"/>
        <w:gridCol w:w="3634"/>
      </w:tblGrid>
      <w:tr w:rsidR="001B019D" w:rsidTr="00BA6A52">
        <w:tc>
          <w:tcPr>
            <w:tcW w:w="5382" w:type="dxa"/>
            <w:tcBorders>
              <w:right w:val="nil"/>
            </w:tcBorders>
          </w:tcPr>
          <w:p w:rsidR="001B019D" w:rsidRPr="001B019D" w:rsidRDefault="001B019D" w:rsidP="00BA6A52">
            <w:pPr>
              <w:rPr>
                <w:b/>
                <w:bCs/>
              </w:rPr>
            </w:pPr>
            <w:r w:rsidRPr="001B019D">
              <w:rPr>
                <w:b/>
                <w:bCs/>
              </w:rPr>
              <w:t>Children and Families</w:t>
            </w:r>
          </w:p>
          <w:p w:rsidR="001B019D" w:rsidRPr="001B019D" w:rsidRDefault="001B019D" w:rsidP="00BA6A52">
            <w:r w:rsidRPr="001B019D">
              <w:rPr>
                <w:b/>
                <w:bCs/>
              </w:rPr>
              <w:t>Professor Jane Appleton and Dr Ethel Burns</w:t>
            </w:r>
          </w:p>
        </w:tc>
        <w:tc>
          <w:tcPr>
            <w:tcW w:w="3634" w:type="dxa"/>
            <w:tcBorders>
              <w:left w:val="nil"/>
            </w:tcBorders>
          </w:tcPr>
          <w:p w:rsidR="001B019D" w:rsidRPr="001B019D" w:rsidRDefault="001B019D" w:rsidP="00BA6A52"/>
        </w:tc>
      </w:tr>
      <w:tr w:rsidR="001B019D" w:rsidTr="00BA6A52">
        <w:tc>
          <w:tcPr>
            <w:tcW w:w="9016" w:type="dxa"/>
            <w:gridSpan w:val="2"/>
            <w:shd w:val="clear" w:color="auto" w:fill="F2F2F2" w:themeFill="background1" w:themeFillShade="F2"/>
          </w:tcPr>
          <w:p w:rsidR="001B019D" w:rsidRPr="001B019D" w:rsidRDefault="001B019D" w:rsidP="00BA6A52">
            <w:r w:rsidRPr="001B019D">
              <w:t xml:space="preserve">This research has three related programmes of research which influence and change health care professional practice. “Think Baby” is an e-learning tool developed specifically for trainee health </w:t>
            </w:r>
            <w:r w:rsidRPr="001B019D">
              <w:lastRenderedPageBreak/>
              <w:t>visitors to help them develop their skills in observing and assessing mother-infant interactions.  Think baby has been rolled out to Universities running the health visitor programme across the UK. “Was Not Brought” is a project arising from UK health care policy to encourage healthcare professionals to take a proactive and child centred stance in ensuring the wellbeing and safety of children who miss appointments.  “</w:t>
            </w:r>
            <w:proofErr w:type="spellStart"/>
            <w:r w:rsidRPr="001B019D">
              <w:t>Labouring</w:t>
            </w:r>
            <w:proofErr w:type="spellEnd"/>
            <w:r w:rsidRPr="001B019D">
              <w:t xml:space="preserve"> in water and water birth” focuses on the care option of a birth pool facility in which women can </w:t>
            </w:r>
            <w:proofErr w:type="spellStart"/>
            <w:r w:rsidRPr="001B019D">
              <w:t>labour</w:t>
            </w:r>
            <w:proofErr w:type="spellEnd"/>
            <w:r w:rsidRPr="001B019D">
              <w:t xml:space="preserve"> and/or give birth. This work has reached the clinical and clinical-academic audience across the UK and internationally. </w:t>
            </w:r>
          </w:p>
        </w:tc>
      </w:tr>
    </w:tbl>
    <w:p w:rsidR="001B019D" w:rsidRPr="001B019D" w:rsidRDefault="001B019D" w:rsidP="001B019D"/>
    <w:tbl>
      <w:tblPr>
        <w:tblStyle w:val="TableGrid"/>
        <w:tblW w:w="0" w:type="auto"/>
        <w:tblLook w:val="04A0" w:firstRow="1" w:lastRow="0" w:firstColumn="1" w:lastColumn="0" w:noHBand="0" w:noVBand="1"/>
      </w:tblPr>
      <w:tblGrid>
        <w:gridCol w:w="9016"/>
      </w:tblGrid>
      <w:tr w:rsidR="001B019D" w:rsidTr="00BA6A52">
        <w:tc>
          <w:tcPr>
            <w:tcW w:w="9016" w:type="dxa"/>
          </w:tcPr>
          <w:p w:rsidR="001B019D" w:rsidRPr="001B019D" w:rsidRDefault="001B019D" w:rsidP="00BA6A52">
            <w:pPr>
              <w:rPr>
                <w:b/>
                <w:bCs/>
              </w:rPr>
            </w:pPr>
            <w:r w:rsidRPr="001B019D">
              <w:rPr>
                <w:b/>
                <w:bCs/>
              </w:rPr>
              <w:t xml:space="preserve">Improving identification and support of individuals with handwriting and movement difficulties through development of assessment tools </w:t>
            </w:r>
          </w:p>
          <w:p w:rsidR="001B019D" w:rsidRPr="001B019D" w:rsidRDefault="001B019D" w:rsidP="00BA6A52">
            <w:r w:rsidRPr="001B019D">
              <w:rPr>
                <w:b/>
                <w:bCs/>
              </w:rPr>
              <w:t>Professor Anna Barnett</w:t>
            </w:r>
          </w:p>
        </w:tc>
      </w:tr>
      <w:tr w:rsidR="001B019D" w:rsidTr="00BA6A52">
        <w:tc>
          <w:tcPr>
            <w:tcW w:w="9016" w:type="dxa"/>
            <w:shd w:val="clear" w:color="auto" w:fill="F2F2F2" w:themeFill="background1" w:themeFillShade="F2"/>
          </w:tcPr>
          <w:p w:rsidR="001B019D" w:rsidRPr="001B019D" w:rsidRDefault="001B019D" w:rsidP="00BA6A52">
            <w:r w:rsidRPr="001B019D">
              <w:t xml:space="preserve">This research focusses on the development of a suite of assessment tools has provided health and education professionals worldwide with the means to improve identification of and support for individuals with movement and handwriting difficulties. Impact of the Movement ABC-2 Test and Checklist and two handwriting tests (DASH and DASH17+) is evidenced by their specific recommendation in national and international guidelines. International sales figures, the number of translations and training events evidence their worldwide use by health and educational professionals. Testimonials from practitioners and parents show how these new tools have enabled individuals with movement and handwriting difficulties to gain access to support to help achieve their potential. </w:t>
            </w:r>
          </w:p>
        </w:tc>
      </w:tr>
    </w:tbl>
    <w:p w:rsidR="001B019D" w:rsidRDefault="001B019D" w:rsidP="001B019D"/>
    <w:p w:rsidR="001B019D" w:rsidRPr="001B019D" w:rsidRDefault="001B019D" w:rsidP="001B019D">
      <w:r w:rsidRPr="001B019D">
        <w:t>Other relevant recent activities:</w:t>
      </w:r>
    </w:p>
    <w:p w:rsidR="001B019D" w:rsidRPr="001B019D" w:rsidRDefault="001B019D" w:rsidP="0017480B">
      <w:pPr>
        <w:pStyle w:val="ListParagraph"/>
        <w:numPr>
          <w:ilvl w:val="0"/>
          <w:numId w:val="49"/>
        </w:numPr>
        <w:ind w:left="428"/>
      </w:pPr>
      <w:r w:rsidRPr="001B019D">
        <w:t>Carding chairing a forum on an Oxford-wide Clinical Academic Pathway for NAHPs (to report in April 2020)</w:t>
      </w:r>
    </w:p>
    <w:p w:rsidR="001B019D" w:rsidRPr="001B019D" w:rsidRDefault="001B019D" w:rsidP="0017480B">
      <w:pPr>
        <w:pStyle w:val="ListParagraph"/>
        <w:numPr>
          <w:ilvl w:val="0"/>
          <w:numId w:val="49"/>
        </w:numPr>
        <w:ind w:left="428"/>
      </w:pPr>
      <w:r w:rsidRPr="001B019D">
        <w:t xml:space="preserve">Two </w:t>
      </w:r>
      <w:proofErr w:type="spellStart"/>
      <w:r w:rsidRPr="001B019D">
        <w:t>OxINMAHR</w:t>
      </w:r>
      <w:proofErr w:type="spellEnd"/>
      <w:r w:rsidRPr="001B019D">
        <w:t xml:space="preserve"> and OXTV ARC research priority workshops</w:t>
      </w:r>
    </w:p>
    <w:p w:rsidR="001B019D" w:rsidRPr="001B019D" w:rsidRDefault="001B019D" w:rsidP="0017480B">
      <w:pPr>
        <w:pStyle w:val="ListParagraph"/>
        <w:numPr>
          <w:ilvl w:val="0"/>
          <w:numId w:val="49"/>
        </w:numPr>
        <w:ind w:left="428"/>
      </w:pPr>
      <w:r w:rsidRPr="001B019D">
        <w:t>Successful NIHR Research Incubator award (Carding CI)</w:t>
      </w:r>
    </w:p>
    <w:p w:rsidR="001B019D" w:rsidRPr="001B019D" w:rsidRDefault="001B019D" w:rsidP="0017480B">
      <w:pPr>
        <w:pStyle w:val="ListParagraph"/>
        <w:numPr>
          <w:ilvl w:val="0"/>
          <w:numId w:val="49"/>
        </w:numPr>
        <w:ind w:left="428"/>
      </w:pPr>
      <w:r w:rsidRPr="001B019D">
        <w:t xml:space="preserve">Oxford-wide application for the competition 'UK Research and Innovation strength in places fund: Wave 2 </w:t>
      </w:r>
      <w:proofErr w:type="spellStart"/>
      <w:r w:rsidRPr="001B019D">
        <w:t>EoI</w:t>
      </w:r>
      <w:proofErr w:type="spellEnd"/>
      <w:r w:rsidRPr="001B019D">
        <w:t>” focusing on digital health (outcome June 2020)</w:t>
      </w:r>
    </w:p>
    <w:p w:rsidR="001B019D" w:rsidRPr="001B019D" w:rsidRDefault="001B019D" w:rsidP="0017480B">
      <w:pPr>
        <w:pStyle w:val="ListParagraph"/>
        <w:numPr>
          <w:ilvl w:val="0"/>
          <w:numId w:val="49"/>
        </w:numPr>
        <w:ind w:left="428"/>
      </w:pPr>
      <w:r w:rsidRPr="001B019D">
        <w:t>NIHR workshop entitled “</w:t>
      </w:r>
      <w:proofErr w:type="spellStart"/>
      <w:r w:rsidRPr="001B019D">
        <w:t>Capitalising</w:t>
      </w:r>
      <w:proofErr w:type="spellEnd"/>
      <w:r w:rsidRPr="001B019D">
        <w:t xml:space="preserve"> on NIHR opportunities for non-medics” on January </w:t>
      </w:r>
      <w:proofErr w:type="gramStart"/>
      <w:r w:rsidRPr="001B019D">
        <w:t>10</w:t>
      </w:r>
      <w:proofErr w:type="gramEnd"/>
      <w:r w:rsidRPr="001B019D">
        <w:t xml:space="preserve"> 2020.</w:t>
      </w:r>
    </w:p>
    <w:p w:rsidR="001B019D" w:rsidRPr="001B019D" w:rsidRDefault="001B019D" w:rsidP="0017480B">
      <w:pPr>
        <w:pStyle w:val="ListParagraph"/>
        <w:numPr>
          <w:ilvl w:val="0"/>
          <w:numId w:val="49"/>
        </w:numPr>
        <w:ind w:left="428"/>
      </w:pPr>
      <w:r w:rsidRPr="001B019D">
        <w:t>Oxford Academic Health Science Centre re-application</w:t>
      </w:r>
    </w:p>
    <w:p w:rsidR="001B019D" w:rsidRPr="001B019D" w:rsidRDefault="001B019D" w:rsidP="0017480B">
      <w:pPr>
        <w:pStyle w:val="ListParagraph"/>
        <w:numPr>
          <w:ilvl w:val="0"/>
          <w:numId w:val="49"/>
        </w:numPr>
        <w:ind w:left="428"/>
      </w:pPr>
      <w:r w:rsidRPr="001B019D">
        <w:t xml:space="preserve">Establishing an </w:t>
      </w:r>
      <w:proofErr w:type="spellStart"/>
      <w:r w:rsidRPr="001B019D">
        <w:t>OxINMAHR</w:t>
      </w:r>
      <w:proofErr w:type="spellEnd"/>
      <w:r w:rsidRPr="001B019D">
        <w:t>/BRC post-Doctoral fellowship (early discussions)</w:t>
      </w:r>
    </w:p>
    <w:p w:rsidR="001B019D" w:rsidRPr="001B019D" w:rsidRDefault="001B019D" w:rsidP="0017480B">
      <w:pPr>
        <w:pStyle w:val="ListParagraph"/>
        <w:numPr>
          <w:ilvl w:val="0"/>
          <w:numId w:val="49"/>
        </w:numPr>
        <w:ind w:left="428"/>
      </w:pPr>
      <w:r w:rsidRPr="001B019D">
        <w:t>Re-advertisement of Professor of Nursing, Health and Social Care (April 2020)</w:t>
      </w:r>
    </w:p>
    <w:p w:rsidR="001B019D" w:rsidRPr="001B019D" w:rsidRDefault="001B019D" w:rsidP="0017480B">
      <w:pPr>
        <w:pStyle w:val="ListParagraph"/>
        <w:numPr>
          <w:ilvl w:val="0"/>
          <w:numId w:val="49"/>
        </w:numPr>
        <w:ind w:left="428"/>
      </w:pPr>
      <w:r w:rsidRPr="001B019D">
        <w:t>Development of 2020-2025 Research Strategy under the following main headings:</w:t>
      </w:r>
    </w:p>
    <w:p w:rsidR="001B019D" w:rsidRPr="001B019D" w:rsidRDefault="001B019D" w:rsidP="000C7297">
      <w:pPr>
        <w:pStyle w:val="ListParagraph"/>
        <w:numPr>
          <w:ilvl w:val="1"/>
          <w:numId w:val="49"/>
        </w:numPr>
        <w:spacing w:before="0" w:after="0"/>
      </w:pPr>
      <w:r w:rsidRPr="001B019D">
        <w:t>Leadership and Governance</w:t>
      </w:r>
    </w:p>
    <w:p w:rsidR="001B019D" w:rsidRPr="001B019D" w:rsidRDefault="001B019D" w:rsidP="000C7297">
      <w:pPr>
        <w:pStyle w:val="ListParagraph"/>
        <w:numPr>
          <w:ilvl w:val="1"/>
          <w:numId w:val="49"/>
        </w:numPr>
        <w:spacing w:before="0" w:after="0"/>
      </w:pPr>
      <w:r w:rsidRPr="001B019D">
        <w:t>Performance evaluation and review</w:t>
      </w:r>
    </w:p>
    <w:p w:rsidR="001B019D" w:rsidRPr="001B019D" w:rsidRDefault="001B019D" w:rsidP="000C7297">
      <w:pPr>
        <w:pStyle w:val="ListParagraph"/>
        <w:numPr>
          <w:ilvl w:val="1"/>
          <w:numId w:val="49"/>
        </w:numPr>
        <w:spacing w:before="0" w:after="0"/>
      </w:pPr>
      <w:r w:rsidRPr="001B019D">
        <w:t>People development</w:t>
      </w:r>
    </w:p>
    <w:p w:rsidR="001B019D" w:rsidRPr="001B019D" w:rsidRDefault="001B019D" w:rsidP="000C7297">
      <w:pPr>
        <w:pStyle w:val="ListParagraph"/>
        <w:numPr>
          <w:ilvl w:val="1"/>
          <w:numId w:val="49"/>
        </w:numPr>
        <w:spacing w:before="0" w:after="0"/>
      </w:pPr>
      <w:r w:rsidRPr="001B019D">
        <w:t>Partnership building</w:t>
      </w:r>
    </w:p>
    <w:p w:rsidR="001B019D" w:rsidRPr="001B019D" w:rsidRDefault="001B019D" w:rsidP="000C7297">
      <w:pPr>
        <w:pStyle w:val="ListParagraph"/>
        <w:numPr>
          <w:ilvl w:val="1"/>
          <w:numId w:val="49"/>
        </w:numPr>
        <w:spacing w:before="0" w:after="0"/>
      </w:pPr>
      <w:r w:rsidRPr="001B019D">
        <w:t>Funding and Publication</w:t>
      </w:r>
    </w:p>
    <w:p w:rsidR="001B019D" w:rsidRPr="001B019D" w:rsidRDefault="001B019D" w:rsidP="000C7297">
      <w:pPr>
        <w:pStyle w:val="ListParagraph"/>
        <w:numPr>
          <w:ilvl w:val="1"/>
          <w:numId w:val="49"/>
        </w:numPr>
        <w:spacing w:before="0" w:after="0"/>
      </w:pPr>
      <w:r w:rsidRPr="001B019D">
        <w:t>Dissemination and Impact</w:t>
      </w:r>
    </w:p>
    <w:p w:rsidR="00542993" w:rsidRDefault="00542993" w:rsidP="00FC2E49">
      <w:pPr>
        <w:pStyle w:val="Heading2"/>
        <w:numPr>
          <w:ilvl w:val="1"/>
          <w:numId w:val="4"/>
        </w:numPr>
      </w:pPr>
      <w:bookmarkStart w:id="55" w:name="_Toc34407438"/>
      <w:r>
        <w:lastRenderedPageBreak/>
        <w:t>Berkshire Healthcare</w:t>
      </w:r>
      <w:bookmarkEnd w:id="55"/>
    </w:p>
    <w:p w:rsidR="00941F88" w:rsidRPr="00941F88" w:rsidRDefault="00941F88" w:rsidP="00941F88">
      <w:pPr>
        <w:rPr>
          <w:bCs/>
          <w:szCs w:val="22"/>
        </w:rPr>
      </w:pPr>
      <w:r w:rsidRPr="00941F88">
        <w:rPr>
          <w:bCs/>
          <w:szCs w:val="22"/>
        </w:rPr>
        <w:t xml:space="preserve">Over the last year OH have developed a relationship with Berkshire Healthcare. We are reviewing where we have similar objectives or complementary interests and are looking to put ourselves in a position to exploit any joint opportunities. This is at a very early stage but already Berkshire Healthcare have agreed to be a patient identification Centre for one of OHs studies and we will be providing training for their staff. </w:t>
      </w:r>
    </w:p>
    <w:p w:rsidR="00941F88" w:rsidRPr="00941F88" w:rsidRDefault="00941F88" w:rsidP="00941F88">
      <w:pPr>
        <w:rPr>
          <w:bCs/>
          <w:szCs w:val="22"/>
        </w:rPr>
      </w:pPr>
      <w:r w:rsidRPr="00941F88">
        <w:rPr>
          <w:bCs/>
          <w:szCs w:val="22"/>
        </w:rPr>
        <w:t xml:space="preserve">A research governance policy has also been exchanged to share learning and prevent duplication of effort and a joint meeting was held to discuss how we might better work with GP’s to identify research participants. We have also shared specific research participant recruitment strategies which we believe will lead to increased recruitment. </w:t>
      </w:r>
    </w:p>
    <w:p w:rsidR="00941F88" w:rsidRPr="00941F88" w:rsidRDefault="00941F88" w:rsidP="00941F88">
      <w:pPr>
        <w:rPr>
          <w:bCs/>
          <w:szCs w:val="22"/>
        </w:rPr>
      </w:pPr>
      <w:r w:rsidRPr="00941F88">
        <w:rPr>
          <w:bCs/>
          <w:szCs w:val="22"/>
        </w:rPr>
        <w:t>This collaboration is endorsed by the Thames Valley Clinical Research Network with the potential to represent the Thames Valley in certain areas.</w:t>
      </w:r>
    </w:p>
    <w:p w:rsidR="00397DFA" w:rsidRPr="00BB6E16" w:rsidRDefault="00397DFA" w:rsidP="00D7692D">
      <w:pPr>
        <w:rPr>
          <w:color w:val="FF0000"/>
        </w:rPr>
      </w:pPr>
    </w:p>
    <w:p w:rsidR="00302A8E" w:rsidRPr="00BB6E16" w:rsidRDefault="00302A8E" w:rsidP="00302A8E">
      <w:pPr>
        <w:ind w:left="1440" w:hanging="1440"/>
        <w:rPr>
          <w:rFonts w:cs="Arial"/>
        </w:rPr>
      </w:pPr>
      <w:r w:rsidRPr="00BB6E16">
        <w:rPr>
          <w:rFonts w:cs="Arial"/>
          <w:b/>
        </w:rPr>
        <w:t>Authors and Title:</w:t>
      </w:r>
      <w:r w:rsidRPr="00BB6E16">
        <w:rPr>
          <w:rFonts w:cs="Arial"/>
        </w:rPr>
        <w:tab/>
      </w:r>
      <w:r w:rsidRPr="00BB6E16">
        <w:rPr>
          <w:rFonts w:cs="Arial"/>
        </w:rPr>
        <w:tab/>
        <w:t>Professor John Geddes, Director of R&amp;D</w:t>
      </w:r>
      <w:r w:rsidR="00BB6E16" w:rsidRPr="00BB6E16">
        <w:rPr>
          <w:rFonts w:cs="Arial"/>
        </w:rPr>
        <w:t xml:space="preserve"> and the NIHR </w:t>
      </w:r>
      <w:r w:rsidRPr="00BB6E16">
        <w:rPr>
          <w:rFonts w:cs="Arial"/>
        </w:rPr>
        <w:t>BRC</w:t>
      </w:r>
    </w:p>
    <w:p w:rsidR="00302A8E" w:rsidRPr="00BB6E16" w:rsidRDefault="00302A8E" w:rsidP="00302A8E">
      <w:pPr>
        <w:ind w:left="2880"/>
        <w:rPr>
          <w:rFonts w:cs="Arial"/>
        </w:rPr>
      </w:pPr>
      <w:r w:rsidRPr="00BB6E16">
        <w:rPr>
          <w:rFonts w:cs="Arial"/>
        </w:rPr>
        <w:t xml:space="preserve">Bill Wells, </w:t>
      </w:r>
      <w:r w:rsidR="00BB6E16" w:rsidRPr="00BB6E16">
        <w:rPr>
          <w:rFonts w:cs="Arial"/>
        </w:rPr>
        <w:t>Head of R&amp;D</w:t>
      </w:r>
    </w:p>
    <w:p w:rsidR="00302A8E" w:rsidRPr="00BB6E16" w:rsidRDefault="00302A8E" w:rsidP="00302A8E">
      <w:pPr>
        <w:ind w:left="2160" w:firstLine="720"/>
        <w:rPr>
          <w:rFonts w:cs="Arial"/>
        </w:rPr>
      </w:pPr>
      <w:r w:rsidRPr="00BB6E16">
        <w:rPr>
          <w:rFonts w:cs="Arial"/>
        </w:rPr>
        <w:t>Dr Mark Hancock, Medical Director</w:t>
      </w:r>
    </w:p>
    <w:p w:rsidR="00302A8E" w:rsidRPr="00BB6E16" w:rsidRDefault="00302A8E" w:rsidP="00302A8E">
      <w:pPr>
        <w:rPr>
          <w:rFonts w:cs="Arial"/>
          <w:b/>
        </w:rPr>
      </w:pPr>
      <w:r w:rsidRPr="00BB6E16">
        <w:rPr>
          <w:rFonts w:cs="Arial"/>
          <w:b/>
        </w:rPr>
        <w:t>Lead Executive Director:</w:t>
      </w:r>
      <w:r w:rsidRPr="00BB6E16">
        <w:rPr>
          <w:rFonts w:cs="Arial"/>
          <w:b/>
        </w:rPr>
        <w:tab/>
      </w:r>
      <w:r w:rsidRPr="00BB6E16">
        <w:rPr>
          <w:rFonts w:cs="Arial"/>
        </w:rPr>
        <w:t>Dr Mark Hancock</w:t>
      </w:r>
    </w:p>
    <w:p w:rsidR="00302A8E" w:rsidRPr="00BB6E16" w:rsidRDefault="00302A8E" w:rsidP="00302A8E">
      <w:pPr>
        <w:spacing w:before="0" w:after="0"/>
        <w:jc w:val="left"/>
        <w:rPr>
          <w:rFonts w:cs="Arial"/>
        </w:rPr>
      </w:pPr>
    </w:p>
    <w:p w:rsidR="00302A8E" w:rsidRPr="00BB6E16" w:rsidRDefault="00302A8E" w:rsidP="00302A8E">
      <w:pPr>
        <w:numPr>
          <w:ilvl w:val="0"/>
          <w:numId w:val="1"/>
        </w:numPr>
        <w:spacing w:before="0" w:after="0"/>
        <w:rPr>
          <w:rFonts w:cs="Arial"/>
          <w:i/>
          <w:sz w:val="20"/>
          <w:szCs w:val="20"/>
        </w:rPr>
      </w:pPr>
      <w:r w:rsidRPr="00BB6E16">
        <w:rPr>
          <w:rFonts w:cs="Arial"/>
          <w:i/>
          <w:sz w:val="20"/>
          <w:szCs w:val="20"/>
        </w:rPr>
        <w:t>A risk assessment has been undertaken around the legal issues that this paper presents and there are no issues that need to be referred to the Trust Solicitors.</w:t>
      </w:r>
    </w:p>
    <w:p w:rsidR="00302A8E" w:rsidRPr="00BB6E16" w:rsidRDefault="00302A8E" w:rsidP="00302A8E">
      <w:pPr>
        <w:spacing w:before="0" w:after="0"/>
        <w:rPr>
          <w:rFonts w:cs="Arial"/>
          <w:i/>
          <w:sz w:val="20"/>
          <w:szCs w:val="20"/>
        </w:rPr>
      </w:pPr>
    </w:p>
    <w:p w:rsidR="00302A8E" w:rsidRPr="00BB6E16" w:rsidRDefault="00302A8E" w:rsidP="00302A8E">
      <w:pPr>
        <w:numPr>
          <w:ilvl w:val="0"/>
          <w:numId w:val="1"/>
        </w:numPr>
        <w:spacing w:before="0" w:after="0"/>
        <w:rPr>
          <w:rFonts w:cs="Arial"/>
          <w:i/>
          <w:sz w:val="20"/>
          <w:szCs w:val="20"/>
        </w:rPr>
      </w:pPr>
      <w:r w:rsidRPr="00BB6E16">
        <w:rPr>
          <w:rFonts w:cs="Arial"/>
          <w:i/>
          <w:sz w:val="20"/>
          <w:szCs w:val="20"/>
        </w:rPr>
        <w:t>This paper (including all appendices) has been assessed against the Freedom of Information Act and the following applies:</w:t>
      </w:r>
    </w:p>
    <w:p w:rsidR="00302A8E" w:rsidRPr="00BB6E16" w:rsidRDefault="00302A8E" w:rsidP="00302A8E">
      <w:pPr>
        <w:pStyle w:val="ListParagraph"/>
        <w:rPr>
          <w:rFonts w:cs="Arial"/>
          <w:i/>
          <w:sz w:val="20"/>
          <w:szCs w:val="20"/>
        </w:rPr>
      </w:pPr>
    </w:p>
    <w:p w:rsidR="00302A8E" w:rsidRPr="00BB6E16" w:rsidRDefault="00302A8E" w:rsidP="00302A8E">
      <w:pPr>
        <w:numPr>
          <w:ilvl w:val="0"/>
          <w:numId w:val="2"/>
        </w:numPr>
        <w:spacing w:before="0" w:after="0"/>
        <w:rPr>
          <w:rFonts w:cs="Arial"/>
          <w:i/>
          <w:sz w:val="20"/>
          <w:szCs w:val="20"/>
        </w:rPr>
      </w:pPr>
      <w:r w:rsidRPr="00BB6E16">
        <w:rPr>
          <w:rFonts w:cs="Arial"/>
          <w:i/>
          <w:sz w:val="20"/>
          <w:szCs w:val="20"/>
        </w:rPr>
        <w:t>THIS PAPER MAY BE PUBLISHED UNDER FOI</w:t>
      </w:r>
    </w:p>
    <w:p w:rsidR="00302A8E" w:rsidRPr="00BB6E16" w:rsidRDefault="00302A8E" w:rsidP="00302A8E">
      <w:pPr>
        <w:spacing w:before="0" w:after="0"/>
        <w:rPr>
          <w:rFonts w:cs="Arial"/>
          <w:i/>
          <w:sz w:val="20"/>
          <w:szCs w:val="20"/>
        </w:rPr>
      </w:pPr>
    </w:p>
    <w:p w:rsidR="00302A8E" w:rsidRPr="00BB6E16" w:rsidRDefault="00302A8E" w:rsidP="00302A8E">
      <w:pPr>
        <w:spacing w:before="0" w:after="0"/>
        <w:rPr>
          <w:rFonts w:cs="Arial"/>
          <w:i/>
          <w:sz w:val="20"/>
          <w:szCs w:val="20"/>
        </w:rPr>
      </w:pPr>
    </w:p>
    <w:p w:rsidR="00302A8E" w:rsidRPr="00BB6E16" w:rsidRDefault="00302A8E" w:rsidP="00302A8E">
      <w:pPr>
        <w:numPr>
          <w:ilvl w:val="0"/>
          <w:numId w:val="1"/>
        </w:numPr>
        <w:spacing w:before="0" w:after="0"/>
        <w:rPr>
          <w:rFonts w:cs="Arial"/>
          <w:sz w:val="20"/>
          <w:szCs w:val="20"/>
        </w:rPr>
      </w:pPr>
      <w:r w:rsidRPr="00BB6E16">
        <w:rPr>
          <w:rFonts w:cs="Arial"/>
          <w:i/>
          <w:sz w:val="20"/>
          <w:szCs w:val="20"/>
        </w:rPr>
        <w:t>This paper provides assurance and evidence against various Care Quality Commission Outcomes</w:t>
      </w:r>
    </w:p>
    <w:p w:rsidR="00302A8E" w:rsidRPr="00BB6E16" w:rsidRDefault="00302A8E" w:rsidP="00302A8E">
      <w:pPr>
        <w:spacing w:before="0" w:after="0"/>
        <w:jc w:val="left"/>
        <w:rPr>
          <w:b/>
        </w:rPr>
      </w:pPr>
    </w:p>
    <w:bookmarkEnd w:id="1"/>
    <w:p w:rsidR="00302A8E" w:rsidRPr="00BB6E16" w:rsidRDefault="00302A8E" w:rsidP="004C59FB">
      <w:pPr>
        <w:rPr>
          <w:lang w:val="en-GB"/>
        </w:rPr>
      </w:pPr>
    </w:p>
    <w:sectPr w:rsidR="00302A8E" w:rsidRPr="00BB6E16" w:rsidSect="00F06004">
      <w:headerReference w:type="default" r:id="rId33"/>
      <w:footerReference w:type="default" r:id="rId34"/>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15C" w:rsidRDefault="0097315C" w:rsidP="005B3E3C">
      <w:r>
        <w:separator/>
      </w:r>
    </w:p>
  </w:endnote>
  <w:endnote w:type="continuationSeparator" w:id="0">
    <w:p w:rsidR="0097315C" w:rsidRDefault="0097315C"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76343232"/>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97315C" w:rsidRPr="009E2BDF" w:rsidRDefault="0097315C">
            <w:pPr>
              <w:pStyle w:val="Footer"/>
              <w:jc w:val="center"/>
              <w:rPr>
                <w:sz w:val="20"/>
                <w:szCs w:val="20"/>
              </w:rPr>
            </w:pPr>
            <w:r w:rsidRPr="009E2BDF">
              <w:rPr>
                <w:sz w:val="20"/>
                <w:szCs w:val="20"/>
              </w:rPr>
              <w:t xml:space="preserve">Page </w:t>
            </w:r>
            <w:r w:rsidRPr="009E2BDF">
              <w:rPr>
                <w:b/>
                <w:bCs/>
                <w:sz w:val="20"/>
                <w:szCs w:val="20"/>
              </w:rPr>
              <w:fldChar w:fldCharType="begin"/>
            </w:r>
            <w:r w:rsidRPr="009E2BDF">
              <w:rPr>
                <w:b/>
                <w:bCs/>
                <w:sz w:val="20"/>
                <w:szCs w:val="20"/>
              </w:rPr>
              <w:instrText xml:space="preserve"> PAGE </w:instrText>
            </w:r>
            <w:r w:rsidRPr="009E2BDF">
              <w:rPr>
                <w:b/>
                <w:bCs/>
                <w:sz w:val="20"/>
                <w:szCs w:val="20"/>
              </w:rPr>
              <w:fldChar w:fldCharType="separate"/>
            </w:r>
            <w:r>
              <w:rPr>
                <w:b/>
                <w:bCs/>
                <w:noProof/>
                <w:sz w:val="20"/>
                <w:szCs w:val="20"/>
              </w:rPr>
              <w:t>5</w:t>
            </w:r>
            <w:r w:rsidRPr="009E2BDF">
              <w:rPr>
                <w:b/>
                <w:bCs/>
                <w:sz w:val="20"/>
                <w:szCs w:val="20"/>
              </w:rPr>
              <w:fldChar w:fldCharType="end"/>
            </w:r>
            <w:r w:rsidRPr="009E2BDF">
              <w:rPr>
                <w:sz w:val="20"/>
                <w:szCs w:val="20"/>
              </w:rPr>
              <w:t xml:space="preserve"> of </w:t>
            </w:r>
            <w:r w:rsidRPr="009E2BDF">
              <w:rPr>
                <w:b/>
                <w:bCs/>
                <w:sz w:val="20"/>
                <w:szCs w:val="20"/>
              </w:rPr>
              <w:fldChar w:fldCharType="begin"/>
            </w:r>
            <w:r w:rsidRPr="009E2BDF">
              <w:rPr>
                <w:b/>
                <w:bCs/>
                <w:sz w:val="20"/>
                <w:szCs w:val="20"/>
              </w:rPr>
              <w:instrText xml:space="preserve"> NUMPAGES  </w:instrText>
            </w:r>
            <w:r w:rsidRPr="009E2BDF">
              <w:rPr>
                <w:b/>
                <w:bCs/>
                <w:sz w:val="20"/>
                <w:szCs w:val="20"/>
              </w:rPr>
              <w:fldChar w:fldCharType="separate"/>
            </w:r>
            <w:r>
              <w:rPr>
                <w:b/>
                <w:bCs/>
                <w:noProof/>
                <w:sz w:val="20"/>
                <w:szCs w:val="20"/>
              </w:rPr>
              <w:t>30</w:t>
            </w:r>
            <w:r w:rsidRPr="009E2BDF">
              <w:rPr>
                <w:b/>
                <w:bCs/>
                <w:sz w:val="20"/>
                <w:szCs w:val="20"/>
              </w:rPr>
              <w:fldChar w:fldCharType="end"/>
            </w:r>
          </w:p>
        </w:sdtContent>
      </w:sdt>
    </w:sdtContent>
  </w:sdt>
  <w:p w:rsidR="0097315C" w:rsidRDefault="00973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15C" w:rsidRDefault="0097315C" w:rsidP="005B3E3C">
      <w:r>
        <w:separator/>
      </w:r>
    </w:p>
  </w:footnote>
  <w:footnote w:type="continuationSeparator" w:id="0">
    <w:p w:rsidR="0097315C" w:rsidRDefault="0097315C"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15C" w:rsidRPr="002A7989" w:rsidRDefault="0097315C" w:rsidP="002A7989">
    <w:pPr>
      <w:tabs>
        <w:tab w:val="center" w:pos="4513"/>
        <w:tab w:val="right" w:pos="9026"/>
      </w:tabs>
      <w:spacing w:before="0" w:after="0"/>
      <w:jc w:val="center"/>
      <w:rPr>
        <w:rFonts w:ascii="Segoe UI" w:hAnsi="Segoe UI" w:cs="Segoe UI"/>
        <w:b/>
        <w:i/>
        <w:sz w:val="24"/>
      </w:rPr>
    </w:pPr>
    <w:r w:rsidRPr="002A7989">
      <w:rPr>
        <w:rFonts w:ascii="Segoe UI" w:hAnsi="Segoe UI" w:cs="Segoe UI"/>
        <w:b/>
        <w:i/>
        <w:sz w:val="24"/>
      </w:rPr>
      <w:t xml:space="preserve">PUBLIC </w:t>
    </w:r>
  </w:p>
  <w:p w:rsidR="0097315C" w:rsidRPr="002A7989" w:rsidRDefault="0097315C" w:rsidP="002A7989">
    <w:pPr>
      <w:tabs>
        <w:tab w:val="center" w:pos="4513"/>
        <w:tab w:val="right" w:pos="9026"/>
      </w:tabs>
      <w:spacing w:before="0" w:after="0"/>
      <w:jc w:val="center"/>
      <w:rPr>
        <w:rFonts w:ascii="Segoe UI" w:hAnsi="Segoe UI" w:cs="Segoe UI"/>
        <w:b/>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63B"/>
    <w:multiLevelType w:val="hybridMultilevel"/>
    <w:tmpl w:val="2B105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C3BCE"/>
    <w:multiLevelType w:val="hybridMultilevel"/>
    <w:tmpl w:val="14A8B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06854"/>
    <w:multiLevelType w:val="hybridMultilevel"/>
    <w:tmpl w:val="75A22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D0714F"/>
    <w:multiLevelType w:val="hybridMultilevel"/>
    <w:tmpl w:val="CB0E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3E801F6"/>
    <w:multiLevelType w:val="hybridMultilevel"/>
    <w:tmpl w:val="F2623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EA4C3B"/>
    <w:multiLevelType w:val="hybridMultilevel"/>
    <w:tmpl w:val="7C509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47818E7"/>
    <w:multiLevelType w:val="hybridMultilevel"/>
    <w:tmpl w:val="FC1E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B5464E"/>
    <w:multiLevelType w:val="hybridMultilevel"/>
    <w:tmpl w:val="CB5AFA8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5077F8D"/>
    <w:multiLevelType w:val="hybridMultilevel"/>
    <w:tmpl w:val="137C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267999"/>
    <w:multiLevelType w:val="multilevel"/>
    <w:tmpl w:val="6FF2172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0A411B0F"/>
    <w:multiLevelType w:val="hybridMultilevel"/>
    <w:tmpl w:val="CC94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657C22"/>
    <w:multiLevelType w:val="hybridMultilevel"/>
    <w:tmpl w:val="03D2F26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0A9936BB"/>
    <w:multiLevelType w:val="hybridMultilevel"/>
    <w:tmpl w:val="E254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AF0D6C"/>
    <w:multiLevelType w:val="hybridMultilevel"/>
    <w:tmpl w:val="5A144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0B724A6E"/>
    <w:multiLevelType w:val="hybridMultilevel"/>
    <w:tmpl w:val="5A469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379366F"/>
    <w:multiLevelType w:val="hybridMultilevel"/>
    <w:tmpl w:val="FE4E9E3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13986BAE"/>
    <w:multiLevelType w:val="hybridMultilevel"/>
    <w:tmpl w:val="8FBE1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6892EBE"/>
    <w:multiLevelType w:val="hybridMultilevel"/>
    <w:tmpl w:val="F418F99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95740F"/>
    <w:multiLevelType w:val="hybridMultilevel"/>
    <w:tmpl w:val="8A80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C237FD"/>
    <w:multiLevelType w:val="hybridMultilevel"/>
    <w:tmpl w:val="64628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35B1790"/>
    <w:multiLevelType w:val="hybridMultilevel"/>
    <w:tmpl w:val="2F3C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FD0C66"/>
    <w:multiLevelType w:val="hybridMultilevel"/>
    <w:tmpl w:val="C1A68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2C65F7"/>
    <w:multiLevelType w:val="hybridMultilevel"/>
    <w:tmpl w:val="FCEC7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AF5BA2"/>
    <w:multiLevelType w:val="hybridMultilevel"/>
    <w:tmpl w:val="2CBC870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2FE81789"/>
    <w:multiLevelType w:val="hybridMultilevel"/>
    <w:tmpl w:val="21CA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AF23F2"/>
    <w:multiLevelType w:val="hybridMultilevel"/>
    <w:tmpl w:val="83A25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2C73F1"/>
    <w:multiLevelType w:val="hybridMultilevel"/>
    <w:tmpl w:val="D4D81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3A4F169C"/>
    <w:multiLevelType w:val="hybridMultilevel"/>
    <w:tmpl w:val="0FF2F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3BF439FC"/>
    <w:multiLevelType w:val="hybridMultilevel"/>
    <w:tmpl w:val="8A8C7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356084"/>
    <w:multiLevelType w:val="hybridMultilevel"/>
    <w:tmpl w:val="02FE1A8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400B3A1A"/>
    <w:multiLevelType w:val="hybridMultilevel"/>
    <w:tmpl w:val="1C46E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646870"/>
    <w:multiLevelType w:val="hybridMultilevel"/>
    <w:tmpl w:val="B49E8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299173A"/>
    <w:multiLevelType w:val="hybridMultilevel"/>
    <w:tmpl w:val="32C62FB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44B76F4F"/>
    <w:multiLevelType w:val="hybridMultilevel"/>
    <w:tmpl w:val="3CE20A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64A4A11"/>
    <w:multiLevelType w:val="hybridMultilevel"/>
    <w:tmpl w:val="5C7421A8"/>
    <w:lvl w:ilvl="0" w:tplc="3706374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7636E7"/>
    <w:multiLevelType w:val="hybridMultilevel"/>
    <w:tmpl w:val="DD2C5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47845D39"/>
    <w:multiLevelType w:val="hybridMultilevel"/>
    <w:tmpl w:val="ECAAC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48761908"/>
    <w:multiLevelType w:val="hybridMultilevel"/>
    <w:tmpl w:val="D5689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9712E86"/>
    <w:multiLevelType w:val="hybridMultilevel"/>
    <w:tmpl w:val="FE8C0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4AE31E2B"/>
    <w:multiLevelType w:val="hybridMultilevel"/>
    <w:tmpl w:val="2EFA9ED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4EE97DDA"/>
    <w:multiLevelType w:val="hybridMultilevel"/>
    <w:tmpl w:val="E7AE7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030078A"/>
    <w:multiLevelType w:val="hybridMultilevel"/>
    <w:tmpl w:val="F962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2E01EC8"/>
    <w:multiLevelType w:val="hybridMultilevel"/>
    <w:tmpl w:val="4C14136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58C71F62"/>
    <w:multiLevelType w:val="hybridMultilevel"/>
    <w:tmpl w:val="43A69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BDB24FE"/>
    <w:multiLevelType w:val="hybridMultilevel"/>
    <w:tmpl w:val="DF14B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EEB17D5"/>
    <w:multiLevelType w:val="hybridMultilevel"/>
    <w:tmpl w:val="DEF88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07D76A8"/>
    <w:multiLevelType w:val="hybridMultilevel"/>
    <w:tmpl w:val="9A34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1E01FA2"/>
    <w:multiLevelType w:val="hybridMultilevel"/>
    <w:tmpl w:val="74E86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6534ECF"/>
    <w:multiLevelType w:val="hybridMultilevel"/>
    <w:tmpl w:val="A8766B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684E5294"/>
    <w:multiLevelType w:val="hybridMultilevel"/>
    <w:tmpl w:val="7A3E05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6B9A3900"/>
    <w:multiLevelType w:val="hybridMultilevel"/>
    <w:tmpl w:val="D7488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DC20A17"/>
    <w:multiLevelType w:val="hybridMultilevel"/>
    <w:tmpl w:val="A7BE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6376B0B"/>
    <w:multiLevelType w:val="hybridMultilevel"/>
    <w:tmpl w:val="20A4A03E"/>
    <w:lvl w:ilvl="0" w:tplc="0809000F">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6" w15:restartNumberingAfterBreak="0">
    <w:nsid w:val="786056AD"/>
    <w:multiLevelType w:val="hybridMultilevel"/>
    <w:tmpl w:val="DF44E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96E533C"/>
    <w:multiLevelType w:val="hybridMultilevel"/>
    <w:tmpl w:val="C6BA7BF4"/>
    <w:lvl w:ilvl="0" w:tplc="08090001">
      <w:start w:val="1"/>
      <w:numFmt w:val="bullet"/>
      <w:lvlText w:val=""/>
      <w:lvlJc w:val="left"/>
      <w:pPr>
        <w:ind w:left="1596" w:hanging="360"/>
      </w:pPr>
      <w:rPr>
        <w:rFonts w:ascii="Symbol" w:hAnsi="Symbol" w:hint="default"/>
      </w:rPr>
    </w:lvl>
    <w:lvl w:ilvl="1" w:tplc="08090003">
      <w:start w:val="1"/>
      <w:numFmt w:val="bullet"/>
      <w:lvlText w:val="o"/>
      <w:lvlJc w:val="left"/>
      <w:pPr>
        <w:ind w:left="2316" w:hanging="360"/>
      </w:pPr>
      <w:rPr>
        <w:rFonts w:ascii="Courier New" w:hAnsi="Courier New" w:cs="Courier New" w:hint="default"/>
      </w:rPr>
    </w:lvl>
    <w:lvl w:ilvl="2" w:tplc="08090005">
      <w:start w:val="1"/>
      <w:numFmt w:val="bullet"/>
      <w:lvlText w:val=""/>
      <w:lvlJc w:val="left"/>
      <w:pPr>
        <w:ind w:left="3036" w:hanging="360"/>
      </w:pPr>
      <w:rPr>
        <w:rFonts w:ascii="Wingdings" w:hAnsi="Wingdings" w:hint="default"/>
      </w:rPr>
    </w:lvl>
    <w:lvl w:ilvl="3" w:tplc="08090001" w:tentative="1">
      <w:start w:val="1"/>
      <w:numFmt w:val="bullet"/>
      <w:lvlText w:val=""/>
      <w:lvlJc w:val="left"/>
      <w:pPr>
        <w:ind w:left="3756" w:hanging="360"/>
      </w:pPr>
      <w:rPr>
        <w:rFonts w:ascii="Symbol" w:hAnsi="Symbol" w:hint="default"/>
      </w:rPr>
    </w:lvl>
    <w:lvl w:ilvl="4" w:tplc="08090003" w:tentative="1">
      <w:start w:val="1"/>
      <w:numFmt w:val="bullet"/>
      <w:lvlText w:val="o"/>
      <w:lvlJc w:val="left"/>
      <w:pPr>
        <w:ind w:left="4476" w:hanging="360"/>
      </w:pPr>
      <w:rPr>
        <w:rFonts w:ascii="Courier New" w:hAnsi="Courier New" w:cs="Courier New" w:hint="default"/>
      </w:rPr>
    </w:lvl>
    <w:lvl w:ilvl="5" w:tplc="08090005" w:tentative="1">
      <w:start w:val="1"/>
      <w:numFmt w:val="bullet"/>
      <w:lvlText w:val=""/>
      <w:lvlJc w:val="left"/>
      <w:pPr>
        <w:ind w:left="5196" w:hanging="360"/>
      </w:pPr>
      <w:rPr>
        <w:rFonts w:ascii="Wingdings" w:hAnsi="Wingdings" w:hint="default"/>
      </w:rPr>
    </w:lvl>
    <w:lvl w:ilvl="6" w:tplc="08090001" w:tentative="1">
      <w:start w:val="1"/>
      <w:numFmt w:val="bullet"/>
      <w:lvlText w:val=""/>
      <w:lvlJc w:val="left"/>
      <w:pPr>
        <w:ind w:left="5916" w:hanging="360"/>
      </w:pPr>
      <w:rPr>
        <w:rFonts w:ascii="Symbol" w:hAnsi="Symbol" w:hint="default"/>
      </w:rPr>
    </w:lvl>
    <w:lvl w:ilvl="7" w:tplc="08090003" w:tentative="1">
      <w:start w:val="1"/>
      <w:numFmt w:val="bullet"/>
      <w:lvlText w:val="o"/>
      <w:lvlJc w:val="left"/>
      <w:pPr>
        <w:ind w:left="6636" w:hanging="360"/>
      </w:pPr>
      <w:rPr>
        <w:rFonts w:ascii="Courier New" w:hAnsi="Courier New" w:cs="Courier New" w:hint="default"/>
      </w:rPr>
    </w:lvl>
    <w:lvl w:ilvl="8" w:tplc="08090005" w:tentative="1">
      <w:start w:val="1"/>
      <w:numFmt w:val="bullet"/>
      <w:lvlText w:val=""/>
      <w:lvlJc w:val="left"/>
      <w:pPr>
        <w:ind w:left="7356" w:hanging="360"/>
      </w:pPr>
      <w:rPr>
        <w:rFonts w:ascii="Wingdings" w:hAnsi="Wingdings" w:hint="default"/>
      </w:rPr>
    </w:lvl>
  </w:abstractNum>
  <w:abstractNum w:abstractNumId="58" w15:restartNumberingAfterBreak="0">
    <w:nsid w:val="7C0E081A"/>
    <w:multiLevelType w:val="hybridMultilevel"/>
    <w:tmpl w:val="1CC4061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9" w15:restartNumberingAfterBreak="0">
    <w:nsid w:val="7CE414BB"/>
    <w:multiLevelType w:val="hybridMultilevel"/>
    <w:tmpl w:val="B440689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0" w15:restartNumberingAfterBreak="0">
    <w:nsid w:val="7EDC1CAE"/>
    <w:multiLevelType w:val="hybridMultilevel"/>
    <w:tmpl w:val="112E6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8"/>
  </w:num>
  <w:num w:numId="2">
    <w:abstractNumId w:val="45"/>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0"/>
  </w:num>
  <w:num w:numId="7">
    <w:abstractNumId w:val="46"/>
  </w:num>
  <w:num w:numId="8">
    <w:abstractNumId w:val="13"/>
  </w:num>
  <w:num w:numId="9">
    <w:abstractNumId w:val="60"/>
  </w:num>
  <w:num w:numId="10">
    <w:abstractNumId w:val="5"/>
  </w:num>
  <w:num w:numId="11">
    <w:abstractNumId w:val="32"/>
  </w:num>
  <w:num w:numId="12">
    <w:abstractNumId w:val="27"/>
  </w:num>
  <w:num w:numId="1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37"/>
  </w:num>
  <w:num w:numId="16">
    <w:abstractNumId w:val="40"/>
  </w:num>
  <w:num w:numId="17">
    <w:abstractNumId w:val="2"/>
  </w:num>
  <w:num w:numId="18">
    <w:abstractNumId w:val="16"/>
  </w:num>
  <w:num w:numId="19">
    <w:abstractNumId w:val="3"/>
  </w:num>
  <w:num w:numId="20">
    <w:abstractNumId w:val="28"/>
  </w:num>
  <w:num w:numId="21">
    <w:abstractNumId w:val="53"/>
  </w:num>
  <w:num w:numId="22">
    <w:abstractNumId w:val="50"/>
  </w:num>
  <w:num w:numId="23">
    <w:abstractNumId w:val="43"/>
  </w:num>
  <w:num w:numId="24">
    <w:abstractNumId w:val="56"/>
  </w:num>
  <w:num w:numId="25">
    <w:abstractNumId w:val="19"/>
  </w:num>
  <w:num w:numId="26">
    <w:abstractNumId w:val="57"/>
  </w:num>
  <w:num w:numId="27">
    <w:abstractNumId w:val="4"/>
  </w:num>
  <w:num w:numId="28">
    <w:abstractNumId w:val="22"/>
  </w:num>
  <w:num w:numId="29">
    <w:abstractNumId w:val="39"/>
  </w:num>
  <w:num w:numId="30">
    <w:abstractNumId w:val="12"/>
  </w:num>
  <w:num w:numId="31">
    <w:abstractNumId w:val="23"/>
  </w:num>
  <w:num w:numId="32">
    <w:abstractNumId w:val="21"/>
  </w:num>
  <w:num w:numId="33">
    <w:abstractNumId w:val="54"/>
  </w:num>
  <w:num w:numId="34">
    <w:abstractNumId w:val="48"/>
  </w:num>
  <w:num w:numId="35">
    <w:abstractNumId w:val="42"/>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51"/>
  </w:num>
  <w:num w:numId="47">
    <w:abstractNumId w:val="34"/>
  </w:num>
  <w:num w:numId="48">
    <w:abstractNumId w:val="31"/>
  </w:num>
  <w:num w:numId="49">
    <w:abstractNumId w:val="1"/>
  </w:num>
  <w:num w:numId="50">
    <w:abstractNumId w:val="25"/>
  </w:num>
  <w:num w:numId="51">
    <w:abstractNumId w:val="0"/>
  </w:num>
  <w:num w:numId="52">
    <w:abstractNumId w:val="55"/>
  </w:num>
  <w:num w:numId="53">
    <w:abstractNumId w:val="35"/>
  </w:num>
  <w:num w:numId="54">
    <w:abstractNumId w:val="49"/>
  </w:num>
  <w:num w:numId="55">
    <w:abstractNumId w:val="8"/>
  </w:num>
  <w:num w:numId="56">
    <w:abstractNumId w:val="7"/>
  </w:num>
  <w:num w:numId="57">
    <w:abstractNumId w:val="29"/>
  </w:num>
  <w:num w:numId="58">
    <w:abstractNumId w:val="6"/>
  </w:num>
  <w:num w:numId="59">
    <w:abstractNumId w:val="10"/>
  </w:num>
  <w:num w:numId="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num>
  <w:num w:numId="62">
    <w:abstractNumId w:val="58"/>
  </w:num>
  <w:num w:numId="63">
    <w:abstractNumId w:val="26"/>
  </w:num>
  <w:num w:numId="64">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00017"/>
    <w:rsid w:val="00000531"/>
    <w:rsid w:val="00001A8C"/>
    <w:rsid w:val="000055AE"/>
    <w:rsid w:val="00005A07"/>
    <w:rsid w:val="00005FFD"/>
    <w:rsid w:val="00007921"/>
    <w:rsid w:val="00013955"/>
    <w:rsid w:val="0001727E"/>
    <w:rsid w:val="0002363D"/>
    <w:rsid w:val="00025680"/>
    <w:rsid w:val="000302E0"/>
    <w:rsid w:val="0003213C"/>
    <w:rsid w:val="00035B0C"/>
    <w:rsid w:val="00036CE0"/>
    <w:rsid w:val="00044520"/>
    <w:rsid w:val="000447B7"/>
    <w:rsid w:val="00045511"/>
    <w:rsid w:val="00045FC7"/>
    <w:rsid w:val="0004717C"/>
    <w:rsid w:val="00052014"/>
    <w:rsid w:val="00053E9C"/>
    <w:rsid w:val="00061FFE"/>
    <w:rsid w:val="0006290A"/>
    <w:rsid w:val="000641C1"/>
    <w:rsid w:val="000724C5"/>
    <w:rsid w:val="0007743B"/>
    <w:rsid w:val="00081289"/>
    <w:rsid w:val="00085200"/>
    <w:rsid w:val="00085240"/>
    <w:rsid w:val="00094AFD"/>
    <w:rsid w:val="00095F70"/>
    <w:rsid w:val="000963FE"/>
    <w:rsid w:val="00097664"/>
    <w:rsid w:val="0009786B"/>
    <w:rsid w:val="000A2369"/>
    <w:rsid w:val="000A79A1"/>
    <w:rsid w:val="000B1F95"/>
    <w:rsid w:val="000B2FA3"/>
    <w:rsid w:val="000B3543"/>
    <w:rsid w:val="000B4BB5"/>
    <w:rsid w:val="000B504A"/>
    <w:rsid w:val="000C040F"/>
    <w:rsid w:val="000C22F8"/>
    <w:rsid w:val="000C25BE"/>
    <w:rsid w:val="000C2DF4"/>
    <w:rsid w:val="000C349C"/>
    <w:rsid w:val="000C5599"/>
    <w:rsid w:val="000C5B15"/>
    <w:rsid w:val="000C5CF9"/>
    <w:rsid w:val="000C7297"/>
    <w:rsid w:val="000C75B4"/>
    <w:rsid w:val="000D12A9"/>
    <w:rsid w:val="000D1C8A"/>
    <w:rsid w:val="000D244B"/>
    <w:rsid w:val="000D2F38"/>
    <w:rsid w:val="000D368B"/>
    <w:rsid w:val="000D383A"/>
    <w:rsid w:val="000D6763"/>
    <w:rsid w:val="000D70C4"/>
    <w:rsid w:val="000E3068"/>
    <w:rsid w:val="000E33E4"/>
    <w:rsid w:val="000E64BF"/>
    <w:rsid w:val="000F0A6B"/>
    <w:rsid w:val="000F2D6A"/>
    <w:rsid w:val="00102642"/>
    <w:rsid w:val="0011026C"/>
    <w:rsid w:val="00110923"/>
    <w:rsid w:val="00110925"/>
    <w:rsid w:val="00112658"/>
    <w:rsid w:val="00114B10"/>
    <w:rsid w:val="001165E6"/>
    <w:rsid w:val="001171CE"/>
    <w:rsid w:val="00117585"/>
    <w:rsid w:val="0012028E"/>
    <w:rsid w:val="001217A2"/>
    <w:rsid w:val="001303C4"/>
    <w:rsid w:val="00142326"/>
    <w:rsid w:val="00143529"/>
    <w:rsid w:val="00144009"/>
    <w:rsid w:val="00144D1F"/>
    <w:rsid w:val="00146EC8"/>
    <w:rsid w:val="001470DA"/>
    <w:rsid w:val="0014770C"/>
    <w:rsid w:val="00150C4C"/>
    <w:rsid w:val="0015197A"/>
    <w:rsid w:val="00154FFD"/>
    <w:rsid w:val="00155CDB"/>
    <w:rsid w:val="00156834"/>
    <w:rsid w:val="00156856"/>
    <w:rsid w:val="00160147"/>
    <w:rsid w:val="0016326C"/>
    <w:rsid w:val="00171EAB"/>
    <w:rsid w:val="0017480B"/>
    <w:rsid w:val="001753B0"/>
    <w:rsid w:val="001759F2"/>
    <w:rsid w:val="0018103A"/>
    <w:rsid w:val="00181392"/>
    <w:rsid w:val="00181619"/>
    <w:rsid w:val="001823C8"/>
    <w:rsid w:val="001832D9"/>
    <w:rsid w:val="00184321"/>
    <w:rsid w:val="00185136"/>
    <w:rsid w:val="00185CF4"/>
    <w:rsid w:val="00186E89"/>
    <w:rsid w:val="001909B9"/>
    <w:rsid w:val="001911BD"/>
    <w:rsid w:val="00193A96"/>
    <w:rsid w:val="00194DC1"/>
    <w:rsid w:val="00197F65"/>
    <w:rsid w:val="001A193F"/>
    <w:rsid w:val="001A4F4F"/>
    <w:rsid w:val="001A5747"/>
    <w:rsid w:val="001A73B0"/>
    <w:rsid w:val="001B019D"/>
    <w:rsid w:val="001B4168"/>
    <w:rsid w:val="001C29FB"/>
    <w:rsid w:val="001C3CA4"/>
    <w:rsid w:val="001C7283"/>
    <w:rsid w:val="001C75B9"/>
    <w:rsid w:val="001D1484"/>
    <w:rsid w:val="001D1F88"/>
    <w:rsid w:val="001D4780"/>
    <w:rsid w:val="001E1B9C"/>
    <w:rsid w:val="001E332C"/>
    <w:rsid w:val="001E5A95"/>
    <w:rsid w:val="001F5399"/>
    <w:rsid w:val="001F76ED"/>
    <w:rsid w:val="00203704"/>
    <w:rsid w:val="002041B9"/>
    <w:rsid w:val="002047A3"/>
    <w:rsid w:val="00205D05"/>
    <w:rsid w:val="00211268"/>
    <w:rsid w:val="00212ED0"/>
    <w:rsid w:val="00213AC0"/>
    <w:rsid w:val="002143B8"/>
    <w:rsid w:val="00215633"/>
    <w:rsid w:val="00217764"/>
    <w:rsid w:val="002200E5"/>
    <w:rsid w:val="00220FB1"/>
    <w:rsid w:val="00227FCE"/>
    <w:rsid w:val="00231278"/>
    <w:rsid w:val="00232337"/>
    <w:rsid w:val="00236510"/>
    <w:rsid w:val="00236A0A"/>
    <w:rsid w:val="00237382"/>
    <w:rsid w:val="00240AD5"/>
    <w:rsid w:val="0024251F"/>
    <w:rsid w:val="00243F6E"/>
    <w:rsid w:val="002446B4"/>
    <w:rsid w:val="00245847"/>
    <w:rsid w:val="00246BF5"/>
    <w:rsid w:val="002515E3"/>
    <w:rsid w:val="002516BA"/>
    <w:rsid w:val="00251800"/>
    <w:rsid w:val="002523F6"/>
    <w:rsid w:val="0025362C"/>
    <w:rsid w:val="002538A7"/>
    <w:rsid w:val="002619EF"/>
    <w:rsid w:val="00261D54"/>
    <w:rsid w:val="00263D1F"/>
    <w:rsid w:val="002640FB"/>
    <w:rsid w:val="00272563"/>
    <w:rsid w:val="00280498"/>
    <w:rsid w:val="0028184A"/>
    <w:rsid w:val="002821F8"/>
    <w:rsid w:val="00283916"/>
    <w:rsid w:val="0028772A"/>
    <w:rsid w:val="00292613"/>
    <w:rsid w:val="0029358C"/>
    <w:rsid w:val="002A07AA"/>
    <w:rsid w:val="002A1517"/>
    <w:rsid w:val="002A517E"/>
    <w:rsid w:val="002A587F"/>
    <w:rsid w:val="002A73E8"/>
    <w:rsid w:val="002A7989"/>
    <w:rsid w:val="002B064D"/>
    <w:rsid w:val="002B5507"/>
    <w:rsid w:val="002B7FB8"/>
    <w:rsid w:val="002C1D90"/>
    <w:rsid w:val="002C2F97"/>
    <w:rsid w:val="002C339A"/>
    <w:rsid w:val="002C3CD6"/>
    <w:rsid w:val="002C77BB"/>
    <w:rsid w:val="002D020A"/>
    <w:rsid w:val="002D0EB2"/>
    <w:rsid w:val="002D0EF7"/>
    <w:rsid w:val="002E1562"/>
    <w:rsid w:val="002E27D6"/>
    <w:rsid w:val="002E3034"/>
    <w:rsid w:val="002E324D"/>
    <w:rsid w:val="002E6985"/>
    <w:rsid w:val="002E6A34"/>
    <w:rsid w:val="002E6FC6"/>
    <w:rsid w:val="002F00D2"/>
    <w:rsid w:val="002F1851"/>
    <w:rsid w:val="002F1EDB"/>
    <w:rsid w:val="002F3DAA"/>
    <w:rsid w:val="002F4F24"/>
    <w:rsid w:val="002F70B5"/>
    <w:rsid w:val="0030036F"/>
    <w:rsid w:val="00302A8E"/>
    <w:rsid w:val="00315E49"/>
    <w:rsid w:val="00322BB7"/>
    <w:rsid w:val="0032373A"/>
    <w:rsid w:val="00325E3E"/>
    <w:rsid w:val="00331241"/>
    <w:rsid w:val="00331913"/>
    <w:rsid w:val="00332216"/>
    <w:rsid w:val="00333D76"/>
    <w:rsid w:val="00335416"/>
    <w:rsid w:val="0033734C"/>
    <w:rsid w:val="00340A32"/>
    <w:rsid w:val="00340CE6"/>
    <w:rsid w:val="003410AF"/>
    <w:rsid w:val="003427A5"/>
    <w:rsid w:val="00342ECB"/>
    <w:rsid w:val="00345BFA"/>
    <w:rsid w:val="00346744"/>
    <w:rsid w:val="00352E90"/>
    <w:rsid w:val="0035353A"/>
    <w:rsid w:val="00354AE8"/>
    <w:rsid w:val="00361125"/>
    <w:rsid w:val="00361EDC"/>
    <w:rsid w:val="00362641"/>
    <w:rsid w:val="00367C18"/>
    <w:rsid w:val="00367EB8"/>
    <w:rsid w:val="003744EB"/>
    <w:rsid w:val="00381BC8"/>
    <w:rsid w:val="00390CB5"/>
    <w:rsid w:val="003971F6"/>
    <w:rsid w:val="00397DFA"/>
    <w:rsid w:val="003A03CC"/>
    <w:rsid w:val="003A34FA"/>
    <w:rsid w:val="003A5772"/>
    <w:rsid w:val="003A589F"/>
    <w:rsid w:val="003A6C81"/>
    <w:rsid w:val="003A761B"/>
    <w:rsid w:val="003B0F7E"/>
    <w:rsid w:val="003B5C55"/>
    <w:rsid w:val="003B7375"/>
    <w:rsid w:val="003B7C0D"/>
    <w:rsid w:val="003C3D52"/>
    <w:rsid w:val="003E4BC3"/>
    <w:rsid w:val="003E5055"/>
    <w:rsid w:val="003E6096"/>
    <w:rsid w:val="003E620B"/>
    <w:rsid w:val="003F445B"/>
    <w:rsid w:val="003F4E26"/>
    <w:rsid w:val="00401EC2"/>
    <w:rsid w:val="004025FB"/>
    <w:rsid w:val="004028CD"/>
    <w:rsid w:val="00405246"/>
    <w:rsid w:val="00405489"/>
    <w:rsid w:val="004058E3"/>
    <w:rsid w:val="00410BDF"/>
    <w:rsid w:val="00412500"/>
    <w:rsid w:val="004144F0"/>
    <w:rsid w:val="00415B58"/>
    <w:rsid w:val="00431B44"/>
    <w:rsid w:val="004326BB"/>
    <w:rsid w:val="0043292F"/>
    <w:rsid w:val="00435F92"/>
    <w:rsid w:val="00437B60"/>
    <w:rsid w:val="00441AEA"/>
    <w:rsid w:val="004458C4"/>
    <w:rsid w:val="004473B7"/>
    <w:rsid w:val="004516F1"/>
    <w:rsid w:val="00451C5F"/>
    <w:rsid w:val="00455012"/>
    <w:rsid w:val="00456E07"/>
    <w:rsid w:val="00461E18"/>
    <w:rsid w:val="00467AF2"/>
    <w:rsid w:val="00471752"/>
    <w:rsid w:val="004726CE"/>
    <w:rsid w:val="00476821"/>
    <w:rsid w:val="00481401"/>
    <w:rsid w:val="00482946"/>
    <w:rsid w:val="004863F4"/>
    <w:rsid w:val="00491460"/>
    <w:rsid w:val="004914DF"/>
    <w:rsid w:val="00492871"/>
    <w:rsid w:val="004941AB"/>
    <w:rsid w:val="0049429A"/>
    <w:rsid w:val="004A2971"/>
    <w:rsid w:val="004A4B61"/>
    <w:rsid w:val="004A5B9A"/>
    <w:rsid w:val="004A66F1"/>
    <w:rsid w:val="004B5709"/>
    <w:rsid w:val="004B5B0E"/>
    <w:rsid w:val="004B7A2B"/>
    <w:rsid w:val="004C0EF7"/>
    <w:rsid w:val="004C59FB"/>
    <w:rsid w:val="004C5B30"/>
    <w:rsid w:val="004C6E6A"/>
    <w:rsid w:val="004C775E"/>
    <w:rsid w:val="004D241D"/>
    <w:rsid w:val="004D4104"/>
    <w:rsid w:val="004E03DF"/>
    <w:rsid w:val="004E0668"/>
    <w:rsid w:val="004E5249"/>
    <w:rsid w:val="004E72E6"/>
    <w:rsid w:val="004F0988"/>
    <w:rsid w:val="004F1CE4"/>
    <w:rsid w:val="004F343F"/>
    <w:rsid w:val="004F4BBA"/>
    <w:rsid w:val="004F5BF4"/>
    <w:rsid w:val="00503868"/>
    <w:rsid w:val="00504F5C"/>
    <w:rsid w:val="00507A2F"/>
    <w:rsid w:val="00511DB8"/>
    <w:rsid w:val="005168CC"/>
    <w:rsid w:val="00516AE8"/>
    <w:rsid w:val="00516E43"/>
    <w:rsid w:val="00517C55"/>
    <w:rsid w:val="005230BB"/>
    <w:rsid w:val="005233AA"/>
    <w:rsid w:val="00524E13"/>
    <w:rsid w:val="00525B71"/>
    <w:rsid w:val="00526034"/>
    <w:rsid w:val="005313FA"/>
    <w:rsid w:val="00531617"/>
    <w:rsid w:val="005331C0"/>
    <w:rsid w:val="0053386E"/>
    <w:rsid w:val="00533D50"/>
    <w:rsid w:val="00535AD2"/>
    <w:rsid w:val="00535E29"/>
    <w:rsid w:val="0053659B"/>
    <w:rsid w:val="0053685D"/>
    <w:rsid w:val="00542993"/>
    <w:rsid w:val="005462EB"/>
    <w:rsid w:val="00546388"/>
    <w:rsid w:val="00546E14"/>
    <w:rsid w:val="00551B0F"/>
    <w:rsid w:val="005573FD"/>
    <w:rsid w:val="00564AD2"/>
    <w:rsid w:val="005659FB"/>
    <w:rsid w:val="00575C61"/>
    <w:rsid w:val="005761AD"/>
    <w:rsid w:val="00581A06"/>
    <w:rsid w:val="005840C9"/>
    <w:rsid w:val="005844AE"/>
    <w:rsid w:val="0058488D"/>
    <w:rsid w:val="00584B23"/>
    <w:rsid w:val="00585AB7"/>
    <w:rsid w:val="005905AB"/>
    <w:rsid w:val="005911B2"/>
    <w:rsid w:val="00594DDB"/>
    <w:rsid w:val="005A075E"/>
    <w:rsid w:val="005A27CA"/>
    <w:rsid w:val="005A3C7A"/>
    <w:rsid w:val="005A3D89"/>
    <w:rsid w:val="005A4731"/>
    <w:rsid w:val="005A49DB"/>
    <w:rsid w:val="005A6E6C"/>
    <w:rsid w:val="005A71F8"/>
    <w:rsid w:val="005B06EF"/>
    <w:rsid w:val="005B2123"/>
    <w:rsid w:val="005B2D3E"/>
    <w:rsid w:val="005B33E5"/>
    <w:rsid w:val="005B3E3C"/>
    <w:rsid w:val="005B5B64"/>
    <w:rsid w:val="005B6446"/>
    <w:rsid w:val="005C0478"/>
    <w:rsid w:val="005C179F"/>
    <w:rsid w:val="005C39EB"/>
    <w:rsid w:val="005C3EC1"/>
    <w:rsid w:val="005C3FC1"/>
    <w:rsid w:val="005C4E47"/>
    <w:rsid w:val="005D3499"/>
    <w:rsid w:val="005D3E74"/>
    <w:rsid w:val="005E0348"/>
    <w:rsid w:val="005E104A"/>
    <w:rsid w:val="005E2583"/>
    <w:rsid w:val="005E4C97"/>
    <w:rsid w:val="005F36B1"/>
    <w:rsid w:val="006016E3"/>
    <w:rsid w:val="0060273E"/>
    <w:rsid w:val="00605F5F"/>
    <w:rsid w:val="00606E7A"/>
    <w:rsid w:val="006079FC"/>
    <w:rsid w:val="00611032"/>
    <w:rsid w:val="006137A6"/>
    <w:rsid w:val="006141E3"/>
    <w:rsid w:val="00614F94"/>
    <w:rsid w:val="0061574A"/>
    <w:rsid w:val="0061684E"/>
    <w:rsid w:val="006168E9"/>
    <w:rsid w:val="0061714E"/>
    <w:rsid w:val="00617A92"/>
    <w:rsid w:val="00620D12"/>
    <w:rsid w:val="00621761"/>
    <w:rsid w:val="00622E28"/>
    <w:rsid w:val="00623EE6"/>
    <w:rsid w:val="00624559"/>
    <w:rsid w:val="006256D9"/>
    <w:rsid w:val="00625722"/>
    <w:rsid w:val="00634A60"/>
    <w:rsid w:val="006446F8"/>
    <w:rsid w:val="006465AF"/>
    <w:rsid w:val="00650633"/>
    <w:rsid w:val="00650BCF"/>
    <w:rsid w:val="00653AFF"/>
    <w:rsid w:val="00654427"/>
    <w:rsid w:val="0065579D"/>
    <w:rsid w:val="006619A6"/>
    <w:rsid w:val="00662CE0"/>
    <w:rsid w:val="0066466E"/>
    <w:rsid w:val="006658DD"/>
    <w:rsid w:val="00670D48"/>
    <w:rsid w:val="00672783"/>
    <w:rsid w:val="00675470"/>
    <w:rsid w:val="00675CF5"/>
    <w:rsid w:val="00676072"/>
    <w:rsid w:val="00677313"/>
    <w:rsid w:val="00680359"/>
    <w:rsid w:val="0068138D"/>
    <w:rsid w:val="00681A0C"/>
    <w:rsid w:val="006820A1"/>
    <w:rsid w:val="006821D7"/>
    <w:rsid w:val="006911D9"/>
    <w:rsid w:val="0069120C"/>
    <w:rsid w:val="00692D2F"/>
    <w:rsid w:val="00692F73"/>
    <w:rsid w:val="006934B7"/>
    <w:rsid w:val="00694BD4"/>
    <w:rsid w:val="00696218"/>
    <w:rsid w:val="006A1A07"/>
    <w:rsid w:val="006A6FF3"/>
    <w:rsid w:val="006A7415"/>
    <w:rsid w:val="006B0673"/>
    <w:rsid w:val="006B546A"/>
    <w:rsid w:val="006B5777"/>
    <w:rsid w:val="006B628F"/>
    <w:rsid w:val="006C0BB7"/>
    <w:rsid w:val="006C23F7"/>
    <w:rsid w:val="006C27DA"/>
    <w:rsid w:val="006C31E0"/>
    <w:rsid w:val="006C3783"/>
    <w:rsid w:val="006C74A3"/>
    <w:rsid w:val="006D305A"/>
    <w:rsid w:val="006D47C4"/>
    <w:rsid w:val="006D630E"/>
    <w:rsid w:val="006D6ACE"/>
    <w:rsid w:val="006D7D89"/>
    <w:rsid w:val="006E23DA"/>
    <w:rsid w:val="006E39F8"/>
    <w:rsid w:val="006E66EF"/>
    <w:rsid w:val="006E6E1E"/>
    <w:rsid w:val="006E74E6"/>
    <w:rsid w:val="006E7ACA"/>
    <w:rsid w:val="006F1339"/>
    <w:rsid w:val="006F1415"/>
    <w:rsid w:val="006F36A4"/>
    <w:rsid w:val="006F545A"/>
    <w:rsid w:val="006F795B"/>
    <w:rsid w:val="00700DF1"/>
    <w:rsid w:val="00701713"/>
    <w:rsid w:val="00703D0E"/>
    <w:rsid w:val="00705028"/>
    <w:rsid w:val="007057D4"/>
    <w:rsid w:val="0070768B"/>
    <w:rsid w:val="00707D0F"/>
    <w:rsid w:val="007175FE"/>
    <w:rsid w:val="007201A5"/>
    <w:rsid w:val="007212D6"/>
    <w:rsid w:val="00726459"/>
    <w:rsid w:val="00727051"/>
    <w:rsid w:val="00731D62"/>
    <w:rsid w:val="007343B4"/>
    <w:rsid w:val="00734C1D"/>
    <w:rsid w:val="0073522A"/>
    <w:rsid w:val="0073634B"/>
    <w:rsid w:val="00736D09"/>
    <w:rsid w:val="007441BF"/>
    <w:rsid w:val="00745EAC"/>
    <w:rsid w:val="00746E67"/>
    <w:rsid w:val="007470C7"/>
    <w:rsid w:val="007521CC"/>
    <w:rsid w:val="0075403B"/>
    <w:rsid w:val="0075533D"/>
    <w:rsid w:val="007567B9"/>
    <w:rsid w:val="0075717A"/>
    <w:rsid w:val="007579B0"/>
    <w:rsid w:val="00761AC1"/>
    <w:rsid w:val="00763247"/>
    <w:rsid w:val="00765972"/>
    <w:rsid w:val="00770C6D"/>
    <w:rsid w:val="00770F15"/>
    <w:rsid w:val="00771074"/>
    <w:rsid w:val="007712CC"/>
    <w:rsid w:val="0077209B"/>
    <w:rsid w:val="00772C22"/>
    <w:rsid w:val="00773C91"/>
    <w:rsid w:val="00774751"/>
    <w:rsid w:val="007754D4"/>
    <w:rsid w:val="007769CD"/>
    <w:rsid w:val="00780029"/>
    <w:rsid w:val="0078032B"/>
    <w:rsid w:val="00781566"/>
    <w:rsid w:val="007847D4"/>
    <w:rsid w:val="00787469"/>
    <w:rsid w:val="007904D3"/>
    <w:rsid w:val="0079073F"/>
    <w:rsid w:val="00790C43"/>
    <w:rsid w:val="007935F2"/>
    <w:rsid w:val="007976E7"/>
    <w:rsid w:val="007A1320"/>
    <w:rsid w:val="007A1909"/>
    <w:rsid w:val="007A43B4"/>
    <w:rsid w:val="007B0EC6"/>
    <w:rsid w:val="007B1D54"/>
    <w:rsid w:val="007B2105"/>
    <w:rsid w:val="007B2344"/>
    <w:rsid w:val="007B54B0"/>
    <w:rsid w:val="007B6A0C"/>
    <w:rsid w:val="007B7252"/>
    <w:rsid w:val="007C2DFE"/>
    <w:rsid w:val="007D0FA6"/>
    <w:rsid w:val="007D630D"/>
    <w:rsid w:val="007E5C64"/>
    <w:rsid w:val="007F0152"/>
    <w:rsid w:val="007F15E6"/>
    <w:rsid w:val="007F491E"/>
    <w:rsid w:val="007F57CB"/>
    <w:rsid w:val="007F5EFD"/>
    <w:rsid w:val="00800F66"/>
    <w:rsid w:val="0080148A"/>
    <w:rsid w:val="00802701"/>
    <w:rsid w:val="008038A2"/>
    <w:rsid w:val="00806F8E"/>
    <w:rsid w:val="0080761C"/>
    <w:rsid w:val="00811FE8"/>
    <w:rsid w:val="00815064"/>
    <w:rsid w:val="008150D8"/>
    <w:rsid w:val="008179D6"/>
    <w:rsid w:val="00823735"/>
    <w:rsid w:val="008239C3"/>
    <w:rsid w:val="00823BF8"/>
    <w:rsid w:val="00826D7D"/>
    <w:rsid w:val="008352CB"/>
    <w:rsid w:val="0083751C"/>
    <w:rsid w:val="00845594"/>
    <w:rsid w:val="0085140E"/>
    <w:rsid w:val="00852279"/>
    <w:rsid w:val="00855A4E"/>
    <w:rsid w:val="00857478"/>
    <w:rsid w:val="008576CD"/>
    <w:rsid w:val="008604D7"/>
    <w:rsid w:val="0086436B"/>
    <w:rsid w:val="008676B0"/>
    <w:rsid w:val="00867CEF"/>
    <w:rsid w:val="0087117D"/>
    <w:rsid w:val="00874689"/>
    <w:rsid w:val="008750C2"/>
    <w:rsid w:val="00882224"/>
    <w:rsid w:val="008868FE"/>
    <w:rsid w:val="008877F4"/>
    <w:rsid w:val="0089254A"/>
    <w:rsid w:val="00894B97"/>
    <w:rsid w:val="00896D17"/>
    <w:rsid w:val="00897CD9"/>
    <w:rsid w:val="008A04F5"/>
    <w:rsid w:val="008A0EE0"/>
    <w:rsid w:val="008A126B"/>
    <w:rsid w:val="008A2B27"/>
    <w:rsid w:val="008A4267"/>
    <w:rsid w:val="008A680E"/>
    <w:rsid w:val="008A6D5A"/>
    <w:rsid w:val="008B018D"/>
    <w:rsid w:val="008B0749"/>
    <w:rsid w:val="008B327D"/>
    <w:rsid w:val="008B3B7D"/>
    <w:rsid w:val="008B3DA8"/>
    <w:rsid w:val="008B5E11"/>
    <w:rsid w:val="008B7779"/>
    <w:rsid w:val="008C1316"/>
    <w:rsid w:val="008C2E8A"/>
    <w:rsid w:val="008C7E6B"/>
    <w:rsid w:val="008D0771"/>
    <w:rsid w:val="008D3F8F"/>
    <w:rsid w:val="008D4AC7"/>
    <w:rsid w:val="008D58E7"/>
    <w:rsid w:val="008D6365"/>
    <w:rsid w:val="008D64BD"/>
    <w:rsid w:val="008E2E7E"/>
    <w:rsid w:val="008E3144"/>
    <w:rsid w:val="008E44CB"/>
    <w:rsid w:val="008E4888"/>
    <w:rsid w:val="008E4F67"/>
    <w:rsid w:val="008E53CD"/>
    <w:rsid w:val="008E6ACE"/>
    <w:rsid w:val="008E746E"/>
    <w:rsid w:val="008F094B"/>
    <w:rsid w:val="008F651B"/>
    <w:rsid w:val="008F70D8"/>
    <w:rsid w:val="00902834"/>
    <w:rsid w:val="0090448C"/>
    <w:rsid w:val="009045C6"/>
    <w:rsid w:val="00906569"/>
    <w:rsid w:val="00906C0A"/>
    <w:rsid w:val="00910A4E"/>
    <w:rsid w:val="009116CF"/>
    <w:rsid w:val="00912B88"/>
    <w:rsid w:val="009131A4"/>
    <w:rsid w:val="00913DDF"/>
    <w:rsid w:val="00921F5B"/>
    <w:rsid w:val="00927D44"/>
    <w:rsid w:val="009314B3"/>
    <w:rsid w:val="00933D2E"/>
    <w:rsid w:val="0093792F"/>
    <w:rsid w:val="00940A71"/>
    <w:rsid w:val="00941F88"/>
    <w:rsid w:val="00942E7A"/>
    <w:rsid w:val="00945EF0"/>
    <w:rsid w:val="00946E6E"/>
    <w:rsid w:val="0094704E"/>
    <w:rsid w:val="009510ED"/>
    <w:rsid w:val="0095166E"/>
    <w:rsid w:val="00951AF8"/>
    <w:rsid w:val="00955004"/>
    <w:rsid w:val="0096249E"/>
    <w:rsid w:val="00962811"/>
    <w:rsid w:val="00964BA8"/>
    <w:rsid w:val="00965008"/>
    <w:rsid w:val="0096694A"/>
    <w:rsid w:val="00967228"/>
    <w:rsid w:val="009672E7"/>
    <w:rsid w:val="0097315C"/>
    <w:rsid w:val="00975CA3"/>
    <w:rsid w:val="009813FB"/>
    <w:rsid w:val="00984B81"/>
    <w:rsid w:val="009857A5"/>
    <w:rsid w:val="00986516"/>
    <w:rsid w:val="00992804"/>
    <w:rsid w:val="0099769D"/>
    <w:rsid w:val="009A591A"/>
    <w:rsid w:val="009A6932"/>
    <w:rsid w:val="009A7B9E"/>
    <w:rsid w:val="009B0E9C"/>
    <w:rsid w:val="009B13E8"/>
    <w:rsid w:val="009B18BE"/>
    <w:rsid w:val="009B206D"/>
    <w:rsid w:val="009B3C7E"/>
    <w:rsid w:val="009B4729"/>
    <w:rsid w:val="009B4F66"/>
    <w:rsid w:val="009B51DB"/>
    <w:rsid w:val="009B5A1D"/>
    <w:rsid w:val="009B7B88"/>
    <w:rsid w:val="009C1624"/>
    <w:rsid w:val="009C3118"/>
    <w:rsid w:val="009C4F22"/>
    <w:rsid w:val="009C5942"/>
    <w:rsid w:val="009C59B8"/>
    <w:rsid w:val="009C7603"/>
    <w:rsid w:val="009C7D8C"/>
    <w:rsid w:val="009C7FF6"/>
    <w:rsid w:val="009D0319"/>
    <w:rsid w:val="009D6E3B"/>
    <w:rsid w:val="009E2BDF"/>
    <w:rsid w:val="009E3676"/>
    <w:rsid w:val="009E475A"/>
    <w:rsid w:val="009E56F4"/>
    <w:rsid w:val="009E5C21"/>
    <w:rsid w:val="009E787F"/>
    <w:rsid w:val="009F05D8"/>
    <w:rsid w:val="009F08A0"/>
    <w:rsid w:val="009F2664"/>
    <w:rsid w:val="009F354F"/>
    <w:rsid w:val="009F53CE"/>
    <w:rsid w:val="009F600E"/>
    <w:rsid w:val="009F6400"/>
    <w:rsid w:val="009F7DF4"/>
    <w:rsid w:val="00A00087"/>
    <w:rsid w:val="00A003F0"/>
    <w:rsid w:val="00A014D6"/>
    <w:rsid w:val="00A017FF"/>
    <w:rsid w:val="00A03417"/>
    <w:rsid w:val="00A037DD"/>
    <w:rsid w:val="00A04CCE"/>
    <w:rsid w:val="00A058F2"/>
    <w:rsid w:val="00A13610"/>
    <w:rsid w:val="00A17EF1"/>
    <w:rsid w:val="00A21890"/>
    <w:rsid w:val="00A257D0"/>
    <w:rsid w:val="00A2673C"/>
    <w:rsid w:val="00A30503"/>
    <w:rsid w:val="00A33A1A"/>
    <w:rsid w:val="00A3473B"/>
    <w:rsid w:val="00A434A2"/>
    <w:rsid w:val="00A43CDA"/>
    <w:rsid w:val="00A454EA"/>
    <w:rsid w:val="00A5052C"/>
    <w:rsid w:val="00A51501"/>
    <w:rsid w:val="00A5483D"/>
    <w:rsid w:val="00A557AC"/>
    <w:rsid w:val="00A6061C"/>
    <w:rsid w:val="00A61B00"/>
    <w:rsid w:val="00A66AD6"/>
    <w:rsid w:val="00A674FB"/>
    <w:rsid w:val="00A67D05"/>
    <w:rsid w:val="00A7291A"/>
    <w:rsid w:val="00A75A77"/>
    <w:rsid w:val="00A8107B"/>
    <w:rsid w:val="00A8383C"/>
    <w:rsid w:val="00A84E59"/>
    <w:rsid w:val="00A85311"/>
    <w:rsid w:val="00A91CA5"/>
    <w:rsid w:val="00A941AF"/>
    <w:rsid w:val="00A975A3"/>
    <w:rsid w:val="00A97883"/>
    <w:rsid w:val="00AA0C3F"/>
    <w:rsid w:val="00AA12BA"/>
    <w:rsid w:val="00AA132D"/>
    <w:rsid w:val="00AA219B"/>
    <w:rsid w:val="00AA5F7C"/>
    <w:rsid w:val="00AB04AB"/>
    <w:rsid w:val="00AB26FD"/>
    <w:rsid w:val="00AB2DE4"/>
    <w:rsid w:val="00AB4E7D"/>
    <w:rsid w:val="00AB5059"/>
    <w:rsid w:val="00AB5786"/>
    <w:rsid w:val="00AB71D2"/>
    <w:rsid w:val="00AC1C51"/>
    <w:rsid w:val="00AC266F"/>
    <w:rsid w:val="00AC3814"/>
    <w:rsid w:val="00AC50A3"/>
    <w:rsid w:val="00AC55C4"/>
    <w:rsid w:val="00AC5707"/>
    <w:rsid w:val="00AC6AE5"/>
    <w:rsid w:val="00AD29F6"/>
    <w:rsid w:val="00AD3155"/>
    <w:rsid w:val="00AD422C"/>
    <w:rsid w:val="00AD4E7B"/>
    <w:rsid w:val="00AE06FB"/>
    <w:rsid w:val="00AE0D75"/>
    <w:rsid w:val="00AE11DF"/>
    <w:rsid w:val="00AE1E82"/>
    <w:rsid w:val="00AE5B3B"/>
    <w:rsid w:val="00AF0562"/>
    <w:rsid w:val="00AF083B"/>
    <w:rsid w:val="00B02568"/>
    <w:rsid w:val="00B045A3"/>
    <w:rsid w:val="00B04DA0"/>
    <w:rsid w:val="00B052CD"/>
    <w:rsid w:val="00B076FF"/>
    <w:rsid w:val="00B1585C"/>
    <w:rsid w:val="00B235C2"/>
    <w:rsid w:val="00B26E1A"/>
    <w:rsid w:val="00B274C8"/>
    <w:rsid w:val="00B27885"/>
    <w:rsid w:val="00B27ADA"/>
    <w:rsid w:val="00B366EA"/>
    <w:rsid w:val="00B40BBD"/>
    <w:rsid w:val="00B418C4"/>
    <w:rsid w:val="00B45DC7"/>
    <w:rsid w:val="00B46460"/>
    <w:rsid w:val="00B466A4"/>
    <w:rsid w:val="00B46735"/>
    <w:rsid w:val="00B46C2E"/>
    <w:rsid w:val="00B50D5E"/>
    <w:rsid w:val="00B51AA2"/>
    <w:rsid w:val="00B545E8"/>
    <w:rsid w:val="00B57BAA"/>
    <w:rsid w:val="00B6281A"/>
    <w:rsid w:val="00B63A0A"/>
    <w:rsid w:val="00B76764"/>
    <w:rsid w:val="00B76EED"/>
    <w:rsid w:val="00B774BA"/>
    <w:rsid w:val="00B77B83"/>
    <w:rsid w:val="00B77F10"/>
    <w:rsid w:val="00B806C9"/>
    <w:rsid w:val="00B8244E"/>
    <w:rsid w:val="00B866D5"/>
    <w:rsid w:val="00B9132C"/>
    <w:rsid w:val="00B91A88"/>
    <w:rsid w:val="00B9481B"/>
    <w:rsid w:val="00BA0CF2"/>
    <w:rsid w:val="00BA3B3E"/>
    <w:rsid w:val="00BA45B8"/>
    <w:rsid w:val="00BA6A52"/>
    <w:rsid w:val="00BA7F27"/>
    <w:rsid w:val="00BB00CA"/>
    <w:rsid w:val="00BB2C81"/>
    <w:rsid w:val="00BB4648"/>
    <w:rsid w:val="00BB52A1"/>
    <w:rsid w:val="00BB6307"/>
    <w:rsid w:val="00BB6E16"/>
    <w:rsid w:val="00BC0FD1"/>
    <w:rsid w:val="00BC53E4"/>
    <w:rsid w:val="00BD2181"/>
    <w:rsid w:val="00BD4A17"/>
    <w:rsid w:val="00BE1545"/>
    <w:rsid w:val="00BE3822"/>
    <w:rsid w:val="00BE4CB0"/>
    <w:rsid w:val="00BE5091"/>
    <w:rsid w:val="00BF3A45"/>
    <w:rsid w:val="00BF3C8F"/>
    <w:rsid w:val="00BF5367"/>
    <w:rsid w:val="00BF53BB"/>
    <w:rsid w:val="00BF6EF3"/>
    <w:rsid w:val="00BF7D5E"/>
    <w:rsid w:val="00C04CEF"/>
    <w:rsid w:val="00C0623A"/>
    <w:rsid w:val="00C076D8"/>
    <w:rsid w:val="00C07817"/>
    <w:rsid w:val="00C11AA2"/>
    <w:rsid w:val="00C14366"/>
    <w:rsid w:val="00C14BF2"/>
    <w:rsid w:val="00C154A4"/>
    <w:rsid w:val="00C16D52"/>
    <w:rsid w:val="00C16FB2"/>
    <w:rsid w:val="00C21790"/>
    <w:rsid w:val="00C21B0E"/>
    <w:rsid w:val="00C2360F"/>
    <w:rsid w:val="00C23F61"/>
    <w:rsid w:val="00C24E9C"/>
    <w:rsid w:val="00C25420"/>
    <w:rsid w:val="00C2554A"/>
    <w:rsid w:val="00C25832"/>
    <w:rsid w:val="00C26EE4"/>
    <w:rsid w:val="00C27FF1"/>
    <w:rsid w:val="00C30B86"/>
    <w:rsid w:val="00C33205"/>
    <w:rsid w:val="00C337A1"/>
    <w:rsid w:val="00C347FB"/>
    <w:rsid w:val="00C36DFA"/>
    <w:rsid w:val="00C371E8"/>
    <w:rsid w:val="00C421B3"/>
    <w:rsid w:val="00C42EA4"/>
    <w:rsid w:val="00C43C6D"/>
    <w:rsid w:val="00C447F8"/>
    <w:rsid w:val="00C4517B"/>
    <w:rsid w:val="00C5192B"/>
    <w:rsid w:val="00C51B42"/>
    <w:rsid w:val="00C54742"/>
    <w:rsid w:val="00C55135"/>
    <w:rsid w:val="00C5553A"/>
    <w:rsid w:val="00C56314"/>
    <w:rsid w:val="00C57A66"/>
    <w:rsid w:val="00C57E1C"/>
    <w:rsid w:val="00C60A2E"/>
    <w:rsid w:val="00C6166D"/>
    <w:rsid w:val="00C61CB9"/>
    <w:rsid w:val="00C620F9"/>
    <w:rsid w:val="00C631E3"/>
    <w:rsid w:val="00C63D77"/>
    <w:rsid w:val="00C642FB"/>
    <w:rsid w:val="00C65B5B"/>
    <w:rsid w:val="00C81340"/>
    <w:rsid w:val="00C86B3E"/>
    <w:rsid w:val="00C86EFA"/>
    <w:rsid w:val="00C9023E"/>
    <w:rsid w:val="00C91281"/>
    <w:rsid w:val="00C91374"/>
    <w:rsid w:val="00C91DDA"/>
    <w:rsid w:val="00C93A85"/>
    <w:rsid w:val="00C94D8F"/>
    <w:rsid w:val="00C96C5B"/>
    <w:rsid w:val="00C97A4D"/>
    <w:rsid w:val="00CA13FF"/>
    <w:rsid w:val="00CA1603"/>
    <w:rsid w:val="00CA19EF"/>
    <w:rsid w:val="00CA1FB0"/>
    <w:rsid w:val="00CA438C"/>
    <w:rsid w:val="00CA4A56"/>
    <w:rsid w:val="00CA5A38"/>
    <w:rsid w:val="00CB3F5B"/>
    <w:rsid w:val="00CD0D8B"/>
    <w:rsid w:val="00CD1982"/>
    <w:rsid w:val="00CD4363"/>
    <w:rsid w:val="00CD77D7"/>
    <w:rsid w:val="00CE01A6"/>
    <w:rsid w:val="00CE0303"/>
    <w:rsid w:val="00CE03F9"/>
    <w:rsid w:val="00CE04D0"/>
    <w:rsid w:val="00CE0BC3"/>
    <w:rsid w:val="00CE15B9"/>
    <w:rsid w:val="00CE2D42"/>
    <w:rsid w:val="00CE2E28"/>
    <w:rsid w:val="00CE32B2"/>
    <w:rsid w:val="00CE4AB3"/>
    <w:rsid w:val="00CE4B87"/>
    <w:rsid w:val="00CF076D"/>
    <w:rsid w:val="00CF13D0"/>
    <w:rsid w:val="00CF19CD"/>
    <w:rsid w:val="00CF24C1"/>
    <w:rsid w:val="00CF4850"/>
    <w:rsid w:val="00CF7421"/>
    <w:rsid w:val="00CF753B"/>
    <w:rsid w:val="00D025BA"/>
    <w:rsid w:val="00D03AD6"/>
    <w:rsid w:val="00D04B31"/>
    <w:rsid w:val="00D06B48"/>
    <w:rsid w:val="00D07064"/>
    <w:rsid w:val="00D078D4"/>
    <w:rsid w:val="00D17209"/>
    <w:rsid w:val="00D24E67"/>
    <w:rsid w:val="00D25673"/>
    <w:rsid w:val="00D25B5D"/>
    <w:rsid w:val="00D26516"/>
    <w:rsid w:val="00D279FC"/>
    <w:rsid w:val="00D348B2"/>
    <w:rsid w:val="00D41ED7"/>
    <w:rsid w:val="00D425AA"/>
    <w:rsid w:val="00D42695"/>
    <w:rsid w:val="00D475F1"/>
    <w:rsid w:val="00D5029F"/>
    <w:rsid w:val="00D51D08"/>
    <w:rsid w:val="00D52121"/>
    <w:rsid w:val="00D526A6"/>
    <w:rsid w:val="00D52BB3"/>
    <w:rsid w:val="00D5454A"/>
    <w:rsid w:val="00D55ADD"/>
    <w:rsid w:val="00D60CC8"/>
    <w:rsid w:val="00D62424"/>
    <w:rsid w:val="00D65781"/>
    <w:rsid w:val="00D6695E"/>
    <w:rsid w:val="00D67B8D"/>
    <w:rsid w:val="00D67C81"/>
    <w:rsid w:val="00D67F67"/>
    <w:rsid w:val="00D71296"/>
    <w:rsid w:val="00D71C9B"/>
    <w:rsid w:val="00D71F4D"/>
    <w:rsid w:val="00D73D56"/>
    <w:rsid w:val="00D75E82"/>
    <w:rsid w:val="00D7692D"/>
    <w:rsid w:val="00D76D0B"/>
    <w:rsid w:val="00D770F4"/>
    <w:rsid w:val="00D773CE"/>
    <w:rsid w:val="00D77CB7"/>
    <w:rsid w:val="00D80471"/>
    <w:rsid w:val="00D80C7D"/>
    <w:rsid w:val="00D82FE6"/>
    <w:rsid w:val="00D82FF9"/>
    <w:rsid w:val="00D8544F"/>
    <w:rsid w:val="00D8784D"/>
    <w:rsid w:val="00D903E6"/>
    <w:rsid w:val="00D922B4"/>
    <w:rsid w:val="00D929FF"/>
    <w:rsid w:val="00D936BB"/>
    <w:rsid w:val="00DA0FA6"/>
    <w:rsid w:val="00DA106A"/>
    <w:rsid w:val="00DA61DD"/>
    <w:rsid w:val="00DA760C"/>
    <w:rsid w:val="00DA7EB7"/>
    <w:rsid w:val="00DB151B"/>
    <w:rsid w:val="00DC0C7F"/>
    <w:rsid w:val="00DC3177"/>
    <w:rsid w:val="00DC5454"/>
    <w:rsid w:val="00DC7351"/>
    <w:rsid w:val="00DD219E"/>
    <w:rsid w:val="00DD33DF"/>
    <w:rsid w:val="00DD76D3"/>
    <w:rsid w:val="00DE1293"/>
    <w:rsid w:val="00DE27EC"/>
    <w:rsid w:val="00DE31F9"/>
    <w:rsid w:val="00DE738A"/>
    <w:rsid w:val="00DF29CD"/>
    <w:rsid w:val="00DF386E"/>
    <w:rsid w:val="00DF7751"/>
    <w:rsid w:val="00E018DE"/>
    <w:rsid w:val="00E05341"/>
    <w:rsid w:val="00E1138F"/>
    <w:rsid w:val="00E11E81"/>
    <w:rsid w:val="00E13639"/>
    <w:rsid w:val="00E14C2D"/>
    <w:rsid w:val="00E179DD"/>
    <w:rsid w:val="00E20AA0"/>
    <w:rsid w:val="00E23B7A"/>
    <w:rsid w:val="00E2505B"/>
    <w:rsid w:val="00E25FD7"/>
    <w:rsid w:val="00E2735D"/>
    <w:rsid w:val="00E27427"/>
    <w:rsid w:val="00E27952"/>
    <w:rsid w:val="00E301CB"/>
    <w:rsid w:val="00E332EC"/>
    <w:rsid w:val="00E3381E"/>
    <w:rsid w:val="00E40938"/>
    <w:rsid w:val="00E41C88"/>
    <w:rsid w:val="00E47511"/>
    <w:rsid w:val="00E51CDA"/>
    <w:rsid w:val="00E5291D"/>
    <w:rsid w:val="00E549A5"/>
    <w:rsid w:val="00E5581F"/>
    <w:rsid w:val="00E56B5A"/>
    <w:rsid w:val="00E56D3A"/>
    <w:rsid w:val="00E56E87"/>
    <w:rsid w:val="00E6014F"/>
    <w:rsid w:val="00E60E1C"/>
    <w:rsid w:val="00E614BE"/>
    <w:rsid w:val="00E655D2"/>
    <w:rsid w:val="00E72E7B"/>
    <w:rsid w:val="00E73385"/>
    <w:rsid w:val="00E764F2"/>
    <w:rsid w:val="00E77AB3"/>
    <w:rsid w:val="00E77FF6"/>
    <w:rsid w:val="00E8138D"/>
    <w:rsid w:val="00E827C5"/>
    <w:rsid w:val="00E82E85"/>
    <w:rsid w:val="00E82FCD"/>
    <w:rsid w:val="00E87713"/>
    <w:rsid w:val="00E92A23"/>
    <w:rsid w:val="00E942B6"/>
    <w:rsid w:val="00E94369"/>
    <w:rsid w:val="00E94D47"/>
    <w:rsid w:val="00E97EAF"/>
    <w:rsid w:val="00EA2CC9"/>
    <w:rsid w:val="00EB0402"/>
    <w:rsid w:val="00EB06DB"/>
    <w:rsid w:val="00EB7B3B"/>
    <w:rsid w:val="00EC1754"/>
    <w:rsid w:val="00EC301B"/>
    <w:rsid w:val="00EC3449"/>
    <w:rsid w:val="00EC3745"/>
    <w:rsid w:val="00EC3902"/>
    <w:rsid w:val="00EC5AA6"/>
    <w:rsid w:val="00ED1A51"/>
    <w:rsid w:val="00ED1B8F"/>
    <w:rsid w:val="00ED25D8"/>
    <w:rsid w:val="00ED3544"/>
    <w:rsid w:val="00ED3A46"/>
    <w:rsid w:val="00ED4AE5"/>
    <w:rsid w:val="00ED5BB6"/>
    <w:rsid w:val="00ED5DA9"/>
    <w:rsid w:val="00ED6871"/>
    <w:rsid w:val="00ED7D4C"/>
    <w:rsid w:val="00EE0E1A"/>
    <w:rsid w:val="00EE2606"/>
    <w:rsid w:val="00EE615E"/>
    <w:rsid w:val="00EE76CE"/>
    <w:rsid w:val="00EE7941"/>
    <w:rsid w:val="00EF3467"/>
    <w:rsid w:val="00EF7577"/>
    <w:rsid w:val="00F008D1"/>
    <w:rsid w:val="00F0274A"/>
    <w:rsid w:val="00F0323E"/>
    <w:rsid w:val="00F06004"/>
    <w:rsid w:val="00F066BD"/>
    <w:rsid w:val="00F14B8A"/>
    <w:rsid w:val="00F17584"/>
    <w:rsid w:val="00F17FA6"/>
    <w:rsid w:val="00F20B96"/>
    <w:rsid w:val="00F219FB"/>
    <w:rsid w:val="00F22E3C"/>
    <w:rsid w:val="00F24EB2"/>
    <w:rsid w:val="00F2654F"/>
    <w:rsid w:val="00F3204A"/>
    <w:rsid w:val="00F321FC"/>
    <w:rsid w:val="00F32CF5"/>
    <w:rsid w:val="00F33156"/>
    <w:rsid w:val="00F3510F"/>
    <w:rsid w:val="00F36D7C"/>
    <w:rsid w:val="00F40766"/>
    <w:rsid w:val="00F4216D"/>
    <w:rsid w:val="00F42FEF"/>
    <w:rsid w:val="00F4305F"/>
    <w:rsid w:val="00F43549"/>
    <w:rsid w:val="00F45846"/>
    <w:rsid w:val="00F45E70"/>
    <w:rsid w:val="00F502F0"/>
    <w:rsid w:val="00F50A07"/>
    <w:rsid w:val="00F552B4"/>
    <w:rsid w:val="00F5561F"/>
    <w:rsid w:val="00F57119"/>
    <w:rsid w:val="00F62972"/>
    <w:rsid w:val="00F62A65"/>
    <w:rsid w:val="00F62B6C"/>
    <w:rsid w:val="00F62EF5"/>
    <w:rsid w:val="00F64089"/>
    <w:rsid w:val="00F65A6F"/>
    <w:rsid w:val="00F71E38"/>
    <w:rsid w:val="00F72E4E"/>
    <w:rsid w:val="00F734A7"/>
    <w:rsid w:val="00F7536C"/>
    <w:rsid w:val="00F80DEC"/>
    <w:rsid w:val="00F81253"/>
    <w:rsid w:val="00F82224"/>
    <w:rsid w:val="00F84563"/>
    <w:rsid w:val="00F86462"/>
    <w:rsid w:val="00F86BEF"/>
    <w:rsid w:val="00F93D0C"/>
    <w:rsid w:val="00FA1A19"/>
    <w:rsid w:val="00FA1D93"/>
    <w:rsid w:val="00FA5376"/>
    <w:rsid w:val="00FA54B9"/>
    <w:rsid w:val="00FA7265"/>
    <w:rsid w:val="00FA777B"/>
    <w:rsid w:val="00FA7D3B"/>
    <w:rsid w:val="00FB0DFD"/>
    <w:rsid w:val="00FB41E6"/>
    <w:rsid w:val="00FC2E49"/>
    <w:rsid w:val="00FC48B2"/>
    <w:rsid w:val="00FC5403"/>
    <w:rsid w:val="00FC78DD"/>
    <w:rsid w:val="00FD5887"/>
    <w:rsid w:val="00FD65E3"/>
    <w:rsid w:val="00FE113A"/>
    <w:rsid w:val="00FE1B00"/>
    <w:rsid w:val="00FE1B4C"/>
    <w:rsid w:val="00FE4A61"/>
    <w:rsid w:val="00FE7AA3"/>
    <w:rsid w:val="00FF207F"/>
    <w:rsid w:val="00FF46C4"/>
    <w:rsid w:val="00FF5625"/>
    <w:rsid w:val="00FF76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C219D30"/>
  <w15:docId w15:val="{283C5324-871A-42BA-BA4E-E0AB5204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A2369"/>
    <w:pPr>
      <w:spacing w:before="120" w:after="120"/>
      <w:jc w:val="both"/>
    </w:pPr>
    <w:rPr>
      <w:rFonts w:asciiTheme="minorHAnsi" w:hAnsiTheme="minorHAnsi"/>
      <w:sz w:val="22"/>
      <w:szCs w:val="24"/>
      <w:lang w:val="en-US" w:eastAsia="en-US"/>
    </w:rPr>
  </w:style>
  <w:style w:type="paragraph" w:styleId="Heading1">
    <w:name w:val="heading 1"/>
    <w:basedOn w:val="Normal"/>
    <w:next w:val="Normal"/>
    <w:link w:val="Heading1Char"/>
    <w:qFormat/>
    <w:rsid w:val="00806F8E"/>
    <w:pPr>
      <w:keepNext/>
      <w:numPr>
        <w:numId w:val="3"/>
      </w:numPr>
      <w:overflowPunct w:val="0"/>
      <w:autoSpaceDE w:val="0"/>
      <w:autoSpaceDN w:val="0"/>
      <w:adjustRightInd w:val="0"/>
      <w:spacing w:before="360"/>
      <w:textAlignment w:val="baseline"/>
      <w:outlineLvl w:val="0"/>
    </w:pPr>
    <w:rPr>
      <w:b/>
      <w:sz w:val="28"/>
      <w:szCs w:val="20"/>
      <w:u w:val="single"/>
      <w:lang w:val="en-GB"/>
    </w:rPr>
  </w:style>
  <w:style w:type="paragraph" w:styleId="Heading2">
    <w:name w:val="heading 2"/>
    <w:basedOn w:val="Normal"/>
    <w:next w:val="Normal"/>
    <w:link w:val="Heading2Char"/>
    <w:unhideWhenUsed/>
    <w:qFormat/>
    <w:rsid w:val="000A2369"/>
    <w:pPr>
      <w:keepNext/>
      <w:keepLines/>
      <w:numPr>
        <w:ilvl w:val="1"/>
        <w:numId w:val="3"/>
      </w:numPr>
      <w:spacing w:before="240" w:after="18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806F8E"/>
    <w:pPr>
      <w:keepNext/>
      <w:keepLines/>
      <w:numPr>
        <w:ilvl w:val="2"/>
        <w:numId w:val="3"/>
      </w:numPr>
      <w:spacing w:before="200" w:after="0"/>
      <w:outlineLvl w:val="2"/>
    </w:pPr>
    <w:rPr>
      <w:rFonts w:eastAsiaTheme="majorEastAsia" w:cstheme="majorBidi"/>
      <w:b/>
      <w:bCs/>
    </w:rPr>
  </w:style>
  <w:style w:type="paragraph" w:styleId="Heading4">
    <w:name w:val="heading 4"/>
    <w:basedOn w:val="Normal"/>
    <w:next w:val="Normal"/>
    <w:link w:val="Heading4Char"/>
    <w:unhideWhenUsed/>
    <w:qFormat/>
    <w:rsid w:val="001A5747"/>
    <w:pPr>
      <w:keepNext/>
      <w:keepLines/>
      <w:numPr>
        <w:ilvl w:val="3"/>
        <w:numId w:val="3"/>
      </w:numPr>
      <w:spacing w:before="200" w:after="240"/>
      <w:outlineLvl w:val="3"/>
    </w:pPr>
    <w:rPr>
      <w:rFonts w:eastAsiaTheme="majorEastAsia" w:cstheme="majorBidi"/>
      <w:bCs/>
      <w:iCs/>
      <w:u w:val="single"/>
    </w:rPr>
  </w:style>
  <w:style w:type="paragraph" w:styleId="Heading5">
    <w:name w:val="heading 5"/>
    <w:basedOn w:val="Normal"/>
    <w:next w:val="Normal"/>
    <w:link w:val="Heading5Char"/>
    <w:unhideWhenUsed/>
    <w:qFormat/>
    <w:rsid w:val="006D305A"/>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D305A"/>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6D305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6D305A"/>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6D305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113A"/>
    <w:pPr>
      <w:jc w:val="center"/>
    </w:pPr>
    <w:rPr>
      <w:rFonts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34"/>
    <w:qFormat/>
    <w:rsid w:val="00AA0C3F"/>
    <w:pPr>
      <w:ind w:left="720"/>
    </w:pPr>
  </w:style>
  <w:style w:type="paragraph" w:styleId="BalloonText">
    <w:name w:val="Balloon Text"/>
    <w:basedOn w:val="Normal"/>
    <w:link w:val="BalloonTextChar"/>
    <w:rsid w:val="0087117D"/>
    <w:pPr>
      <w:spacing w:before="0" w:after="0"/>
    </w:pPr>
    <w:rPr>
      <w:rFonts w:ascii="Tahoma" w:hAnsi="Tahoma" w:cs="Tahoma"/>
      <w:sz w:val="16"/>
      <w:szCs w:val="16"/>
    </w:rPr>
  </w:style>
  <w:style w:type="character" w:customStyle="1" w:styleId="BalloonTextChar">
    <w:name w:val="Balloon Text Char"/>
    <w:basedOn w:val="DefaultParagraphFont"/>
    <w:link w:val="BalloonText"/>
    <w:rsid w:val="0087117D"/>
    <w:rPr>
      <w:rFonts w:ascii="Tahoma" w:hAnsi="Tahoma" w:cs="Tahoma"/>
      <w:sz w:val="16"/>
      <w:szCs w:val="16"/>
      <w:lang w:val="en-US" w:eastAsia="en-US"/>
    </w:rPr>
  </w:style>
  <w:style w:type="table" w:styleId="TableGrid">
    <w:name w:val="Table Grid"/>
    <w:basedOn w:val="TableNormal"/>
    <w:uiPriority w:val="39"/>
    <w:rsid w:val="00213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A2369"/>
    <w:rPr>
      <w:rFonts w:asciiTheme="minorHAnsi" w:eastAsiaTheme="majorEastAsia" w:hAnsiTheme="minorHAnsi" w:cstheme="majorBidi"/>
      <w:b/>
      <w:bCs/>
      <w:sz w:val="26"/>
      <w:szCs w:val="26"/>
      <w:lang w:val="en-US" w:eastAsia="en-US"/>
    </w:rPr>
  </w:style>
  <w:style w:type="character" w:customStyle="1" w:styleId="BodyTextChar">
    <w:name w:val="Body Text Char"/>
    <w:basedOn w:val="DefaultParagraphFont"/>
    <w:link w:val="BodyText"/>
    <w:rsid w:val="00A51501"/>
    <w:rPr>
      <w:rFonts w:ascii="Arial" w:hAnsi="Arial" w:cs="Arial"/>
      <w:b/>
      <w:sz w:val="24"/>
      <w:szCs w:val="24"/>
      <w:lang w:val="en-US" w:eastAsia="en-US"/>
    </w:rPr>
  </w:style>
  <w:style w:type="character" w:styleId="CommentReference">
    <w:name w:val="annotation reference"/>
    <w:basedOn w:val="DefaultParagraphFont"/>
    <w:rsid w:val="00F36D7C"/>
    <w:rPr>
      <w:sz w:val="16"/>
      <w:szCs w:val="16"/>
    </w:rPr>
  </w:style>
  <w:style w:type="paragraph" w:styleId="CommentText">
    <w:name w:val="annotation text"/>
    <w:basedOn w:val="Normal"/>
    <w:link w:val="CommentTextChar"/>
    <w:rsid w:val="00F36D7C"/>
    <w:rPr>
      <w:sz w:val="20"/>
      <w:szCs w:val="20"/>
    </w:rPr>
  </w:style>
  <w:style w:type="character" w:customStyle="1" w:styleId="CommentTextChar">
    <w:name w:val="Comment Text Char"/>
    <w:basedOn w:val="DefaultParagraphFont"/>
    <w:link w:val="CommentText"/>
    <w:rsid w:val="00F36D7C"/>
    <w:rPr>
      <w:rFonts w:ascii="Arial" w:hAnsi="Arial"/>
      <w:lang w:val="en-US" w:eastAsia="en-US"/>
    </w:rPr>
  </w:style>
  <w:style w:type="paragraph" w:styleId="CommentSubject">
    <w:name w:val="annotation subject"/>
    <w:basedOn w:val="CommentText"/>
    <w:next w:val="CommentText"/>
    <w:link w:val="CommentSubjectChar"/>
    <w:rsid w:val="00F36D7C"/>
    <w:rPr>
      <w:b/>
      <w:bCs/>
    </w:rPr>
  </w:style>
  <w:style w:type="character" w:customStyle="1" w:styleId="CommentSubjectChar">
    <w:name w:val="Comment Subject Char"/>
    <w:basedOn w:val="CommentTextChar"/>
    <w:link w:val="CommentSubject"/>
    <w:rsid w:val="00F36D7C"/>
    <w:rPr>
      <w:rFonts w:ascii="Arial" w:hAnsi="Arial"/>
      <w:b/>
      <w:bCs/>
      <w:lang w:val="en-US" w:eastAsia="en-US"/>
    </w:rPr>
  </w:style>
  <w:style w:type="paragraph" w:customStyle="1" w:styleId="Default">
    <w:name w:val="Default"/>
    <w:rsid w:val="004028C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4E5249"/>
    <w:rPr>
      <w:color w:val="0000FF" w:themeColor="hyperlink"/>
      <w:u w:val="single"/>
    </w:rPr>
  </w:style>
  <w:style w:type="paragraph" w:styleId="FootnoteText">
    <w:name w:val="footnote text"/>
    <w:basedOn w:val="Normal"/>
    <w:link w:val="FootnoteTextChar"/>
    <w:rsid w:val="007B2344"/>
    <w:pPr>
      <w:spacing w:before="0" w:after="0"/>
    </w:pPr>
    <w:rPr>
      <w:sz w:val="20"/>
      <w:szCs w:val="20"/>
    </w:rPr>
  </w:style>
  <w:style w:type="character" w:customStyle="1" w:styleId="FootnoteTextChar">
    <w:name w:val="Footnote Text Char"/>
    <w:basedOn w:val="DefaultParagraphFont"/>
    <w:link w:val="FootnoteText"/>
    <w:rsid w:val="007B2344"/>
    <w:rPr>
      <w:rFonts w:ascii="Arial" w:hAnsi="Arial"/>
      <w:lang w:val="en-US" w:eastAsia="en-US"/>
    </w:rPr>
  </w:style>
  <w:style w:type="character" w:styleId="FootnoteReference">
    <w:name w:val="footnote reference"/>
    <w:basedOn w:val="DefaultParagraphFont"/>
    <w:rsid w:val="007B2344"/>
    <w:rPr>
      <w:vertAlign w:val="superscript"/>
    </w:rPr>
  </w:style>
  <w:style w:type="paragraph" w:styleId="NormalWeb">
    <w:name w:val="Normal (Web)"/>
    <w:basedOn w:val="Normal"/>
    <w:uiPriority w:val="99"/>
    <w:unhideWhenUsed/>
    <w:rsid w:val="00B76764"/>
    <w:pPr>
      <w:spacing w:before="100" w:beforeAutospacing="1" w:after="100" w:afterAutospacing="1"/>
      <w:jc w:val="left"/>
    </w:pPr>
    <w:rPr>
      <w:rFonts w:ascii="Times New Roman" w:eastAsiaTheme="minorEastAsia" w:hAnsi="Times New Roman"/>
      <w:lang w:val="en-GB" w:eastAsia="en-GB"/>
    </w:rPr>
  </w:style>
  <w:style w:type="character" w:styleId="Strong">
    <w:name w:val="Strong"/>
    <w:basedOn w:val="DefaultParagraphFont"/>
    <w:uiPriority w:val="22"/>
    <w:qFormat/>
    <w:rsid w:val="006D305A"/>
    <w:rPr>
      <w:b/>
      <w:bCs/>
    </w:rPr>
  </w:style>
  <w:style w:type="character" w:customStyle="1" w:styleId="Heading3Char">
    <w:name w:val="Heading 3 Char"/>
    <w:basedOn w:val="DefaultParagraphFont"/>
    <w:link w:val="Heading3"/>
    <w:rsid w:val="00806F8E"/>
    <w:rPr>
      <w:rFonts w:asciiTheme="minorHAnsi" w:eastAsiaTheme="majorEastAsia" w:hAnsiTheme="minorHAnsi" w:cstheme="majorBidi"/>
      <w:b/>
      <w:bCs/>
      <w:sz w:val="22"/>
      <w:szCs w:val="24"/>
      <w:lang w:val="en-US" w:eastAsia="en-US"/>
    </w:rPr>
  </w:style>
  <w:style w:type="character" w:customStyle="1" w:styleId="Heading4Char">
    <w:name w:val="Heading 4 Char"/>
    <w:basedOn w:val="DefaultParagraphFont"/>
    <w:link w:val="Heading4"/>
    <w:rsid w:val="001A5747"/>
    <w:rPr>
      <w:rFonts w:asciiTheme="minorHAnsi" w:eastAsiaTheme="majorEastAsia" w:hAnsiTheme="minorHAnsi" w:cstheme="majorBidi"/>
      <w:bCs/>
      <w:iCs/>
      <w:sz w:val="22"/>
      <w:szCs w:val="24"/>
      <w:u w:val="single"/>
      <w:lang w:val="en-US" w:eastAsia="en-US"/>
    </w:rPr>
  </w:style>
  <w:style w:type="character" w:customStyle="1" w:styleId="Heading5Char">
    <w:name w:val="Heading 5 Char"/>
    <w:basedOn w:val="DefaultParagraphFont"/>
    <w:link w:val="Heading5"/>
    <w:rsid w:val="006D305A"/>
    <w:rPr>
      <w:rFonts w:asciiTheme="majorHAnsi" w:eastAsiaTheme="majorEastAsia" w:hAnsiTheme="majorHAnsi" w:cstheme="majorBidi"/>
      <w:color w:val="243F60" w:themeColor="accent1" w:themeShade="7F"/>
      <w:sz w:val="22"/>
      <w:szCs w:val="24"/>
      <w:lang w:val="en-US" w:eastAsia="en-US"/>
    </w:rPr>
  </w:style>
  <w:style w:type="character" w:customStyle="1" w:styleId="Heading6Char">
    <w:name w:val="Heading 6 Char"/>
    <w:basedOn w:val="DefaultParagraphFont"/>
    <w:link w:val="Heading6"/>
    <w:rsid w:val="006D305A"/>
    <w:rPr>
      <w:rFonts w:asciiTheme="majorHAnsi" w:eastAsiaTheme="majorEastAsia" w:hAnsiTheme="majorHAnsi" w:cstheme="majorBidi"/>
      <w:i/>
      <w:iCs/>
      <w:color w:val="243F60" w:themeColor="accent1" w:themeShade="7F"/>
      <w:sz w:val="22"/>
      <w:szCs w:val="24"/>
      <w:lang w:val="en-US" w:eastAsia="en-US"/>
    </w:rPr>
  </w:style>
  <w:style w:type="character" w:customStyle="1" w:styleId="Heading7Char">
    <w:name w:val="Heading 7 Char"/>
    <w:basedOn w:val="DefaultParagraphFont"/>
    <w:link w:val="Heading7"/>
    <w:uiPriority w:val="99"/>
    <w:rsid w:val="006D305A"/>
    <w:rPr>
      <w:rFonts w:asciiTheme="majorHAnsi" w:eastAsiaTheme="majorEastAsia" w:hAnsiTheme="majorHAnsi" w:cstheme="majorBidi"/>
      <w:i/>
      <w:iCs/>
      <w:color w:val="404040" w:themeColor="text1" w:themeTint="BF"/>
      <w:sz w:val="22"/>
      <w:szCs w:val="24"/>
      <w:lang w:val="en-US" w:eastAsia="en-US"/>
    </w:rPr>
  </w:style>
  <w:style w:type="character" w:customStyle="1" w:styleId="Heading8Char">
    <w:name w:val="Heading 8 Char"/>
    <w:basedOn w:val="DefaultParagraphFont"/>
    <w:link w:val="Heading8"/>
    <w:uiPriority w:val="99"/>
    <w:rsid w:val="006D305A"/>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9"/>
    <w:rsid w:val="006D305A"/>
    <w:rPr>
      <w:rFonts w:asciiTheme="majorHAnsi" w:eastAsiaTheme="majorEastAsia" w:hAnsiTheme="majorHAnsi" w:cstheme="majorBidi"/>
      <w:i/>
      <w:iCs/>
      <w:color w:val="404040" w:themeColor="text1" w:themeTint="BF"/>
      <w:lang w:val="en-US" w:eastAsia="en-US"/>
    </w:rPr>
  </w:style>
  <w:style w:type="paragraph" w:styleId="TOCHeading">
    <w:name w:val="TOC Heading"/>
    <w:basedOn w:val="Heading1"/>
    <w:next w:val="Normal"/>
    <w:uiPriority w:val="39"/>
    <w:semiHidden/>
    <w:unhideWhenUsed/>
    <w:qFormat/>
    <w:rsid w:val="00361EDC"/>
    <w:pPr>
      <w:keepLines/>
      <w:numPr>
        <w:numId w:val="0"/>
      </w:numPr>
      <w:overflowPunct/>
      <w:autoSpaceDE/>
      <w:autoSpaceDN/>
      <w:adjustRightInd/>
      <w:spacing w:before="480" w:after="0" w:line="276" w:lineRule="auto"/>
      <w:jc w:val="left"/>
      <w:textAlignment w:val="auto"/>
      <w:outlineLvl w:val="9"/>
    </w:pPr>
    <w:rPr>
      <w:rFonts w:asciiTheme="majorHAnsi" w:eastAsiaTheme="majorEastAsia" w:hAnsiTheme="majorHAnsi" w:cstheme="majorBidi"/>
      <w:bCs/>
      <w:color w:val="365F91" w:themeColor="accent1" w:themeShade="BF"/>
      <w:szCs w:val="28"/>
      <w:u w:val="none"/>
      <w:lang w:val="en-US" w:eastAsia="ja-JP"/>
    </w:rPr>
  </w:style>
  <w:style w:type="paragraph" w:styleId="TOC1">
    <w:name w:val="toc 1"/>
    <w:basedOn w:val="Normal"/>
    <w:next w:val="Normal"/>
    <w:autoRedefine/>
    <w:uiPriority w:val="39"/>
    <w:rsid w:val="00361EDC"/>
    <w:pPr>
      <w:spacing w:after="100"/>
    </w:pPr>
  </w:style>
  <w:style w:type="paragraph" w:styleId="TOC2">
    <w:name w:val="toc 2"/>
    <w:basedOn w:val="Normal"/>
    <w:next w:val="Normal"/>
    <w:autoRedefine/>
    <w:uiPriority w:val="39"/>
    <w:rsid w:val="00361EDC"/>
    <w:pPr>
      <w:spacing w:after="100"/>
      <w:ind w:left="240"/>
    </w:pPr>
  </w:style>
  <w:style w:type="paragraph" w:styleId="TOC3">
    <w:name w:val="toc 3"/>
    <w:basedOn w:val="Normal"/>
    <w:next w:val="Normal"/>
    <w:autoRedefine/>
    <w:uiPriority w:val="39"/>
    <w:rsid w:val="00361EDC"/>
    <w:pPr>
      <w:spacing w:after="100"/>
      <w:ind w:left="480"/>
    </w:pPr>
  </w:style>
  <w:style w:type="character" w:customStyle="1" w:styleId="Heading1Char">
    <w:name w:val="Heading 1 Char"/>
    <w:basedOn w:val="DefaultParagraphFont"/>
    <w:link w:val="Heading1"/>
    <w:rsid w:val="005761AD"/>
    <w:rPr>
      <w:rFonts w:asciiTheme="minorHAnsi" w:hAnsiTheme="minorHAnsi"/>
      <w:b/>
      <w:sz w:val="28"/>
      <w:u w:val="single"/>
      <w:lang w:eastAsia="en-US"/>
    </w:rPr>
  </w:style>
  <w:style w:type="character" w:styleId="Emphasis">
    <w:name w:val="Emphasis"/>
    <w:basedOn w:val="DefaultParagraphFont"/>
    <w:uiPriority w:val="20"/>
    <w:qFormat/>
    <w:rsid w:val="00C14366"/>
    <w:rPr>
      <w:i/>
      <w:iCs/>
    </w:rPr>
  </w:style>
  <w:style w:type="paragraph" w:customStyle="1" w:styleId="Normal1">
    <w:name w:val="Normal1"/>
    <w:rsid w:val="00A058F2"/>
    <w:pPr>
      <w:spacing w:after="200" w:line="276" w:lineRule="auto"/>
    </w:pPr>
    <w:rPr>
      <w:rFonts w:ascii="Arial" w:eastAsia="Arial" w:hAnsi="Arial" w:cs="Arial"/>
      <w:color w:val="000000"/>
      <w:sz w:val="21"/>
      <w:szCs w:val="21"/>
    </w:r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basedOn w:val="DefaultParagraphFont"/>
    <w:link w:val="ListParagraph"/>
    <w:uiPriority w:val="34"/>
    <w:rsid w:val="00A058F2"/>
    <w:rPr>
      <w:rFonts w:asciiTheme="minorHAnsi" w:hAnsiTheme="minorHAnsi"/>
      <w:sz w:val="22"/>
      <w:szCs w:val="24"/>
      <w:lang w:val="en-US" w:eastAsia="en-US"/>
    </w:rPr>
  </w:style>
  <w:style w:type="paragraph" w:customStyle="1" w:styleId="xxmsonormal">
    <w:name w:val="x_x_msonormal"/>
    <w:basedOn w:val="Normal"/>
    <w:rsid w:val="00302A8E"/>
    <w:pPr>
      <w:spacing w:before="100" w:beforeAutospacing="1" w:after="100" w:afterAutospacing="1"/>
      <w:jc w:val="left"/>
    </w:pPr>
    <w:rPr>
      <w:rFonts w:ascii="Times New Roman" w:hAnsi="Times New Roman"/>
      <w:sz w:val="24"/>
      <w:lang w:val="en-GB"/>
    </w:rPr>
  </w:style>
  <w:style w:type="character" w:customStyle="1" w:styleId="normaltextrun">
    <w:name w:val="normaltextrun"/>
    <w:basedOn w:val="DefaultParagraphFont"/>
    <w:rsid w:val="00302A8E"/>
  </w:style>
  <w:style w:type="character" w:customStyle="1" w:styleId="normaltextrun1">
    <w:name w:val="normaltextrun1"/>
    <w:basedOn w:val="DefaultParagraphFont"/>
    <w:rsid w:val="00302A8E"/>
  </w:style>
  <w:style w:type="paragraph" w:customStyle="1" w:styleId="xmsonormal">
    <w:name w:val="x_msonormal"/>
    <w:basedOn w:val="Normal"/>
    <w:rsid w:val="009B5A1D"/>
    <w:pPr>
      <w:spacing w:before="100" w:beforeAutospacing="1" w:after="100" w:afterAutospacing="1"/>
      <w:jc w:val="left"/>
    </w:pPr>
    <w:rPr>
      <w:rFonts w:ascii="Times" w:eastAsiaTheme="minorEastAsia" w:hAnsi="Times" w:cstheme="minorBid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2395">
      <w:bodyDiv w:val="1"/>
      <w:marLeft w:val="0"/>
      <w:marRight w:val="0"/>
      <w:marTop w:val="0"/>
      <w:marBottom w:val="0"/>
      <w:divBdr>
        <w:top w:val="none" w:sz="0" w:space="0" w:color="auto"/>
        <w:left w:val="none" w:sz="0" w:space="0" w:color="auto"/>
        <w:bottom w:val="none" w:sz="0" w:space="0" w:color="auto"/>
        <w:right w:val="none" w:sz="0" w:space="0" w:color="auto"/>
      </w:divBdr>
    </w:div>
    <w:div w:id="30420265">
      <w:bodyDiv w:val="1"/>
      <w:marLeft w:val="0"/>
      <w:marRight w:val="0"/>
      <w:marTop w:val="0"/>
      <w:marBottom w:val="0"/>
      <w:divBdr>
        <w:top w:val="none" w:sz="0" w:space="0" w:color="auto"/>
        <w:left w:val="none" w:sz="0" w:space="0" w:color="auto"/>
        <w:bottom w:val="none" w:sz="0" w:space="0" w:color="auto"/>
        <w:right w:val="none" w:sz="0" w:space="0" w:color="auto"/>
      </w:divBdr>
    </w:div>
    <w:div w:id="34088478">
      <w:bodyDiv w:val="1"/>
      <w:marLeft w:val="0"/>
      <w:marRight w:val="0"/>
      <w:marTop w:val="0"/>
      <w:marBottom w:val="0"/>
      <w:divBdr>
        <w:top w:val="none" w:sz="0" w:space="0" w:color="auto"/>
        <w:left w:val="none" w:sz="0" w:space="0" w:color="auto"/>
        <w:bottom w:val="none" w:sz="0" w:space="0" w:color="auto"/>
        <w:right w:val="none" w:sz="0" w:space="0" w:color="auto"/>
      </w:divBdr>
    </w:div>
    <w:div w:id="49501518">
      <w:bodyDiv w:val="1"/>
      <w:marLeft w:val="0"/>
      <w:marRight w:val="0"/>
      <w:marTop w:val="0"/>
      <w:marBottom w:val="0"/>
      <w:divBdr>
        <w:top w:val="none" w:sz="0" w:space="0" w:color="auto"/>
        <w:left w:val="none" w:sz="0" w:space="0" w:color="auto"/>
        <w:bottom w:val="none" w:sz="0" w:space="0" w:color="auto"/>
        <w:right w:val="none" w:sz="0" w:space="0" w:color="auto"/>
      </w:divBdr>
    </w:div>
    <w:div w:id="61754242">
      <w:bodyDiv w:val="1"/>
      <w:marLeft w:val="0"/>
      <w:marRight w:val="0"/>
      <w:marTop w:val="0"/>
      <w:marBottom w:val="0"/>
      <w:divBdr>
        <w:top w:val="none" w:sz="0" w:space="0" w:color="auto"/>
        <w:left w:val="none" w:sz="0" w:space="0" w:color="auto"/>
        <w:bottom w:val="none" w:sz="0" w:space="0" w:color="auto"/>
        <w:right w:val="none" w:sz="0" w:space="0" w:color="auto"/>
      </w:divBdr>
    </w:div>
    <w:div w:id="73822491">
      <w:bodyDiv w:val="1"/>
      <w:marLeft w:val="0"/>
      <w:marRight w:val="0"/>
      <w:marTop w:val="0"/>
      <w:marBottom w:val="0"/>
      <w:divBdr>
        <w:top w:val="none" w:sz="0" w:space="0" w:color="auto"/>
        <w:left w:val="none" w:sz="0" w:space="0" w:color="auto"/>
        <w:bottom w:val="none" w:sz="0" w:space="0" w:color="auto"/>
        <w:right w:val="none" w:sz="0" w:space="0" w:color="auto"/>
      </w:divBdr>
    </w:div>
    <w:div w:id="119569146">
      <w:bodyDiv w:val="1"/>
      <w:marLeft w:val="0"/>
      <w:marRight w:val="0"/>
      <w:marTop w:val="0"/>
      <w:marBottom w:val="0"/>
      <w:divBdr>
        <w:top w:val="none" w:sz="0" w:space="0" w:color="auto"/>
        <w:left w:val="none" w:sz="0" w:space="0" w:color="auto"/>
        <w:bottom w:val="none" w:sz="0" w:space="0" w:color="auto"/>
        <w:right w:val="none" w:sz="0" w:space="0" w:color="auto"/>
      </w:divBdr>
    </w:div>
    <w:div w:id="136387360">
      <w:bodyDiv w:val="1"/>
      <w:marLeft w:val="0"/>
      <w:marRight w:val="0"/>
      <w:marTop w:val="0"/>
      <w:marBottom w:val="0"/>
      <w:divBdr>
        <w:top w:val="none" w:sz="0" w:space="0" w:color="auto"/>
        <w:left w:val="none" w:sz="0" w:space="0" w:color="auto"/>
        <w:bottom w:val="none" w:sz="0" w:space="0" w:color="auto"/>
        <w:right w:val="none" w:sz="0" w:space="0" w:color="auto"/>
      </w:divBdr>
    </w:div>
    <w:div w:id="145168834">
      <w:bodyDiv w:val="1"/>
      <w:marLeft w:val="0"/>
      <w:marRight w:val="0"/>
      <w:marTop w:val="0"/>
      <w:marBottom w:val="0"/>
      <w:divBdr>
        <w:top w:val="none" w:sz="0" w:space="0" w:color="auto"/>
        <w:left w:val="none" w:sz="0" w:space="0" w:color="auto"/>
        <w:bottom w:val="none" w:sz="0" w:space="0" w:color="auto"/>
        <w:right w:val="none" w:sz="0" w:space="0" w:color="auto"/>
      </w:divBdr>
    </w:div>
    <w:div w:id="146284689">
      <w:bodyDiv w:val="1"/>
      <w:marLeft w:val="0"/>
      <w:marRight w:val="0"/>
      <w:marTop w:val="0"/>
      <w:marBottom w:val="0"/>
      <w:divBdr>
        <w:top w:val="none" w:sz="0" w:space="0" w:color="auto"/>
        <w:left w:val="none" w:sz="0" w:space="0" w:color="auto"/>
        <w:bottom w:val="none" w:sz="0" w:space="0" w:color="auto"/>
        <w:right w:val="none" w:sz="0" w:space="0" w:color="auto"/>
      </w:divBdr>
    </w:div>
    <w:div w:id="157624291">
      <w:bodyDiv w:val="1"/>
      <w:marLeft w:val="0"/>
      <w:marRight w:val="0"/>
      <w:marTop w:val="0"/>
      <w:marBottom w:val="0"/>
      <w:divBdr>
        <w:top w:val="none" w:sz="0" w:space="0" w:color="auto"/>
        <w:left w:val="none" w:sz="0" w:space="0" w:color="auto"/>
        <w:bottom w:val="none" w:sz="0" w:space="0" w:color="auto"/>
        <w:right w:val="none" w:sz="0" w:space="0" w:color="auto"/>
      </w:divBdr>
    </w:div>
    <w:div w:id="166017877">
      <w:bodyDiv w:val="1"/>
      <w:marLeft w:val="0"/>
      <w:marRight w:val="0"/>
      <w:marTop w:val="0"/>
      <w:marBottom w:val="0"/>
      <w:divBdr>
        <w:top w:val="none" w:sz="0" w:space="0" w:color="auto"/>
        <w:left w:val="none" w:sz="0" w:space="0" w:color="auto"/>
        <w:bottom w:val="none" w:sz="0" w:space="0" w:color="auto"/>
        <w:right w:val="none" w:sz="0" w:space="0" w:color="auto"/>
      </w:divBdr>
    </w:div>
    <w:div w:id="182785783">
      <w:bodyDiv w:val="1"/>
      <w:marLeft w:val="0"/>
      <w:marRight w:val="0"/>
      <w:marTop w:val="0"/>
      <w:marBottom w:val="0"/>
      <w:divBdr>
        <w:top w:val="none" w:sz="0" w:space="0" w:color="auto"/>
        <w:left w:val="none" w:sz="0" w:space="0" w:color="auto"/>
        <w:bottom w:val="none" w:sz="0" w:space="0" w:color="auto"/>
        <w:right w:val="none" w:sz="0" w:space="0" w:color="auto"/>
      </w:divBdr>
    </w:div>
    <w:div w:id="196700042">
      <w:bodyDiv w:val="1"/>
      <w:marLeft w:val="0"/>
      <w:marRight w:val="0"/>
      <w:marTop w:val="0"/>
      <w:marBottom w:val="0"/>
      <w:divBdr>
        <w:top w:val="none" w:sz="0" w:space="0" w:color="auto"/>
        <w:left w:val="none" w:sz="0" w:space="0" w:color="auto"/>
        <w:bottom w:val="none" w:sz="0" w:space="0" w:color="auto"/>
        <w:right w:val="none" w:sz="0" w:space="0" w:color="auto"/>
      </w:divBdr>
    </w:div>
    <w:div w:id="199175273">
      <w:bodyDiv w:val="1"/>
      <w:marLeft w:val="0"/>
      <w:marRight w:val="0"/>
      <w:marTop w:val="0"/>
      <w:marBottom w:val="0"/>
      <w:divBdr>
        <w:top w:val="none" w:sz="0" w:space="0" w:color="auto"/>
        <w:left w:val="none" w:sz="0" w:space="0" w:color="auto"/>
        <w:bottom w:val="none" w:sz="0" w:space="0" w:color="auto"/>
        <w:right w:val="none" w:sz="0" w:space="0" w:color="auto"/>
      </w:divBdr>
    </w:div>
    <w:div w:id="210043270">
      <w:bodyDiv w:val="1"/>
      <w:marLeft w:val="0"/>
      <w:marRight w:val="0"/>
      <w:marTop w:val="0"/>
      <w:marBottom w:val="0"/>
      <w:divBdr>
        <w:top w:val="none" w:sz="0" w:space="0" w:color="auto"/>
        <w:left w:val="none" w:sz="0" w:space="0" w:color="auto"/>
        <w:bottom w:val="none" w:sz="0" w:space="0" w:color="auto"/>
        <w:right w:val="none" w:sz="0" w:space="0" w:color="auto"/>
      </w:divBdr>
    </w:div>
    <w:div w:id="219827148">
      <w:bodyDiv w:val="1"/>
      <w:marLeft w:val="0"/>
      <w:marRight w:val="0"/>
      <w:marTop w:val="0"/>
      <w:marBottom w:val="0"/>
      <w:divBdr>
        <w:top w:val="none" w:sz="0" w:space="0" w:color="auto"/>
        <w:left w:val="none" w:sz="0" w:space="0" w:color="auto"/>
        <w:bottom w:val="none" w:sz="0" w:space="0" w:color="auto"/>
        <w:right w:val="none" w:sz="0" w:space="0" w:color="auto"/>
      </w:divBdr>
    </w:div>
    <w:div w:id="223686849">
      <w:bodyDiv w:val="1"/>
      <w:marLeft w:val="0"/>
      <w:marRight w:val="0"/>
      <w:marTop w:val="0"/>
      <w:marBottom w:val="0"/>
      <w:divBdr>
        <w:top w:val="none" w:sz="0" w:space="0" w:color="auto"/>
        <w:left w:val="none" w:sz="0" w:space="0" w:color="auto"/>
        <w:bottom w:val="none" w:sz="0" w:space="0" w:color="auto"/>
        <w:right w:val="none" w:sz="0" w:space="0" w:color="auto"/>
      </w:divBdr>
    </w:div>
    <w:div w:id="224874578">
      <w:bodyDiv w:val="1"/>
      <w:marLeft w:val="0"/>
      <w:marRight w:val="0"/>
      <w:marTop w:val="0"/>
      <w:marBottom w:val="0"/>
      <w:divBdr>
        <w:top w:val="none" w:sz="0" w:space="0" w:color="auto"/>
        <w:left w:val="none" w:sz="0" w:space="0" w:color="auto"/>
        <w:bottom w:val="none" w:sz="0" w:space="0" w:color="auto"/>
        <w:right w:val="none" w:sz="0" w:space="0" w:color="auto"/>
      </w:divBdr>
    </w:div>
    <w:div w:id="266928658">
      <w:bodyDiv w:val="1"/>
      <w:marLeft w:val="0"/>
      <w:marRight w:val="0"/>
      <w:marTop w:val="0"/>
      <w:marBottom w:val="0"/>
      <w:divBdr>
        <w:top w:val="none" w:sz="0" w:space="0" w:color="auto"/>
        <w:left w:val="none" w:sz="0" w:space="0" w:color="auto"/>
        <w:bottom w:val="none" w:sz="0" w:space="0" w:color="auto"/>
        <w:right w:val="none" w:sz="0" w:space="0" w:color="auto"/>
      </w:divBdr>
    </w:div>
    <w:div w:id="282225036">
      <w:bodyDiv w:val="1"/>
      <w:marLeft w:val="0"/>
      <w:marRight w:val="0"/>
      <w:marTop w:val="0"/>
      <w:marBottom w:val="0"/>
      <w:divBdr>
        <w:top w:val="none" w:sz="0" w:space="0" w:color="auto"/>
        <w:left w:val="none" w:sz="0" w:space="0" w:color="auto"/>
        <w:bottom w:val="none" w:sz="0" w:space="0" w:color="auto"/>
        <w:right w:val="none" w:sz="0" w:space="0" w:color="auto"/>
      </w:divBdr>
    </w:div>
    <w:div w:id="290404296">
      <w:bodyDiv w:val="1"/>
      <w:marLeft w:val="0"/>
      <w:marRight w:val="0"/>
      <w:marTop w:val="0"/>
      <w:marBottom w:val="0"/>
      <w:divBdr>
        <w:top w:val="none" w:sz="0" w:space="0" w:color="auto"/>
        <w:left w:val="none" w:sz="0" w:space="0" w:color="auto"/>
        <w:bottom w:val="none" w:sz="0" w:space="0" w:color="auto"/>
        <w:right w:val="none" w:sz="0" w:space="0" w:color="auto"/>
      </w:divBdr>
      <w:divsChild>
        <w:div w:id="1994605797">
          <w:marLeft w:val="446"/>
          <w:marRight w:val="0"/>
          <w:marTop w:val="0"/>
          <w:marBottom w:val="0"/>
          <w:divBdr>
            <w:top w:val="none" w:sz="0" w:space="0" w:color="auto"/>
            <w:left w:val="none" w:sz="0" w:space="0" w:color="auto"/>
            <w:bottom w:val="none" w:sz="0" w:space="0" w:color="auto"/>
            <w:right w:val="none" w:sz="0" w:space="0" w:color="auto"/>
          </w:divBdr>
        </w:div>
        <w:div w:id="1140608196">
          <w:marLeft w:val="446"/>
          <w:marRight w:val="0"/>
          <w:marTop w:val="0"/>
          <w:marBottom w:val="0"/>
          <w:divBdr>
            <w:top w:val="none" w:sz="0" w:space="0" w:color="auto"/>
            <w:left w:val="none" w:sz="0" w:space="0" w:color="auto"/>
            <w:bottom w:val="none" w:sz="0" w:space="0" w:color="auto"/>
            <w:right w:val="none" w:sz="0" w:space="0" w:color="auto"/>
          </w:divBdr>
        </w:div>
        <w:div w:id="1546798268">
          <w:marLeft w:val="446"/>
          <w:marRight w:val="0"/>
          <w:marTop w:val="0"/>
          <w:marBottom w:val="0"/>
          <w:divBdr>
            <w:top w:val="none" w:sz="0" w:space="0" w:color="auto"/>
            <w:left w:val="none" w:sz="0" w:space="0" w:color="auto"/>
            <w:bottom w:val="none" w:sz="0" w:space="0" w:color="auto"/>
            <w:right w:val="none" w:sz="0" w:space="0" w:color="auto"/>
          </w:divBdr>
        </w:div>
        <w:div w:id="1469349768">
          <w:marLeft w:val="446"/>
          <w:marRight w:val="0"/>
          <w:marTop w:val="0"/>
          <w:marBottom w:val="0"/>
          <w:divBdr>
            <w:top w:val="none" w:sz="0" w:space="0" w:color="auto"/>
            <w:left w:val="none" w:sz="0" w:space="0" w:color="auto"/>
            <w:bottom w:val="none" w:sz="0" w:space="0" w:color="auto"/>
            <w:right w:val="none" w:sz="0" w:space="0" w:color="auto"/>
          </w:divBdr>
        </w:div>
        <w:div w:id="2091350268">
          <w:marLeft w:val="446"/>
          <w:marRight w:val="0"/>
          <w:marTop w:val="0"/>
          <w:marBottom w:val="0"/>
          <w:divBdr>
            <w:top w:val="none" w:sz="0" w:space="0" w:color="auto"/>
            <w:left w:val="none" w:sz="0" w:space="0" w:color="auto"/>
            <w:bottom w:val="none" w:sz="0" w:space="0" w:color="auto"/>
            <w:right w:val="none" w:sz="0" w:space="0" w:color="auto"/>
          </w:divBdr>
        </w:div>
        <w:div w:id="980621754">
          <w:marLeft w:val="446"/>
          <w:marRight w:val="0"/>
          <w:marTop w:val="0"/>
          <w:marBottom w:val="0"/>
          <w:divBdr>
            <w:top w:val="none" w:sz="0" w:space="0" w:color="auto"/>
            <w:left w:val="none" w:sz="0" w:space="0" w:color="auto"/>
            <w:bottom w:val="none" w:sz="0" w:space="0" w:color="auto"/>
            <w:right w:val="none" w:sz="0" w:space="0" w:color="auto"/>
          </w:divBdr>
        </w:div>
      </w:divsChild>
    </w:div>
    <w:div w:id="330106487">
      <w:bodyDiv w:val="1"/>
      <w:marLeft w:val="0"/>
      <w:marRight w:val="0"/>
      <w:marTop w:val="0"/>
      <w:marBottom w:val="0"/>
      <w:divBdr>
        <w:top w:val="none" w:sz="0" w:space="0" w:color="auto"/>
        <w:left w:val="none" w:sz="0" w:space="0" w:color="auto"/>
        <w:bottom w:val="none" w:sz="0" w:space="0" w:color="auto"/>
        <w:right w:val="none" w:sz="0" w:space="0" w:color="auto"/>
      </w:divBdr>
    </w:div>
    <w:div w:id="342902080">
      <w:bodyDiv w:val="1"/>
      <w:marLeft w:val="0"/>
      <w:marRight w:val="0"/>
      <w:marTop w:val="0"/>
      <w:marBottom w:val="0"/>
      <w:divBdr>
        <w:top w:val="none" w:sz="0" w:space="0" w:color="auto"/>
        <w:left w:val="none" w:sz="0" w:space="0" w:color="auto"/>
        <w:bottom w:val="none" w:sz="0" w:space="0" w:color="auto"/>
        <w:right w:val="none" w:sz="0" w:space="0" w:color="auto"/>
      </w:divBdr>
    </w:div>
    <w:div w:id="343938098">
      <w:bodyDiv w:val="1"/>
      <w:marLeft w:val="0"/>
      <w:marRight w:val="0"/>
      <w:marTop w:val="0"/>
      <w:marBottom w:val="0"/>
      <w:divBdr>
        <w:top w:val="none" w:sz="0" w:space="0" w:color="auto"/>
        <w:left w:val="none" w:sz="0" w:space="0" w:color="auto"/>
        <w:bottom w:val="none" w:sz="0" w:space="0" w:color="auto"/>
        <w:right w:val="none" w:sz="0" w:space="0" w:color="auto"/>
      </w:divBdr>
    </w:div>
    <w:div w:id="354157121">
      <w:bodyDiv w:val="1"/>
      <w:marLeft w:val="0"/>
      <w:marRight w:val="0"/>
      <w:marTop w:val="0"/>
      <w:marBottom w:val="0"/>
      <w:divBdr>
        <w:top w:val="none" w:sz="0" w:space="0" w:color="auto"/>
        <w:left w:val="none" w:sz="0" w:space="0" w:color="auto"/>
        <w:bottom w:val="none" w:sz="0" w:space="0" w:color="auto"/>
        <w:right w:val="none" w:sz="0" w:space="0" w:color="auto"/>
      </w:divBdr>
    </w:div>
    <w:div w:id="355934360">
      <w:bodyDiv w:val="1"/>
      <w:marLeft w:val="0"/>
      <w:marRight w:val="0"/>
      <w:marTop w:val="0"/>
      <w:marBottom w:val="0"/>
      <w:divBdr>
        <w:top w:val="none" w:sz="0" w:space="0" w:color="auto"/>
        <w:left w:val="none" w:sz="0" w:space="0" w:color="auto"/>
        <w:bottom w:val="none" w:sz="0" w:space="0" w:color="auto"/>
        <w:right w:val="none" w:sz="0" w:space="0" w:color="auto"/>
      </w:divBdr>
    </w:div>
    <w:div w:id="363948347">
      <w:bodyDiv w:val="1"/>
      <w:marLeft w:val="0"/>
      <w:marRight w:val="0"/>
      <w:marTop w:val="0"/>
      <w:marBottom w:val="0"/>
      <w:divBdr>
        <w:top w:val="none" w:sz="0" w:space="0" w:color="auto"/>
        <w:left w:val="none" w:sz="0" w:space="0" w:color="auto"/>
        <w:bottom w:val="none" w:sz="0" w:space="0" w:color="auto"/>
        <w:right w:val="none" w:sz="0" w:space="0" w:color="auto"/>
      </w:divBdr>
    </w:div>
    <w:div w:id="399791101">
      <w:bodyDiv w:val="1"/>
      <w:marLeft w:val="0"/>
      <w:marRight w:val="0"/>
      <w:marTop w:val="0"/>
      <w:marBottom w:val="0"/>
      <w:divBdr>
        <w:top w:val="none" w:sz="0" w:space="0" w:color="auto"/>
        <w:left w:val="none" w:sz="0" w:space="0" w:color="auto"/>
        <w:bottom w:val="none" w:sz="0" w:space="0" w:color="auto"/>
        <w:right w:val="none" w:sz="0" w:space="0" w:color="auto"/>
      </w:divBdr>
    </w:div>
    <w:div w:id="404105945">
      <w:bodyDiv w:val="1"/>
      <w:marLeft w:val="0"/>
      <w:marRight w:val="0"/>
      <w:marTop w:val="0"/>
      <w:marBottom w:val="0"/>
      <w:divBdr>
        <w:top w:val="none" w:sz="0" w:space="0" w:color="auto"/>
        <w:left w:val="none" w:sz="0" w:space="0" w:color="auto"/>
        <w:bottom w:val="none" w:sz="0" w:space="0" w:color="auto"/>
        <w:right w:val="none" w:sz="0" w:space="0" w:color="auto"/>
      </w:divBdr>
    </w:div>
    <w:div w:id="425074841">
      <w:bodyDiv w:val="1"/>
      <w:marLeft w:val="0"/>
      <w:marRight w:val="0"/>
      <w:marTop w:val="0"/>
      <w:marBottom w:val="0"/>
      <w:divBdr>
        <w:top w:val="none" w:sz="0" w:space="0" w:color="auto"/>
        <w:left w:val="none" w:sz="0" w:space="0" w:color="auto"/>
        <w:bottom w:val="none" w:sz="0" w:space="0" w:color="auto"/>
        <w:right w:val="none" w:sz="0" w:space="0" w:color="auto"/>
      </w:divBdr>
    </w:div>
    <w:div w:id="457801718">
      <w:bodyDiv w:val="1"/>
      <w:marLeft w:val="0"/>
      <w:marRight w:val="0"/>
      <w:marTop w:val="0"/>
      <w:marBottom w:val="0"/>
      <w:divBdr>
        <w:top w:val="none" w:sz="0" w:space="0" w:color="auto"/>
        <w:left w:val="none" w:sz="0" w:space="0" w:color="auto"/>
        <w:bottom w:val="none" w:sz="0" w:space="0" w:color="auto"/>
        <w:right w:val="none" w:sz="0" w:space="0" w:color="auto"/>
      </w:divBdr>
    </w:div>
    <w:div w:id="480653557">
      <w:bodyDiv w:val="1"/>
      <w:marLeft w:val="0"/>
      <w:marRight w:val="0"/>
      <w:marTop w:val="0"/>
      <w:marBottom w:val="0"/>
      <w:divBdr>
        <w:top w:val="none" w:sz="0" w:space="0" w:color="auto"/>
        <w:left w:val="none" w:sz="0" w:space="0" w:color="auto"/>
        <w:bottom w:val="none" w:sz="0" w:space="0" w:color="auto"/>
        <w:right w:val="none" w:sz="0" w:space="0" w:color="auto"/>
      </w:divBdr>
    </w:div>
    <w:div w:id="512568556">
      <w:bodyDiv w:val="1"/>
      <w:marLeft w:val="0"/>
      <w:marRight w:val="0"/>
      <w:marTop w:val="0"/>
      <w:marBottom w:val="0"/>
      <w:divBdr>
        <w:top w:val="none" w:sz="0" w:space="0" w:color="auto"/>
        <w:left w:val="none" w:sz="0" w:space="0" w:color="auto"/>
        <w:bottom w:val="none" w:sz="0" w:space="0" w:color="auto"/>
        <w:right w:val="none" w:sz="0" w:space="0" w:color="auto"/>
      </w:divBdr>
    </w:div>
    <w:div w:id="539896982">
      <w:bodyDiv w:val="1"/>
      <w:marLeft w:val="0"/>
      <w:marRight w:val="0"/>
      <w:marTop w:val="0"/>
      <w:marBottom w:val="0"/>
      <w:divBdr>
        <w:top w:val="none" w:sz="0" w:space="0" w:color="auto"/>
        <w:left w:val="none" w:sz="0" w:space="0" w:color="auto"/>
        <w:bottom w:val="none" w:sz="0" w:space="0" w:color="auto"/>
        <w:right w:val="none" w:sz="0" w:space="0" w:color="auto"/>
      </w:divBdr>
    </w:div>
    <w:div w:id="594023888">
      <w:bodyDiv w:val="1"/>
      <w:marLeft w:val="0"/>
      <w:marRight w:val="0"/>
      <w:marTop w:val="0"/>
      <w:marBottom w:val="0"/>
      <w:divBdr>
        <w:top w:val="none" w:sz="0" w:space="0" w:color="auto"/>
        <w:left w:val="none" w:sz="0" w:space="0" w:color="auto"/>
        <w:bottom w:val="none" w:sz="0" w:space="0" w:color="auto"/>
        <w:right w:val="none" w:sz="0" w:space="0" w:color="auto"/>
      </w:divBdr>
    </w:div>
    <w:div w:id="603347840">
      <w:bodyDiv w:val="1"/>
      <w:marLeft w:val="0"/>
      <w:marRight w:val="0"/>
      <w:marTop w:val="0"/>
      <w:marBottom w:val="0"/>
      <w:divBdr>
        <w:top w:val="none" w:sz="0" w:space="0" w:color="auto"/>
        <w:left w:val="none" w:sz="0" w:space="0" w:color="auto"/>
        <w:bottom w:val="none" w:sz="0" w:space="0" w:color="auto"/>
        <w:right w:val="none" w:sz="0" w:space="0" w:color="auto"/>
      </w:divBdr>
    </w:div>
    <w:div w:id="621500494">
      <w:bodyDiv w:val="1"/>
      <w:marLeft w:val="0"/>
      <w:marRight w:val="0"/>
      <w:marTop w:val="0"/>
      <w:marBottom w:val="0"/>
      <w:divBdr>
        <w:top w:val="none" w:sz="0" w:space="0" w:color="auto"/>
        <w:left w:val="none" w:sz="0" w:space="0" w:color="auto"/>
        <w:bottom w:val="none" w:sz="0" w:space="0" w:color="auto"/>
        <w:right w:val="none" w:sz="0" w:space="0" w:color="auto"/>
      </w:divBdr>
    </w:div>
    <w:div w:id="641695625">
      <w:bodyDiv w:val="1"/>
      <w:marLeft w:val="0"/>
      <w:marRight w:val="0"/>
      <w:marTop w:val="0"/>
      <w:marBottom w:val="0"/>
      <w:divBdr>
        <w:top w:val="none" w:sz="0" w:space="0" w:color="auto"/>
        <w:left w:val="none" w:sz="0" w:space="0" w:color="auto"/>
        <w:bottom w:val="none" w:sz="0" w:space="0" w:color="auto"/>
        <w:right w:val="none" w:sz="0" w:space="0" w:color="auto"/>
      </w:divBdr>
    </w:div>
    <w:div w:id="669215357">
      <w:bodyDiv w:val="1"/>
      <w:marLeft w:val="0"/>
      <w:marRight w:val="0"/>
      <w:marTop w:val="0"/>
      <w:marBottom w:val="0"/>
      <w:divBdr>
        <w:top w:val="none" w:sz="0" w:space="0" w:color="auto"/>
        <w:left w:val="none" w:sz="0" w:space="0" w:color="auto"/>
        <w:bottom w:val="none" w:sz="0" w:space="0" w:color="auto"/>
        <w:right w:val="none" w:sz="0" w:space="0" w:color="auto"/>
      </w:divBdr>
    </w:div>
    <w:div w:id="681127169">
      <w:bodyDiv w:val="1"/>
      <w:marLeft w:val="0"/>
      <w:marRight w:val="0"/>
      <w:marTop w:val="0"/>
      <w:marBottom w:val="0"/>
      <w:divBdr>
        <w:top w:val="none" w:sz="0" w:space="0" w:color="auto"/>
        <w:left w:val="none" w:sz="0" w:space="0" w:color="auto"/>
        <w:bottom w:val="none" w:sz="0" w:space="0" w:color="auto"/>
        <w:right w:val="none" w:sz="0" w:space="0" w:color="auto"/>
      </w:divBdr>
    </w:div>
    <w:div w:id="682169513">
      <w:bodyDiv w:val="1"/>
      <w:marLeft w:val="0"/>
      <w:marRight w:val="0"/>
      <w:marTop w:val="0"/>
      <w:marBottom w:val="0"/>
      <w:divBdr>
        <w:top w:val="none" w:sz="0" w:space="0" w:color="auto"/>
        <w:left w:val="none" w:sz="0" w:space="0" w:color="auto"/>
        <w:bottom w:val="none" w:sz="0" w:space="0" w:color="auto"/>
        <w:right w:val="none" w:sz="0" w:space="0" w:color="auto"/>
      </w:divBdr>
    </w:div>
    <w:div w:id="688340655">
      <w:bodyDiv w:val="1"/>
      <w:marLeft w:val="0"/>
      <w:marRight w:val="0"/>
      <w:marTop w:val="0"/>
      <w:marBottom w:val="0"/>
      <w:divBdr>
        <w:top w:val="none" w:sz="0" w:space="0" w:color="auto"/>
        <w:left w:val="none" w:sz="0" w:space="0" w:color="auto"/>
        <w:bottom w:val="none" w:sz="0" w:space="0" w:color="auto"/>
        <w:right w:val="none" w:sz="0" w:space="0" w:color="auto"/>
      </w:divBdr>
    </w:div>
    <w:div w:id="776868963">
      <w:bodyDiv w:val="1"/>
      <w:marLeft w:val="0"/>
      <w:marRight w:val="0"/>
      <w:marTop w:val="0"/>
      <w:marBottom w:val="0"/>
      <w:divBdr>
        <w:top w:val="none" w:sz="0" w:space="0" w:color="auto"/>
        <w:left w:val="none" w:sz="0" w:space="0" w:color="auto"/>
        <w:bottom w:val="none" w:sz="0" w:space="0" w:color="auto"/>
        <w:right w:val="none" w:sz="0" w:space="0" w:color="auto"/>
      </w:divBdr>
    </w:div>
    <w:div w:id="784036994">
      <w:bodyDiv w:val="1"/>
      <w:marLeft w:val="0"/>
      <w:marRight w:val="0"/>
      <w:marTop w:val="0"/>
      <w:marBottom w:val="0"/>
      <w:divBdr>
        <w:top w:val="none" w:sz="0" w:space="0" w:color="auto"/>
        <w:left w:val="none" w:sz="0" w:space="0" w:color="auto"/>
        <w:bottom w:val="none" w:sz="0" w:space="0" w:color="auto"/>
        <w:right w:val="none" w:sz="0" w:space="0" w:color="auto"/>
      </w:divBdr>
    </w:div>
    <w:div w:id="785123178">
      <w:bodyDiv w:val="1"/>
      <w:marLeft w:val="0"/>
      <w:marRight w:val="0"/>
      <w:marTop w:val="0"/>
      <w:marBottom w:val="0"/>
      <w:divBdr>
        <w:top w:val="none" w:sz="0" w:space="0" w:color="auto"/>
        <w:left w:val="none" w:sz="0" w:space="0" w:color="auto"/>
        <w:bottom w:val="none" w:sz="0" w:space="0" w:color="auto"/>
        <w:right w:val="none" w:sz="0" w:space="0" w:color="auto"/>
      </w:divBdr>
    </w:div>
    <w:div w:id="786579527">
      <w:bodyDiv w:val="1"/>
      <w:marLeft w:val="0"/>
      <w:marRight w:val="0"/>
      <w:marTop w:val="0"/>
      <w:marBottom w:val="0"/>
      <w:divBdr>
        <w:top w:val="none" w:sz="0" w:space="0" w:color="auto"/>
        <w:left w:val="none" w:sz="0" w:space="0" w:color="auto"/>
        <w:bottom w:val="none" w:sz="0" w:space="0" w:color="auto"/>
        <w:right w:val="none" w:sz="0" w:space="0" w:color="auto"/>
      </w:divBdr>
    </w:div>
    <w:div w:id="787310791">
      <w:bodyDiv w:val="1"/>
      <w:marLeft w:val="0"/>
      <w:marRight w:val="0"/>
      <w:marTop w:val="0"/>
      <w:marBottom w:val="0"/>
      <w:divBdr>
        <w:top w:val="none" w:sz="0" w:space="0" w:color="auto"/>
        <w:left w:val="none" w:sz="0" w:space="0" w:color="auto"/>
        <w:bottom w:val="none" w:sz="0" w:space="0" w:color="auto"/>
        <w:right w:val="none" w:sz="0" w:space="0" w:color="auto"/>
      </w:divBdr>
    </w:div>
    <w:div w:id="787628162">
      <w:bodyDiv w:val="1"/>
      <w:marLeft w:val="0"/>
      <w:marRight w:val="0"/>
      <w:marTop w:val="0"/>
      <w:marBottom w:val="0"/>
      <w:divBdr>
        <w:top w:val="none" w:sz="0" w:space="0" w:color="auto"/>
        <w:left w:val="none" w:sz="0" w:space="0" w:color="auto"/>
        <w:bottom w:val="none" w:sz="0" w:space="0" w:color="auto"/>
        <w:right w:val="none" w:sz="0" w:space="0" w:color="auto"/>
      </w:divBdr>
    </w:div>
    <w:div w:id="807627528">
      <w:bodyDiv w:val="1"/>
      <w:marLeft w:val="0"/>
      <w:marRight w:val="0"/>
      <w:marTop w:val="0"/>
      <w:marBottom w:val="0"/>
      <w:divBdr>
        <w:top w:val="none" w:sz="0" w:space="0" w:color="auto"/>
        <w:left w:val="none" w:sz="0" w:space="0" w:color="auto"/>
        <w:bottom w:val="none" w:sz="0" w:space="0" w:color="auto"/>
        <w:right w:val="none" w:sz="0" w:space="0" w:color="auto"/>
      </w:divBdr>
    </w:div>
    <w:div w:id="856507881">
      <w:bodyDiv w:val="1"/>
      <w:marLeft w:val="0"/>
      <w:marRight w:val="0"/>
      <w:marTop w:val="0"/>
      <w:marBottom w:val="0"/>
      <w:divBdr>
        <w:top w:val="none" w:sz="0" w:space="0" w:color="auto"/>
        <w:left w:val="none" w:sz="0" w:space="0" w:color="auto"/>
        <w:bottom w:val="none" w:sz="0" w:space="0" w:color="auto"/>
        <w:right w:val="none" w:sz="0" w:space="0" w:color="auto"/>
      </w:divBdr>
    </w:div>
    <w:div w:id="880434415">
      <w:bodyDiv w:val="1"/>
      <w:marLeft w:val="0"/>
      <w:marRight w:val="0"/>
      <w:marTop w:val="0"/>
      <w:marBottom w:val="0"/>
      <w:divBdr>
        <w:top w:val="none" w:sz="0" w:space="0" w:color="auto"/>
        <w:left w:val="none" w:sz="0" w:space="0" w:color="auto"/>
        <w:bottom w:val="none" w:sz="0" w:space="0" w:color="auto"/>
        <w:right w:val="none" w:sz="0" w:space="0" w:color="auto"/>
      </w:divBdr>
    </w:div>
    <w:div w:id="925653143">
      <w:bodyDiv w:val="1"/>
      <w:marLeft w:val="0"/>
      <w:marRight w:val="0"/>
      <w:marTop w:val="0"/>
      <w:marBottom w:val="0"/>
      <w:divBdr>
        <w:top w:val="none" w:sz="0" w:space="0" w:color="auto"/>
        <w:left w:val="none" w:sz="0" w:space="0" w:color="auto"/>
        <w:bottom w:val="none" w:sz="0" w:space="0" w:color="auto"/>
        <w:right w:val="none" w:sz="0" w:space="0" w:color="auto"/>
      </w:divBdr>
    </w:div>
    <w:div w:id="939918014">
      <w:bodyDiv w:val="1"/>
      <w:marLeft w:val="0"/>
      <w:marRight w:val="0"/>
      <w:marTop w:val="0"/>
      <w:marBottom w:val="0"/>
      <w:divBdr>
        <w:top w:val="none" w:sz="0" w:space="0" w:color="auto"/>
        <w:left w:val="none" w:sz="0" w:space="0" w:color="auto"/>
        <w:bottom w:val="none" w:sz="0" w:space="0" w:color="auto"/>
        <w:right w:val="none" w:sz="0" w:space="0" w:color="auto"/>
      </w:divBdr>
    </w:div>
    <w:div w:id="946158069">
      <w:bodyDiv w:val="1"/>
      <w:marLeft w:val="0"/>
      <w:marRight w:val="0"/>
      <w:marTop w:val="0"/>
      <w:marBottom w:val="0"/>
      <w:divBdr>
        <w:top w:val="none" w:sz="0" w:space="0" w:color="auto"/>
        <w:left w:val="none" w:sz="0" w:space="0" w:color="auto"/>
        <w:bottom w:val="none" w:sz="0" w:space="0" w:color="auto"/>
        <w:right w:val="none" w:sz="0" w:space="0" w:color="auto"/>
      </w:divBdr>
    </w:div>
    <w:div w:id="970522869">
      <w:bodyDiv w:val="1"/>
      <w:marLeft w:val="0"/>
      <w:marRight w:val="0"/>
      <w:marTop w:val="0"/>
      <w:marBottom w:val="0"/>
      <w:divBdr>
        <w:top w:val="none" w:sz="0" w:space="0" w:color="auto"/>
        <w:left w:val="none" w:sz="0" w:space="0" w:color="auto"/>
        <w:bottom w:val="none" w:sz="0" w:space="0" w:color="auto"/>
        <w:right w:val="none" w:sz="0" w:space="0" w:color="auto"/>
      </w:divBdr>
    </w:div>
    <w:div w:id="1006057929">
      <w:bodyDiv w:val="1"/>
      <w:marLeft w:val="0"/>
      <w:marRight w:val="0"/>
      <w:marTop w:val="0"/>
      <w:marBottom w:val="0"/>
      <w:divBdr>
        <w:top w:val="none" w:sz="0" w:space="0" w:color="auto"/>
        <w:left w:val="none" w:sz="0" w:space="0" w:color="auto"/>
        <w:bottom w:val="none" w:sz="0" w:space="0" w:color="auto"/>
        <w:right w:val="none" w:sz="0" w:space="0" w:color="auto"/>
      </w:divBdr>
    </w:div>
    <w:div w:id="1091973063">
      <w:bodyDiv w:val="1"/>
      <w:marLeft w:val="0"/>
      <w:marRight w:val="0"/>
      <w:marTop w:val="0"/>
      <w:marBottom w:val="0"/>
      <w:divBdr>
        <w:top w:val="none" w:sz="0" w:space="0" w:color="auto"/>
        <w:left w:val="none" w:sz="0" w:space="0" w:color="auto"/>
        <w:bottom w:val="none" w:sz="0" w:space="0" w:color="auto"/>
        <w:right w:val="none" w:sz="0" w:space="0" w:color="auto"/>
      </w:divBdr>
    </w:div>
    <w:div w:id="1092242765">
      <w:bodyDiv w:val="1"/>
      <w:marLeft w:val="0"/>
      <w:marRight w:val="0"/>
      <w:marTop w:val="0"/>
      <w:marBottom w:val="0"/>
      <w:divBdr>
        <w:top w:val="none" w:sz="0" w:space="0" w:color="auto"/>
        <w:left w:val="none" w:sz="0" w:space="0" w:color="auto"/>
        <w:bottom w:val="none" w:sz="0" w:space="0" w:color="auto"/>
        <w:right w:val="none" w:sz="0" w:space="0" w:color="auto"/>
      </w:divBdr>
    </w:div>
    <w:div w:id="1094013595">
      <w:bodyDiv w:val="1"/>
      <w:marLeft w:val="0"/>
      <w:marRight w:val="0"/>
      <w:marTop w:val="0"/>
      <w:marBottom w:val="0"/>
      <w:divBdr>
        <w:top w:val="none" w:sz="0" w:space="0" w:color="auto"/>
        <w:left w:val="none" w:sz="0" w:space="0" w:color="auto"/>
        <w:bottom w:val="none" w:sz="0" w:space="0" w:color="auto"/>
        <w:right w:val="none" w:sz="0" w:space="0" w:color="auto"/>
      </w:divBdr>
      <w:divsChild>
        <w:div w:id="610551478">
          <w:marLeft w:val="167"/>
          <w:marRight w:val="167"/>
          <w:marTop w:val="0"/>
          <w:marBottom w:val="0"/>
          <w:divBdr>
            <w:top w:val="none" w:sz="0" w:space="0" w:color="auto"/>
            <w:left w:val="none" w:sz="0" w:space="0" w:color="auto"/>
            <w:bottom w:val="none" w:sz="0" w:space="0" w:color="auto"/>
            <w:right w:val="none" w:sz="0" w:space="0" w:color="auto"/>
          </w:divBdr>
          <w:divsChild>
            <w:div w:id="46538295">
              <w:marLeft w:val="0"/>
              <w:marRight w:val="0"/>
              <w:marTop w:val="0"/>
              <w:marBottom w:val="0"/>
              <w:divBdr>
                <w:top w:val="none" w:sz="0" w:space="0" w:color="auto"/>
                <w:left w:val="none" w:sz="0" w:space="0" w:color="auto"/>
                <w:bottom w:val="none" w:sz="0" w:space="0" w:color="auto"/>
                <w:right w:val="none" w:sz="0" w:space="0" w:color="auto"/>
              </w:divBdr>
              <w:divsChild>
                <w:div w:id="90167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07601">
      <w:bodyDiv w:val="1"/>
      <w:marLeft w:val="0"/>
      <w:marRight w:val="0"/>
      <w:marTop w:val="0"/>
      <w:marBottom w:val="0"/>
      <w:divBdr>
        <w:top w:val="none" w:sz="0" w:space="0" w:color="auto"/>
        <w:left w:val="none" w:sz="0" w:space="0" w:color="auto"/>
        <w:bottom w:val="none" w:sz="0" w:space="0" w:color="auto"/>
        <w:right w:val="none" w:sz="0" w:space="0" w:color="auto"/>
      </w:divBdr>
    </w:div>
    <w:div w:id="1148786768">
      <w:bodyDiv w:val="1"/>
      <w:marLeft w:val="0"/>
      <w:marRight w:val="0"/>
      <w:marTop w:val="0"/>
      <w:marBottom w:val="0"/>
      <w:divBdr>
        <w:top w:val="none" w:sz="0" w:space="0" w:color="auto"/>
        <w:left w:val="none" w:sz="0" w:space="0" w:color="auto"/>
        <w:bottom w:val="none" w:sz="0" w:space="0" w:color="auto"/>
        <w:right w:val="none" w:sz="0" w:space="0" w:color="auto"/>
      </w:divBdr>
    </w:div>
    <w:div w:id="1162740266">
      <w:bodyDiv w:val="1"/>
      <w:marLeft w:val="0"/>
      <w:marRight w:val="0"/>
      <w:marTop w:val="0"/>
      <w:marBottom w:val="0"/>
      <w:divBdr>
        <w:top w:val="none" w:sz="0" w:space="0" w:color="auto"/>
        <w:left w:val="none" w:sz="0" w:space="0" w:color="auto"/>
        <w:bottom w:val="none" w:sz="0" w:space="0" w:color="auto"/>
        <w:right w:val="none" w:sz="0" w:space="0" w:color="auto"/>
      </w:divBdr>
    </w:div>
    <w:div w:id="1162819780">
      <w:bodyDiv w:val="1"/>
      <w:marLeft w:val="0"/>
      <w:marRight w:val="0"/>
      <w:marTop w:val="0"/>
      <w:marBottom w:val="0"/>
      <w:divBdr>
        <w:top w:val="none" w:sz="0" w:space="0" w:color="auto"/>
        <w:left w:val="none" w:sz="0" w:space="0" w:color="auto"/>
        <w:bottom w:val="none" w:sz="0" w:space="0" w:color="auto"/>
        <w:right w:val="none" w:sz="0" w:space="0" w:color="auto"/>
      </w:divBdr>
    </w:div>
    <w:div w:id="1169713938">
      <w:bodyDiv w:val="1"/>
      <w:marLeft w:val="0"/>
      <w:marRight w:val="0"/>
      <w:marTop w:val="0"/>
      <w:marBottom w:val="0"/>
      <w:divBdr>
        <w:top w:val="none" w:sz="0" w:space="0" w:color="auto"/>
        <w:left w:val="none" w:sz="0" w:space="0" w:color="auto"/>
        <w:bottom w:val="none" w:sz="0" w:space="0" w:color="auto"/>
        <w:right w:val="none" w:sz="0" w:space="0" w:color="auto"/>
      </w:divBdr>
      <w:divsChild>
        <w:div w:id="1299725938">
          <w:marLeft w:val="547"/>
          <w:marRight w:val="0"/>
          <w:marTop w:val="134"/>
          <w:marBottom w:val="0"/>
          <w:divBdr>
            <w:top w:val="none" w:sz="0" w:space="0" w:color="auto"/>
            <w:left w:val="none" w:sz="0" w:space="0" w:color="auto"/>
            <w:bottom w:val="none" w:sz="0" w:space="0" w:color="auto"/>
            <w:right w:val="none" w:sz="0" w:space="0" w:color="auto"/>
          </w:divBdr>
        </w:div>
      </w:divsChild>
    </w:div>
    <w:div w:id="1177305720">
      <w:bodyDiv w:val="1"/>
      <w:marLeft w:val="0"/>
      <w:marRight w:val="0"/>
      <w:marTop w:val="0"/>
      <w:marBottom w:val="0"/>
      <w:divBdr>
        <w:top w:val="none" w:sz="0" w:space="0" w:color="auto"/>
        <w:left w:val="none" w:sz="0" w:space="0" w:color="auto"/>
        <w:bottom w:val="none" w:sz="0" w:space="0" w:color="auto"/>
        <w:right w:val="none" w:sz="0" w:space="0" w:color="auto"/>
      </w:divBdr>
    </w:div>
    <w:div w:id="1182163666">
      <w:bodyDiv w:val="1"/>
      <w:marLeft w:val="0"/>
      <w:marRight w:val="0"/>
      <w:marTop w:val="0"/>
      <w:marBottom w:val="0"/>
      <w:divBdr>
        <w:top w:val="none" w:sz="0" w:space="0" w:color="auto"/>
        <w:left w:val="none" w:sz="0" w:space="0" w:color="auto"/>
        <w:bottom w:val="none" w:sz="0" w:space="0" w:color="auto"/>
        <w:right w:val="none" w:sz="0" w:space="0" w:color="auto"/>
      </w:divBdr>
    </w:div>
    <w:div w:id="1183006964">
      <w:bodyDiv w:val="1"/>
      <w:marLeft w:val="0"/>
      <w:marRight w:val="0"/>
      <w:marTop w:val="0"/>
      <w:marBottom w:val="0"/>
      <w:divBdr>
        <w:top w:val="none" w:sz="0" w:space="0" w:color="auto"/>
        <w:left w:val="none" w:sz="0" w:space="0" w:color="auto"/>
        <w:bottom w:val="none" w:sz="0" w:space="0" w:color="auto"/>
        <w:right w:val="none" w:sz="0" w:space="0" w:color="auto"/>
      </w:divBdr>
    </w:div>
    <w:div w:id="1190725111">
      <w:bodyDiv w:val="1"/>
      <w:marLeft w:val="0"/>
      <w:marRight w:val="0"/>
      <w:marTop w:val="0"/>
      <w:marBottom w:val="0"/>
      <w:divBdr>
        <w:top w:val="none" w:sz="0" w:space="0" w:color="auto"/>
        <w:left w:val="none" w:sz="0" w:space="0" w:color="auto"/>
        <w:bottom w:val="none" w:sz="0" w:space="0" w:color="auto"/>
        <w:right w:val="none" w:sz="0" w:space="0" w:color="auto"/>
      </w:divBdr>
    </w:div>
    <w:div w:id="1242331419">
      <w:bodyDiv w:val="1"/>
      <w:marLeft w:val="0"/>
      <w:marRight w:val="0"/>
      <w:marTop w:val="0"/>
      <w:marBottom w:val="0"/>
      <w:divBdr>
        <w:top w:val="none" w:sz="0" w:space="0" w:color="auto"/>
        <w:left w:val="none" w:sz="0" w:space="0" w:color="auto"/>
        <w:bottom w:val="none" w:sz="0" w:space="0" w:color="auto"/>
        <w:right w:val="none" w:sz="0" w:space="0" w:color="auto"/>
      </w:divBdr>
    </w:div>
    <w:div w:id="1252203459">
      <w:bodyDiv w:val="1"/>
      <w:marLeft w:val="0"/>
      <w:marRight w:val="0"/>
      <w:marTop w:val="0"/>
      <w:marBottom w:val="0"/>
      <w:divBdr>
        <w:top w:val="none" w:sz="0" w:space="0" w:color="auto"/>
        <w:left w:val="none" w:sz="0" w:space="0" w:color="auto"/>
        <w:bottom w:val="none" w:sz="0" w:space="0" w:color="auto"/>
        <w:right w:val="none" w:sz="0" w:space="0" w:color="auto"/>
      </w:divBdr>
    </w:div>
    <w:div w:id="1266496799">
      <w:bodyDiv w:val="1"/>
      <w:marLeft w:val="0"/>
      <w:marRight w:val="0"/>
      <w:marTop w:val="0"/>
      <w:marBottom w:val="0"/>
      <w:divBdr>
        <w:top w:val="none" w:sz="0" w:space="0" w:color="auto"/>
        <w:left w:val="none" w:sz="0" w:space="0" w:color="auto"/>
        <w:bottom w:val="none" w:sz="0" w:space="0" w:color="auto"/>
        <w:right w:val="none" w:sz="0" w:space="0" w:color="auto"/>
      </w:divBdr>
    </w:div>
    <w:div w:id="1303191856">
      <w:bodyDiv w:val="1"/>
      <w:marLeft w:val="0"/>
      <w:marRight w:val="0"/>
      <w:marTop w:val="0"/>
      <w:marBottom w:val="0"/>
      <w:divBdr>
        <w:top w:val="none" w:sz="0" w:space="0" w:color="auto"/>
        <w:left w:val="none" w:sz="0" w:space="0" w:color="auto"/>
        <w:bottom w:val="none" w:sz="0" w:space="0" w:color="auto"/>
        <w:right w:val="none" w:sz="0" w:space="0" w:color="auto"/>
      </w:divBdr>
    </w:div>
    <w:div w:id="1306933246">
      <w:bodyDiv w:val="1"/>
      <w:marLeft w:val="0"/>
      <w:marRight w:val="0"/>
      <w:marTop w:val="0"/>
      <w:marBottom w:val="0"/>
      <w:divBdr>
        <w:top w:val="none" w:sz="0" w:space="0" w:color="auto"/>
        <w:left w:val="none" w:sz="0" w:space="0" w:color="auto"/>
        <w:bottom w:val="none" w:sz="0" w:space="0" w:color="auto"/>
        <w:right w:val="none" w:sz="0" w:space="0" w:color="auto"/>
      </w:divBdr>
    </w:div>
    <w:div w:id="1332566858">
      <w:bodyDiv w:val="1"/>
      <w:marLeft w:val="0"/>
      <w:marRight w:val="0"/>
      <w:marTop w:val="0"/>
      <w:marBottom w:val="0"/>
      <w:divBdr>
        <w:top w:val="none" w:sz="0" w:space="0" w:color="auto"/>
        <w:left w:val="none" w:sz="0" w:space="0" w:color="auto"/>
        <w:bottom w:val="none" w:sz="0" w:space="0" w:color="auto"/>
        <w:right w:val="none" w:sz="0" w:space="0" w:color="auto"/>
      </w:divBdr>
    </w:div>
    <w:div w:id="1439180087">
      <w:bodyDiv w:val="1"/>
      <w:marLeft w:val="0"/>
      <w:marRight w:val="0"/>
      <w:marTop w:val="0"/>
      <w:marBottom w:val="0"/>
      <w:divBdr>
        <w:top w:val="none" w:sz="0" w:space="0" w:color="auto"/>
        <w:left w:val="none" w:sz="0" w:space="0" w:color="auto"/>
        <w:bottom w:val="none" w:sz="0" w:space="0" w:color="auto"/>
        <w:right w:val="none" w:sz="0" w:space="0" w:color="auto"/>
      </w:divBdr>
    </w:div>
    <w:div w:id="1452166772">
      <w:bodyDiv w:val="1"/>
      <w:marLeft w:val="0"/>
      <w:marRight w:val="0"/>
      <w:marTop w:val="0"/>
      <w:marBottom w:val="0"/>
      <w:divBdr>
        <w:top w:val="none" w:sz="0" w:space="0" w:color="auto"/>
        <w:left w:val="none" w:sz="0" w:space="0" w:color="auto"/>
        <w:bottom w:val="none" w:sz="0" w:space="0" w:color="auto"/>
        <w:right w:val="none" w:sz="0" w:space="0" w:color="auto"/>
      </w:divBdr>
    </w:div>
    <w:div w:id="1489057254">
      <w:bodyDiv w:val="1"/>
      <w:marLeft w:val="0"/>
      <w:marRight w:val="0"/>
      <w:marTop w:val="0"/>
      <w:marBottom w:val="0"/>
      <w:divBdr>
        <w:top w:val="none" w:sz="0" w:space="0" w:color="auto"/>
        <w:left w:val="none" w:sz="0" w:space="0" w:color="auto"/>
        <w:bottom w:val="none" w:sz="0" w:space="0" w:color="auto"/>
        <w:right w:val="none" w:sz="0" w:space="0" w:color="auto"/>
      </w:divBdr>
    </w:div>
    <w:div w:id="1509756418">
      <w:bodyDiv w:val="1"/>
      <w:marLeft w:val="0"/>
      <w:marRight w:val="0"/>
      <w:marTop w:val="0"/>
      <w:marBottom w:val="0"/>
      <w:divBdr>
        <w:top w:val="none" w:sz="0" w:space="0" w:color="auto"/>
        <w:left w:val="none" w:sz="0" w:space="0" w:color="auto"/>
        <w:bottom w:val="none" w:sz="0" w:space="0" w:color="auto"/>
        <w:right w:val="none" w:sz="0" w:space="0" w:color="auto"/>
      </w:divBdr>
    </w:div>
    <w:div w:id="1594583513">
      <w:bodyDiv w:val="1"/>
      <w:marLeft w:val="0"/>
      <w:marRight w:val="0"/>
      <w:marTop w:val="0"/>
      <w:marBottom w:val="0"/>
      <w:divBdr>
        <w:top w:val="none" w:sz="0" w:space="0" w:color="auto"/>
        <w:left w:val="none" w:sz="0" w:space="0" w:color="auto"/>
        <w:bottom w:val="none" w:sz="0" w:space="0" w:color="auto"/>
        <w:right w:val="none" w:sz="0" w:space="0" w:color="auto"/>
      </w:divBdr>
    </w:div>
    <w:div w:id="1595894185">
      <w:bodyDiv w:val="1"/>
      <w:marLeft w:val="0"/>
      <w:marRight w:val="0"/>
      <w:marTop w:val="0"/>
      <w:marBottom w:val="0"/>
      <w:divBdr>
        <w:top w:val="none" w:sz="0" w:space="0" w:color="auto"/>
        <w:left w:val="none" w:sz="0" w:space="0" w:color="auto"/>
        <w:bottom w:val="none" w:sz="0" w:space="0" w:color="auto"/>
        <w:right w:val="none" w:sz="0" w:space="0" w:color="auto"/>
      </w:divBdr>
    </w:div>
    <w:div w:id="1648902636">
      <w:bodyDiv w:val="1"/>
      <w:marLeft w:val="0"/>
      <w:marRight w:val="0"/>
      <w:marTop w:val="0"/>
      <w:marBottom w:val="0"/>
      <w:divBdr>
        <w:top w:val="none" w:sz="0" w:space="0" w:color="auto"/>
        <w:left w:val="none" w:sz="0" w:space="0" w:color="auto"/>
        <w:bottom w:val="none" w:sz="0" w:space="0" w:color="auto"/>
        <w:right w:val="none" w:sz="0" w:space="0" w:color="auto"/>
      </w:divBdr>
    </w:div>
    <w:div w:id="1701935341">
      <w:bodyDiv w:val="1"/>
      <w:marLeft w:val="0"/>
      <w:marRight w:val="0"/>
      <w:marTop w:val="0"/>
      <w:marBottom w:val="0"/>
      <w:divBdr>
        <w:top w:val="none" w:sz="0" w:space="0" w:color="auto"/>
        <w:left w:val="none" w:sz="0" w:space="0" w:color="auto"/>
        <w:bottom w:val="none" w:sz="0" w:space="0" w:color="auto"/>
        <w:right w:val="none" w:sz="0" w:space="0" w:color="auto"/>
      </w:divBdr>
    </w:div>
    <w:div w:id="1711493336">
      <w:bodyDiv w:val="1"/>
      <w:marLeft w:val="0"/>
      <w:marRight w:val="0"/>
      <w:marTop w:val="0"/>
      <w:marBottom w:val="0"/>
      <w:divBdr>
        <w:top w:val="none" w:sz="0" w:space="0" w:color="auto"/>
        <w:left w:val="none" w:sz="0" w:space="0" w:color="auto"/>
        <w:bottom w:val="none" w:sz="0" w:space="0" w:color="auto"/>
        <w:right w:val="none" w:sz="0" w:space="0" w:color="auto"/>
      </w:divBdr>
    </w:div>
    <w:div w:id="1752045865">
      <w:bodyDiv w:val="1"/>
      <w:marLeft w:val="0"/>
      <w:marRight w:val="0"/>
      <w:marTop w:val="0"/>
      <w:marBottom w:val="0"/>
      <w:divBdr>
        <w:top w:val="none" w:sz="0" w:space="0" w:color="auto"/>
        <w:left w:val="none" w:sz="0" w:space="0" w:color="auto"/>
        <w:bottom w:val="none" w:sz="0" w:space="0" w:color="auto"/>
        <w:right w:val="none" w:sz="0" w:space="0" w:color="auto"/>
      </w:divBdr>
    </w:div>
    <w:div w:id="1764063786">
      <w:bodyDiv w:val="1"/>
      <w:marLeft w:val="0"/>
      <w:marRight w:val="0"/>
      <w:marTop w:val="0"/>
      <w:marBottom w:val="0"/>
      <w:divBdr>
        <w:top w:val="none" w:sz="0" w:space="0" w:color="auto"/>
        <w:left w:val="none" w:sz="0" w:space="0" w:color="auto"/>
        <w:bottom w:val="none" w:sz="0" w:space="0" w:color="auto"/>
        <w:right w:val="none" w:sz="0" w:space="0" w:color="auto"/>
      </w:divBdr>
    </w:div>
    <w:div w:id="1777670417">
      <w:bodyDiv w:val="1"/>
      <w:marLeft w:val="0"/>
      <w:marRight w:val="0"/>
      <w:marTop w:val="0"/>
      <w:marBottom w:val="0"/>
      <w:divBdr>
        <w:top w:val="none" w:sz="0" w:space="0" w:color="auto"/>
        <w:left w:val="none" w:sz="0" w:space="0" w:color="auto"/>
        <w:bottom w:val="none" w:sz="0" w:space="0" w:color="auto"/>
        <w:right w:val="none" w:sz="0" w:space="0" w:color="auto"/>
      </w:divBdr>
    </w:div>
    <w:div w:id="1783642620">
      <w:bodyDiv w:val="1"/>
      <w:marLeft w:val="0"/>
      <w:marRight w:val="0"/>
      <w:marTop w:val="0"/>
      <w:marBottom w:val="0"/>
      <w:divBdr>
        <w:top w:val="none" w:sz="0" w:space="0" w:color="auto"/>
        <w:left w:val="none" w:sz="0" w:space="0" w:color="auto"/>
        <w:bottom w:val="none" w:sz="0" w:space="0" w:color="auto"/>
        <w:right w:val="none" w:sz="0" w:space="0" w:color="auto"/>
      </w:divBdr>
    </w:div>
    <w:div w:id="1815373957">
      <w:bodyDiv w:val="1"/>
      <w:marLeft w:val="0"/>
      <w:marRight w:val="0"/>
      <w:marTop w:val="0"/>
      <w:marBottom w:val="0"/>
      <w:divBdr>
        <w:top w:val="none" w:sz="0" w:space="0" w:color="auto"/>
        <w:left w:val="none" w:sz="0" w:space="0" w:color="auto"/>
        <w:bottom w:val="none" w:sz="0" w:space="0" w:color="auto"/>
        <w:right w:val="none" w:sz="0" w:space="0" w:color="auto"/>
      </w:divBdr>
    </w:div>
    <w:div w:id="1823035536">
      <w:bodyDiv w:val="1"/>
      <w:marLeft w:val="0"/>
      <w:marRight w:val="0"/>
      <w:marTop w:val="0"/>
      <w:marBottom w:val="0"/>
      <w:divBdr>
        <w:top w:val="none" w:sz="0" w:space="0" w:color="auto"/>
        <w:left w:val="none" w:sz="0" w:space="0" w:color="auto"/>
        <w:bottom w:val="none" w:sz="0" w:space="0" w:color="auto"/>
        <w:right w:val="none" w:sz="0" w:space="0" w:color="auto"/>
      </w:divBdr>
    </w:div>
    <w:div w:id="1834055936">
      <w:bodyDiv w:val="1"/>
      <w:marLeft w:val="0"/>
      <w:marRight w:val="0"/>
      <w:marTop w:val="0"/>
      <w:marBottom w:val="0"/>
      <w:divBdr>
        <w:top w:val="none" w:sz="0" w:space="0" w:color="auto"/>
        <w:left w:val="none" w:sz="0" w:space="0" w:color="auto"/>
        <w:bottom w:val="none" w:sz="0" w:space="0" w:color="auto"/>
        <w:right w:val="none" w:sz="0" w:space="0" w:color="auto"/>
      </w:divBdr>
    </w:div>
    <w:div w:id="1834947332">
      <w:bodyDiv w:val="1"/>
      <w:marLeft w:val="0"/>
      <w:marRight w:val="0"/>
      <w:marTop w:val="0"/>
      <w:marBottom w:val="0"/>
      <w:divBdr>
        <w:top w:val="none" w:sz="0" w:space="0" w:color="auto"/>
        <w:left w:val="none" w:sz="0" w:space="0" w:color="auto"/>
        <w:bottom w:val="none" w:sz="0" w:space="0" w:color="auto"/>
        <w:right w:val="none" w:sz="0" w:space="0" w:color="auto"/>
      </w:divBdr>
    </w:div>
    <w:div w:id="1853647412">
      <w:bodyDiv w:val="1"/>
      <w:marLeft w:val="0"/>
      <w:marRight w:val="0"/>
      <w:marTop w:val="0"/>
      <w:marBottom w:val="0"/>
      <w:divBdr>
        <w:top w:val="none" w:sz="0" w:space="0" w:color="auto"/>
        <w:left w:val="none" w:sz="0" w:space="0" w:color="auto"/>
        <w:bottom w:val="none" w:sz="0" w:space="0" w:color="auto"/>
        <w:right w:val="none" w:sz="0" w:space="0" w:color="auto"/>
      </w:divBdr>
    </w:div>
    <w:div w:id="1860970251">
      <w:bodyDiv w:val="1"/>
      <w:marLeft w:val="0"/>
      <w:marRight w:val="0"/>
      <w:marTop w:val="0"/>
      <w:marBottom w:val="0"/>
      <w:divBdr>
        <w:top w:val="none" w:sz="0" w:space="0" w:color="auto"/>
        <w:left w:val="none" w:sz="0" w:space="0" w:color="auto"/>
        <w:bottom w:val="none" w:sz="0" w:space="0" w:color="auto"/>
        <w:right w:val="none" w:sz="0" w:space="0" w:color="auto"/>
      </w:divBdr>
    </w:div>
    <w:div w:id="1865509672">
      <w:bodyDiv w:val="1"/>
      <w:marLeft w:val="0"/>
      <w:marRight w:val="0"/>
      <w:marTop w:val="0"/>
      <w:marBottom w:val="0"/>
      <w:divBdr>
        <w:top w:val="none" w:sz="0" w:space="0" w:color="auto"/>
        <w:left w:val="none" w:sz="0" w:space="0" w:color="auto"/>
        <w:bottom w:val="none" w:sz="0" w:space="0" w:color="auto"/>
        <w:right w:val="none" w:sz="0" w:space="0" w:color="auto"/>
      </w:divBdr>
    </w:div>
    <w:div w:id="1880047850">
      <w:bodyDiv w:val="1"/>
      <w:marLeft w:val="0"/>
      <w:marRight w:val="0"/>
      <w:marTop w:val="0"/>
      <w:marBottom w:val="0"/>
      <w:divBdr>
        <w:top w:val="none" w:sz="0" w:space="0" w:color="auto"/>
        <w:left w:val="none" w:sz="0" w:space="0" w:color="auto"/>
        <w:bottom w:val="none" w:sz="0" w:space="0" w:color="auto"/>
        <w:right w:val="none" w:sz="0" w:space="0" w:color="auto"/>
      </w:divBdr>
    </w:div>
    <w:div w:id="1887445180">
      <w:bodyDiv w:val="1"/>
      <w:marLeft w:val="0"/>
      <w:marRight w:val="0"/>
      <w:marTop w:val="0"/>
      <w:marBottom w:val="0"/>
      <w:divBdr>
        <w:top w:val="none" w:sz="0" w:space="0" w:color="auto"/>
        <w:left w:val="none" w:sz="0" w:space="0" w:color="auto"/>
        <w:bottom w:val="none" w:sz="0" w:space="0" w:color="auto"/>
        <w:right w:val="none" w:sz="0" w:space="0" w:color="auto"/>
      </w:divBdr>
    </w:div>
    <w:div w:id="1891065030">
      <w:bodyDiv w:val="1"/>
      <w:marLeft w:val="0"/>
      <w:marRight w:val="0"/>
      <w:marTop w:val="0"/>
      <w:marBottom w:val="0"/>
      <w:divBdr>
        <w:top w:val="none" w:sz="0" w:space="0" w:color="auto"/>
        <w:left w:val="none" w:sz="0" w:space="0" w:color="auto"/>
        <w:bottom w:val="none" w:sz="0" w:space="0" w:color="auto"/>
        <w:right w:val="none" w:sz="0" w:space="0" w:color="auto"/>
      </w:divBdr>
    </w:div>
    <w:div w:id="1920867843">
      <w:bodyDiv w:val="1"/>
      <w:marLeft w:val="0"/>
      <w:marRight w:val="0"/>
      <w:marTop w:val="0"/>
      <w:marBottom w:val="0"/>
      <w:divBdr>
        <w:top w:val="none" w:sz="0" w:space="0" w:color="auto"/>
        <w:left w:val="none" w:sz="0" w:space="0" w:color="auto"/>
        <w:bottom w:val="none" w:sz="0" w:space="0" w:color="auto"/>
        <w:right w:val="none" w:sz="0" w:space="0" w:color="auto"/>
      </w:divBdr>
    </w:div>
    <w:div w:id="1922792506">
      <w:bodyDiv w:val="1"/>
      <w:marLeft w:val="0"/>
      <w:marRight w:val="0"/>
      <w:marTop w:val="0"/>
      <w:marBottom w:val="0"/>
      <w:divBdr>
        <w:top w:val="none" w:sz="0" w:space="0" w:color="auto"/>
        <w:left w:val="none" w:sz="0" w:space="0" w:color="auto"/>
        <w:bottom w:val="none" w:sz="0" w:space="0" w:color="auto"/>
        <w:right w:val="none" w:sz="0" w:space="0" w:color="auto"/>
      </w:divBdr>
    </w:div>
    <w:div w:id="1923054976">
      <w:bodyDiv w:val="1"/>
      <w:marLeft w:val="0"/>
      <w:marRight w:val="0"/>
      <w:marTop w:val="0"/>
      <w:marBottom w:val="0"/>
      <w:divBdr>
        <w:top w:val="none" w:sz="0" w:space="0" w:color="auto"/>
        <w:left w:val="none" w:sz="0" w:space="0" w:color="auto"/>
        <w:bottom w:val="none" w:sz="0" w:space="0" w:color="auto"/>
        <w:right w:val="none" w:sz="0" w:space="0" w:color="auto"/>
      </w:divBdr>
    </w:div>
    <w:div w:id="1928541091">
      <w:bodyDiv w:val="1"/>
      <w:marLeft w:val="0"/>
      <w:marRight w:val="0"/>
      <w:marTop w:val="0"/>
      <w:marBottom w:val="0"/>
      <w:divBdr>
        <w:top w:val="none" w:sz="0" w:space="0" w:color="auto"/>
        <w:left w:val="none" w:sz="0" w:space="0" w:color="auto"/>
        <w:bottom w:val="none" w:sz="0" w:space="0" w:color="auto"/>
        <w:right w:val="none" w:sz="0" w:space="0" w:color="auto"/>
      </w:divBdr>
    </w:div>
    <w:div w:id="1949198135">
      <w:bodyDiv w:val="1"/>
      <w:marLeft w:val="0"/>
      <w:marRight w:val="0"/>
      <w:marTop w:val="0"/>
      <w:marBottom w:val="0"/>
      <w:divBdr>
        <w:top w:val="none" w:sz="0" w:space="0" w:color="auto"/>
        <w:left w:val="none" w:sz="0" w:space="0" w:color="auto"/>
        <w:bottom w:val="none" w:sz="0" w:space="0" w:color="auto"/>
        <w:right w:val="none" w:sz="0" w:space="0" w:color="auto"/>
      </w:divBdr>
    </w:div>
    <w:div w:id="1953584983">
      <w:bodyDiv w:val="1"/>
      <w:marLeft w:val="0"/>
      <w:marRight w:val="0"/>
      <w:marTop w:val="0"/>
      <w:marBottom w:val="0"/>
      <w:divBdr>
        <w:top w:val="none" w:sz="0" w:space="0" w:color="auto"/>
        <w:left w:val="none" w:sz="0" w:space="0" w:color="auto"/>
        <w:bottom w:val="none" w:sz="0" w:space="0" w:color="auto"/>
        <w:right w:val="none" w:sz="0" w:space="0" w:color="auto"/>
      </w:divBdr>
    </w:div>
    <w:div w:id="1975598111">
      <w:bodyDiv w:val="1"/>
      <w:marLeft w:val="0"/>
      <w:marRight w:val="0"/>
      <w:marTop w:val="0"/>
      <w:marBottom w:val="0"/>
      <w:divBdr>
        <w:top w:val="none" w:sz="0" w:space="0" w:color="auto"/>
        <w:left w:val="none" w:sz="0" w:space="0" w:color="auto"/>
        <w:bottom w:val="none" w:sz="0" w:space="0" w:color="auto"/>
        <w:right w:val="none" w:sz="0" w:space="0" w:color="auto"/>
      </w:divBdr>
    </w:div>
    <w:div w:id="1990329747">
      <w:bodyDiv w:val="1"/>
      <w:marLeft w:val="0"/>
      <w:marRight w:val="0"/>
      <w:marTop w:val="0"/>
      <w:marBottom w:val="0"/>
      <w:divBdr>
        <w:top w:val="none" w:sz="0" w:space="0" w:color="auto"/>
        <w:left w:val="none" w:sz="0" w:space="0" w:color="auto"/>
        <w:bottom w:val="none" w:sz="0" w:space="0" w:color="auto"/>
        <w:right w:val="none" w:sz="0" w:space="0" w:color="auto"/>
      </w:divBdr>
    </w:div>
    <w:div w:id="2026011604">
      <w:bodyDiv w:val="1"/>
      <w:marLeft w:val="0"/>
      <w:marRight w:val="0"/>
      <w:marTop w:val="0"/>
      <w:marBottom w:val="0"/>
      <w:divBdr>
        <w:top w:val="none" w:sz="0" w:space="0" w:color="auto"/>
        <w:left w:val="none" w:sz="0" w:space="0" w:color="auto"/>
        <w:bottom w:val="none" w:sz="0" w:space="0" w:color="auto"/>
        <w:right w:val="none" w:sz="0" w:space="0" w:color="auto"/>
      </w:divBdr>
    </w:div>
    <w:div w:id="2036924465">
      <w:bodyDiv w:val="1"/>
      <w:marLeft w:val="0"/>
      <w:marRight w:val="0"/>
      <w:marTop w:val="0"/>
      <w:marBottom w:val="0"/>
      <w:divBdr>
        <w:top w:val="none" w:sz="0" w:space="0" w:color="auto"/>
        <w:left w:val="none" w:sz="0" w:space="0" w:color="auto"/>
        <w:bottom w:val="none" w:sz="0" w:space="0" w:color="auto"/>
        <w:right w:val="none" w:sz="0" w:space="0" w:color="auto"/>
      </w:divBdr>
    </w:div>
    <w:div w:id="2048682411">
      <w:bodyDiv w:val="1"/>
      <w:marLeft w:val="0"/>
      <w:marRight w:val="0"/>
      <w:marTop w:val="0"/>
      <w:marBottom w:val="0"/>
      <w:divBdr>
        <w:top w:val="none" w:sz="0" w:space="0" w:color="auto"/>
        <w:left w:val="none" w:sz="0" w:space="0" w:color="auto"/>
        <w:bottom w:val="none" w:sz="0" w:space="0" w:color="auto"/>
        <w:right w:val="none" w:sz="0" w:space="0" w:color="auto"/>
      </w:divBdr>
    </w:div>
    <w:div w:id="2061440373">
      <w:bodyDiv w:val="1"/>
      <w:marLeft w:val="0"/>
      <w:marRight w:val="0"/>
      <w:marTop w:val="0"/>
      <w:marBottom w:val="0"/>
      <w:divBdr>
        <w:top w:val="none" w:sz="0" w:space="0" w:color="auto"/>
        <w:left w:val="none" w:sz="0" w:space="0" w:color="auto"/>
        <w:bottom w:val="none" w:sz="0" w:space="0" w:color="auto"/>
        <w:right w:val="none" w:sz="0" w:space="0" w:color="auto"/>
      </w:divBdr>
    </w:div>
    <w:div w:id="2062047357">
      <w:bodyDiv w:val="1"/>
      <w:marLeft w:val="0"/>
      <w:marRight w:val="0"/>
      <w:marTop w:val="0"/>
      <w:marBottom w:val="0"/>
      <w:divBdr>
        <w:top w:val="none" w:sz="0" w:space="0" w:color="auto"/>
        <w:left w:val="none" w:sz="0" w:space="0" w:color="auto"/>
        <w:bottom w:val="none" w:sz="0" w:space="0" w:color="auto"/>
        <w:right w:val="none" w:sz="0" w:space="0" w:color="auto"/>
      </w:divBdr>
    </w:div>
    <w:div w:id="210449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sych.ox.ac.uk/research/neuroscience-ethics-and-society" TargetMode="External"/><Relationship Id="rId18" Type="http://schemas.openxmlformats.org/officeDocument/2006/relationships/hyperlink" Target="https://www.phc.ox.ac.uk/team/richard-hobbs" TargetMode="External"/><Relationship Id="rId26" Type="http://schemas.openxmlformats.org/officeDocument/2006/relationships/hyperlink" Target="https://www.phc.ox.ac.uk/team/susan-jebb" TargetMode="External"/><Relationship Id="rId3" Type="http://schemas.openxmlformats.org/officeDocument/2006/relationships/styles" Target="styles.xml"/><Relationship Id="rId21" Type="http://schemas.openxmlformats.org/officeDocument/2006/relationships/hyperlink" Target="https://www.phc.ox.ac.uk/team/susan-jebb"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egoodeie.com/ypag/" TargetMode="External"/><Relationship Id="rId17" Type="http://schemas.openxmlformats.org/officeDocument/2006/relationships/hyperlink" Target="https://www.oxfordahsn.org/about-us/our-people/stuart-bell-cbe-2/" TargetMode="External"/><Relationship Id="rId25" Type="http://schemas.openxmlformats.org/officeDocument/2006/relationships/hyperlink" Target="https://www.phc.ox.ac.uk/team/rafael-perera"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ongtermplan.nhs.uk/" TargetMode="External"/><Relationship Id="rId20" Type="http://schemas.openxmlformats.org/officeDocument/2006/relationships/hyperlink" Target="https://www.arc-oxtv.nihr.ac.uk/" TargetMode="External"/><Relationship Id="rId29" Type="http://schemas.openxmlformats.org/officeDocument/2006/relationships/hyperlink" Target="https://www.paddleap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xfordhealthbrc.nihr.ac.uk/wp-content/uploads/2020/02/PPI-Workshops-2019-Report.pdf" TargetMode="External"/><Relationship Id="rId24" Type="http://schemas.openxmlformats.org/officeDocument/2006/relationships/hyperlink" Target="https://www.phc.ox.ac.uk/team/john-powell" TargetMode="External"/><Relationship Id="rId32" Type="http://schemas.openxmlformats.org/officeDocument/2006/relationships/hyperlink" Target="https://www.brookes.ac.uk/oxinmahr/" TargetMode="External"/><Relationship Id="rId5" Type="http://schemas.openxmlformats.org/officeDocument/2006/relationships/webSettings" Target="webSettings.xml"/><Relationship Id="rId15" Type="http://schemas.openxmlformats.org/officeDocument/2006/relationships/hyperlink" Target="https://www.england.nhs.uk/five-year-forward-view/" TargetMode="External"/><Relationship Id="rId23" Type="http://schemas.openxmlformats.org/officeDocument/2006/relationships/hyperlink" Target="https://www.ndph.ox.ac.uk/team/raymond-fitzpatrick" TargetMode="External"/><Relationship Id="rId28" Type="http://schemas.openxmlformats.org/officeDocument/2006/relationships/image" Target="media/image2.png"/><Relationship Id="rId36" Type="http://schemas.openxmlformats.org/officeDocument/2006/relationships/theme" Target="theme/theme1.xml"/><Relationship Id="rId10" Type="http://schemas.openxmlformats.org/officeDocument/2006/relationships/hyperlink" Target="https://oxfordhealthbrc.nihr.ac.uk/patient-and-public-involvement/ppi-strategy/" TargetMode="External"/><Relationship Id="rId19" Type="http://schemas.openxmlformats.org/officeDocument/2006/relationships/hyperlink" Target="https://www.oxfordahsn.org/about-us/our-people/professor-gary-ford-cbe/" TargetMode="External"/><Relationship Id="rId31" Type="http://schemas.openxmlformats.org/officeDocument/2006/relationships/hyperlink" Target="http://www.sleepio.com/nhs" TargetMode="External"/><Relationship Id="rId4" Type="http://schemas.openxmlformats.org/officeDocument/2006/relationships/settings" Target="settings.xml"/><Relationship Id="rId9" Type="http://schemas.openxmlformats.org/officeDocument/2006/relationships/hyperlink" Target="https://oxcadatresources.com" TargetMode="External"/><Relationship Id="rId14" Type="http://schemas.openxmlformats.org/officeDocument/2006/relationships/hyperlink" Target="https://www.tandfonline.com/doi/full/10.1080/15265161.2019.1619877" TargetMode="External"/><Relationship Id="rId22" Type="http://schemas.openxmlformats.org/officeDocument/2006/relationships/hyperlink" Target="https://www.phc.ox.ac.uk/team/richard-mcmanus" TargetMode="External"/><Relationship Id="rId27" Type="http://schemas.openxmlformats.org/officeDocument/2006/relationships/chart" Target="charts/chart1.xml"/><Relationship Id="rId30" Type="http://schemas.openxmlformats.org/officeDocument/2006/relationships/hyperlink" Target="https://www.thamesvalleystarlingcollaborative.net"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OBMH\G_Data\Oxfordshire\Accounts\Research%20and%20Development\FY20%20Actuals\Month%2010\Report\Finance%20-%20board%20repor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Oxford Health Research Income FY10-FY22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spPr>
            <a:ln w="28575" cap="rnd">
              <a:solidFill>
                <a:schemeClr val="accent1"/>
              </a:solidFill>
              <a:round/>
            </a:ln>
            <a:effectLst/>
          </c:spPr>
          <c:marker>
            <c:symbol val="none"/>
          </c:marker>
          <c:cat>
            <c:strRef>
              <c:f>'Finance Report'!$A$78:$A$90</c:f>
              <c:strCache>
                <c:ptCount val="13"/>
                <c:pt idx="0">
                  <c:v>FY10 Actual</c:v>
                </c:pt>
                <c:pt idx="1">
                  <c:v>FY11 Actual</c:v>
                </c:pt>
                <c:pt idx="2">
                  <c:v>FY12 Actual</c:v>
                </c:pt>
                <c:pt idx="3">
                  <c:v>FY13 Actual</c:v>
                </c:pt>
                <c:pt idx="4">
                  <c:v>FY14 Actual</c:v>
                </c:pt>
                <c:pt idx="5">
                  <c:v>FY15 Actual</c:v>
                </c:pt>
                <c:pt idx="6">
                  <c:v>FY16 Actual</c:v>
                </c:pt>
                <c:pt idx="7">
                  <c:v>FY17 Actual</c:v>
                </c:pt>
                <c:pt idx="8">
                  <c:v>FY18 Actual</c:v>
                </c:pt>
                <c:pt idx="9">
                  <c:v>FY19 Actual</c:v>
                </c:pt>
                <c:pt idx="10">
                  <c:v>FY20 Budget</c:v>
                </c:pt>
                <c:pt idx="11">
                  <c:v>FY21 Draft Budget</c:v>
                </c:pt>
                <c:pt idx="12">
                  <c:v>FY22 Draft Budget</c:v>
                </c:pt>
              </c:strCache>
            </c:strRef>
          </c:cat>
          <c:val>
            <c:numRef>
              <c:f>'Finance Report'!$B$78:$B$90</c:f>
              <c:numCache>
                <c:formatCode>#,##0</c:formatCode>
                <c:ptCount val="13"/>
                <c:pt idx="0">
                  <c:v>1.6136109999999999</c:v>
                </c:pt>
                <c:pt idx="1">
                  <c:v>2.7250290000000001</c:v>
                </c:pt>
                <c:pt idx="2">
                  <c:v>3.6871499999999999</c:v>
                </c:pt>
                <c:pt idx="3">
                  <c:v>4.6472889999999998</c:v>
                </c:pt>
                <c:pt idx="4">
                  <c:v>6.6248019999999999</c:v>
                </c:pt>
                <c:pt idx="5">
                  <c:v>6.4617940000000003</c:v>
                </c:pt>
                <c:pt idx="6">
                  <c:v>6.5765909999999996</c:v>
                </c:pt>
                <c:pt idx="7">
                  <c:v>6.4505100000000004</c:v>
                </c:pt>
                <c:pt idx="8">
                  <c:v>8.2230000000000008</c:v>
                </c:pt>
                <c:pt idx="9">
                  <c:v>10.57522</c:v>
                </c:pt>
                <c:pt idx="10" formatCode="#,##0.00">
                  <c:v>11.71</c:v>
                </c:pt>
                <c:pt idx="11">
                  <c:v>12.1</c:v>
                </c:pt>
                <c:pt idx="12" formatCode="#,##0.00">
                  <c:v>9.7254129999999996</c:v>
                </c:pt>
              </c:numCache>
            </c:numRef>
          </c:val>
          <c:smooth val="0"/>
          <c:extLst>
            <c:ext xmlns:c16="http://schemas.microsoft.com/office/drawing/2014/chart" uri="{C3380CC4-5D6E-409C-BE32-E72D297353CC}">
              <c16:uniqueId val="{00000000-ADE6-4219-8EE7-CD1B2D8DF6F8}"/>
            </c:ext>
          </c:extLst>
        </c:ser>
        <c:dLbls>
          <c:showLegendKey val="0"/>
          <c:showVal val="0"/>
          <c:showCatName val="0"/>
          <c:showSerName val="0"/>
          <c:showPercent val="0"/>
          <c:showBubbleSize val="0"/>
        </c:dLbls>
        <c:smooth val="0"/>
        <c:axId val="429654416"/>
        <c:axId val="429655400"/>
      </c:lineChart>
      <c:catAx>
        <c:axId val="4296544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Years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9655400"/>
        <c:crosses val="autoZero"/>
        <c:auto val="1"/>
        <c:lblAlgn val="ctr"/>
        <c:lblOffset val="100"/>
        <c:noMultiLvlLbl val="0"/>
      </c:catAx>
      <c:valAx>
        <c:axId val="429655400"/>
        <c:scaling>
          <c:orientation val="minMax"/>
          <c:max val="13"/>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Millions £'s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9654416"/>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A6657-8FDC-4AA7-A53A-F0FF66B0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45</Pages>
  <Words>19718</Words>
  <Characters>115473</Characters>
  <Application>Microsoft Office Word</Application>
  <DocSecurity>0</DocSecurity>
  <Lines>962</Lines>
  <Paragraphs>269</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134922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Smith Hannah (RNU) Oxford Health</cp:lastModifiedBy>
  <cp:revision>60</cp:revision>
  <cp:lastPrinted>2020-03-06T12:10:00Z</cp:lastPrinted>
  <dcterms:created xsi:type="dcterms:W3CDTF">2020-03-02T08:23:00Z</dcterms:created>
  <dcterms:modified xsi:type="dcterms:W3CDTF">2020-05-12T20:44:00Z</dcterms:modified>
</cp:coreProperties>
</file>