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4D22D59A" w:rsidR="005D3499" w:rsidRPr="004D0692" w:rsidRDefault="001058A7" w:rsidP="0004652B">
      <w:pPr>
        <w:ind w:right="-900"/>
        <w:rPr>
          <w:rFonts w:ascii="Segoe UI" w:hAnsi="Segoe UI" w:cs="Segoe UI"/>
          <w:lang w:val="en-GB"/>
        </w:rPr>
      </w:pPr>
      <w:r w:rsidRPr="00913639">
        <w:rPr>
          <w:noProof/>
          <w:lang w:val="en-GB" w:eastAsia="en-GB"/>
        </w:rPr>
        <w:drawing>
          <wp:anchor distT="0" distB="0" distL="114300" distR="114300" simplePos="0" relativeHeight="251661824" behindDoc="0" locked="0" layoutInCell="1" allowOverlap="1" wp14:anchorId="6420959E" wp14:editId="7E3FFC23">
            <wp:simplePos x="5257800" y="1841500"/>
            <wp:positionH relativeFrom="column">
              <wp:align>right</wp:align>
            </wp:positionH>
            <wp:positionV relativeFrom="paragraph">
              <wp:align>top</wp:align>
            </wp:positionV>
            <wp:extent cx="1943100"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anchor>
        </w:drawing>
      </w:r>
      <w:r w:rsidR="00B93EA5">
        <w:rPr>
          <w:rFonts w:ascii="Segoe UI" w:hAnsi="Segoe UI" w:cs="Segoe UI"/>
          <w:lang w:val="en-GB"/>
        </w:rPr>
        <w:t xml:space="preserve"> </w:t>
      </w:r>
      <w:r w:rsidR="0004652B">
        <w:rPr>
          <w:rFonts w:ascii="Segoe UI" w:hAnsi="Segoe UI" w:cs="Segoe UI"/>
          <w:lang w:val="en-GB"/>
        </w:rPr>
        <w:br w:type="textWrapping" w:clear="all"/>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22554220" w:rsidR="002821F8" w:rsidRPr="00FA3993" w:rsidRDefault="009F7B13">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5D370204">
                <wp:simplePos x="0" y="0"/>
                <wp:positionH relativeFrom="column">
                  <wp:posOffset>4703445</wp:posOffset>
                </wp:positionH>
                <wp:positionV relativeFrom="paragraph">
                  <wp:posOffset>98425</wp:posOffset>
                </wp:positionV>
                <wp:extent cx="1371600" cy="571500"/>
                <wp:effectExtent l="5715" t="7620" r="13335"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50213200" w:rsidR="00781566" w:rsidRDefault="00FA3993">
                            <w:pPr>
                              <w:jc w:val="center"/>
                              <w:rPr>
                                <w:rFonts w:ascii="Segoe UI" w:hAnsi="Segoe UI" w:cs="Segoe UI"/>
                              </w:rPr>
                            </w:pPr>
                            <w:r>
                              <w:rPr>
                                <w:rFonts w:ascii="Segoe UI" w:hAnsi="Segoe UI" w:cs="Segoe UI"/>
                                <w:b/>
                              </w:rPr>
                              <w:t xml:space="preserve">BOD </w:t>
                            </w:r>
                            <w:r w:rsidR="00AE3FCD">
                              <w:rPr>
                                <w:rFonts w:ascii="Segoe UI" w:hAnsi="Segoe UI" w:cs="Segoe UI"/>
                                <w:b/>
                              </w:rPr>
                              <w:t>42</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05D1321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E3FCD">
                              <w:rPr>
                                <w:rFonts w:ascii="Segoe UI" w:hAnsi="Segoe UI" w:cs="Segoe UI"/>
                                <w:sz w:val="22"/>
                                <w:szCs w:val="22"/>
                              </w:rPr>
                              <w:t>16</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7E71BE13" w14:textId="50213200" w:rsidR="00781566" w:rsidRDefault="00FA3993">
                      <w:pPr>
                        <w:jc w:val="center"/>
                        <w:rPr>
                          <w:rFonts w:ascii="Segoe UI" w:hAnsi="Segoe UI" w:cs="Segoe UI"/>
                        </w:rPr>
                      </w:pPr>
                      <w:r>
                        <w:rPr>
                          <w:rFonts w:ascii="Segoe UI" w:hAnsi="Segoe UI" w:cs="Segoe UI"/>
                          <w:b/>
                        </w:rPr>
                        <w:t xml:space="preserve">BOD </w:t>
                      </w:r>
                      <w:r w:rsidR="00AE3FCD">
                        <w:rPr>
                          <w:rFonts w:ascii="Segoe UI" w:hAnsi="Segoe UI" w:cs="Segoe UI"/>
                          <w:b/>
                        </w:rPr>
                        <w:t>42</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05D13217"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AE3FCD">
                        <w:rPr>
                          <w:rFonts w:ascii="Segoe UI" w:hAnsi="Segoe UI" w:cs="Segoe UI"/>
                          <w:sz w:val="22"/>
                          <w:szCs w:val="22"/>
                        </w:rPr>
                        <w:t>16</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761A7CF8" w:rsidR="005D3499" w:rsidRPr="00FA3993" w:rsidRDefault="00F41F35">
      <w:pPr>
        <w:jc w:val="center"/>
        <w:rPr>
          <w:rFonts w:ascii="Segoe UI" w:hAnsi="Segoe UI" w:cs="Segoe UI"/>
          <w:b/>
        </w:rPr>
      </w:pPr>
      <w:r>
        <w:rPr>
          <w:rFonts w:ascii="Segoe UI" w:hAnsi="Segoe UI" w:cs="Segoe UI"/>
          <w:b/>
        </w:rPr>
        <w:t>09 June</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16D89A5D" w:rsidR="005D3499" w:rsidRPr="00571F18" w:rsidRDefault="00425CD0" w:rsidP="00CF5A37">
      <w:pPr>
        <w:jc w:val="center"/>
        <w:rPr>
          <w:rFonts w:ascii="Segoe UI" w:hAnsi="Segoe UI" w:cs="Segoe UI"/>
          <w:b/>
          <w:bCs/>
        </w:rPr>
      </w:pPr>
      <w:r w:rsidRPr="00571F18">
        <w:rPr>
          <w:rFonts w:ascii="Segoe UI" w:hAnsi="Segoe UI" w:cs="Segoe UI"/>
          <w:b/>
        </w:rPr>
        <w:t>Chief Medical Officer</w:t>
      </w:r>
      <w:r w:rsidR="00A95301" w:rsidRPr="00571F18">
        <w:rPr>
          <w:rFonts w:ascii="Segoe UI" w:hAnsi="Segoe UI" w:cs="Segoe UI"/>
          <w:b/>
        </w:rPr>
        <w:t xml:space="preserve">’s </w:t>
      </w:r>
      <w:r w:rsidR="0024199A" w:rsidRPr="00571F18">
        <w:rPr>
          <w:rFonts w:ascii="Segoe UI" w:hAnsi="Segoe UI" w:cs="Segoe UI"/>
          <w:b/>
        </w:rPr>
        <w:t xml:space="preserve">Summary </w:t>
      </w:r>
      <w:r w:rsidR="00A95301" w:rsidRPr="00571F18">
        <w:rPr>
          <w:rFonts w:ascii="Segoe UI" w:hAnsi="Segoe UI" w:cs="Segoe UI"/>
          <w:b/>
        </w:rPr>
        <w:t>Report</w:t>
      </w:r>
    </w:p>
    <w:p w14:paraId="0EA69052" w14:textId="758EA101" w:rsidR="0024199A" w:rsidRPr="00571F18" w:rsidRDefault="00CF5A37" w:rsidP="00D364A6">
      <w:pPr>
        <w:ind w:left="1440"/>
        <w:rPr>
          <w:rFonts w:ascii="Segoe UI" w:hAnsi="Segoe UI" w:cs="Segoe UI"/>
          <w:b/>
          <w:bCs/>
          <w:sz w:val="22"/>
          <w:szCs w:val="22"/>
          <w:lang w:val="en-GB"/>
        </w:rPr>
      </w:pPr>
      <w:r w:rsidRPr="00571F18">
        <w:rPr>
          <w:rFonts w:ascii="Segoe UI" w:hAnsi="Segoe UI" w:cs="Segoe UI"/>
          <w:b/>
          <w:bCs/>
          <w:lang w:val="en-GB"/>
        </w:rPr>
        <w:t>I</w:t>
      </w:r>
      <w:r w:rsidR="002434B2" w:rsidRPr="00571F18">
        <w:rPr>
          <w:rFonts w:ascii="Segoe UI" w:hAnsi="Segoe UI" w:cs="Segoe UI"/>
          <w:b/>
          <w:bCs/>
          <w:lang w:val="en-GB"/>
        </w:rPr>
        <w:t>nclud</w:t>
      </w:r>
      <w:r w:rsidR="00595554" w:rsidRPr="00571F18">
        <w:rPr>
          <w:rFonts w:ascii="Segoe UI" w:hAnsi="Segoe UI" w:cs="Segoe UI"/>
          <w:b/>
          <w:bCs/>
          <w:lang w:val="en-GB"/>
        </w:rPr>
        <w:t>ing</w:t>
      </w:r>
      <w:r w:rsidRPr="00571F18">
        <w:rPr>
          <w:rFonts w:ascii="Segoe UI" w:hAnsi="Segoe UI" w:cs="Segoe UI"/>
          <w:b/>
          <w:bCs/>
          <w:lang w:val="en-GB"/>
        </w:rPr>
        <w:t xml:space="preserve"> (for approval)</w:t>
      </w:r>
      <w:r w:rsidR="002434B2" w:rsidRPr="00571F18">
        <w:rPr>
          <w:rFonts w:ascii="Segoe UI" w:hAnsi="Segoe UI" w:cs="Segoe UI"/>
          <w:b/>
          <w:bCs/>
          <w:lang w:val="en-GB"/>
        </w:rPr>
        <w:t xml:space="preserve"> an update on Medical Appraisal and Revalidation</w:t>
      </w:r>
    </w:p>
    <w:p w14:paraId="636B6D74" w14:textId="77777777" w:rsidR="005D3499" w:rsidRPr="00571F18" w:rsidRDefault="005D3499">
      <w:pPr>
        <w:rPr>
          <w:rFonts w:ascii="Segoe UI" w:hAnsi="Segoe UI" w:cs="Segoe UI"/>
          <w:b/>
        </w:rPr>
      </w:pPr>
    </w:p>
    <w:p w14:paraId="2B52ED1C" w14:textId="77F38D83" w:rsidR="00241A66" w:rsidRPr="00571F18" w:rsidRDefault="00292613" w:rsidP="00241A66">
      <w:pPr>
        <w:jc w:val="center"/>
        <w:rPr>
          <w:rFonts w:ascii="Segoe UI" w:hAnsi="Segoe UI" w:cs="Segoe UI"/>
        </w:rPr>
      </w:pPr>
      <w:r w:rsidRPr="00571F18">
        <w:rPr>
          <w:rFonts w:ascii="Segoe UI" w:hAnsi="Segoe UI" w:cs="Segoe UI"/>
          <w:b/>
          <w:u w:val="single"/>
        </w:rPr>
        <w:t xml:space="preserve">For: </w:t>
      </w:r>
      <w:r w:rsidR="00523450" w:rsidRPr="00571F18">
        <w:rPr>
          <w:rFonts w:ascii="Segoe UI" w:hAnsi="Segoe UI" w:cs="Segoe UI"/>
          <w:b/>
          <w:u w:val="single"/>
        </w:rPr>
        <w:t>Assurance</w:t>
      </w:r>
      <w:r w:rsidR="00C553DD" w:rsidRPr="00571F18">
        <w:rPr>
          <w:rFonts w:ascii="Segoe UI" w:hAnsi="Segoe UI" w:cs="Segoe UI"/>
          <w:b/>
          <w:u w:val="single"/>
        </w:rPr>
        <w:t xml:space="preserve"> and Approva</w:t>
      </w:r>
      <w:r w:rsidR="00D87947" w:rsidRPr="00571F18">
        <w:rPr>
          <w:rFonts w:ascii="Segoe UI" w:hAnsi="Segoe UI" w:cs="Segoe UI"/>
          <w:b/>
          <w:u w:val="single"/>
        </w:rPr>
        <w:t>l</w:t>
      </w:r>
    </w:p>
    <w:p w14:paraId="03F145BF" w14:textId="77777777" w:rsidR="00292613" w:rsidRPr="00571F18" w:rsidRDefault="00292613">
      <w:pPr>
        <w:rPr>
          <w:rFonts w:ascii="Segoe UI" w:hAnsi="Segoe UI" w:cs="Segoe UI"/>
          <w:b/>
        </w:rPr>
      </w:pPr>
    </w:p>
    <w:p w14:paraId="311029AF" w14:textId="4B994FC0" w:rsidR="00564FC7" w:rsidRPr="00571F18" w:rsidRDefault="007A2CF0" w:rsidP="00D624EA">
      <w:pPr>
        <w:jc w:val="both"/>
        <w:rPr>
          <w:rFonts w:ascii="Segoe UI" w:hAnsi="Segoe UI" w:cs="Segoe UI"/>
          <w:i/>
          <w:sz w:val="20"/>
          <w:szCs w:val="20"/>
        </w:rPr>
      </w:pPr>
      <w:r w:rsidRPr="00571F18">
        <w:rPr>
          <w:rFonts w:ascii="Segoe UI" w:hAnsi="Segoe UI" w:cs="Segoe UI"/>
          <w:b/>
        </w:rPr>
        <w:t>Executive Summary</w:t>
      </w:r>
      <w:r w:rsidR="00101A8F" w:rsidRPr="00571F18">
        <w:rPr>
          <w:rFonts w:ascii="Segoe UI" w:hAnsi="Segoe UI" w:cs="Segoe UI"/>
          <w:b/>
        </w:rPr>
        <w:t xml:space="preserve"> </w:t>
      </w:r>
    </w:p>
    <w:p w14:paraId="15E9CBF2" w14:textId="0FC8C8D9" w:rsidR="00422707" w:rsidRPr="00571F18" w:rsidRDefault="00422707" w:rsidP="00571F18">
      <w:pPr>
        <w:rPr>
          <w:rFonts w:ascii="Segoe UI" w:hAnsi="Segoe UI" w:cs="Segoe UI"/>
          <w:iCs/>
        </w:rPr>
      </w:pPr>
    </w:p>
    <w:p w14:paraId="24CDE122" w14:textId="6249DEA3" w:rsidR="007653B8" w:rsidRPr="00571F18" w:rsidRDefault="00924DCF" w:rsidP="00571F18">
      <w:pPr>
        <w:rPr>
          <w:rFonts w:ascii="Segoe UI" w:hAnsi="Segoe UI" w:cs="Segoe UI"/>
          <w:lang w:val="en-GB"/>
        </w:rPr>
      </w:pPr>
      <w:r>
        <w:rPr>
          <w:rFonts w:ascii="Segoe UI" w:hAnsi="Segoe UI" w:cs="Segoe UI"/>
          <w:iCs/>
        </w:rPr>
        <w:t xml:space="preserve">These are </w:t>
      </w:r>
      <w:r w:rsidR="00175B8E" w:rsidRPr="00571F18">
        <w:rPr>
          <w:rFonts w:ascii="Segoe UI" w:hAnsi="Segoe UI" w:cs="Segoe UI"/>
          <w:iCs/>
        </w:rPr>
        <w:t>key developments</w:t>
      </w:r>
      <w:r>
        <w:rPr>
          <w:rFonts w:ascii="Segoe UI" w:hAnsi="Segoe UI" w:cs="Segoe UI"/>
          <w:iCs/>
        </w:rPr>
        <w:t xml:space="preserve"> </w:t>
      </w:r>
      <w:r w:rsidR="00424226" w:rsidRPr="00571F18">
        <w:rPr>
          <w:rFonts w:ascii="Segoe UI" w:hAnsi="Segoe UI" w:cs="Segoe UI"/>
          <w:iCs/>
        </w:rPr>
        <w:t>within</w:t>
      </w:r>
      <w:r>
        <w:rPr>
          <w:rFonts w:ascii="Segoe UI" w:hAnsi="Segoe UI" w:cs="Segoe UI"/>
          <w:iCs/>
        </w:rPr>
        <w:t xml:space="preserve"> 1)</w:t>
      </w:r>
      <w:r w:rsidR="00424226" w:rsidRPr="00571F18">
        <w:rPr>
          <w:rFonts w:ascii="Segoe UI" w:hAnsi="Segoe UI" w:cs="Segoe UI"/>
          <w:iCs/>
        </w:rPr>
        <w:t xml:space="preserve"> Research and Development, </w:t>
      </w:r>
      <w:proofErr w:type="gramStart"/>
      <w:r>
        <w:rPr>
          <w:rFonts w:ascii="Segoe UI" w:hAnsi="Segoe UI" w:cs="Segoe UI"/>
          <w:iCs/>
        </w:rPr>
        <w:t>2)</w:t>
      </w:r>
      <w:r w:rsidR="00424226" w:rsidRPr="00571F18">
        <w:rPr>
          <w:rFonts w:ascii="Segoe UI" w:hAnsi="Segoe UI" w:cs="Segoe UI"/>
          <w:iCs/>
        </w:rPr>
        <w:t>Pharmacy</w:t>
      </w:r>
      <w:proofErr w:type="gramEnd"/>
      <w:r w:rsidR="00424226" w:rsidRPr="00571F18">
        <w:rPr>
          <w:rFonts w:ascii="Segoe UI" w:hAnsi="Segoe UI" w:cs="Segoe UI"/>
          <w:iCs/>
        </w:rPr>
        <w:t xml:space="preserve"> and Medicines Management</w:t>
      </w:r>
      <w:r w:rsidR="00C50414" w:rsidRPr="00571F18">
        <w:rPr>
          <w:rFonts w:ascii="Segoe UI" w:hAnsi="Segoe UI" w:cs="Segoe UI"/>
          <w:iCs/>
        </w:rPr>
        <w:t xml:space="preserve"> and </w:t>
      </w:r>
      <w:r>
        <w:rPr>
          <w:rFonts w:ascii="Segoe UI" w:hAnsi="Segoe UI" w:cs="Segoe UI"/>
          <w:iCs/>
        </w:rPr>
        <w:t xml:space="preserve">3) </w:t>
      </w:r>
      <w:r w:rsidR="00C50414" w:rsidRPr="00571F18">
        <w:rPr>
          <w:rFonts w:ascii="Segoe UI" w:hAnsi="Segoe UI" w:cs="Segoe UI"/>
          <w:iCs/>
        </w:rPr>
        <w:t>Medical P</w:t>
      </w:r>
      <w:r w:rsidR="00BE39FB" w:rsidRPr="00571F18">
        <w:rPr>
          <w:rFonts w:ascii="Segoe UI" w:hAnsi="Segoe UI" w:cs="Segoe UI"/>
          <w:iCs/>
        </w:rPr>
        <w:t xml:space="preserve">rofessionalism, a summary </w:t>
      </w:r>
      <w:r w:rsidR="00B408F7" w:rsidRPr="00571F18">
        <w:rPr>
          <w:rFonts w:ascii="Segoe UI" w:hAnsi="Segoe UI" w:cs="Segoe UI"/>
          <w:iCs/>
        </w:rPr>
        <w:t>from each area is provided below</w:t>
      </w:r>
      <w:r w:rsidR="00C03DC5" w:rsidRPr="00571F18">
        <w:rPr>
          <w:rFonts w:ascii="Segoe UI" w:hAnsi="Segoe UI" w:cs="Segoe UI"/>
          <w:iCs/>
        </w:rPr>
        <w:t xml:space="preserve"> and appended </w:t>
      </w:r>
      <w:r>
        <w:rPr>
          <w:rFonts w:ascii="Segoe UI" w:hAnsi="Segoe UI" w:cs="Segoe UI"/>
          <w:iCs/>
        </w:rPr>
        <w:t xml:space="preserve">is a </w:t>
      </w:r>
      <w:r w:rsidR="00B408F7" w:rsidRPr="00571F18">
        <w:rPr>
          <w:rFonts w:ascii="Segoe UI" w:hAnsi="Segoe UI" w:cs="Segoe UI"/>
          <w:lang w:val="en-GB"/>
        </w:rPr>
        <w:t>Medical Appraisal and Revalidation</w:t>
      </w:r>
      <w:r w:rsidR="009F7B13">
        <w:rPr>
          <w:rFonts w:ascii="Segoe UI" w:hAnsi="Segoe UI" w:cs="Segoe UI"/>
          <w:lang w:val="en-GB"/>
        </w:rPr>
        <w:t xml:space="preserve"> </w:t>
      </w:r>
      <w:r>
        <w:rPr>
          <w:rFonts w:ascii="Segoe UI" w:hAnsi="Segoe UI" w:cs="Segoe UI"/>
          <w:lang w:val="en-GB"/>
        </w:rPr>
        <w:t>report for NHSE, requiring Board signature.</w:t>
      </w:r>
    </w:p>
    <w:p w14:paraId="013FF8FD" w14:textId="77777777" w:rsidR="00571F18" w:rsidRPr="00571F18" w:rsidRDefault="00571F18" w:rsidP="00A23C9B">
      <w:pPr>
        <w:jc w:val="both"/>
        <w:rPr>
          <w:rFonts w:ascii="Segoe UI" w:hAnsi="Segoe UI" w:cs="Segoe UI"/>
          <w:iCs/>
        </w:rPr>
      </w:pPr>
    </w:p>
    <w:p w14:paraId="38E11394" w14:textId="79FDDE9A" w:rsidR="00DB75A9" w:rsidRPr="00571F18" w:rsidRDefault="00B72290" w:rsidP="00DB75A9">
      <w:pPr>
        <w:jc w:val="both"/>
        <w:rPr>
          <w:rFonts w:ascii="Segoe UI" w:hAnsi="Segoe UI" w:cs="Segoe UI"/>
          <w:b/>
          <w:bCs/>
        </w:rPr>
      </w:pPr>
      <w:r w:rsidRPr="00571F18">
        <w:rPr>
          <w:rFonts w:ascii="Segoe UI" w:hAnsi="Segoe UI" w:cs="Segoe UI"/>
          <w:b/>
          <w:bCs/>
        </w:rPr>
        <w:t>1.0</w:t>
      </w:r>
      <w:r w:rsidRPr="00571F18">
        <w:rPr>
          <w:rFonts w:ascii="Segoe UI" w:hAnsi="Segoe UI" w:cs="Segoe UI"/>
          <w:b/>
          <w:bCs/>
        </w:rPr>
        <w:tab/>
      </w:r>
      <w:r w:rsidR="00A23C9B" w:rsidRPr="00571F18">
        <w:rPr>
          <w:rFonts w:ascii="Segoe UI" w:hAnsi="Segoe UI" w:cs="Segoe UI"/>
          <w:b/>
          <w:bCs/>
        </w:rPr>
        <w:t xml:space="preserve">Research </w:t>
      </w:r>
      <w:r w:rsidR="00424226" w:rsidRPr="00571F18">
        <w:rPr>
          <w:rFonts w:ascii="Segoe UI" w:hAnsi="Segoe UI" w:cs="Segoe UI"/>
          <w:b/>
          <w:bCs/>
        </w:rPr>
        <w:t>and</w:t>
      </w:r>
      <w:r w:rsidR="00A23C9B" w:rsidRPr="00571F18">
        <w:rPr>
          <w:rFonts w:ascii="Segoe UI" w:hAnsi="Segoe UI" w:cs="Segoe UI"/>
          <w:b/>
          <w:bCs/>
        </w:rPr>
        <w:t xml:space="preserve"> Development Dept update (June 2020)</w:t>
      </w:r>
    </w:p>
    <w:p w14:paraId="28BDD7F8" w14:textId="77777777" w:rsidR="00DB75A9" w:rsidRPr="00571F18" w:rsidRDefault="00DB75A9" w:rsidP="00DB75A9">
      <w:pPr>
        <w:jc w:val="both"/>
        <w:rPr>
          <w:rFonts w:ascii="Segoe UI" w:hAnsi="Segoe UI" w:cs="Segoe UI"/>
          <w:b/>
          <w:bCs/>
        </w:rPr>
      </w:pPr>
    </w:p>
    <w:p w14:paraId="7B5C8483" w14:textId="3C5A191D" w:rsidR="00AC12E4" w:rsidRPr="00571F18" w:rsidRDefault="00B72290" w:rsidP="00AC12E4">
      <w:pPr>
        <w:jc w:val="both"/>
        <w:rPr>
          <w:rFonts w:ascii="Segoe UI" w:hAnsi="Segoe UI" w:cs="Segoe UI"/>
          <w:b/>
          <w:bCs/>
        </w:rPr>
      </w:pPr>
      <w:r w:rsidRPr="00571F18">
        <w:rPr>
          <w:rFonts w:ascii="Segoe UI" w:hAnsi="Segoe UI" w:cs="Segoe UI"/>
        </w:rPr>
        <w:t>1.1</w:t>
      </w:r>
      <w:r w:rsidRPr="00571F18">
        <w:rPr>
          <w:rFonts w:ascii="Segoe UI" w:hAnsi="Segoe UI" w:cs="Segoe UI"/>
        </w:rPr>
        <w:tab/>
      </w:r>
      <w:r w:rsidR="00A23C9B" w:rsidRPr="00571F18">
        <w:rPr>
          <w:rFonts w:ascii="Segoe UI" w:hAnsi="Segoe UI" w:cs="Segoe UI"/>
        </w:rPr>
        <w:t>Oxford Health NIHR Biomedical Research Centre (BRC) stage one application submitted in May for 11 potential themes (£45m). Outcome and invitations to stage two due 4th Aug</w:t>
      </w:r>
      <w:r w:rsidR="003B0325" w:rsidRPr="00571F18">
        <w:rPr>
          <w:rFonts w:ascii="Segoe UI" w:hAnsi="Segoe UI" w:cs="Segoe UI"/>
        </w:rPr>
        <w:t>ust</w:t>
      </w:r>
      <w:r w:rsidR="00924DCF">
        <w:rPr>
          <w:rFonts w:ascii="Segoe UI" w:hAnsi="Segoe UI" w:cs="Segoe UI"/>
        </w:rPr>
        <w:t xml:space="preserve"> 2020</w:t>
      </w:r>
      <w:r w:rsidR="003B0325" w:rsidRPr="00571F18">
        <w:rPr>
          <w:rFonts w:ascii="Segoe UI" w:hAnsi="Segoe UI" w:cs="Segoe UI"/>
        </w:rPr>
        <w:t>.</w:t>
      </w:r>
    </w:p>
    <w:p w14:paraId="7214C926" w14:textId="77777777" w:rsidR="00AC12E4" w:rsidRPr="00571F18" w:rsidRDefault="00AC12E4" w:rsidP="00AC12E4">
      <w:pPr>
        <w:jc w:val="both"/>
        <w:rPr>
          <w:rFonts w:ascii="Segoe UI" w:hAnsi="Segoe UI" w:cs="Segoe UI"/>
          <w:b/>
          <w:bCs/>
        </w:rPr>
      </w:pPr>
    </w:p>
    <w:p w14:paraId="1D0D2EE5" w14:textId="4F17EBCF" w:rsidR="00AC12E4" w:rsidRPr="00571F18" w:rsidRDefault="000508AC" w:rsidP="00AC12E4">
      <w:pPr>
        <w:jc w:val="both"/>
        <w:rPr>
          <w:rFonts w:ascii="Segoe UI" w:hAnsi="Segoe UI" w:cs="Segoe UI"/>
          <w:b/>
          <w:bCs/>
        </w:rPr>
      </w:pPr>
      <w:r w:rsidRPr="00571F18">
        <w:rPr>
          <w:rFonts w:ascii="Segoe UI" w:hAnsi="Segoe UI" w:cs="Segoe UI"/>
        </w:rPr>
        <w:t>1.2</w:t>
      </w:r>
      <w:r w:rsidRPr="00571F18">
        <w:rPr>
          <w:rFonts w:ascii="Segoe UI" w:hAnsi="Segoe UI" w:cs="Segoe UI"/>
        </w:rPr>
        <w:tab/>
      </w:r>
      <w:r w:rsidR="00A23C9B" w:rsidRPr="00571F18">
        <w:rPr>
          <w:rFonts w:ascii="Segoe UI" w:hAnsi="Segoe UI" w:cs="Segoe UI"/>
        </w:rPr>
        <w:t>The</w:t>
      </w:r>
      <w:r w:rsidR="00924DCF">
        <w:rPr>
          <w:rFonts w:ascii="Segoe UI" w:hAnsi="Segoe UI" w:cs="Segoe UI"/>
        </w:rPr>
        <w:t xml:space="preserve"> R&amp;D</w:t>
      </w:r>
      <w:r w:rsidR="00A23C9B" w:rsidRPr="00571F18">
        <w:rPr>
          <w:rFonts w:ascii="Segoe UI" w:hAnsi="Segoe UI" w:cs="Segoe UI"/>
        </w:rPr>
        <w:t xml:space="preserve"> annual returns complete and submitted for:</w:t>
      </w:r>
    </w:p>
    <w:p w14:paraId="648EBCA5" w14:textId="77777777" w:rsidR="00AC12E4" w:rsidRPr="00571F18" w:rsidRDefault="00A23C9B" w:rsidP="007F057D">
      <w:pPr>
        <w:pStyle w:val="ListParagraph"/>
        <w:numPr>
          <w:ilvl w:val="0"/>
          <w:numId w:val="20"/>
        </w:numPr>
        <w:jc w:val="both"/>
        <w:rPr>
          <w:rFonts w:ascii="Segoe UI" w:hAnsi="Segoe UI" w:cs="Segoe UI"/>
          <w:b/>
          <w:bCs/>
        </w:rPr>
      </w:pPr>
      <w:r w:rsidRPr="00571F18">
        <w:rPr>
          <w:rFonts w:ascii="Segoe UI" w:hAnsi="Segoe UI" w:cs="Segoe UI"/>
        </w:rPr>
        <w:t>Oxford Health NIHR Biomedical Research Centre (BRC)</w:t>
      </w:r>
    </w:p>
    <w:p w14:paraId="3D351717" w14:textId="77777777" w:rsidR="00AC12E4" w:rsidRPr="00571F18" w:rsidRDefault="00A23C9B" w:rsidP="007F057D">
      <w:pPr>
        <w:pStyle w:val="ListParagraph"/>
        <w:numPr>
          <w:ilvl w:val="0"/>
          <w:numId w:val="20"/>
        </w:numPr>
        <w:jc w:val="both"/>
        <w:rPr>
          <w:rFonts w:ascii="Segoe UI" w:hAnsi="Segoe UI" w:cs="Segoe UI"/>
          <w:b/>
          <w:bCs/>
        </w:rPr>
      </w:pPr>
      <w:r w:rsidRPr="00571F18">
        <w:rPr>
          <w:rFonts w:ascii="Segoe UI" w:hAnsi="Segoe UI" w:cs="Segoe UI"/>
        </w:rPr>
        <w:t>Oxford cognitive health Clinical Research Facility (CRF)</w:t>
      </w:r>
    </w:p>
    <w:p w14:paraId="48853568" w14:textId="77777777" w:rsidR="00AC12E4" w:rsidRPr="00571F18" w:rsidRDefault="00A23C9B" w:rsidP="007F057D">
      <w:pPr>
        <w:pStyle w:val="ListParagraph"/>
        <w:numPr>
          <w:ilvl w:val="0"/>
          <w:numId w:val="20"/>
        </w:numPr>
        <w:jc w:val="both"/>
        <w:rPr>
          <w:rFonts w:ascii="Segoe UI" w:hAnsi="Segoe UI" w:cs="Segoe UI"/>
          <w:b/>
          <w:bCs/>
        </w:rPr>
      </w:pPr>
      <w:r w:rsidRPr="00571F18">
        <w:rPr>
          <w:rFonts w:ascii="Segoe UI" w:hAnsi="Segoe UI" w:cs="Segoe UI"/>
        </w:rPr>
        <w:t>Applied Research Collaboration Oxford and Thames Valley (</w:t>
      </w:r>
      <w:proofErr w:type="spellStart"/>
      <w:r w:rsidRPr="00571F18">
        <w:rPr>
          <w:rFonts w:ascii="Segoe UI" w:hAnsi="Segoe UI" w:cs="Segoe UI"/>
        </w:rPr>
        <w:t>OxTV</w:t>
      </w:r>
      <w:proofErr w:type="spellEnd"/>
      <w:r w:rsidRPr="00571F18">
        <w:rPr>
          <w:rFonts w:ascii="Segoe UI" w:hAnsi="Segoe UI" w:cs="Segoe UI"/>
        </w:rPr>
        <w:t>)</w:t>
      </w:r>
    </w:p>
    <w:p w14:paraId="2D4C9EF5" w14:textId="77777777" w:rsidR="00AC12E4" w:rsidRPr="00571F18" w:rsidRDefault="00A23C9B" w:rsidP="007F057D">
      <w:pPr>
        <w:pStyle w:val="ListParagraph"/>
        <w:numPr>
          <w:ilvl w:val="0"/>
          <w:numId w:val="20"/>
        </w:numPr>
        <w:jc w:val="both"/>
        <w:rPr>
          <w:rFonts w:ascii="Segoe UI" w:hAnsi="Segoe UI" w:cs="Segoe UI"/>
          <w:b/>
          <w:bCs/>
        </w:rPr>
      </w:pPr>
      <w:r w:rsidRPr="00571F18">
        <w:rPr>
          <w:rFonts w:ascii="Segoe UI" w:hAnsi="Segoe UI" w:cs="Segoe UI"/>
        </w:rPr>
        <w:lastRenderedPageBreak/>
        <w:t>MedTech and In Vitro Diagnostic Co-operatives (MIC)</w:t>
      </w:r>
    </w:p>
    <w:p w14:paraId="584EB151" w14:textId="77777777" w:rsidR="00AC12E4" w:rsidRPr="00571F18" w:rsidRDefault="00AC12E4" w:rsidP="00AC12E4">
      <w:pPr>
        <w:jc w:val="both"/>
        <w:rPr>
          <w:rFonts w:ascii="Segoe UI" w:hAnsi="Segoe UI" w:cs="Segoe UI"/>
          <w:b/>
          <w:bCs/>
        </w:rPr>
      </w:pPr>
    </w:p>
    <w:p w14:paraId="05E30359" w14:textId="4E8ECACA" w:rsidR="00DC23FA" w:rsidRPr="00571F18" w:rsidRDefault="007F057D" w:rsidP="007A65DD">
      <w:pPr>
        <w:jc w:val="both"/>
        <w:rPr>
          <w:rFonts w:ascii="Segoe UI" w:eastAsiaTheme="majorEastAsia" w:hAnsi="Segoe UI" w:cs="Segoe UI"/>
          <w:lang w:val="en-GB"/>
        </w:rPr>
      </w:pPr>
      <w:r w:rsidRPr="00571F18">
        <w:rPr>
          <w:rFonts w:ascii="Segoe UI" w:eastAsiaTheme="majorEastAsia" w:hAnsi="Segoe UI" w:cs="Segoe UI"/>
        </w:rPr>
        <w:t>1.3</w:t>
      </w:r>
      <w:r w:rsidRPr="00571F18">
        <w:rPr>
          <w:rFonts w:ascii="Segoe UI" w:eastAsiaTheme="majorEastAsia" w:hAnsi="Segoe UI" w:cs="Segoe UI"/>
        </w:rPr>
        <w:tab/>
      </w:r>
      <w:r w:rsidR="00A23C9B" w:rsidRPr="00571F18">
        <w:rPr>
          <w:rFonts w:ascii="Segoe UI" w:eastAsiaTheme="majorEastAsia" w:hAnsi="Segoe UI" w:cs="Segoe UI"/>
        </w:rPr>
        <w:t xml:space="preserve">OHFT’s Director of R&amp;D, Prof John Geddes is stepping down after 10 years, at the </w:t>
      </w:r>
      <w:r w:rsidRPr="00571F18">
        <w:rPr>
          <w:rFonts w:ascii="Segoe UI" w:eastAsiaTheme="majorEastAsia" w:hAnsi="Segoe UI" w:cs="Segoe UI"/>
        </w:rPr>
        <w:t>e</w:t>
      </w:r>
      <w:r w:rsidR="00A23C9B" w:rsidRPr="00571F18">
        <w:rPr>
          <w:rFonts w:ascii="Segoe UI" w:eastAsiaTheme="majorEastAsia" w:hAnsi="Segoe UI" w:cs="Segoe UI"/>
        </w:rPr>
        <w:t>nd of June. Amongst many achievements he had led the development of</w:t>
      </w:r>
      <w:r w:rsidR="00A23C9B" w:rsidRPr="00571F18">
        <w:rPr>
          <w:rFonts w:ascii="Segoe UI" w:eastAsiaTheme="majorEastAsia" w:hAnsi="Segoe UI" w:cs="Segoe UI"/>
          <w:lang w:val="en-GB"/>
        </w:rPr>
        <w:t xml:space="preserve"> the CRF, </w:t>
      </w:r>
      <w:r w:rsidR="00924DCF">
        <w:rPr>
          <w:rFonts w:ascii="Segoe UI" w:eastAsiaTheme="majorEastAsia" w:hAnsi="Segoe UI" w:cs="Segoe UI"/>
          <w:lang w:val="en-GB"/>
        </w:rPr>
        <w:t xml:space="preserve">secured </w:t>
      </w:r>
      <w:r w:rsidR="00A23C9B" w:rsidRPr="00571F18">
        <w:rPr>
          <w:rFonts w:ascii="Segoe UI" w:eastAsiaTheme="majorEastAsia" w:hAnsi="Segoe UI" w:cs="Segoe UI"/>
          <w:lang w:val="en-GB"/>
        </w:rPr>
        <w:t>only the second national Mental Health BRC, brought national and international research experts to Oxford, and grown the Department’s research income from around £1m to over £12m.</w:t>
      </w:r>
      <w:r w:rsidR="00A23C9B" w:rsidRPr="00571F18">
        <w:rPr>
          <w:rFonts w:ascii="Segoe UI" w:eastAsiaTheme="majorEastAsia" w:hAnsi="Segoe UI" w:cs="Segoe UI"/>
        </w:rPr>
        <w:t xml:space="preserve"> </w:t>
      </w:r>
      <w:r w:rsidR="00A23C9B" w:rsidRPr="00571F18">
        <w:rPr>
          <w:rFonts w:ascii="Segoe UI" w:eastAsiaTheme="majorEastAsia" w:hAnsi="Segoe UI" w:cs="Segoe UI"/>
          <w:lang w:val="en-GB"/>
        </w:rPr>
        <w:t xml:space="preserve">John will stay connected as BRC Director and with his appointment as WA Handley Professor of Psychiatry &amp; Fellow of Merton College. </w:t>
      </w:r>
      <w:r w:rsidR="00A23C9B" w:rsidRPr="00924DCF">
        <w:rPr>
          <w:rFonts w:ascii="Segoe UI" w:eastAsiaTheme="majorEastAsia" w:hAnsi="Segoe UI" w:cs="Segoe UI"/>
          <w:u w:val="single"/>
          <w:lang w:val="en-GB"/>
        </w:rPr>
        <w:t>Until the future appointment of a successor, I will take on the Role of Director of R&amp;D.</w:t>
      </w:r>
    </w:p>
    <w:p w14:paraId="34F8A629" w14:textId="77777777" w:rsidR="007A65DD" w:rsidRPr="00571F18" w:rsidRDefault="007A65DD" w:rsidP="007A65DD">
      <w:pPr>
        <w:jc w:val="both"/>
        <w:rPr>
          <w:rFonts w:ascii="Segoe UI" w:hAnsi="Segoe UI" w:cs="Segoe UI"/>
          <w:b/>
          <w:bCs/>
        </w:rPr>
      </w:pPr>
    </w:p>
    <w:p w14:paraId="42363327" w14:textId="3C03CAC3" w:rsidR="00A23C9B" w:rsidRPr="00571F18" w:rsidRDefault="007F057D" w:rsidP="00DB75A9">
      <w:pPr>
        <w:rPr>
          <w:rFonts w:ascii="Segoe UI" w:hAnsi="Segoe UI" w:cs="Segoe UI"/>
          <w:b/>
          <w:bCs/>
        </w:rPr>
      </w:pPr>
      <w:r w:rsidRPr="00571F18">
        <w:rPr>
          <w:rFonts w:ascii="Segoe UI" w:hAnsi="Segoe UI" w:cs="Segoe UI"/>
          <w:b/>
          <w:bCs/>
        </w:rPr>
        <w:t>2.0</w:t>
      </w:r>
      <w:r w:rsidRPr="00571F18">
        <w:rPr>
          <w:rFonts w:ascii="Segoe UI" w:hAnsi="Segoe UI" w:cs="Segoe UI"/>
          <w:b/>
          <w:bCs/>
        </w:rPr>
        <w:tab/>
      </w:r>
      <w:r w:rsidR="00A23C9B" w:rsidRPr="00571F18">
        <w:rPr>
          <w:rFonts w:ascii="Segoe UI" w:hAnsi="Segoe UI" w:cs="Segoe UI"/>
          <w:b/>
          <w:bCs/>
        </w:rPr>
        <w:t>Pharmacy Dept Update – June 2021</w:t>
      </w:r>
    </w:p>
    <w:p w14:paraId="34554525" w14:textId="77777777" w:rsidR="00A23C9B" w:rsidRPr="00571F18" w:rsidRDefault="00A23C9B" w:rsidP="00DB75A9">
      <w:pPr>
        <w:rPr>
          <w:rFonts w:ascii="Segoe UI" w:hAnsi="Segoe UI" w:cs="Segoe UI"/>
          <w:b/>
          <w:bCs/>
        </w:rPr>
      </w:pPr>
    </w:p>
    <w:p w14:paraId="464A7E73" w14:textId="5CDC965F" w:rsidR="00A23C9B" w:rsidRPr="00571F18" w:rsidRDefault="007F057D" w:rsidP="00DB75A9">
      <w:pPr>
        <w:rPr>
          <w:rFonts w:ascii="Segoe UI" w:hAnsi="Segoe UI" w:cs="Segoe UI"/>
        </w:rPr>
      </w:pPr>
      <w:r w:rsidRPr="00571F18">
        <w:rPr>
          <w:rFonts w:ascii="Segoe UI" w:hAnsi="Segoe UI" w:cs="Segoe UI"/>
        </w:rPr>
        <w:t>2.1</w:t>
      </w:r>
      <w:r w:rsidRPr="00571F18">
        <w:rPr>
          <w:rFonts w:ascii="Segoe UI" w:hAnsi="Segoe UI" w:cs="Segoe UI"/>
        </w:rPr>
        <w:tab/>
      </w:r>
      <w:r w:rsidR="00A23C9B" w:rsidRPr="00571F18">
        <w:rPr>
          <w:rFonts w:ascii="Segoe UI" w:hAnsi="Segoe UI" w:cs="Segoe UI"/>
        </w:rPr>
        <w:t xml:space="preserve">The medicines </w:t>
      </w:r>
      <w:r w:rsidR="00924DCF">
        <w:rPr>
          <w:rFonts w:ascii="Segoe UI" w:hAnsi="Segoe UI" w:cs="Segoe UI"/>
        </w:rPr>
        <w:t xml:space="preserve">optimization </w:t>
      </w:r>
      <w:r w:rsidR="00924DCF" w:rsidRPr="00571F18">
        <w:rPr>
          <w:rFonts w:ascii="Segoe UI" w:hAnsi="Segoe UI" w:cs="Segoe UI"/>
        </w:rPr>
        <w:t>strategy</w:t>
      </w:r>
      <w:r w:rsidR="00924DCF">
        <w:rPr>
          <w:rFonts w:ascii="Segoe UI" w:hAnsi="Segoe UI" w:cs="Segoe UI"/>
        </w:rPr>
        <w:t xml:space="preserve"> &amp; governance process</w:t>
      </w:r>
      <w:r w:rsidR="00A23C9B" w:rsidRPr="00571F18">
        <w:rPr>
          <w:rFonts w:ascii="Segoe UI" w:hAnsi="Segoe UI" w:cs="Segoe UI"/>
        </w:rPr>
        <w:t xml:space="preserve"> is </w:t>
      </w:r>
      <w:r w:rsidR="00924DCF">
        <w:rPr>
          <w:rFonts w:ascii="Segoe UI" w:hAnsi="Segoe UI" w:cs="Segoe UI"/>
        </w:rPr>
        <w:t xml:space="preserve">being </w:t>
      </w:r>
      <w:r w:rsidR="00A23C9B" w:rsidRPr="00571F18">
        <w:rPr>
          <w:rFonts w:ascii="Segoe UI" w:hAnsi="Segoe UI" w:cs="Segoe UI"/>
        </w:rPr>
        <w:t>review</w:t>
      </w:r>
      <w:r w:rsidR="00924DCF">
        <w:rPr>
          <w:rFonts w:ascii="Segoe UI" w:hAnsi="Segoe UI" w:cs="Segoe UI"/>
        </w:rPr>
        <w:t xml:space="preserve">ed </w:t>
      </w:r>
      <w:r w:rsidR="00A23C9B" w:rsidRPr="00571F18">
        <w:rPr>
          <w:rFonts w:ascii="Segoe UI" w:hAnsi="Segoe UI" w:cs="Segoe UI"/>
        </w:rPr>
        <w:t>as part of pandemic recovery, to ensure that there is a robust medicine governance</w:t>
      </w:r>
      <w:r w:rsidR="00924DCF">
        <w:rPr>
          <w:rFonts w:ascii="Segoe UI" w:hAnsi="Segoe UI" w:cs="Segoe UI"/>
        </w:rPr>
        <w:t>, but</w:t>
      </w:r>
      <w:r w:rsidR="00A23C9B" w:rsidRPr="00571F18">
        <w:rPr>
          <w:rFonts w:ascii="Segoe UI" w:hAnsi="Segoe UI" w:cs="Segoe UI"/>
        </w:rPr>
        <w:t xml:space="preserve"> which is not overly onerous.  The current work </w:t>
      </w:r>
      <w:r w:rsidR="00924DCF">
        <w:rPr>
          <w:rFonts w:ascii="Segoe UI" w:hAnsi="Segoe UI" w:cs="Segoe UI"/>
        </w:rPr>
        <w:t>is</w:t>
      </w:r>
      <w:r w:rsidR="00A23C9B" w:rsidRPr="00571F18">
        <w:rPr>
          <w:rFonts w:ascii="Segoe UI" w:hAnsi="Segoe UI" w:cs="Segoe UI"/>
        </w:rPr>
        <w:t xml:space="preserve"> framed by the </w:t>
      </w:r>
      <w:r w:rsidR="00A23C9B" w:rsidRPr="00571F18">
        <w:rPr>
          <w:rFonts w:ascii="Segoe UI" w:hAnsi="Segoe UI" w:cs="Segoe UI"/>
          <w:i/>
          <w:iCs/>
        </w:rPr>
        <w:t>WHO Global Patient Safety Challenge: Medication without Harm</w:t>
      </w:r>
      <w:r w:rsidR="00A23C9B" w:rsidRPr="00571F18">
        <w:rPr>
          <w:rFonts w:ascii="Segoe UI" w:hAnsi="Segoe UI" w:cs="Segoe UI"/>
        </w:rPr>
        <w:t xml:space="preserve">, </w:t>
      </w:r>
      <w:r w:rsidR="00924DCF">
        <w:rPr>
          <w:rFonts w:ascii="Segoe UI" w:hAnsi="Segoe UI" w:cs="Segoe UI"/>
        </w:rPr>
        <w:t>with</w:t>
      </w:r>
      <w:r w:rsidR="00A23C9B" w:rsidRPr="00571F18">
        <w:rPr>
          <w:rFonts w:ascii="Segoe UI" w:hAnsi="Segoe UI" w:cs="Segoe UI"/>
        </w:rPr>
        <w:t xml:space="preserve"> key areas of </w:t>
      </w:r>
      <w:r w:rsidR="00571F18" w:rsidRPr="00571F18">
        <w:rPr>
          <w:rFonts w:ascii="Segoe UI" w:hAnsi="Segoe UI" w:cs="Segoe UI"/>
        </w:rPr>
        <w:t>Polypharmacy, High</w:t>
      </w:r>
      <w:r w:rsidR="00A23C9B" w:rsidRPr="00571F18">
        <w:rPr>
          <w:rFonts w:ascii="Segoe UI" w:hAnsi="Segoe UI" w:cs="Segoe UI"/>
        </w:rPr>
        <w:t xml:space="preserve">-risk situations, and transitions of care.  All projects will link with the trust’s new e-prescribing system.  </w:t>
      </w:r>
      <w:r w:rsidR="00A23C9B" w:rsidRPr="00924DCF">
        <w:rPr>
          <w:rFonts w:ascii="Segoe UI" w:hAnsi="Segoe UI" w:cs="Segoe UI"/>
          <w:u w:val="single"/>
        </w:rPr>
        <w:t>The trust has CQ</w:t>
      </w:r>
      <w:r w:rsidR="00924DCF">
        <w:rPr>
          <w:rFonts w:ascii="Segoe UI" w:hAnsi="Segoe UI" w:cs="Segoe UI"/>
          <w:u w:val="single"/>
        </w:rPr>
        <w:t>C</w:t>
      </w:r>
      <w:r w:rsidR="00A23C9B" w:rsidRPr="00924DCF">
        <w:rPr>
          <w:rFonts w:ascii="Segoe UI" w:hAnsi="Segoe UI" w:cs="Segoe UI"/>
          <w:u w:val="single"/>
        </w:rPr>
        <w:t xml:space="preserve"> engagement session </w:t>
      </w:r>
      <w:r w:rsidR="00924DCF">
        <w:rPr>
          <w:rFonts w:ascii="Segoe UI" w:hAnsi="Segoe UI" w:cs="Segoe UI"/>
          <w:u w:val="single"/>
        </w:rPr>
        <w:t xml:space="preserve">for compliance with </w:t>
      </w:r>
      <w:r w:rsidR="00A23C9B" w:rsidRPr="00924DCF">
        <w:rPr>
          <w:rFonts w:ascii="Segoe UI" w:hAnsi="Segoe UI" w:cs="Segoe UI"/>
          <w:u w:val="single"/>
        </w:rPr>
        <w:t>medicines safety plans and assurances.</w:t>
      </w:r>
    </w:p>
    <w:p w14:paraId="32E1CBBC" w14:textId="77777777" w:rsidR="00A23C9B" w:rsidRPr="00571F18" w:rsidRDefault="00A23C9B" w:rsidP="00DB75A9">
      <w:pPr>
        <w:rPr>
          <w:rFonts w:ascii="Segoe UI" w:hAnsi="Segoe UI" w:cs="Segoe UI"/>
        </w:rPr>
      </w:pPr>
    </w:p>
    <w:p w14:paraId="645F0C89" w14:textId="03040B49" w:rsidR="008D7460" w:rsidRPr="00571F18" w:rsidRDefault="008D7460" w:rsidP="00DB75A9">
      <w:pPr>
        <w:rPr>
          <w:rFonts w:ascii="Segoe UI" w:hAnsi="Segoe UI" w:cs="Segoe UI"/>
        </w:rPr>
      </w:pPr>
      <w:r w:rsidRPr="00571F18">
        <w:rPr>
          <w:rFonts w:ascii="Segoe UI" w:hAnsi="Segoe UI" w:cs="Segoe UI"/>
        </w:rPr>
        <w:t>2.2</w:t>
      </w:r>
      <w:r w:rsidR="00924DCF">
        <w:rPr>
          <w:rFonts w:ascii="Segoe UI" w:hAnsi="Segoe UI" w:cs="Segoe UI"/>
        </w:rPr>
        <w:t xml:space="preserve"> OHFT collaboration with the </w:t>
      </w:r>
      <w:r w:rsidR="00A23C9B" w:rsidRPr="00571F18">
        <w:rPr>
          <w:rFonts w:ascii="Segoe UI" w:hAnsi="Segoe UI" w:cs="Segoe UI"/>
        </w:rPr>
        <w:t>ICS plan is structured aroun</w:t>
      </w:r>
      <w:r w:rsidR="00924DCF">
        <w:rPr>
          <w:rFonts w:ascii="Segoe UI" w:hAnsi="Segoe UI" w:cs="Segoe UI"/>
        </w:rPr>
        <w:t>d</w:t>
      </w:r>
      <w:r w:rsidR="00AE7886" w:rsidRPr="00571F18">
        <w:rPr>
          <w:rFonts w:ascii="Segoe UI" w:hAnsi="Segoe UI" w:cs="Segoe UI"/>
        </w:rPr>
        <w:t>:</w:t>
      </w:r>
    </w:p>
    <w:p w14:paraId="7C2D0110" w14:textId="77777777" w:rsidR="008D7460" w:rsidRPr="00571F18" w:rsidRDefault="00A23C9B" w:rsidP="00924DCF">
      <w:pPr>
        <w:ind w:left="720"/>
        <w:rPr>
          <w:rFonts w:ascii="Segoe UI" w:hAnsi="Segoe UI" w:cs="Segoe UI"/>
          <w:i/>
          <w:iCs/>
        </w:rPr>
      </w:pPr>
      <w:r w:rsidRPr="00571F18">
        <w:rPr>
          <w:rFonts w:ascii="Segoe UI" w:hAnsi="Segoe UI" w:cs="Segoe UI"/>
          <w:i/>
          <w:iCs/>
        </w:rPr>
        <w:t>1) Strategy, Leadership and Governance</w:t>
      </w:r>
    </w:p>
    <w:p w14:paraId="12AD6D73" w14:textId="2F1BCA3F" w:rsidR="008D7460" w:rsidRPr="00571F18" w:rsidRDefault="00A23C9B" w:rsidP="00924DCF">
      <w:pPr>
        <w:ind w:left="720"/>
        <w:rPr>
          <w:rFonts w:ascii="Segoe UI" w:hAnsi="Segoe UI" w:cs="Segoe UI"/>
          <w:i/>
          <w:iCs/>
        </w:rPr>
      </w:pPr>
      <w:r w:rsidRPr="00571F18">
        <w:rPr>
          <w:rFonts w:ascii="Segoe UI" w:hAnsi="Segoe UI" w:cs="Segoe UI"/>
          <w:i/>
          <w:iCs/>
        </w:rPr>
        <w:t xml:space="preserve">2) Medicines </w:t>
      </w:r>
      <w:proofErr w:type="spellStart"/>
      <w:r w:rsidRPr="00571F18">
        <w:rPr>
          <w:rFonts w:ascii="Segoe UI" w:hAnsi="Segoe UI" w:cs="Segoe UI"/>
          <w:i/>
          <w:iCs/>
        </w:rPr>
        <w:t>Optimisation</w:t>
      </w:r>
      <w:proofErr w:type="spellEnd"/>
      <w:r w:rsidRPr="00571F18">
        <w:rPr>
          <w:rFonts w:ascii="Segoe UI" w:hAnsi="Segoe UI" w:cs="Segoe UI"/>
          <w:i/>
          <w:iCs/>
        </w:rPr>
        <w:t xml:space="preserve"> - Safety and Value</w:t>
      </w:r>
    </w:p>
    <w:p w14:paraId="6E8C2BCD" w14:textId="77777777" w:rsidR="00F23E38" w:rsidRPr="00571F18" w:rsidRDefault="00A23C9B" w:rsidP="00924DCF">
      <w:pPr>
        <w:ind w:left="720"/>
        <w:rPr>
          <w:rFonts w:ascii="Segoe UI" w:hAnsi="Segoe UI" w:cs="Segoe UI"/>
          <w:i/>
          <w:iCs/>
        </w:rPr>
      </w:pPr>
      <w:r w:rsidRPr="00571F18">
        <w:rPr>
          <w:rFonts w:ascii="Segoe UI" w:hAnsi="Segoe UI" w:cs="Segoe UI"/>
          <w:i/>
          <w:iCs/>
        </w:rPr>
        <w:t>3) Digital</w:t>
      </w:r>
    </w:p>
    <w:p w14:paraId="26DFF11C" w14:textId="4FFB161D" w:rsidR="00A23C9B" w:rsidRPr="00571F18" w:rsidRDefault="00A23C9B" w:rsidP="00924DCF">
      <w:pPr>
        <w:ind w:left="720"/>
        <w:rPr>
          <w:rFonts w:ascii="Segoe UI" w:hAnsi="Segoe UI" w:cs="Segoe UI"/>
        </w:rPr>
      </w:pPr>
      <w:r w:rsidRPr="00571F18">
        <w:rPr>
          <w:rFonts w:ascii="Segoe UI" w:hAnsi="Segoe UI" w:cs="Segoe UI"/>
          <w:i/>
          <w:iCs/>
        </w:rPr>
        <w:t>4) Pharmacy workforce</w:t>
      </w:r>
      <w:r w:rsidRPr="00571F18">
        <w:rPr>
          <w:rFonts w:ascii="Segoe UI" w:hAnsi="Segoe UI" w:cs="Segoe UI"/>
        </w:rPr>
        <w:t>.</w:t>
      </w:r>
    </w:p>
    <w:p w14:paraId="52762CFE" w14:textId="017282E8" w:rsidR="00F23E38" w:rsidRDefault="00924DCF" w:rsidP="00DB75A9">
      <w:pPr>
        <w:rPr>
          <w:rFonts w:ascii="Segoe UI" w:hAnsi="Segoe UI" w:cs="Segoe UI"/>
        </w:rPr>
      </w:pPr>
      <w:r w:rsidRPr="00924DCF">
        <w:rPr>
          <w:rFonts w:ascii="Segoe UI" w:hAnsi="Segoe UI" w:cs="Segoe UI"/>
          <w:u w:val="single"/>
        </w:rPr>
        <w:t xml:space="preserve">There is a requirement to submit a plan to NHSE/I to support the Integrating Pharmacy &amp; Medicines </w:t>
      </w:r>
      <w:proofErr w:type="spellStart"/>
      <w:r w:rsidRPr="00924DCF">
        <w:rPr>
          <w:rFonts w:ascii="Segoe UI" w:hAnsi="Segoe UI" w:cs="Segoe UI"/>
          <w:u w:val="single"/>
        </w:rPr>
        <w:t>Optimisation</w:t>
      </w:r>
      <w:proofErr w:type="spellEnd"/>
      <w:r w:rsidRPr="00924DCF">
        <w:rPr>
          <w:rFonts w:ascii="Segoe UI" w:hAnsi="Segoe UI" w:cs="Segoe UI"/>
          <w:u w:val="single"/>
        </w:rPr>
        <w:t xml:space="preserve"> (IPMO) </w:t>
      </w:r>
      <w:proofErr w:type="spellStart"/>
      <w:r w:rsidRPr="00924DCF">
        <w:rPr>
          <w:rFonts w:ascii="Segoe UI" w:hAnsi="Segoe UI" w:cs="Segoe UI"/>
          <w:u w:val="single"/>
        </w:rPr>
        <w:t>programme</w:t>
      </w:r>
      <w:proofErr w:type="spellEnd"/>
      <w:r w:rsidRPr="00924DCF">
        <w:rPr>
          <w:rFonts w:ascii="Segoe UI" w:hAnsi="Segoe UI" w:cs="Segoe UI"/>
          <w:u w:val="single"/>
        </w:rPr>
        <w:t xml:space="preserve"> across BOB ICS</w:t>
      </w:r>
      <w:r w:rsidRPr="00571F18">
        <w:rPr>
          <w:rFonts w:ascii="Segoe UI" w:hAnsi="Segoe UI" w:cs="Segoe UI"/>
        </w:rPr>
        <w:t>.</w:t>
      </w:r>
    </w:p>
    <w:p w14:paraId="2114A4A6" w14:textId="77777777" w:rsidR="00924DCF" w:rsidRPr="00571F18" w:rsidRDefault="00924DCF" w:rsidP="00DB75A9">
      <w:pPr>
        <w:rPr>
          <w:rFonts w:ascii="Segoe UI" w:hAnsi="Segoe UI" w:cs="Segoe UI"/>
        </w:rPr>
      </w:pPr>
    </w:p>
    <w:p w14:paraId="1FA2D277" w14:textId="7CA04938" w:rsidR="00A23C9B" w:rsidRPr="00571F18" w:rsidRDefault="00924DCF" w:rsidP="00DB75A9">
      <w:pPr>
        <w:rPr>
          <w:rFonts w:ascii="Segoe UI" w:hAnsi="Segoe UI" w:cs="Segoe UI"/>
        </w:rPr>
      </w:pPr>
      <w:r>
        <w:rPr>
          <w:rFonts w:ascii="Segoe UI" w:hAnsi="Segoe UI" w:cs="Segoe UI"/>
        </w:rPr>
        <w:t xml:space="preserve">2.3 </w:t>
      </w:r>
      <w:r w:rsidR="00A23C9B" w:rsidRPr="00571F18">
        <w:rPr>
          <w:rFonts w:ascii="Segoe UI" w:hAnsi="Segoe UI" w:cs="Segoe UI"/>
        </w:rPr>
        <w:t xml:space="preserve">A new element of the </w:t>
      </w:r>
      <w:r w:rsidR="00571F18" w:rsidRPr="00571F18">
        <w:rPr>
          <w:rFonts w:ascii="Segoe UI" w:hAnsi="Segoe UI" w:cs="Segoe UI"/>
        </w:rPr>
        <w:t>medicine’s</w:t>
      </w:r>
      <w:r w:rsidR="00A23C9B" w:rsidRPr="00571F18">
        <w:rPr>
          <w:rFonts w:ascii="Segoe UI" w:hAnsi="Segoe UI" w:cs="Segoe UI"/>
        </w:rPr>
        <w:t xml:space="preserve"> strategy wil</w:t>
      </w:r>
      <w:r>
        <w:rPr>
          <w:rFonts w:ascii="Segoe UI" w:hAnsi="Segoe UI" w:cs="Segoe UI"/>
        </w:rPr>
        <w:t xml:space="preserve">l </w:t>
      </w:r>
      <w:r w:rsidR="00A23C9B" w:rsidRPr="00571F18">
        <w:rPr>
          <w:rFonts w:ascii="Segoe UI" w:hAnsi="Segoe UI" w:cs="Segoe UI"/>
        </w:rPr>
        <w:t xml:space="preserve">specifically cover sustainability. This will support the trust’s Green Alert initiative to cover increasing recycling of medicines packaging and consumables, reducing waste and pollution, reducing the carbon footprint of medicines logistics and supply chain, and incorporating an environmental impact to formulary decision making.  </w:t>
      </w:r>
      <w:r w:rsidR="00A23C9B" w:rsidRPr="00924DCF">
        <w:rPr>
          <w:rFonts w:ascii="Segoe UI" w:hAnsi="Segoe UI" w:cs="Segoe UI"/>
          <w:u w:val="single"/>
        </w:rPr>
        <w:t xml:space="preserve">A plan to </w:t>
      </w:r>
      <w:proofErr w:type="spellStart"/>
      <w:r w:rsidR="00A23C9B" w:rsidRPr="00924DCF">
        <w:rPr>
          <w:rFonts w:ascii="Segoe UI" w:hAnsi="Segoe UI" w:cs="Segoe UI"/>
          <w:u w:val="single"/>
        </w:rPr>
        <w:t>socialise</w:t>
      </w:r>
      <w:proofErr w:type="spellEnd"/>
      <w:r w:rsidR="00A23C9B" w:rsidRPr="00924DCF">
        <w:rPr>
          <w:rFonts w:ascii="Segoe UI" w:hAnsi="Segoe UI" w:cs="Segoe UI"/>
          <w:u w:val="single"/>
        </w:rPr>
        <w:t xml:space="preserve"> the concept of “</w:t>
      </w:r>
      <w:r w:rsidR="00571F18" w:rsidRPr="00924DCF">
        <w:rPr>
          <w:rFonts w:ascii="Segoe UI" w:hAnsi="Segoe UI" w:cs="Segoe UI"/>
          <w:u w:val="single"/>
        </w:rPr>
        <w:t>pharmacology</w:t>
      </w:r>
      <w:r w:rsidR="00A23C9B" w:rsidRPr="00924DCF">
        <w:rPr>
          <w:rFonts w:ascii="Segoe UI" w:hAnsi="Segoe UI" w:cs="Segoe UI"/>
          <w:u w:val="single"/>
        </w:rPr>
        <w:t>” is underway.</w:t>
      </w:r>
    </w:p>
    <w:p w14:paraId="4470E630" w14:textId="77777777" w:rsidR="00A23C9B" w:rsidRPr="00571F18" w:rsidRDefault="00A23C9B" w:rsidP="00DB75A9">
      <w:pPr>
        <w:jc w:val="both"/>
        <w:rPr>
          <w:rFonts w:ascii="Segoe UI" w:hAnsi="Segoe UI" w:cs="Segoe UI"/>
        </w:rPr>
      </w:pPr>
    </w:p>
    <w:p w14:paraId="3A3B99CD" w14:textId="49BCA67E" w:rsidR="00A23C9B" w:rsidRPr="00571F18" w:rsidRDefault="00AE7886" w:rsidP="00DB75A9">
      <w:pPr>
        <w:jc w:val="both"/>
        <w:rPr>
          <w:rFonts w:ascii="Segoe UI" w:hAnsi="Segoe UI" w:cs="Segoe UI"/>
          <w:b/>
          <w:bCs/>
        </w:rPr>
      </w:pPr>
      <w:r w:rsidRPr="00571F18">
        <w:rPr>
          <w:rFonts w:ascii="Segoe UI" w:hAnsi="Segoe UI" w:cs="Segoe UI"/>
          <w:b/>
          <w:bCs/>
        </w:rPr>
        <w:t>3.0</w:t>
      </w:r>
      <w:r w:rsidRPr="00571F18">
        <w:rPr>
          <w:rFonts w:ascii="Segoe UI" w:hAnsi="Segoe UI" w:cs="Segoe UI"/>
          <w:b/>
          <w:bCs/>
        </w:rPr>
        <w:tab/>
      </w:r>
      <w:r w:rsidR="00A23C9B" w:rsidRPr="00571F18">
        <w:rPr>
          <w:rFonts w:ascii="Segoe UI" w:hAnsi="Segoe UI" w:cs="Segoe UI"/>
          <w:b/>
          <w:bCs/>
        </w:rPr>
        <w:t xml:space="preserve">Medical Professionalism </w:t>
      </w:r>
    </w:p>
    <w:p w14:paraId="1B882990" w14:textId="731B5BDC" w:rsidR="00A23C9B" w:rsidRPr="00571F18" w:rsidRDefault="00AE7886" w:rsidP="00DB75A9">
      <w:pPr>
        <w:spacing w:before="120" w:after="120"/>
        <w:contextualSpacing/>
        <w:jc w:val="both"/>
        <w:rPr>
          <w:rFonts w:ascii="Segoe UI" w:hAnsi="Segoe UI" w:cs="Segoe UI"/>
        </w:rPr>
      </w:pPr>
      <w:r w:rsidRPr="00571F18">
        <w:rPr>
          <w:rFonts w:ascii="Segoe UI" w:hAnsi="Segoe UI" w:cs="Segoe UI"/>
        </w:rPr>
        <w:t>3.1</w:t>
      </w:r>
      <w:r w:rsidRPr="00571F18">
        <w:rPr>
          <w:rFonts w:ascii="Segoe UI" w:hAnsi="Segoe UI" w:cs="Segoe UI"/>
        </w:rPr>
        <w:tab/>
      </w:r>
      <w:r w:rsidR="00A23C9B" w:rsidRPr="00924DCF">
        <w:rPr>
          <w:rFonts w:ascii="Segoe UI" w:hAnsi="Segoe UI" w:cs="Segoe UI"/>
          <w:u w:val="single"/>
        </w:rPr>
        <w:t xml:space="preserve">A NHSE submission for </w:t>
      </w:r>
      <w:r w:rsidR="00571F18" w:rsidRPr="00924DCF">
        <w:rPr>
          <w:rFonts w:ascii="Segoe UI" w:hAnsi="Segoe UI" w:cs="Segoe UI"/>
          <w:u w:val="single"/>
        </w:rPr>
        <w:t>doctors’</w:t>
      </w:r>
      <w:r w:rsidR="00A23C9B" w:rsidRPr="00924DCF">
        <w:rPr>
          <w:rFonts w:ascii="Segoe UI" w:hAnsi="Segoe UI" w:cs="Segoe UI"/>
          <w:u w:val="single"/>
        </w:rPr>
        <w:t xml:space="preserve"> revalidation and appraisal (append</w:t>
      </w:r>
      <w:r w:rsidR="00D868B9" w:rsidRPr="00924DCF">
        <w:rPr>
          <w:rFonts w:ascii="Segoe UI" w:hAnsi="Segoe UI" w:cs="Segoe UI"/>
          <w:u w:val="single"/>
        </w:rPr>
        <w:t>ed</w:t>
      </w:r>
      <w:r w:rsidR="00A23C9B" w:rsidRPr="00924DCF">
        <w:rPr>
          <w:rFonts w:ascii="Segoe UI" w:hAnsi="Segoe UI" w:cs="Segoe UI"/>
          <w:u w:val="single"/>
        </w:rPr>
        <w:t xml:space="preserve"> </w:t>
      </w:r>
      <w:r w:rsidR="00AC65C8" w:rsidRPr="00924DCF">
        <w:rPr>
          <w:rFonts w:ascii="Segoe UI" w:hAnsi="Segoe UI" w:cs="Segoe UI"/>
          <w:u w:val="single"/>
        </w:rPr>
        <w:t>to this report</w:t>
      </w:r>
      <w:r w:rsidR="00A23C9B" w:rsidRPr="00924DCF">
        <w:rPr>
          <w:rFonts w:ascii="Segoe UI" w:hAnsi="Segoe UI" w:cs="Segoe UI"/>
          <w:u w:val="single"/>
        </w:rPr>
        <w:t>) has been written to be signed by the Chairman/CEO on the Board</w:t>
      </w:r>
      <w:r w:rsidR="00FD4FCC" w:rsidRPr="00924DCF">
        <w:rPr>
          <w:rFonts w:ascii="Segoe UI" w:hAnsi="Segoe UI" w:cs="Segoe UI"/>
          <w:u w:val="single"/>
        </w:rPr>
        <w:t>s</w:t>
      </w:r>
      <w:r w:rsidR="00A23C9B" w:rsidRPr="00924DCF">
        <w:rPr>
          <w:rFonts w:ascii="Segoe UI" w:hAnsi="Segoe UI" w:cs="Segoe UI"/>
          <w:u w:val="single"/>
        </w:rPr>
        <w:t xml:space="preserve"> behalf. Approval is requested today</w:t>
      </w:r>
      <w:r w:rsidR="00A23C9B" w:rsidRPr="00571F18">
        <w:rPr>
          <w:rFonts w:ascii="Segoe UI" w:hAnsi="Segoe UI" w:cs="Segoe UI"/>
        </w:rPr>
        <w:t xml:space="preserve">. The summary is that during the pandemic there was </w:t>
      </w:r>
      <w:r w:rsidR="00A23C9B" w:rsidRPr="00571F18">
        <w:rPr>
          <w:rFonts w:ascii="Segoe UI" w:hAnsi="Segoe UI" w:cs="Segoe UI"/>
        </w:rPr>
        <w:lastRenderedPageBreak/>
        <w:t xml:space="preserve">an exemption for doctors annual appraisal, nevertheless for the 188 doctors connected to OHFT as their  GMC’s Designated Body, the 2020/21 NHSE submission is that 99% of doctors are up to date in completing their annual appraisal. These are approved reasons for exemption and no letters of non-engagement sent 2020/2021. </w:t>
      </w:r>
    </w:p>
    <w:p w14:paraId="51AF35DB" w14:textId="77777777" w:rsidR="00A23C9B" w:rsidRPr="00571F18" w:rsidRDefault="00A23C9B" w:rsidP="00DB75A9">
      <w:pPr>
        <w:spacing w:before="120" w:after="120"/>
        <w:contextualSpacing/>
        <w:jc w:val="both"/>
        <w:rPr>
          <w:rFonts w:ascii="Segoe UI" w:hAnsi="Segoe UI" w:cs="Segoe UI"/>
        </w:rPr>
      </w:pPr>
    </w:p>
    <w:p w14:paraId="5664C1B7" w14:textId="61EBD507" w:rsidR="0004652B" w:rsidRPr="0004652B" w:rsidRDefault="00AE7886" w:rsidP="00C42E06">
      <w:pPr>
        <w:jc w:val="both"/>
        <w:rPr>
          <w:rFonts w:ascii="Segoe UI" w:eastAsia="Calibri" w:hAnsi="Segoe UI" w:cs="Segoe UI"/>
          <w:szCs w:val="22"/>
          <w:lang w:val="en-GB"/>
        </w:rPr>
      </w:pPr>
      <w:r w:rsidRPr="00571F18">
        <w:rPr>
          <w:rFonts w:ascii="Segoe UI" w:hAnsi="Segoe UI" w:cs="Segoe UI"/>
        </w:rPr>
        <w:t>3.2</w:t>
      </w:r>
      <w:r w:rsidRPr="00571F18">
        <w:rPr>
          <w:rFonts w:ascii="Segoe UI" w:hAnsi="Segoe UI" w:cs="Segoe UI"/>
        </w:rPr>
        <w:tab/>
      </w:r>
      <w:r w:rsidR="00A23C9B" w:rsidRPr="00571F18">
        <w:rPr>
          <w:rFonts w:ascii="Segoe UI" w:hAnsi="Segoe UI" w:cs="Segoe UI"/>
        </w:rPr>
        <w:t xml:space="preserve">There are currently insufficient trained Trust Appraisers and administration for the OHFT’s Responsible Officer to discharge a timely and high-quality process. </w:t>
      </w:r>
      <w:r w:rsidR="00A23C9B" w:rsidRPr="00B93EA5">
        <w:rPr>
          <w:rFonts w:ascii="Segoe UI" w:hAnsi="Segoe UI" w:cs="Segoe UI"/>
          <w:u w:val="single"/>
        </w:rPr>
        <w:t>This will be part of the 2021/22 medical professional and HR development/review, linked with the appointment of a new Chief People Officer.</w:t>
      </w:r>
    </w:p>
    <w:p w14:paraId="1A07D1D8" w14:textId="41A68255" w:rsidR="00F13846" w:rsidRPr="00571F18" w:rsidRDefault="00F13846" w:rsidP="00A23C9B">
      <w:pPr>
        <w:jc w:val="both"/>
        <w:rPr>
          <w:rFonts w:ascii="Segoe UI" w:hAnsi="Segoe UI" w:cs="Segoe UI"/>
        </w:rPr>
      </w:pPr>
    </w:p>
    <w:p w14:paraId="70D0F8BC" w14:textId="77777777" w:rsidR="001563F4" w:rsidRPr="00571F18" w:rsidRDefault="001563F4" w:rsidP="001563F4">
      <w:pPr>
        <w:jc w:val="both"/>
        <w:rPr>
          <w:rFonts w:ascii="Segoe UI" w:hAnsi="Segoe UI" w:cs="Segoe UI"/>
          <w:b/>
        </w:rPr>
      </w:pPr>
      <w:r w:rsidRPr="00571F18">
        <w:rPr>
          <w:rFonts w:ascii="Segoe UI" w:hAnsi="Segoe UI" w:cs="Segoe UI"/>
          <w:b/>
        </w:rPr>
        <w:t>Recommendation</w:t>
      </w:r>
    </w:p>
    <w:p w14:paraId="1BE3439A" w14:textId="4C694F75" w:rsidR="001563F4" w:rsidRPr="00571F18" w:rsidRDefault="001563F4" w:rsidP="001563F4">
      <w:pPr>
        <w:jc w:val="both"/>
        <w:rPr>
          <w:rFonts w:ascii="Segoe UI" w:hAnsi="Segoe UI" w:cs="Segoe UI"/>
        </w:rPr>
      </w:pPr>
      <w:r w:rsidRPr="00571F18">
        <w:rPr>
          <w:rFonts w:ascii="Segoe UI" w:hAnsi="Segoe UI" w:cs="Segoe UI"/>
        </w:rPr>
        <w:t xml:space="preserve">The Board is asked to </w:t>
      </w:r>
      <w:r w:rsidR="009F7B13">
        <w:rPr>
          <w:rFonts w:ascii="Segoe UI" w:hAnsi="Segoe UI" w:cs="Segoe UI"/>
        </w:rPr>
        <w:t xml:space="preserve">take assurance </w:t>
      </w:r>
      <w:r w:rsidR="00031065">
        <w:rPr>
          <w:rFonts w:ascii="Segoe UI" w:hAnsi="Segoe UI" w:cs="Segoe UI"/>
        </w:rPr>
        <w:t>from the</w:t>
      </w:r>
      <w:r w:rsidR="009F7B13">
        <w:rPr>
          <w:rFonts w:ascii="Segoe UI" w:hAnsi="Segoe UI" w:cs="Segoe UI"/>
        </w:rPr>
        <w:t xml:space="preserve"> developments in this </w:t>
      </w:r>
      <w:r w:rsidRPr="00571F18">
        <w:rPr>
          <w:rFonts w:ascii="Segoe UI" w:hAnsi="Segoe UI" w:cs="Segoe UI"/>
        </w:rPr>
        <w:t>report and</w:t>
      </w:r>
      <w:r w:rsidR="00B93EA5">
        <w:rPr>
          <w:rFonts w:ascii="Segoe UI" w:hAnsi="Segoe UI" w:cs="Segoe UI"/>
        </w:rPr>
        <w:t xml:space="preserve"> </w:t>
      </w:r>
      <w:r w:rsidR="00031065">
        <w:rPr>
          <w:rFonts w:ascii="Segoe UI" w:hAnsi="Segoe UI" w:cs="Segoe UI"/>
        </w:rPr>
        <w:t xml:space="preserve">for </w:t>
      </w:r>
      <w:r w:rsidR="009F7B13">
        <w:rPr>
          <w:rFonts w:ascii="Segoe UI" w:hAnsi="Segoe UI" w:cs="Segoe UI"/>
        </w:rPr>
        <w:t>required NHE/CQC compliance.</w:t>
      </w:r>
    </w:p>
    <w:p w14:paraId="78A535CC" w14:textId="77777777" w:rsidR="001563F4" w:rsidRPr="00571F18" w:rsidRDefault="001563F4" w:rsidP="001563F4">
      <w:pPr>
        <w:jc w:val="both"/>
        <w:rPr>
          <w:rFonts w:ascii="Segoe UI" w:hAnsi="Segoe UI" w:cs="Segoe UI"/>
          <w:b/>
        </w:rPr>
      </w:pPr>
    </w:p>
    <w:p w14:paraId="750DBE8E" w14:textId="77777777" w:rsidR="001563F4" w:rsidRPr="00571F18" w:rsidRDefault="001563F4" w:rsidP="001563F4">
      <w:pPr>
        <w:ind w:left="1440" w:hanging="1440"/>
        <w:jc w:val="both"/>
        <w:rPr>
          <w:rFonts w:ascii="Segoe UI" w:hAnsi="Segoe UI" w:cs="Segoe UI"/>
        </w:rPr>
      </w:pPr>
      <w:r w:rsidRPr="00571F18">
        <w:rPr>
          <w:rFonts w:ascii="Segoe UI" w:hAnsi="Segoe UI" w:cs="Segoe UI"/>
          <w:b/>
        </w:rPr>
        <w:t>Author and Title: Dr Karl Marlowe, Chief Medical Officer</w:t>
      </w:r>
    </w:p>
    <w:p w14:paraId="2B5439B6" w14:textId="77777777" w:rsidR="001563F4" w:rsidRPr="00571F18" w:rsidRDefault="001563F4" w:rsidP="001563F4">
      <w:pPr>
        <w:jc w:val="both"/>
        <w:rPr>
          <w:rFonts w:ascii="Segoe UI" w:hAnsi="Segoe UI" w:cs="Segoe UI"/>
          <w:b/>
        </w:rPr>
      </w:pPr>
      <w:r w:rsidRPr="00571F18">
        <w:rPr>
          <w:rFonts w:ascii="Segoe UI" w:hAnsi="Segoe UI" w:cs="Segoe UI"/>
          <w:b/>
        </w:rPr>
        <w:t xml:space="preserve">Lead Executive Director: Chief Medical Officer </w:t>
      </w:r>
    </w:p>
    <w:p w14:paraId="3565B9F6" w14:textId="77777777" w:rsidR="00D624EA" w:rsidRPr="00101A8F" w:rsidRDefault="00D624EA" w:rsidP="00D624EA">
      <w:pPr>
        <w:jc w:val="both"/>
        <w:rPr>
          <w:rFonts w:ascii="Segoe UI" w:hAnsi="Segoe UI" w:cs="Segoe UI"/>
        </w:rPr>
      </w:pPr>
    </w:p>
    <w:p w14:paraId="1A9BDCC6" w14:textId="77777777" w:rsidR="00D624EA" w:rsidRPr="00FA3993" w:rsidRDefault="00D624EA" w:rsidP="00D624EA">
      <w:pPr>
        <w:jc w:val="both"/>
        <w:rPr>
          <w:rFonts w:ascii="Segoe UI" w:hAnsi="Segoe UI" w:cs="Segoe UI"/>
          <w:i/>
          <w:sz w:val="20"/>
          <w:szCs w:val="20"/>
        </w:rPr>
      </w:pPr>
      <w:r>
        <w:rPr>
          <w:rFonts w:ascii="Segoe UI" w:hAnsi="Segoe UI" w:cs="Segoe UI"/>
          <w:b/>
          <w:i/>
          <w:sz w:val="20"/>
          <w:szCs w:val="20"/>
        </w:rPr>
        <w:t>Strategic Objectives/Priorities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Pr>
          <w:rFonts w:ascii="Segoe UI" w:hAnsi="Segoe UI" w:cs="Segoe UI"/>
          <w:i/>
          <w:sz w:val="20"/>
          <w:szCs w:val="20"/>
        </w:rPr>
        <w:t>/Priority(</w:t>
      </w:r>
      <w:proofErr w:type="spellStart"/>
      <w:r>
        <w:rPr>
          <w:rFonts w:ascii="Segoe UI" w:hAnsi="Segoe UI" w:cs="Segoe UI"/>
          <w:i/>
          <w:sz w:val="20"/>
          <w:szCs w:val="20"/>
        </w:rPr>
        <w:t>ies</w:t>
      </w:r>
      <w:proofErr w:type="spellEnd"/>
      <w:r>
        <w:rPr>
          <w:rFonts w:ascii="Segoe UI" w:hAnsi="Segoe UI" w:cs="Segoe UI"/>
          <w:i/>
          <w:sz w:val="20"/>
          <w:szCs w:val="20"/>
        </w:rPr>
        <w:t>)</w:t>
      </w:r>
      <w:r w:rsidRPr="00FA3993">
        <w:rPr>
          <w:rFonts w:ascii="Segoe UI" w:hAnsi="Segoe UI" w:cs="Segoe UI"/>
          <w:i/>
          <w:sz w:val="20"/>
          <w:szCs w:val="20"/>
        </w:rPr>
        <w:t xml:space="preserve"> of the Trust</w:t>
      </w:r>
    </w:p>
    <w:p w14:paraId="68715991" w14:textId="77777777" w:rsidR="00D624EA" w:rsidRPr="00FA3993" w:rsidRDefault="00D624EA" w:rsidP="00D624EA">
      <w:pPr>
        <w:ind w:left="720"/>
        <w:jc w:val="both"/>
        <w:rPr>
          <w:rFonts w:ascii="Segoe UI" w:hAnsi="Segoe UI" w:cs="Segoe UI"/>
          <w:i/>
          <w:sz w:val="20"/>
          <w:szCs w:val="20"/>
        </w:rPr>
      </w:pPr>
    </w:p>
    <w:p w14:paraId="5F85EE02" w14:textId="77777777" w:rsidR="00D624EA" w:rsidRPr="00876856" w:rsidRDefault="00D624EA" w:rsidP="00D624EA">
      <w:pPr>
        <w:ind w:firstLine="720"/>
        <w:jc w:val="both"/>
        <w:rPr>
          <w:rFonts w:ascii="Segoe UI" w:hAnsi="Segoe UI" w:cs="Segoe UI"/>
          <w:i/>
          <w:sz w:val="20"/>
          <w:szCs w:val="20"/>
        </w:rPr>
      </w:pPr>
      <w:r w:rsidRPr="00876856">
        <w:rPr>
          <w:rFonts w:ascii="Segoe UI" w:hAnsi="Segoe UI" w:cs="Segoe UI"/>
          <w:i/>
          <w:sz w:val="20"/>
          <w:szCs w:val="20"/>
        </w:rPr>
        <w:t>1) Quality - Deliver the best possible care and health outcomes</w:t>
      </w:r>
    </w:p>
    <w:p w14:paraId="3008B6DE" w14:textId="77777777" w:rsidR="00D624EA" w:rsidRPr="00876856" w:rsidRDefault="00D624EA" w:rsidP="00D624EA">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p>
    <w:p w14:paraId="595C2AF4" w14:textId="77777777" w:rsidR="00D624EA" w:rsidRDefault="00D624EA" w:rsidP="00D624EA">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14:paraId="3FE8B758" w14:textId="77777777" w:rsidR="00D624EA" w:rsidRDefault="00D624EA" w:rsidP="00D624EA">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2BE2BDFD" w14:textId="53CCBC80" w:rsidR="001563F4" w:rsidRDefault="001563F4" w:rsidP="00A23C9B">
      <w:pPr>
        <w:jc w:val="both"/>
        <w:rPr>
          <w:rFonts w:ascii="Segoe UI" w:hAnsi="Segoe UI" w:cs="Segoe UI"/>
        </w:rPr>
      </w:pPr>
    </w:p>
    <w:p w14:paraId="70686AAA" w14:textId="77777777" w:rsidR="001563F4" w:rsidRPr="00F945DB" w:rsidRDefault="001563F4" w:rsidP="00A23C9B">
      <w:pPr>
        <w:jc w:val="both"/>
        <w:rPr>
          <w:rFonts w:ascii="Segoe UI" w:hAnsi="Segoe UI" w:cs="Segoe UI"/>
        </w:rPr>
      </w:pPr>
    </w:p>
    <w:sectPr w:rsidR="001563F4"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58CD" w14:textId="77777777" w:rsidR="007726DF" w:rsidRDefault="007726DF" w:rsidP="005B3E3C">
      <w:r>
        <w:separator/>
      </w:r>
    </w:p>
  </w:endnote>
  <w:endnote w:type="continuationSeparator" w:id="0">
    <w:p w14:paraId="2D187D9D" w14:textId="77777777" w:rsidR="007726DF" w:rsidRDefault="007726D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6AC7FD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6DF0" w14:textId="77777777" w:rsidR="007726DF" w:rsidRDefault="007726DF" w:rsidP="005B3E3C">
      <w:r>
        <w:separator/>
      </w:r>
    </w:p>
  </w:footnote>
  <w:footnote w:type="continuationSeparator" w:id="0">
    <w:p w14:paraId="7797D568" w14:textId="77777777" w:rsidR="007726DF" w:rsidRDefault="007726DF"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0C3241BE" w14:textId="77777777" w:rsidR="00262F0F" w:rsidRPr="00FA3993" w:rsidRDefault="00262F0F" w:rsidP="00262F0F">
    <w:pPr>
      <w:pStyle w:val="Header"/>
      <w:jc w:val="center"/>
      <w:rPr>
        <w:rFonts w:ascii="Segoe UI" w:hAnsi="Segoe UI" w:cs="Segoe UI"/>
        <w:i/>
      </w:rPr>
    </w:pPr>
    <w:r w:rsidRPr="00FA3993">
      <w:rPr>
        <w:rFonts w:ascii="Segoe UI" w:hAnsi="Segoe UI" w:cs="Segoe UI"/>
        <w:i/>
      </w:rPr>
      <w:t xml:space="preserve">OR </w:t>
    </w:r>
  </w:p>
  <w:p w14:paraId="7F10C812" w14:textId="77777777"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r>
      <w:rPr>
        <w:rFonts w:ascii="Segoe UI" w:hAnsi="Segoe UI" w:cs="Segoe UI"/>
        <w:b/>
        <w:i/>
      </w:rPr>
      <w:t xml:space="preserve"> </w:t>
    </w:r>
    <w:r>
      <w:rPr>
        <w:rFonts w:ascii="Segoe UI" w:hAnsi="Segoe UI" w:cs="Segoe UI"/>
        <w:i/>
      </w:rPr>
      <w:t xml:space="preserve">- </w:t>
    </w:r>
    <w:r w:rsidRPr="00FA3993">
      <w:rPr>
        <w:rFonts w:ascii="Segoe UI" w:hAnsi="Segoe UI" w:cs="Segoe UI"/>
        <w:i/>
      </w:rPr>
      <w:t>not for disclosure under the Freedom of Information Act, the exemptions under section 36(2)(b)(ii) (prejudice to effective conduct of public affairs) and section 43 (commercial interests) may apply</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1E19"/>
    <w:multiLevelType w:val="hybridMultilevel"/>
    <w:tmpl w:val="A94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112AD"/>
    <w:multiLevelType w:val="multilevel"/>
    <w:tmpl w:val="13B2F62A"/>
    <w:lvl w:ilvl="0">
      <w:start w:val="1"/>
      <w:numFmt w:val="decimal"/>
      <w:lvlText w:val="%1."/>
      <w:lvlJc w:val="left"/>
      <w:pPr>
        <w:ind w:left="644" w:hanging="360"/>
      </w:pPr>
      <w:rPr>
        <w:rFonts w:hint="default"/>
        <w:b/>
      </w:rPr>
    </w:lvl>
    <w:lvl w:ilvl="1">
      <w:start w:val="2"/>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EC25E7D"/>
    <w:multiLevelType w:val="hybridMultilevel"/>
    <w:tmpl w:val="466A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A19B4"/>
    <w:multiLevelType w:val="multilevel"/>
    <w:tmpl w:val="ED1AB9E6"/>
    <w:lvl w:ilvl="0">
      <w:start w:val="1"/>
      <w:numFmt w:val="decimal"/>
      <w:lvlText w:val="%1."/>
      <w:lvlJc w:val="left"/>
      <w:pPr>
        <w:ind w:left="644" w:hanging="360"/>
      </w:pPr>
      <w:rPr>
        <w:rFonts w:hint="default"/>
        <w:b/>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B41BCE"/>
    <w:multiLevelType w:val="hybridMultilevel"/>
    <w:tmpl w:val="BC8E3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04927"/>
    <w:multiLevelType w:val="multilevel"/>
    <w:tmpl w:val="268C3300"/>
    <w:lvl w:ilvl="0">
      <w:start w:val="1"/>
      <w:numFmt w:val="decimal"/>
      <w:lvlText w:val="%1.0"/>
      <w:lvlJc w:val="left"/>
      <w:pPr>
        <w:ind w:left="410" w:hanging="410"/>
      </w:pPr>
      <w:rPr>
        <w:rFonts w:hint="default"/>
      </w:rPr>
    </w:lvl>
    <w:lvl w:ilvl="1">
      <w:start w:val="1"/>
      <w:numFmt w:val="decimal"/>
      <w:lvlText w:val="%1.%2"/>
      <w:lvlJc w:val="left"/>
      <w:pPr>
        <w:ind w:left="1130" w:hanging="4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5317A0"/>
    <w:multiLevelType w:val="hybridMultilevel"/>
    <w:tmpl w:val="E2D25040"/>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643"/>
        </w:tabs>
        <w:ind w:left="643"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7A1635"/>
    <w:multiLevelType w:val="hybridMultilevel"/>
    <w:tmpl w:val="E2C8D194"/>
    <w:lvl w:ilvl="0" w:tplc="AC1E9702">
      <w:start w:val="1"/>
      <w:numFmt w:val="decimal"/>
      <w:lvlText w:val="%1."/>
      <w:lvlJc w:val="left"/>
      <w:pPr>
        <w:ind w:left="644" w:hanging="360"/>
      </w:pPr>
      <w:rPr>
        <w:b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405D02A0"/>
    <w:multiLevelType w:val="hybridMultilevel"/>
    <w:tmpl w:val="44608136"/>
    <w:lvl w:ilvl="0" w:tplc="99DE5B24">
      <w:start w:val="1"/>
      <w:numFmt w:val="decimal"/>
      <w:lvlText w:val="%1."/>
      <w:lvlJc w:val="left"/>
      <w:pPr>
        <w:ind w:left="502" w:hanging="360"/>
      </w:pPr>
      <w:rPr>
        <w:rFonts w:ascii="Arial" w:hAnsi="Arial" w:cs="Arial" w:hint="default"/>
        <w:b/>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D97F6D"/>
    <w:multiLevelType w:val="hybridMultilevel"/>
    <w:tmpl w:val="F38E1CF8"/>
    <w:lvl w:ilvl="0" w:tplc="A3E03E68">
      <w:start w:val="1"/>
      <w:numFmt w:val="decimal"/>
      <w:lvlText w:val="%1."/>
      <w:lvlJc w:val="left"/>
      <w:pPr>
        <w:ind w:left="644" w:hanging="360"/>
      </w:pPr>
      <w:rPr>
        <w:rFonts w:hint="default"/>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2874DEE"/>
    <w:multiLevelType w:val="multilevel"/>
    <w:tmpl w:val="EC2E39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D2898"/>
    <w:multiLevelType w:val="hybridMultilevel"/>
    <w:tmpl w:val="863AC88A"/>
    <w:lvl w:ilvl="0" w:tplc="106096B4">
      <w:start w:val="1"/>
      <w:numFmt w:val="decimal"/>
      <w:lvlText w:val="%1."/>
      <w:lvlJc w:val="left"/>
      <w:pPr>
        <w:ind w:left="644" w:hanging="360"/>
      </w:pPr>
      <w:rPr>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5F6155C2"/>
    <w:multiLevelType w:val="hybridMultilevel"/>
    <w:tmpl w:val="903A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4"/>
  </w:num>
  <w:num w:numId="4">
    <w:abstractNumId w:val="5"/>
  </w:num>
  <w:num w:numId="5">
    <w:abstractNumId w:val="16"/>
  </w:num>
  <w:num w:numId="6">
    <w:abstractNumId w:val="9"/>
  </w:num>
  <w:num w:numId="7">
    <w:abstractNumId w:val="18"/>
  </w:num>
  <w:num w:numId="8">
    <w:abstractNumId w:val="17"/>
  </w:num>
  <w:num w:numId="9">
    <w:abstractNumId w:val="2"/>
  </w:num>
  <w:num w:numId="10">
    <w:abstractNumId w:val="13"/>
  </w:num>
  <w:num w:numId="11">
    <w:abstractNumId w:val="15"/>
  </w:num>
  <w:num w:numId="12">
    <w:abstractNumId w:val="8"/>
  </w:num>
  <w:num w:numId="13">
    <w:abstractNumId w:val="10"/>
  </w:num>
  <w:num w:numId="14">
    <w:abstractNumId w:val="12"/>
  </w:num>
  <w:num w:numId="15">
    <w:abstractNumId w:val="1"/>
  </w:num>
  <w:num w:numId="16">
    <w:abstractNumId w:val="4"/>
  </w:num>
  <w:num w:numId="17">
    <w:abstractNumId w:val="3"/>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31065"/>
    <w:rsid w:val="0004652B"/>
    <w:rsid w:val="00047FC8"/>
    <w:rsid w:val="000508AC"/>
    <w:rsid w:val="00071842"/>
    <w:rsid w:val="000A3A29"/>
    <w:rsid w:val="000A583B"/>
    <w:rsid w:val="000A5A07"/>
    <w:rsid w:val="000B420F"/>
    <w:rsid w:val="000E317C"/>
    <w:rsid w:val="00101A8F"/>
    <w:rsid w:val="001058A7"/>
    <w:rsid w:val="00145747"/>
    <w:rsid w:val="001563F4"/>
    <w:rsid w:val="00175B8E"/>
    <w:rsid w:val="001B5873"/>
    <w:rsid w:val="001F76ED"/>
    <w:rsid w:val="002250DE"/>
    <w:rsid w:val="00227FCE"/>
    <w:rsid w:val="0024199A"/>
    <w:rsid w:val="00241A66"/>
    <w:rsid w:val="002434B2"/>
    <w:rsid w:val="002619EF"/>
    <w:rsid w:val="00262F0F"/>
    <w:rsid w:val="002821F8"/>
    <w:rsid w:val="00292613"/>
    <w:rsid w:val="002A59FB"/>
    <w:rsid w:val="002A73E8"/>
    <w:rsid w:val="002B7785"/>
    <w:rsid w:val="002C2F97"/>
    <w:rsid w:val="002D7AAD"/>
    <w:rsid w:val="002E6FC6"/>
    <w:rsid w:val="002F0D9E"/>
    <w:rsid w:val="00306AF0"/>
    <w:rsid w:val="00316193"/>
    <w:rsid w:val="003927AC"/>
    <w:rsid w:val="003971F6"/>
    <w:rsid w:val="003B0325"/>
    <w:rsid w:val="003E4739"/>
    <w:rsid w:val="003F2AF4"/>
    <w:rsid w:val="003F7366"/>
    <w:rsid w:val="0042263B"/>
    <w:rsid w:val="00422707"/>
    <w:rsid w:val="00424226"/>
    <w:rsid w:val="00425CD0"/>
    <w:rsid w:val="004326BB"/>
    <w:rsid w:val="00456DDE"/>
    <w:rsid w:val="004742D0"/>
    <w:rsid w:val="0049399C"/>
    <w:rsid w:val="004B1397"/>
    <w:rsid w:val="004D0692"/>
    <w:rsid w:val="004F4BBA"/>
    <w:rsid w:val="005233AA"/>
    <w:rsid w:val="00523450"/>
    <w:rsid w:val="00551AD9"/>
    <w:rsid w:val="00551B0F"/>
    <w:rsid w:val="00564FC7"/>
    <w:rsid w:val="005659FB"/>
    <w:rsid w:val="00571F18"/>
    <w:rsid w:val="00573904"/>
    <w:rsid w:val="00595554"/>
    <w:rsid w:val="005A23E0"/>
    <w:rsid w:val="005B3E3C"/>
    <w:rsid w:val="005C3FC1"/>
    <w:rsid w:val="005D3499"/>
    <w:rsid w:val="005E2583"/>
    <w:rsid w:val="0061684E"/>
    <w:rsid w:val="0063463D"/>
    <w:rsid w:val="0066219B"/>
    <w:rsid w:val="00683031"/>
    <w:rsid w:val="006B14EF"/>
    <w:rsid w:val="006C3147"/>
    <w:rsid w:val="006D4BDD"/>
    <w:rsid w:val="006E3C3E"/>
    <w:rsid w:val="006F2F62"/>
    <w:rsid w:val="006F6C4E"/>
    <w:rsid w:val="00700753"/>
    <w:rsid w:val="0070205A"/>
    <w:rsid w:val="0073096A"/>
    <w:rsid w:val="00730DB6"/>
    <w:rsid w:val="0073522A"/>
    <w:rsid w:val="00745B27"/>
    <w:rsid w:val="007653B8"/>
    <w:rsid w:val="007726DF"/>
    <w:rsid w:val="007769CD"/>
    <w:rsid w:val="0078032B"/>
    <w:rsid w:val="00781566"/>
    <w:rsid w:val="007976E7"/>
    <w:rsid w:val="007A2CF0"/>
    <w:rsid w:val="007A65DD"/>
    <w:rsid w:val="007B02FB"/>
    <w:rsid w:val="007B6D77"/>
    <w:rsid w:val="007F057D"/>
    <w:rsid w:val="00802701"/>
    <w:rsid w:val="008038A2"/>
    <w:rsid w:val="00811FE8"/>
    <w:rsid w:val="0084720C"/>
    <w:rsid w:val="00851285"/>
    <w:rsid w:val="0086436B"/>
    <w:rsid w:val="00876856"/>
    <w:rsid w:val="0088096A"/>
    <w:rsid w:val="008865A9"/>
    <w:rsid w:val="00894B97"/>
    <w:rsid w:val="008D7460"/>
    <w:rsid w:val="008E2255"/>
    <w:rsid w:val="008F2457"/>
    <w:rsid w:val="00914771"/>
    <w:rsid w:val="00924DCF"/>
    <w:rsid w:val="00946E6E"/>
    <w:rsid w:val="0097530A"/>
    <w:rsid w:val="009869DE"/>
    <w:rsid w:val="009A3886"/>
    <w:rsid w:val="009F7B13"/>
    <w:rsid w:val="00A016A0"/>
    <w:rsid w:val="00A12789"/>
    <w:rsid w:val="00A15A88"/>
    <w:rsid w:val="00A2080F"/>
    <w:rsid w:val="00A23C9B"/>
    <w:rsid w:val="00A674FB"/>
    <w:rsid w:val="00A7330E"/>
    <w:rsid w:val="00A84CB4"/>
    <w:rsid w:val="00A85311"/>
    <w:rsid w:val="00A86977"/>
    <w:rsid w:val="00A95301"/>
    <w:rsid w:val="00AA0C3F"/>
    <w:rsid w:val="00AC041B"/>
    <w:rsid w:val="00AC12E4"/>
    <w:rsid w:val="00AC3814"/>
    <w:rsid w:val="00AC65C8"/>
    <w:rsid w:val="00AE3FCD"/>
    <w:rsid w:val="00AE7886"/>
    <w:rsid w:val="00AF0562"/>
    <w:rsid w:val="00AF0E8E"/>
    <w:rsid w:val="00B10FB2"/>
    <w:rsid w:val="00B226D7"/>
    <w:rsid w:val="00B26E1A"/>
    <w:rsid w:val="00B26F2C"/>
    <w:rsid w:val="00B408F7"/>
    <w:rsid w:val="00B50D5E"/>
    <w:rsid w:val="00B72290"/>
    <w:rsid w:val="00B93EA5"/>
    <w:rsid w:val="00BA3B3E"/>
    <w:rsid w:val="00BB510B"/>
    <w:rsid w:val="00BC152C"/>
    <w:rsid w:val="00BE39FB"/>
    <w:rsid w:val="00BF3538"/>
    <w:rsid w:val="00BF5367"/>
    <w:rsid w:val="00C03DC5"/>
    <w:rsid w:val="00C07817"/>
    <w:rsid w:val="00C11AA2"/>
    <w:rsid w:val="00C1214C"/>
    <w:rsid w:val="00C27708"/>
    <w:rsid w:val="00C35D5C"/>
    <w:rsid w:val="00C42E06"/>
    <w:rsid w:val="00C50414"/>
    <w:rsid w:val="00C553DD"/>
    <w:rsid w:val="00C67635"/>
    <w:rsid w:val="00C71005"/>
    <w:rsid w:val="00C772AD"/>
    <w:rsid w:val="00C84B11"/>
    <w:rsid w:val="00CF5A37"/>
    <w:rsid w:val="00D029E8"/>
    <w:rsid w:val="00D07064"/>
    <w:rsid w:val="00D101CB"/>
    <w:rsid w:val="00D26F70"/>
    <w:rsid w:val="00D279FC"/>
    <w:rsid w:val="00D364A6"/>
    <w:rsid w:val="00D557DE"/>
    <w:rsid w:val="00D55ADD"/>
    <w:rsid w:val="00D624EA"/>
    <w:rsid w:val="00D628E5"/>
    <w:rsid w:val="00D8544F"/>
    <w:rsid w:val="00D868B9"/>
    <w:rsid w:val="00D870AD"/>
    <w:rsid w:val="00D87947"/>
    <w:rsid w:val="00DA0FA6"/>
    <w:rsid w:val="00DA6606"/>
    <w:rsid w:val="00DB0979"/>
    <w:rsid w:val="00DB161E"/>
    <w:rsid w:val="00DB75A9"/>
    <w:rsid w:val="00DC23FA"/>
    <w:rsid w:val="00DD33DF"/>
    <w:rsid w:val="00DE1293"/>
    <w:rsid w:val="00DE4919"/>
    <w:rsid w:val="00DF10CC"/>
    <w:rsid w:val="00DF2AE1"/>
    <w:rsid w:val="00E02DC2"/>
    <w:rsid w:val="00E62783"/>
    <w:rsid w:val="00E64EB4"/>
    <w:rsid w:val="00E827C5"/>
    <w:rsid w:val="00EA2D81"/>
    <w:rsid w:val="00EE261A"/>
    <w:rsid w:val="00F13846"/>
    <w:rsid w:val="00F23E38"/>
    <w:rsid w:val="00F24EB2"/>
    <w:rsid w:val="00F41F35"/>
    <w:rsid w:val="00F50A07"/>
    <w:rsid w:val="00F57119"/>
    <w:rsid w:val="00F77C13"/>
    <w:rsid w:val="00F93420"/>
    <w:rsid w:val="00F945DB"/>
    <w:rsid w:val="00FA3993"/>
    <w:rsid w:val="00FA5118"/>
    <w:rsid w:val="00FB35C1"/>
    <w:rsid w:val="00FC13A1"/>
    <w:rsid w:val="00FD2279"/>
    <w:rsid w:val="00FD4FCC"/>
    <w:rsid w:val="00FE113A"/>
    <w:rsid w:val="00FF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A23C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Heading2Char">
    <w:name w:val="Heading 2 Char"/>
    <w:basedOn w:val="DefaultParagraphFont"/>
    <w:link w:val="Heading2"/>
    <w:rsid w:val="00A23C9B"/>
    <w:rPr>
      <w:rFonts w:asciiTheme="majorHAnsi" w:eastAsiaTheme="majorEastAsia" w:hAnsiTheme="majorHAnsi" w:cstheme="majorBidi"/>
      <w:color w:val="365F91" w:themeColor="accent1" w:themeShade="BF"/>
      <w:sz w:val="26"/>
      <w:szCs w:val="26"/>
      <w:lang w:val="en-US" w:eastAsia="en-US"/>
    </w:rPr>
  </w:style>
  <w:style w:type="paragraph" w:styleId="Title">
    <w:name w:val="Title"/>
    <w:basedOn w:val="Normal"/>
    <w:next w:val="Normal"/>
    <w:link w:val="TitleChar"/>
    <w:qFormat/>
    <w:rsid w:val="000465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4652B"/>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0465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652B"/>
    <w:rPr>
      <w:rFonts w:asciiTheme="minorHAnsi" w:eastAsiaTheme="minorEastAsia" w:hAnsiTheme="minorHAnsi" w:cstheme="minorBidi"/>
      <w:color w:val="5A5A5A" w:themeColor="text1" w:themeTint="A5"/>
      <w:spacing w:val="15"/>
      <w:sz w:val="22"/>
      <w:szCs w:val="22"/>
      <w:lang w:val="en-US" w:eastAsia="en-US"/>
    </w:rPr>
  </w:style>
  <w:style w:type="table" w:styleId="TableGrid">
    <w:name w:val="Table Grid"/>
    <w:basedOn w:val="TableNormal"/>
    <w:uiPriority w:val="59"/>
    <w:rsid w:val="0004652B"/>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aliases w:val="Cover Sub heading"/>
    <w:basedOn w:val="DefaultParagraphFont"/>
    <w:uiPriority w:val="69"/>
    <w:qFormat/>
    <w:rsid w:val="0004652B"/>
    <w:rPr>
      <w:rFonts w:ascii="Arial" w:hAnsi="Arial" w:cs="Arial"/>
      <w:b/>
      <w:spacing w:val="5"/>
      <w:sz w:val="32"/>
      <w:szCs w:val="32"/>
    </w:rPr>
  </w:style>
  <w:style w:type="paragraph" w:styleId="FootnoteText">
    <w:name w:val="footnote text"/>
    <w:basedOn w:val="Normal"/>
    <w:link w:val="FootnoteTextChar"/>
    <w:uiPriority w:val="99"/>
    <w:semiHidden/>
    <w:unhideWhenUsed/>
    <w:rsid w:val="0004652B"/>
    <w:rPr>
      <w:sz w:val="20"/>
      <w:szCs w:val="20"/>
      <w:lang w:val="en-GB"/>
    </w:rPr>
  </w:style>
  <w:style w:type="character" w:customStyle="1" w:styleId="FootnoteTextChar">
    <w:name w:val="Footnote Text Char"/>
    <w:basedOn w:val="DefaultParagraphFont"/>
    <w:link w:val="FootnoteText"/>
    <w:uiPriority w:val="99"/>
    <w:semiHidden/>
    <w:rsid w:val="0004652B"/>
    <w:rPr>
      <w:lang w:eastAsia="en-US"/>
    </w:rPr>
  </w:style>
  <w:style w:type="character" w:styleId="FootnoteReference">
    <w:name w:val="footnote reference"/>
    <w:basedOn w:val="DefaultParagraphFont"/>
    <w:uiPriority w:val="99"/>
    <w:semiHidden/>
    <w:unhideWhenUsed/>
    <w:rsid w:val="00046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Marlowe Karl (RNU) Oxford Health</cp:lastModifiedBy>
  <cp:revision>2</cp:revision>
  <cp:lastPrinted>2014-03-17T14:55:00Z</cp:lastPrinted>
  <dcterms:created xsi:type="dcterms:W3CDTF">2021-06-04T08:54:00Z</dcterms:created>
  <dcterms:modified xsi:type="dcterms:W3CDTF">2021-06-04T08:54:00Z</dcterms:modified>
</cp:coreProperties>
</file>