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172B669A"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0BCFA6" w:rsidR="00FA3993" w:rsidRDefault="0036285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276700D7">
                <wp:simplePos x="0" y="0"/>
                <wp:positionH relativeFrom="column">
                  <wp:posOffset>5127726</wp:posOffset>
                </wp:positionH>
                <wp:positionV relativeFrom="paragraph">
                  <wp:posOffset>22505</wp:posOffset>
                </wp:positionV>
                <wp:extent cx="1371600" cy="571500"/>
                <wp:effectExtent l="8255" t="10795" r="1079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32CF5C4B" w:rsidR="00781566" w:rsidRDefault="00FA3993">
                            <w:pPr>
                              <w:jc w:val="center"/>
                              <w:rPr>
                                <w:rFonts w:ascii="Segoe UI" w:hAnsi="Segoe UI" w:cs="Segoe UI"/>
                              </w:rPr>
                            </w:pPr>
                            <w:r>
                              <w:rPr>
                                <w:rFonts w:ascii="Segoe UI" w:hAnsi="Segoe UI" w:cs="Segoe UI"/>
                                <w:b/>
                              </w:rPr>
                              <w:t xml:space="preserve">BOD </w:t>
                            </w:r>
                            <w:r w:rsidR="00362859">
                              <w:rPr>
                                <w:rFonts w:ascii="Segoe UI" w:hAnsi="Segoe UI" w:cs="Segoe UI"/>
                                <w:b/>
                              </w:rPr>
                              <w:t>76</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694BF7E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362859">
                              <w:rPr>
                                <w:rFonts w:ascii="Segoe UI" w:hAnsi="Segoe UI" w:cs="Segoe UI"/>
                                <w:sz w:val="22"/>
                                <w:szCs w:val="22"/>
                              </w:rPr>
                              <w:t>8</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403.75pt;margin-top:1.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">
                <v:textbox inset="0,0,0,0">
                  <w:txbxContent>
                    <w:p w14:paraId="7E71BE13" w14:textId="32CF5C4B" w:rsidR="00781566" w:rsidRDefault="00FA3993">
                      <w:pPr>
                        <w:jc w:val="center"/>
                        <w:rPr>
                          <w:rFonts w:ascii="Segoe UI" w:hAnsi="Segoe UI" w:cs="Segoe UI"/>
                        </w:rPr>
                      </w:pPr>
                      <w:r>
                        <w:rPr>
                          <w:rFonts w:ascii="Segoe UI" w:hAnsi="Segoe UI" w:cs="Segoe UI"/>
                          <w:b/>
                        </w:rPr>
                        <w:t xml:space="preserve">BOD </w:t>
                      </w:r>
                      <w:r w:rsidR="00362859">
                        <w:rPr>
                          <w:rFonts w:ascii="Segoe UI" w:hAnsi="Segoe UI" w:cs="Segoe UI"/>
                          <w:b/>
                        </w:rPr>
                        <w:t>76</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694BF7E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362859">
                        <w:rPr>
                          <w:rFonts w:ascii="Segoe UI" w:hAnsi="Segoe UI" w:cs="Segoe UI"/>
                          <w:sz w:val="22"/>
                          <w:szCs w:val="22"/>
                        </w:rPr>
                        <w:t>8</w:t>
                      </w:r>
                      <w:r>
                        <w:rPr>
                          <w:rFonts w:ascii="Segoe UI" w:hAnsi="Segoe UI" w:cs="Segoe UI"/>
                          <w:sz w:val="22"/>
                          <w:szCs w:val="22"/>
                        </w:rPr>
                        <w:t>)</w:t>
                      </w:r>
                    </w:p>
                  </w:txbxContent>
                </v:textbox>
              </v:rect>
            </w:pict>
          </mc:Fallback>
        </mc:AlternateContent>
      </w: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307ECBD6" w:rsidR="005D3499" w:rsidRPr="00FA3993" w:rsidRDefault="00D60B47">
      <w:pPr>
        <w:jc w:val="center"/>
        <w:rPr>
          <w:rFonts w:ascii="Segoe UI" w:hAnsi="Segoe UI" w:cs="Segoe UI"/>
          <w:b/>
        </w:rPr>
      </w:pPr>
      <w:r>
        <w:rPr>
          <w:rFonts w:ascii="Segoe UI" w:hAnsi="Segoe UI" w:cs="Segoe UI"/>
          <w:b/>
        </w:rPr>
        <w:t>30</w:t>
      </w:r>
      <w:r w:rsidRPr="00D60B47">
        <w:rPr>
          <w:rFonts w:ascii="Segoe UI" w:hAnsi="Segoe UI" w:cs="Segoe UI"/>
          <w:b/>
          <w:vertAlign w:val="superscript"/>
        </w:rPr>
        <w:t>th</w:t>
      </w:r>
      <w:r>
        <w:rPr>
          <w:rFonts w:ascii="Segoe UI" w:hAnsi="Segoe UI" w:cs="Segoe UI"/>
          <w:b/>
        </w:rPr>
        <w:t xml:space="preserve"> November</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743C8DF3" w:rsidR="005D3499" w:rsidRPr="00FA3993" w:rsidRDefault="00D90129" w:rsidP="00FD2279">
      <w:pPr>
        <w:jc w:val="center"/>
        <w:rPr>
          <w:rFonts w:ascii="Segoe UI" w:hAnsi="Segoe UI" w:cs="Segoe UI"/>
          <w:b/>
        </w:rPr>
      </w:pPr>
      <w:r>
        <w:rPr>
          <w:rFonts w:ascii="Segoe UI" w:hAnsi="Segoe UI" w:cs="Segoe UI"/>
          <w:b/>
        </w:rPr>
        <w:t>Integrated Performance Report (IPR)</w:t>
      </w:r>
      <w:r w:rsidR="001A47DC">
        <w:rPr>
          <w:rFonts w:ascii="Segoe UI" w:hAnsi="Segoe UI" w:cs="Segoe UI"/>
          <w:b/>
        </w:rPr>
        <w:t xml:space="preserve"> and IPR Supporting Report</w:t>
      </w:r>
    </w:p>
    <w:p w14:paraId="636B6D74" w14:textId="77777777" w:rsidR="005D3499" w:rsidRPr="00FA3993" w:rsidRDefault="005D3499">
      <w:pPr>
        <w:rPr>
          <w:rFonts w:ascii="Segoe UI" w:hAnsi="Segoe UI" w:cs="Segoe UI"/>
          <w:b/>
        </w:rPr>
      </w:pPr>
    </w:p>
    <w:p w14:paraId="2B52ED1C" w14:textId="04F91391" w:rsidR="00241A66" w:rsidRDefault="00292613" w:rsidP="00241A66">
      <w:pPr>
        <w:jc w:val="center"/>
        <w:rPr>
          <w:rFonts w:ascii="Segoe UI" w:hAnsi="Segoe UI" w:cs="Segoe UI"/>
        </w:rPr>
      </w:pPr>
      <w:r w:rsidRPr="00FA3993">
        <w:rPr>
          <w:rFonts w:ascii="Segoe UI" w:hAnsi="Segoe UI" w:cs="Segoe UI"/>
          <w:b/>
          <w:u w:val="single"/>
        </w:rPr>
        <w:t xml:space="preserve">For: </w:t>
      </w:r>
      <w:r w:rsidR="00D90129">
        <w:rPr>
          <w:rFonts w:ascii="Segoe UI" w:hAnsi="Segoe UI" w:cs="Segoe UI"/>
          <w:b/>
          <w:u w:val="single"/>
        </w:rPr>
        <w:t>Information &amp; Assurance</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0EA2FDC5" w14:textId="78F0EEE9" w:rsidR="00D90129" w:rsidRDefault="00D90129" w:rsidP="00D90129">
      <w:pPr>
        <w:jc w:val="both"/>
        <w:rPr>
          <w:rFonts w:ascii="Segoe UI" w:hAnsi="Segoe UI" w:cs="Segoe UI"/>
          <w:iCs/>
        </w:rPr>
      </w:pPr>
    </w:p>
    <w:p w14:paraId="0C09A630" w14:textId="0B31CF67" w:rsidR="0015530E" w:rsidRDefault="0015530E" w:rsidP="00D90129">
      <w:pPr>
        <w:rPr>
          <w:rFonts w:ascii="Arial" w:hAnsi="Arial" w:cs="Arial"/>
        </w:rPr>
      </w:pPr>
      <w:r>
        <w:rPr>
          <w:rFonts w:ascii="Arial" w:hAnsi="Arial" w:cs="Arial"/>
        </w:rPr>
        <w:t xml:space="preserve">The Integrated Performance Report (IPR) </w:t>
      </w:r>
      <w:r w:rsidR="001A47DC">
        <w:rPr>
          <w:rFonts w:ascii="Arial" w:hAnsi="Arial" w:cs="Arial"/>
        </w:rPr>
        <w:t xml:space="preserve">report </w:t>
      </w:r>
      <w:r>
        <w:rPr>
          <w:rFonts w:ascii="Arial" w:hAnsi="Arial" w:cs="Arial"/>
        </w:rPr>
        <w:t xml:space="preserve">aims to provide the Board of Directors with a </w:t>
      </w:r>
      <w:r w:rsidR="004E5389">
        <w:rPr>
          <w:rFonts w:ascii="Arial" w:hAnsi="Arial" w:cs="Arial"/>
        </w:rPr>
        <w:t>Trust wide view of the</w:t>
      </w:r>
      <w:r w:rsidR="006F269A">
        <w:rPr>
          <w:rFonts w:ascii="Arial" w:hAnsi="Arial" w:cs="Arial"/>
        </w:rPr>
        <w:t xml:space="preserve"> strategic</w:t>
      </w:r>
      <w:r w:rsidR="004E5389">
        <w:rPr>
          <w:rFonts w:ascii="Arial" w:hAnsi="Arial" w:cs="Arial"/>
        </w:rPr>
        <w:t xml:space="preserve"> domains of Operational Performance, Quality</w:t>
      </w:r>
      <w:r w:rsidR="00C81390">
        <w:rPr>
          <w:rFonts w:ascii="Arial" w:hAnsi="Arial" w:cs="Arial"/>
        </w:rPr>
        <w:t>, People, Finance and Research</w:t>
      </w:r>
      <w:r w:rsidR="00A663C9">
        <w:rPr>
          <w:rFonts w:ascii="Arial" w:hAnsi="Arial" w:cs="Arial"/>
        </w:rPr>
        <w:t xml:space="preserve"> &amp; Education</w:t>
      </w:r>
      <w:r w:rsidR="00C628E2">
        <w:rPr>
          <w:rFonts w:ascii="Arial" w:hAnsi="Arial" w:cs="Arial"/>
        </w:rPr>
        <w:t xml:space="preserve"> in a ‘joined up’ way</w:t>
      </w:r>
      <w:r w:rsidR="00C81390">
        <w:rPr>
          <w:rFonts w:ascii="Arial" w:hAnsi="Arial" w:cs="Arial"/>
        </w:rPr>
        <w:t xml:space="preserve">.  </w:t>
      </w:r>
    </w:p>
    <w:p w14:paraId="10EE4E54" w14:textId="213FB0ED" w:rsidR="00030459" w:rsidRDefault="00030459" w:rsidP="00D90129">
      <w:pPr>
        <w:rPr>
          <w:rFonts w:ascii="Arial" w:hAnsi="Arial" w:cs="Arial"/>
        </w:rPr>
      </w:pPr>
    </w:p>
    <w:p w14:paraId="237347B8" w14:textId="179AF2AA" w:rsidR="00030459" w:rsidRDefault="00030459" w:rsidP="008C389C">
      <w:pPr>
        <w:rPr>
          <w:rFonts w:ascii="Arial" w:hAnsi="Arial" w:cs="Arial"/>
        </w:rPr>
      </w:pPr>
      <w:r>
        <w:rPr>
          <w:rFonts w:ascii="Arial" w:hAnsi="Arial" w:cs="Arial"/>
        </w:rPr>
        <w:t xml:space="preserve">The IPR supporting report </w:t>
      </w:r>
      <w:r w:rsidR="00C62DBE">
        <w:rPr>
          <w:rFonts w:ascii="Arial" w:hAnsi="Arial" w:cs="Arial"/>
        </w:rPr>
        <w:t>provides</w:t>
      </w:r>
      <w:r w:rsidR="00F22116">
        <w:rPr>
          <w:rFonts w:ascii="Arial" w:hAnsi="Arial" w:cs="Arial"/>
        </w:rPr>
        <w:t xml:space="preserve"> further,</w:t>
      </w:r>
      <w:r w:rsidR="00C62DBE">
        <w:rPr>
          <w:rFonts w:ascii="Arial" w:hAnsi="Arial" w:cs="Arial"/>
        </w:rPr>
        <w:t xml:space="preserve"> more detailed</w:t>
      </w:r>
      <w:r w:rsidR="00F22116">
        <w:rPr>
          <w:rFonts w:ascii="Arial" w:hAnsi="Arial" w:cs="Arial"/>
        </w:rPr>
        <w:t>,</w:t>
      </w:r>
      <w:r w:rsidR="00C62DBE">
        <w:rPr>
          <w:rFonts w:ascii="Arial" w:hAnsi="Arial" w:cs="Arial"/>
        </w:rPr>
        <w:t xml:space="preserve"> </w:t>
      </w:r>
      <w:r w:rsidR="00F22116">
        <w:rPr>
          <w:rFonts w:ascii="Arial" w:hAnsi="Arial" w:cs="Arial"/>
        </w:rPr>
        <w:t>information and assurance</w:t>
      </w:r>
      <w:r w:rsidR="00C62DBE">
        <w:rPr>
          <w:rFonts w:ascii="Arial" w:hAnsi="Arial" w:cs="Arial"/>
        </w:rPr>
        <w:t xml:space="preserve"> in relation to </w:t>
      </w:r>
      <w:r w:rsidR="008C389C" w:rsidRPr="008C389C">
        <w:rPr>
          <w:rFonts w:ascii="Arial" w:hAnsi="Arial" w:cs="Arial"/>
        </w:rPr>
        <w:t>COVID-19</w:t>
      </w:r>
      <w:r w:rsidR="008C389C">
        <w:rPr>
          <w:rFonts w:ascii="Arial" w:hAnsi="Arial" w:cs="Arial"/>
        </w:rPr>
        <w:t>, p</w:t>
      </w:r>
      <w:r w:rsidR="008C389C" w:rsidRPr="008C389C">
        <w:rPr>
          <w:rFonts w:ascii="Arial" w:hAnsi="Arial" w:cs="Arial"/>
        </w:rPr>
        <w:t xml:space="preserve">atient </w:t>
      </w:r>
      <w:r w:rsidR="008C389C">
        <w:rPr>
          <w:rFonts w:ascii="Arial" w:hAnsi="Arial" w:cs="Arial"/>
        </w:rPr>
        <w:t>a</w:t>
      </w:r>
      <w:r w:rsidR="008C389C" w:rsidRPr="008C389C">
        <w:rPr>
          <w:rFonts w:ascii="Arial" w:hAnsi="Arial" w:cs="Arial"/>
        </w:rPr>
        <w:t xml:space="preserve">ctivity and </w:t>
      </w:r>
      <w:r w:rsidR="008C389C">
        <w:rPr>
          <w:rFonts w:ascii="Arial" w:hAnsi="Arial" w:cs="Arial"/>
        </w:rPr>
        <w:t>d</w:t>
      </w:r>
      <w:r w:rsidR="008C389C" w:rsidRPr="008C389C">
        <w:rPr>
          <w:rFonts w:ascii="Arial" w:hAnsi="Arial" w:cs="Arial"/>
        </w:rPr>
        <w:t>emand</w:t>
      </w:r>
      <w:r w:rsidR="008C389C">
        <w:rPr>
          <w:rFonts w:ascii="Arial" w:hAnsi="Arial" w:cs="Arial"/>
        </w:rPr>
        <w:t xml:space="preserve">, </w:t>
      </w:r>
      <w:r w:rsidR="00F22116">
        <w:rPr>
          <w:rFonts w:ascii="Arial" w:hAnsi="Arial" w:cs="Arial"/>
        </w:rPr>
        <w:t>patients waits and c</w:t>
      </w:r>
      <w:r w:rsidR="008C389C" w:rsidRPr="008C389C">
        <w:rPr>
          <w:rFonts w:ascii="Arial" w:hAnsi="Arial" w:cs="Arial"/>
        </w:rPr>
        <w:t>ontractual KPI Performance </w:t>
      </w:r>
    </w:p>
    <w:p w14:paraId="63499607" w14:textId="190D66DB" w:rsidR="002F68D2" w:rsidRDefault="002F68D2" w:rsidP="00D90129">
      <w:pPr>
        <w:rPr>
          <w:rFonts w:ascii="Arial" w:hAnsi="Arial" w:cs="Arial"/>
        </w:rPr>
      </w:pPr>
    </w:p>
    <w:p w14:paraId="322FB102" w14:textId="4F4E39E2" w:rsidR="002F68D2" w:rsidRDefault="00F22116" w:rsidP="00D90129">
      <w:pPr>
        <w:rPr>
          <w:rFonts w:ascii="Arial" w:hAnsi="Arial" w:cs="Arial"/>
        </w:rPr>
      </w:pPr>
      <w:r>
        <w:rPr>
          <w:rFonts w:ascii="Arial" w:hAnsi="Arial" w:cs="Arial"/>
        </w:rPr>
        <w:t xml:space="preserve">Both reports have </w:t>
      </w:r>
      <w:r w:rsidR="002F68D2">
        <w:rPr>
          <w:rFonts w:ascii="Arial" w:hAnsi="Arial" w:cs="Arial"/>
        </w:rPr>
        <w:t xml:space="preserve">been updated to include statistical process control charts (SPC) that show performance over time and </w:t>
      </w:r>
      <w:r w:rsidR="002D3D1D">
        <w:rPr>
          <w:rFonts w:ascii="Arial" w:hAnsi="Arial" w:cs="Arial"/>
        </w:rPr>
        <w:t>where available, a small selection of nationally available indicators to show how the Trust compares with its peers.</w:t>
      </w:r>
    </w:p>
    <w:p w14:paraId="6085FF8F" w14:textId="0FAA0D69" w:rsidR="00A663C9" w:rsidRDefault="00A663C9" w:rsidP="00D90129">
      <w:pPr>
        <w:rPr>
          <w:rFonts w:ascii="Arial" w:hAnsi="Arial" w:cs="Arial"/>
        </w:rPr>
      </w:pPr>
    </w:p>
    <w:p w14:paraId="56F3CCE1" w14:textId="6CF346C2" w:rsidR="00EB5C3A" w:rsidRDefault="007535CA" w:rsidP="00D90129">
      <w:pPr>
        <w:rPr>
          <w:rFonts w:ascii="Arial" w:hAnsi="Arial" w:cs="Arial"/>
          <w:b/>
          <w:bCs/>
        </w:rPr>
      </w:pPr>
      <w:r>
        <w:rPr>
          <w:rFonts w:ascii="Arial" w:hAnsi="Arial" w:cs="Arial"/>
          <w:b/>
          <w:bCs/>
        </w:rPr>
        <w:t xml:space="preserve">IPR </w:t>
      </w:r>
      <w:r w:rsidR="00896E0E">
        <w:rPr>
          <w:rFonts w:ascii="Arial" w:hAnsi="Arial" w:cs="Arial"/>
          <w:b/>
          <w:bCs/>
        </w:rPr>
        <w:t xml:space="preserve">- </w:t>
      </w:r>
      <w:r w:rsidR="00EB5C3A" w:rsidRPr="00EB5C3A">
        <w:rPr>
          <w:rFonts w:ascii="Arial" w:hAnsi="Arial" w:cs="Arial"/>
          <w:b/>
          <w:bCs/>
        </w:rPr>
        <w:t>Performance Summary</w:t>
      </w:r>
    </w:p>
    <w:p w14:paraId="409B7A8F" w14:textId="1F4E28AA" w:rsidR="001933A1" w:rsidRDefault="001933A1" w:rsidP="00D90129">
      <w:pPr>
        <w:rPr>
          <w:rFonts w:ascii="Arial" w:hAnsi="Arial" w:cs="Arial"/>
          <w:b/>
          <w:bCs/>
        </w:rPr>
      </w:pPr>
    </w:p>
    <w:p w14:paraId="147AC87E" w14:textId="314EFE3D" w:rsidR="001933A1" w:rsidRDefault="00632969" w:rsidP="00D90129">
      <w:pPr>
        <w:rPr>
          <w:rFonts w:ascii="Arial" w:hAnsi="Arial" w:cs="Arial"/>
          <w:b/>
          <w:bCs/>
        </w:rPr>
      </w:pPr>
      <w:r>
        <w:rPr>
          <w:rFonts w:ascii="Arial" w:hAnsi="Arial" w:cs="Arial"/>
          <w:b/>
          <w:bCs/>
        </w:rPr>
        <w:t>Delivery o</w:t>
      </w:r>
      <w:r w:rsidR="001933A1">
        <w:rPr>
          <w:rFonts w:ascii="Arial" w:hAnsi="Arial" w:cs="Arial"/>
          <w:b/>
          <w:bCs/>
        </w:rPr>
        <w:t>f the National Oversight Framework</w:t>
      </w:r>
    </w:p>
    <w:p w14:paraId="367FCFDC" w14:textId="6056061C" w:rsidR="001933A1" w:rsidRDefault="001933A1" w:rsidP="00D90129">
      <w:pPr>
        <w:rPr>
          <w:rFonts w:ascii="Arial" w:hAnsi="Arial" w:cs="Arial"/>
          <w:b/>
          <w:bCs/>
        </w:rPr>
      </w:pPr>
    </w:p>
    <w:p w14:paraId="5445F6F4" w14:textId="3518618C" w:rsidR="0015530E" w:rsidRDefault="001933A1" w:rsidP="00D90129">
      <w:r w:rsidRPr="001933A1">
        <w:rPr>
          <w:rFonts w:ascii="Arial" w:hAnsi="Arial" w:cs="Arial"/>
        </w:rPr>
        <w:t xml:space="preserve">The </w:t>
      </w:r>
      <w:r w:rsidRPr="00267A66">
        <w:rPr>
          <w:rFonts w:ascii="Arial" w:hAnsi="Arial" w:cs="Arial"/>
        </w:rPr>
        <w:t xml:space="preserve">Trust </w:t>
      </w:r>
      <w:r w:rsidR="0063336D" w:rsidRPr="00267A66">
        <w:rPr>
          <w:rFonts w:ascii="Arial" w:hAnsi="Arial" w:cs="Arial"/>
        </w:rPr>
        <w:t xml:space="preserve">is performing well against all </w:t>
      </w:r>
      <w:r w:rsidR="00AE7742" w:rsidRPr="00267A66">
        <w:rPr>
          <w:rFonts w:ascii="Arial" w:hAnsi="Arial" w:cs="Arial"/>
        </w:rPr>
        <w:t xml:space="preserve">targeted metrics </w:t>
      </w:r>
      <w:proofErr w:type="gramStart"/>
      <w:r w:rsidR="00AE7742" w:rsidRPr="00267A66">
        <w:rPr>
          <w:rFonts w:ascii="Arial" w:hAnsi="Arial" w:cs="Arial"/>
        </w:rPr>
        <w:t>with the exception of</w:t>
      </w:r>
      <w:proofErr w:type="gramEnd"/>
      <w:r w:rsidR="00AE7742" w:rsidRPr="00267A66">
        <w:rPr>
          <w:rFonts w:ascii="Arial" w:hAnsi="Arial" w:cs="Arial"/>
        </w:rPr>
        <w:t xml:space="preserve"> </w:t>
      </w:r>
      <w:r w:rsidR="00267A66" w:rsidRPr="00267A66">
        <w:rPr>
          <w:rFonts w:ascii="Arial" w:hAnsi="Arial" w:cs="Arial"/>
          <w:b/>
          <w:bCs/>
        </w:rPr>
        <w:t>O</w:t>
      </w:r>
      <w:r w:rsidR="00AE7742" w:rsidRPr="00267A66">
        <w:rPr>
          <w:rFonts w:ascii="Arial" w:hAnsi="Arial" w:cs="Arial"/>
          <w:b/>
          <w:bCs/>
        </w:rPr>
        <w:t xml:space="preserve">ut of </w:t>
      </w:r>
      <w:r w:rsidR="00267A66" w:rsidRPr="00267A66">
        <w:rPr>
          <w:rFonts w:ascii="Arial" w:hAnsi="Arial" w:cs="Arial"/>
          <w:b/>
          <w:bCs/>
        </w:rPr>
        <w:t>A</w:t>
      </w:r>
      <w:r w:rsidR="00AE7742" w:rsidRPr="00267A66">
        <w:rPr>
          <w:rFonts w:ascii="Arial" w:hAnsi="Arial" w:cs="Arial"/>
          <w:b/>
          <w:bCs/>
        </w:rPr>
        <w:t>rea</w:t>
      </w:r>
      <w:r w:rsidR="00267A66">
        <w:rPr>
          <w:rFonts w:ascii="Arial" w:hAnsi="Arial" w:cs="Arial"/>
          <w:b/>
          <w:bCs/>
        </w:rPr>
        <w:t xml:space="preserve"> </w:t>
      </w:r>
      <w:r w:rsidR="00267A66" w:rsidRPr="00267A66">
        <w:rPr>
          <w:rFonts w:ascii="Arial" w:hAnsi="Arial" w:cs="Arial"/>
          <w:b/>
          <w:bCs/>
        </w:rPr>
        <w:t>P</w:t>
      </w:r>
      <w:r w:rsidR="00AE7742" w:rsidRPr="00267A66">
        <w:rPr>
          <w:rFonts w:ascii="Arial" w:hAnsi="Arial" w:cs="Arial"/>
          <w:b/>
          <w:bCs/>
        </w:rPr>
        <w:t>lacements</w:t>
      </w:r>
      <w:r w:rsidR="00267A66" w:rsidRPr="00267A66">
        <w:rPr>
          <w:rFonts w:ascii="Arial" w:hAnsi="Arial" w:cs="Arial"/>
          <w:b/>
          <w:bCs/>
        </w:rPr>
        <w:t xml:space="preserve"> (OAPs)</w:t>
      </w:r>
      <w:r w:rsidR="00AE7742" w:rsidRPr="00267A66">
        <w:rPr>
          <w:rFonts w:ascii="Arial" w:hAnsi="Arial" w:cs="Arial"/>
          <w:b/>
          <w:bCs/>
        </w:rPr>
        <w:t>.</w:t>
      </w:r>
      <w:r w:rsidRPr="00267A66">
        <w:rPr>
          <w:rFonts w:ascii="Arial" w:hAnsi="Arial" w:cs="Arial"/>
          <w:b/>
          <w:bCs/>
        </w:rPr>
        <w:t xml:space="preserve"> </w:t>
      </w:r>
      <w:r w:rsidR="00AE7742" w:rsidRPr="00267A66">
        <w:rPr>
          <w:rFonts w:ascii="Arial" w:hAnsi="Arial" w:cs="Arial"/>
        </w:rPr>
        <w:t xml:space="preserve">The use of inappropriate </w:t>
      </w:r>
      <w:r w:rsidR="006E4859">
        <w:rPr>
          <w:rFonts w:ascii="Arial" w:hAnsi="Arial" w:cs="Arial"/>
        </w:rPr>
        <w:t>OAPs</w:t>
      </w:r>
      <w:r w:rsidR="00AE7742" w:rsidRPr="00267A66">
        <w:rPr>
          <w:rFonts w:ascii="Arial" w:hAnsi="Arial" w:cs="Arial"/>
        </w:rPr>
        <w:t xml:space="preserve"> has increased in October with Oxfordshire seeing a considerable increase over previous months.  </w:t>
      </w:r>
      <w:r w:rsidR="00C62590" w:rsidRPr="00C62590">
        <w:rPr>
          <w:rFonts w:ascii="Arial" w:hAnsi="Arial" w:cs="Arial"/>
        </w:rPr>
        <w:t xml:space="preserve">Admission capacity </w:t>
      </w:r>
      <w:r w:rsidR="00C62590">
        <w:rPr>
          <w:rFonts w:ascii="Arial" w:hAnsi="Arial" w:cs="Arial"/>
        </w:rPr>
        <w:t xml:space="preserve">across both counties </w:t>
      </w:r>
      <w:r w:rsidR="00C62590" w:rsidRPr="00C62590">
        <w:rPr>
          <w:rFonts w:ascii="Arial" w:hAnsi="Arial" w:cs="Arial"/>
        </w:rPr>
        <w:t>has been impacted by bed closures due to COVID (Sapphire) and loss of senior medical staff (Ruby</w:t>
      </w:r>
      <w:r w:rsidR="006109A5">
        <w:rPr>
          <w:rFonts w:ascii="Arial" w:hAnsi="Arial" w:cs="Arial"/>
        </w:rPr>
        <w:t xml:space="preserve"> and </w:t>
      </w:r>
      <w:proofErr w:type="spellStart"/>
      <w:r w:rsidR="006109A5">
        <w:rPr>
          <w:rFonts w:ascii="Arial" w:hAnsi="Arial" w:cs="Arial"/>
        </w:rPr>
        <w:t>Wintle</w:t>
      </w:r>
      <w:proofErr w:type="spellEnd"/>
      <w:r w:rsidR="00C62590" w:rsidRPr="00C62590">
        <w:rPr>
          <w:rFonts w:ascii="Arial" w:hAnsi="Arial" w:cs="Arial"/>
        </w:rPr>
        <w:t xml:space="preserve">). Colleagues have been working closely on mutual support but overall </w:t>
      </w:r>
      <w:r w:rsidR="006109A5">
        <w:rPr>
          <w:rFonts w:ascii="Arial" w:hAnsi="Arial" w:cs="Arial"/>
        </w:rPr>
        <w:t xml:space="preserve">an </w:t>
      </w:r>
      <w:r w:rsidR="00C62590" w:rsidRPr="00C62590">
        <w:rPr>
          <w:rFonts w:ascii="Arial" w:hAnsi="Arial" w:cs="Arial"/>
        </w:rPr>
        <w:t>increase in use of OAPs</w:t>
      </w:r>
      <w:r w:rsidR="006109A5">
        <w:rPr>
          <w:rFonts w:ascii="Arial" w:hAnsi="Arial" w:cs="Arial"/>
        </w:rPr>
        <w:t xml:space="preserve"> has been seen.</w:t>
      </w:r>
      <w:r w:rsidR="00381502" w:rsidRPr="00381502">
        <w:t xml:space="preserve"> </w:t>
      </w:r>
    </w:p>
    <w:p w14:paraId="036311A1" w14:textId="77777777" w:rsidR="001D276C" w:rsidRDefault="001D276C" w:rsidP="00D90129">
      <w:pPr>
        <w:rPr>
          <w:rFonts w:ascii="Arial" w:hAnsi="Arial" w:cs="Arial"/>
        </w:rPr>
      </w:pPr>
    </w:p>
    <w:p w14:paraId="6AF51C99" w14:textId="426DC887" w:rsidR="006E4859" w:rsidRDefault="006E4859" w:rsidP="00D90129">
      <w:pPr>
        <w:rPr>
          <w:rFonts w:ascii="Arial" w:hAnsi="Arial" w:cs="Arial"/>
        </w:rPr>
      </w:pPr>
    </w:p>
    <w:p w14:paraId="08B2B505" w14:textId="4AD7295A" w:rsidR="00C44FE7" w:rsidRDefault="00C44FE7" w:rsidP="00D90129">
      <w:pPr>
        <w:rPr>
          <w:rFonts w:ascii="Arial" w:hAnsi="Arial" w:cs="Arial"/>
        </w:rPr>
      </w:pPr>
    </w:p>
    <w:p w14:paraId="29871B76" w14:textId="77777777" w:rsidR="00C44FE7" w:rsidRDefault="00C44FE7" w:rsidP="00D90129">
      <w:pPr>
        <w:rPr>
          <w:rFonts w:ascii="Arial" w:hAnsi="Arial" w:cs="Arial"/>
        </w:rPr>
      </w:pPr>
    </w:p>
    <w:p w14:paraId="2AC194B3" w14:textId="139C3404" w:rsidR="003E0F7E" w:rsidRDefault="00274347" w:rsidP="00D90129">
      <w:pPr>
        <w:rPr>
          <w:rFonts w:ascii="Arial" w:hAnsi="Arial" w:cs="Arial"/>
          <w:b/>
          <w:bCs/>
        </w:rPr>
      </w:pPr>
      <w:r>
        <w:rPr>
          <w:rFonts w:ascii="Arial" w:hAnsi="Arial" w:cs="Arial"/>
          <w:b/>
          <w:bCs/>
        </w:rPr>
        <w:lastRenderedPageBreak/>
        <w:t>Delivery of strategic objective</w:t>
      </w:r>
      <w:r w:rsidR="007674AA">
        <w:rPr>
          <w:rFonts w:ascii="Arial" w:hAnsi="Arial" w:cs="Arial"/>
          <w:b/>
          <w:bCs/>
        </w:rPr>
        <w:t>s</w:t>
      </w:r>
      <w:r>
        <w:rPr>
          <w:rFonts w:ascii="Arial" w:hAnsi="Arial" w:cs="Arial"/>
          <w:b/>
          <w:bCs/>
        </w:rPr>
        <w:t xml:space="preserve"> (O</w:t>
      </w:r>
      <w:r w:rsidR="007674AA">
        <w:rPr>
          <w:rFonts w:ascii="Arial" w:hAnsi="Arial" w:cs="Arial"/>
          <w:b/>
          <w:bCs/>
        </w:rPr>
        <w:t>bjective Key Results (OKRs</w:t>
      </w:r>
      <w:r>
        <w:rPr>
          <w:rFonts w:ascii="Arial" w:hAnsi="Arial" w:cs="Arial"/>
          <w:b/>
          <w:bCs/>
        </w:rPr>
        <w:t>)</w:t>
      </w:r>
    </w:p>
    <w:p w14:paraId="08226C74" w14:textId="2BA7488D" w:rsidR="00274347" w:rsidRDefault="00274347" w:rsidP="00D90129">
      <w:pPr>
        <w:rPr>
          <w:rFonts w:ascii="Arial" w:hAnsi="Arial" w:cs="Arial"/>
          <w:b/>
          <w:bCs/>
        </w:rPr>
      </w:pPr>
    </w:p>
    <w:p w14:paraId="4B971BB8" w14:textId="514EB0E5" w:rsidR="00274347" w:rsidRDefault="00274347" w:rsidP="00274347">
      <w:pPr>
        <w:pStyle w:val="ListParagraph"/>
        <w:numPr>
          <w:ilvl w:val="0"/>
          <w:numId w:val="9"/>
        </w:numPr>
        <w:rPr>
          <w:rFonts w:ascii="Arial" w:hAnsi="Arial" w:cs="Arial"/>
        </w:rPr>
      </w:pPr>
      <w:r w:rsidRPr="00274347">
        <w:rPr>
          <w:rFonts w:ascii="Arial" w:hAnsi="Arial" w:cs="Arial"/>
          <w:b/>
          <w:bCs/>
        </w:rPr>
        <w:t xml:space="preserve">Quality: </w:t>
      </w:r>
      <w:r w:rsidRPr="00462C87">
        <w:rPr>
          <w:rFonts w:ascii="Arial" w:hAnsi="Arial" w:cs="Arial"/>
        </w:rPr>
        <w:t xml:space="preserve">The Trust </w:t>
      </w:r>
      <w:r w:rsidR="00462C87" w:rsidRPr="00462C87">
        <w:rPr>
          <w:rFonts w:ascii="Arial" w:hAnsi="Arial" w:cs="Arial"/>
        </w:rPr>
        <w:t>is achieving</w:t>
      </w:r>
      <w:r w:rsidR="00401339">
        <w:rPr>
          <w:rFonts w:ascii="Arial" w:hAnsi="Arial" w:cs="Arial"/>
        </w:rPr>
        <w:t xml:space="preserve"> </w:t>
      </w:r>
      <w:r w:rsidR="00462C87" w:rsidRPr="00462C87">
        <w:rPr>
          <w:rFonts w:ascii="Arial" w:hAnsi="Arial" w:cs="Arial"/>
        </w:rPr>
        <w:t xml:space="preserve">5 </w:t>
      </w:r>
      <w:r w:rsidR="002A3234">
        <w:rPr>
          <w:rFonts w:ascii="Arial" w:hAnsi="Arial" w:cs="Arial"/>
        </w:rPr>
        <w:t>of the</w:t>
      </w:r>
      <w:r w:rsidR="00462C87" w:rsidRPr="00462C87">
        <w:rPr>
          <w:rFonts w:ascii="Arial" w:hAnsi="Arial" w:cs="Arial"/>
        </w:rPr>
        <w:t xml:space="preserve"> 10</w:t>
      </w:r>
      <w:r w:rsidR="00401339">
        <w:rPr>
          <w:rFonts w:ascii="Arial" w:hAnsi="Arial" w:cs="Arial"/>
        </w:rPr>
        <w:t xml:space="preserve"> </w:t>
      </w:r>
      <w:r w:rsidR="00462C87" w:rsidRPr="00462C87">
        <w:rPr>
          <w:rFonts w:ascii="Arial" w:hAnsi="Arial" w:cs="Arial"/>
        </w:rPr>
        <w:t>OKRs.</w:t>
      </w:r>
      <w:r w:rsidR="00462C87">
        <w:rPr>
          <w:rFonts w:ascii="Arial" w:hAnsi="Arial" w:cs="Arial"/>
        </w:rPr>
        <w:t xml:space="preserve">  </w:t>
      </w:r>
      <w:r w:rsidR="002A3234">
        <w:rPr>
          <w:rFonts w:ascii="Arial" w:hAnsi="Arial" w:cs="Arial"/>
        </w:rPr>
        <w:t xml:space="preserve">Areas of underperformance </w:t>
      </w:r>
      <w:proofErr w:type="gramStart"/>
      <w:r w:rsidR="002A3234">
        <w:rPr>
          <w:rFonts w:ascii="Arial" w:hAnsi="Arial" w:cs="Arial"/>
        </w:rPr>
        <w:t>are;</w:t>
      </w:r>
      <w:proofErr w:type="gramEnd"/>
    </w:p>
    <w:p w14:paraId="52E525E5" w14:textId="77777777" w:rsidR="002A3234" w:rsidRDefault="002A3234" w:rsidP="002A3234">
      <w:pPr>
        <w:pStyle w:val="ListParagraph"/>
        <w:rPr>
          <w:rFonts w:ascii="Arial" w:hAnsi="Arial" w:cs="Arial"/>
        </w:rPr>
      </w:pPr>
    </w:p>
    <w:p w14:paraId="6FB01EF4" w14:textId="77777777" w:rsidR="00BC297D" w:rsidRDefault="00BC297D" w:rsidP="002A3234">
      <w:pPr>
        <w:pStyle w:val="ListParagraph"/>
        <w:numPr>
          <w:ilvl w:val="1"/>
          <w:numId w:val="9"/>
        </w:numPr>
        <w:rPr>
          <w:rFonts w:ascii="Arial" w:hAnsi="Arial" w:cs="Arial"/>
        </w:rPr>
      </w:pPr>
      <w:r>
        <w:rPr>
          <w:rFonts w:ascii="Arial" w:hAnsi="Arial" w:cs="Arial"/>
        </w:rPr>
        <w:t>Clinical supervision compliance</w:t>
      </w:r>
    </w:p>
    <w:p w14:paraId="0D556157" w14:textId="26FC302A" w:rsidR="002A3234" w:rsidRDefault="002A3234" w:rsidP="002A3234">
      <w:pPr>
        <w:pStyle w:val="ListParagraph"/>
        <w:numPr>
          <w:ilvl w:val="1"/>
          <w:numId w:val="9"/>
        </w:numPr>
        <w:rPr>
          <w:rFonts w:ascii="Arial" w:hAnsi="Arial" w:cs="Arial"/>
        </w:rPr>
      </w:pPr>
      <w:r w:rsidRPr="00E172B0">
        <w:rPr>
          <w:rFonts w:ascii="Arial" w:hAnsi="Arial" w:cs="Arial"/>
        </w:rPr>
        <w:t>B</w:t>
      </w:r>
      <w:r w:rsidR="00C660D9">
        <w:rPr>
          <w:rFonts w:ascii="Arial" w:hAnsi="Arial" w:cs="Arial"/>
        </w:rPr>
        <w:t>lack</w:t>
      </w:r>
      <w:r w:rsidR="007674AA">
        <w:rPr>
          <w:rFonts w:ascii="Arial" w:hAnsi="Arial" w:cs="Arial"/>
        </w:rPr>
        <w:t xml:space="preserve">, </w:t>
      </w:r>
      <w:proofErr w:type="gramStart"/>
      <w:r w:rsidR="007674AA">
        <w:rPr>
          <w:rFonts w:ascii="Arial" w:hAnsi="Arial" w:cs="Arial"/>
        </w:rPr>
        <w:t>Asian</w:t>
      </w:r>
      <w:proofErr w:type="gramEnd"/>
      <w:r w:rsidR="007674AA">
        <w:rPr>
          <w:rFonts w:ascii="Arial" w:hAnsi="Arial" w:cs="Arial"/>
        </w:rPr>
        <w:t xml:space="preserve"> </w:t>
      </w:r>
      <w:r w:rsidR="00C660D9">
        <w:rPr>
          <w:rFonts w:ascii="Arial" w:hAnsi="Arial" w:cs="Arial"/>
        </w:rPr>
        <w:t xml:space="preserve">and Minority </w:t>
      </w:r>
      <w:r w:rsidR="007674AA">
        <w:rPr>
          <w:rFonts w:ascii="Arial" w:hAnsi="Arial" w:cs="Arial"/>
        </w:rPr>
        <w:t>Ethnic (B</w:t>
      </w:r>
      <w:r w:rsidRPr="00E172B0">
        <w:rPr>
          <w:rFonts w:ascii="Arial" w:hAnsi="Arial" w:cs="Arial"/>
        </w:rPr>
        <w:t>AME</w:t>
      </w:r>
      <w:r w:rsidR="007674AA">
        <w:rPr>
          <w:rFonts w:ascii="Arial" w:hAnsi="Arial" w:cs="Arial"/>
        </w:rPr>
        <w:t>)</w:t>
      </w:r>
      <w:r w:rsidRPr="00E172B0">
        <w:rPr>
          <w:rFonts w:ascii="Arial" w:hAnsi="Arial" w:cs="Arial"/>
        </w:rPr>
        <w:t xml:space="preserve"> representation</w:t>
      </w:r>
      <w:r w:rsidR="005C6E0B">
        <w:rPr>
          <w:rFonts w:ascii="Arial" w:hAnsi="Arial" w:cs="Arial"/>
        </w:rPr>
        <w:t xml:space="preserve"> across all pay bands</w:t>
      </w:r>
    </w:p>
    <w:p w14:paraId="56A960E7" w14:textId="074B5CDF" w:rsidR="005C6E0B" w:rsidRDefault="005C6E0B" w:rsidP="002A3234">
      <w:pPr>
        <w:pStyle w:val="ListParagraph"/>
        <w:numPr>
          <w:ilvl w:val="1"/>
          <w:numId w:val="9"/>
        </w:numPr>
        <w:rPr>
          <w:rFonts w:ascii="Arial" w:hAnsi="Arial" w:cs="Arial"/>
        </w:rPr>
      </w:pPr>
      <w:r>
        <w:rPr>
          <w:rFonts w:ascii="Arial" w:hAnsi="Arial" w:cs="Arial"/>
        </w:rPr>
        <w:t>Lester Tool completion in</w:t>
      </w:r>
      <w:r w:rsidR="00FA708D">
        <w:rPr>
          <w:rFonts w:ascii="Arial" w:hAnsi="Arial" w:cs="Arial"/>
        </w:rPr>
        <w:t xml:space="preserve"> the</w:t>
      </w:r>
      <w:r>
        <w:rPr>
          <w:rFonts w:ascii="Arial" w:hAnsi="Arial" w:cs="Arial"/>
        </w:rPr>
        <w:t xml:space="preserve"> community</w:t>
      </w:r>
    </w:p>
    <w:p w14:paraId="71367C8C" w14:textId="4AF99009" w:rsidR="00FA708D" w:rsidRDefault="00FA708D" w:rsidP="002A3234">
      <w:pPr>
        <w:pStyle w:val="ListParagraph"/>
        <w:numPr>
          <w:ilvl w:val="1"/>
          <w:numId w:val="9"/>
        </w:numPr>
        <w:rPr>
          <w:rFonts w:ascii="Arial" w:hAnsi="Arial" w:cs="Arial"/>
        </w:rPr>
      </w:pPr>
      <w:r>
        <w:rPr>
          <w:rFonts w:ascii="Arial" w:hAnsi="Arial" w:cs="Arial"/>
        </w:rPr>
        <w:t>Evidence patients have been involved in their care plans</w:t>
      </w:r>
    </w:p>
    <w:p w14:paraId="6317770B" w14:textId="4090C12E" w:rsidR="00FA708D" w:rsidRPr="00E172B0" w:rsidRDefault="00BC297D" w:rsidP="002A3234">
      <w:pPr>
        <w:pStyle w:val="ListParagraph"/>
        <w:numPr>
          <w:ilvl w:val="1"/>
          <w:numId w:val="9"/>
        </w:numPr>
        <w:rPr>
          <w:rFonts w:ascii="Arial" w:hAnsi="Arial" w:cs="Arial"/>
        </w:rPr>
      </w:pPr>
      <w:r>
        <w:rPr>
          <w:rFonts w:ascii="Arial" w:hAnsi="Arial" w:cs="Arial"/>
        </w:rPr>
        <w:t>Autism e-learning training compliance</w:t>
      </w:r>
    </w:p>
    <w:p w14:paraId="10D5FAC5" w14:textId="77777777" w:rsidR="00401339" w:rsidRDefault="00401339" w:rsidP="00401339">
      <w:pPr>
        <w:pStyle w:val="ListParagraph"/>
        <w:rPr>
          <w:rFonts w:ascii="Arial" w:hAnsi="Arial" w:cs="Arial"/>
        </w:rPr>
      </w:pPr>
    </w:p>
    <w:p w14:paraId="0CD63990" w14:textId="175AF015" w:rsidR="00943BBB" w:rsidRDefault="00FE5FAF" w:rsidP="00274347">
      <w:pPr>
        <w:pStyle w:val="ListParagraph"/>
        <w:numPr>
          <w:ilvl w:val="0"/>
          <w:numId w:val="9"/>
        </w:numPr>
        <w:rPr>
          <w:rFonts w:ascii="Arial" w:hAnsi="Arial" w:cs="Arial"/>
        </w:rPr>
      </w:pPr>
      <w:r>
        <w:rPr>
          <w:rFonts w:ascii="Arial" w:hAnsi="Arial" w:cs="Arial"/>
          <w:b/>
          <w:bCs/>
        </w:rPr>
        <w:t>People:</w:t>
      </w:r>
      <w:r>
        <w:rPr>
          <w:rFonts w:ascii="Arial" w:hAnsi="Arial" w:cs="Arial"/>
        </w:rPr>
        <w:t xml:space="preserve"> The </w:t>
      </w:r>
      <w:r w:rsidR="00401339">
        <w:rPr>
          <w:rFonts w:ascii="Arial" w:hAnsi="Arial" w:cs="Arial"/>
        </w:rPr>
        <w:t>Trust is achieving 4 of</w:t>
      </w:r>
      <w:r w:rsidR="002A3234">
        <w:rPr>
          <w:rFonts w:ascii="Arial" w:hAnsi="Arial" w:cs="Arial"/>
        </w:rPr>
        <w:t xml:space="preserve"> the</w:t>
      </w:r>
      <w:r w:rsidR="00401339">
        <w:rPr>
          <w:rFonts w:ascii="Arial" w:hAnsi="Arial" w:cs="Arial"/>
        </w:rPr>
        <w:t xml:space="preserve"> 9 </w:t>
      </w:r>
      <w:r w:rsidR="007674AA">
        <w:rPr>
          <w:rFonts w:ascii="Arial" w:hAnsi="Arial" w:cs="Arial"/>
        </w:rPr>
        <w:t>OKRs</w:t>
      </w:r>
      <w:r w:rsidR="00BC297D">
        <w:rPr>
          <w:rFonts w:ascii="Arial" w:hAnsi="Arial" w:cs="Arial"/>
        </w:rPr>
        <w:t>.  Areas of underperformance are:</w:t>
      </w:r>
    </w:p>
    <w:p w14:paraId="5E78D16A" w14:textId="77777777" w:rsidR="004614A3" w:rsidRDefault="004614A3" w:rsidP="004614A3">
      <w:pPr>
        <w:pStyle w:val="ListParagraph"/>
        <w:rPr>
          <w:rFonts w:ascii="Arial" w:hAnsi="Arial" w:cs="Arial"/>
        </w:rPr>
      </w:pPr>
    </w:p>
    <w:p w14:paraId="0E3C56B1" w14:textId="0A182D09" w:rsidR="00BC297D" w:rsidRPr="004614A3" w:rsidRDefault="004614A3" w:rsidP="00BC297D">
      <w:pPr>
        <w:pStyle w:val="ListParagraph"/>
        <w:numPr>
          <w:ilvl w:val="1"/>
          <w:numId w:val="9"/>
        </w:numPr>
        <w:rPr>
          <w:rFonts w:ascii="Arial" w:hAnsi="Arial" w:cs="Arial"/>
        </w:rPr>
      </w:pPr>
      <w:r w:rsidRPr="004614A3">
        <w:rPr>
          <w:rFonts w:ascii="Arial" w:hAnsi="Arial" w:cs="Arial"/>
        </w:rPr>
        <w:t>Staff sickness</w:t>
      </w:r>
    </w:p>
    <w:p w14:paraId="5C846512" w14:textId="324E7D91" w:rsidR="004614A3" w:rsidRPr="004614A3" w:rsidRDefault="004614A3" w:rsidP="00BC297D">
      <w:pPr>
        <w:pStyle w:val="ListParagraph"/>
        <w:numPr>
          <w:ilvl w:val="1"/>
          <w:numId w:val="9"/>
        </w:numPr>
        <w:rPr>
          <w:rFonts w:ascii="Arial" w:hAnsi="Arial" w:cs="Arial"/>
        </w:rPr>
      </w:pPr>
      <w:r w:rsidRPr="004614A3">
        <w:rPr>
          <w:rFonts w:ascii="Arial" w:hAnsi="Arial" w:cs="Arial"/>
        </w:rPr>
        <w:t>Turnover</w:t>
      </w:r>
    </w:p>
    <w:p w14:paraId="0833F26E" w14:textId="33C87665" w:rsidR="004614A3" w:rsidRPr="004614A3" w:rsidRDefault="004614A3" w:rsidP="00BC297D">
      <w:pPr>
        <w:pStyle w:val="ListParagraph"/>
        <w:numPr>
          <w:ilvl w:val="1"/>
          <w:numId w:val="9"/>
        </w:numPr>
        <w:rPr>
          <w:rFonts w:ascii="Arial" w:hAnsi="Arial" w:cs="Arial"/>
        </w:rPr>
      </w:pPr>
      <w:r w:rsidRPr="004614A3">
        <w:rPr>
          <w:rFonts w:ascii="Arial" w:hAnsi="Arial" w:cs="Arial"/>
        </w:rPr>
        <w:t>Vacancy reduction</w:t>
      </w:r>
    </w:p>
    <w:p w14:paraId="732595CB" w14:textId="7F444EC1" w:rsidR="004614A3" w:rsidRPr="004614A3" w:rsidRDefault="004614A3" w:rsidP="004614A3">
      <w:pPr>
        <w:pStyle w:val="ListParagraph"/>
        <w:numPr>
          <w:ilvl w:val="1"/>
          <w:numId w:val="9"/>
        </w:numPr>
        <w:rPr>
          <w:rFonts w:ascii="Arial" w:hAnsi="Arial" w:cs="Arial"/>
        </w:rPr>
      </w:pPr>
      <w:r w:rsidRPr="004614A3">
        <w:rPr>
          <w:rFonts w:ascii="Arial" w:hAnsi="Arial" w:cs="Arial"/>
        </w:rPr>
        <w:t>P</w:t>
      </w:r>
      <w:r w:rsidR="007674AA">
        <w:rPr>
          <w:rFonts w:ascii="Arial" w:hAnsi="Arial" w:cs="Arial"/>
        </w:rPr>
        <w:t>ersonal Development Review (PDR)</w:t>
      </w:r>
      <w:r w:rsidRPr="004614A3">
        <w:rPr>
          <w:rFonts w:ascii="Arial" w:hAnsi="Arial" w:cs="Arial"/>
        </w:rPr>
        <w:t xml:space="preserve"> compliance</w:t>
      </w:r>
    </w:p>
    <w:p w14:paraId="438AAD89" w14:textId="4F6E7335" w:rsidR="004614A3" w:rsidRPr="004614A3" w:rsidRDefault="004614A3" w:rsidP="004614A3">
      <w:pPr>
        <w:pStyle w:val="ListParagraph"/>
        <w:numPr>
          <w:ilvl w:val="1"/>
          <w:numId w:val="9"/>
        </w:numPr>
        <w:rPr>
          <w:rFonts w:ascii="Arial" w:hAnsi="Arial" w:cs="Arial"/>
        </w:rPr>
      </w:pPr>
      <w:r w:rsidRPr="004614A3">
        <w:rPr>
          <w:rFonts w:ascii="Arial" w:hAnsi="Arial" w:cs="Arial"/>
        </w:rPr>
        <w:t>PPST compliance</w:t>
      </w:r>
    </w:p>
    <w:p w14:paraId="275C513E" w14:textId="77777777" w:rsidR="00BC297D" w:rsidRDefault="00BC297D" w:rsidP="00BC297D">
      <w:pPr>
        <w:pStyle w:val="ListParagraph"/>
        <w:rPr>
          <w:rFonts w:ascii="Arial" w:hAnsi="Arial" w:cs="Arial"/>
        </w:rPr>
      </w:pPr>
    </w:p>
    <w:p w14:paraId="028D1639" w14:textId="02C05E8F" w:rsidR="00E172B0" w:rsidRPr="00757E07" w:rsidRDefault="000F2BDA" w:rsidP="00757E07">
      <w:pPr>
        <w:pStyle w:val="ListParagraph"/>
        <w:numPr>
          <w:ilvl w:val="0"/>
          <w:numId w:val="9"/>
        </w:numPr>
        <w:rPr>
          <w:rFonts w:ascii="Arial" w:hAnsi="Arial" w:cs="Arial"/>
        </w:rPr>
      </w:pPr>
      <w:r w:rsidRPr="00757E07">
        <w:rPr>
          <w:rFonts w:ascii="Arial" w:hAnsi="Arial" w:cs="Arial"/>
          <w:b/>
          <w:bCs/>
        </w:rPr>
        <w:t>Sustainability</w:t>
      </w:r>
      <w:r w:rsidRPr="00757E07">
        <w:rPr>
          <w:rFonts w:ascii="Arial" w:hAnsi="Arial" w:cs="Arial"/>
        </w:rPr>
        <w:t xml:space="preserve">: The Trust is achieving </w:t>
      </w:r>
      <w:r w:rsidR="00C44FE7" w:rsidRPr="00757E07">
        <w:rPr>
          <w:rFonts w:ascii="Arial" w:hAnsi="Arial" w:cs="Arial"/>
        </w:rPr>
        <w:t>4</w:t>
      </w:r>
      <w:r w:rsidR="002A3234" w:rsidRPr="00757E07">
        <w:rPr>
          <w:rFonts w:ascii="Arial" w:hAnsi="Arial" w:cs="Arial"/>
        </w:rPr>
        <w:t xml:space="preserve"> of the </w:t>
      </w:r>
      <w:r w:rsidR="00C44FE7" w:rsidRPr="00757E07">
        <w:rPr>
          <w:rFonts w:ascii="Arial" w:hAnsi="Arial" w:cs="Arial"/>
        </w:rPr>
        <w:t>5</w:t>
      </w:r>
      <w:r w:rsidR="002A3234" w:rsidRPr="00757E07">
        <w:rPr>
          <w:rFonts w:ascii="Arial" w:hAnsi="Arial" w:cs="Arial"/>
        </w:rPr>
        <w:t xml:space="preserve"> OKRs.</w:t>
      </w:r>
      <w:r w:rsidR="00E172B0" w:rsidRPr="00757E07">
        <w:rPr>
          <w:rFonts w:ascii="Arial" w:hAnsi="Arial" w:cs="Arial"/>
        </w:rPr>
        <w:t xml:space="preserve"> </w:t>
      </w:r>
      <w:r w:rsidR="00C44FE7" w:rsidRPr="00757E07">
        <w:rPr>
          <w:rFonts w:ascii="Arial" w:hAnsi="Arial" w:cs="Arial"/>
        </w:rPr>
        <w:t xml:space="preserve">The area of </w:t>
      </w:r>
      <w:r w:rsidR="00757E07">
        <w:rPr>
          <w:rFonts w:ascii="Arial" w:hAnsi="Arial" w:cs="Arial"/>
        </w:rPr>
        <w:t>u</w:t>
      </w:r>
      <w:r w:rsidR="00E172B0" w:rsidRPr="00757E07">
        <w:rPr>
          <w:rFonts w:ascii="Arial" w:hAnsi="Arial" w:cs="Arial"/>
        </w:rPr>
        <w:t xml:space="preserve">nderperformance </w:t>
      </w:r>
      <w:r w:rsidR="00C44FE7" w:rsidRPr="00757E07">
        <w:rPr>
          <w:rFonts w:ascii="Arial" w:hAnsi="Arial" w:cs="Arial"/>
        </w:rPr>
        <w:t>is</w:t>
      </w:r>
      <w:r w:rsidR="00757E07">
        <w:rPr>
          <w:rFonts w:ascii="Arial" w:hAnsi="Arial" w:cs="Arial"/>
        </w:rPr>
        <w:t xml:space="preserve"> d</w:t>
      </w:r>
      <w:r w:rsidR="00B64288" w:rsidRPr="00757E07">
        <w:rPr>
          <w:rFonts w:ascii="Arial" w:hAnsi="Arial" w:cs="Arial"/>
        </w:rPr>
        <w:t>elivery of the cost improvement plan (CIP)</w:t>
      </w:r>
    </w:p>
    <w:p w14:paraId="289FC122" w14:textId="1E2C31C3" w:rsidR="001846A7" w:rsidRDefault="001846A7" w:rsidP="001846A7">
      <w:pPr>
        <w:rPr>
          <w:rFonts w:ascii="Arial" w:hAnsi="Arial" w:cs="Arial"/>
        </w:rPr>
      </w:pPr>
    </w:p>
    <w:p w14:paraId="207DB99E" w14:textId="72715DEE" w:rsidR="001846A7" w:rsidRPr="001846A7" w:rsidRDefault="001846A7" w:rsidP="001846A7">
      <w:pPr>
        <w:rPr>
          <w:rFonts w:ascii="Arial" w:hAnsi="Arial" w:cs="Arial"/>
        </w:rPr>
      </w:pPr>
      <w:r>
        <w:rPr>
          <w:rFonts w:ascii="Arial" w:hAnsi="Arial" w:cs="Arial"/>
        </w:rPr>
        <w:t>Please see the report for further information and plans to address.</w:t>
      </w:r>
    </w:p>
    <w:p w14:paraId="437DB08A" w14:textId="77777777" w:rsidR="003E0F7E" w:rsidRDefault="003E0F7E" w:rsidP="00D90129">
      <w:pPr>
        <w:rPr>
          <w:rFonts w:ascii="Arial" w:hAnsi="Arial" w:cs="Arial"/>
        </w:rPr>
      </w:pPr>
    </w:p>
    <w:p w14:paraId="6A19AF30" w14:textId="0B7B5188" w:rsidR="00A477AC" w:rsidRDefault="00A477AC" w:rsidP="00A477AC">
      <w:pPr>
        <w:rPr>
          <w:rFonts w:ascii="Arial" w:hAnsi="Arial" w:cs="Arial"/>
          <w:b/>
          <w:bCs/>
        </w:rPr>
      </w:pPr>
      <w:r>
        <w:rPr>
          <w:rFonts w:ascii="Arial" w:hAnsi="Arial" w:cs="Arial"/>
          <w:b/>
          <w:bCs/>
        </w:rPr>
        <w:t>IPR Supporting Report</w:t>
      </w:r>
      <w:r w:rsidR="001C0E43">
        <w:rPr>
          <w:rFonts w:ascii="Arial" w:hAnsi="Arial" w:cs="Arial"/>
          <w:b/>
          <w:bCs/>
        </w:rPr>
        <w:t xml:space="preserve"> - </w:t>
      </w:r>
      <w:r w:rsidRPr="00EB5C3A">
        <w:rPr>
          <w:rFonts w:ascii="Arial" w:hAnsi="Arial" w:cs="Arial"/>
          <w:b/>
          <w:bCs/>
        </w:rPr>
        <w:t>Performance Summary</w:t>
      </w:r>
    </w:p>
    <w:p w14:paraId="2128C5B1" w14:textId="3434CE26" w:rsidR="00E43917" w:rsidRDefault="00E43917" w:rsidP="00D90129">
      <w:pPr>
        <w:rPr>
          <w:rFonts w:ascii="Arial" w:hAnsi="Arial" w:cs="Arial"/>
        </w:rPr>
      </w:pPr>
    </w:p>
    <w:p w14:paraId="45424D83" w14:textId="6311A9D6" w:rsidR="002B15C1" w:rsidRDefault="002B15C1" w:rsidP="00896E0E">
      <w:pPr>
        <w:rPr>
          <w:rFonts w:ascii="Arial" w:hAnsi="Arial" w:cs="Arial"/>
          <w:b/>
          <w:bCs/>
        </w:rPr>
      </w:pPr>
      <w:r>
        <w:rPr>
          <w:rFonts w:ascii="Arial" w:hAnsi="Arial" w:cs="Arial"/>
          <w:b/>
          <w:bCs/>
        </w:rPr>
        <w:t>COVID-19:</w:t>
      </w:r>
      <w:r w:rsidR="00C51626">
        <w:rPr>
          <w:rFonts w:ascii="Arial" w:hAnsi="Arial" w:cs="Arial"/>
          <w:b/>
          <w:bCs/>
        </w:rPr>
        <w:t xml:space="preserve"> </w:t>
      </w:r>
    </w:p>
    <w:p w14:paraId="3339E0A1" w14:textId="4E6B4ABE" w:rsidR="00A50A18" w:rsidRDefault="00A50A18" w:rsidP="00896E0E">
      <w:pPr>
        <w:rPr>
          <w:rFonts w:ascii="Arial" w:hAnsi="Arial" w:cs="Arial"/>
          <w:b/>
          <w:bCs/>
        </w:rPr>
      </w:pPr>
    </w:p>
    <w:p w14:paraId="7BFDC195" w14:textId="2DA4CC85" w:rsidR="00C51626" w:rsidRPr="00C51626" w:rsidRDefault="00A50A18" w:rsidP="00C51626">
      <w:pPr>
        <w:pStyle w:val="ListParagraph"/>
        <w:numPr>
          <w:ilvl w:val="0"/>
          <w:numId w:val="10"/>
        </w:numPr>
        <w:rPr>
          <w:rFonts w:ascii="Arial" w:hAnsi="Arial" w:cs="Arial"/>
        </w:rPr>
      </w:pPr>
      <w:r w:rsidRPr="00C51626">
        <w:rPr>
          <w:rFonts w:ascii="Arial" w:hAnsi="Arial" w:cs="Arial"/>
        </w:rPr>
        <w:t>The</w:t>
      </w:r>
      <w:r w:rsidR="00043376" w:rsidRPr="00C51626">
        <w:rPr>
          <w:rFonts w:ascii="Arial" w:hAnsi="Arial" w:cs="Arial"/>
        </w:rPr>
        <w:t xml:space="preserve"> current number of inpatients with COVID-19 </w:t>
      </w:r>
      <w:r w:rsidR="00C51626">
        <w:rPr>
          <w:rFonts w:ascii="Arial" w:hAnsi="Arial" w:cs="Arial"/>
        </w:rPr>
        <w:t>has increased to</w:t>
      </w:r>
      <w:r w:rsidR="008446D2" w:rsidRPr="00C51626">
        <w:rPr>
          <w:rFonts w:ascii="Arial" w:hAnsi="Arial" w:cs="Arial"/>
        </w:rPr>
        <w:t xml:space="preserve"> </w:t>
      </w:r>
      <w:r w:rsidR="00C63B54">
        <w:rPr>
          <w:rFonts w:ascii="Arial" w:hAnsi="Arial" w:cs="Arial"/>
        </w:rPr>
        <w:t>10</w:t>
      </w:r>
      <w:r w:rsidR="008446D2" w:rsidRPr="00C51626">
        <w:rPr>
          <w:rFonts w:ascii="Arial" w:hAnsi="Arial" w:cs="Arial"/>
        </w:rPr>
        <w:t xml:space="preserve"> (at </w:t>
      </w:r>
      <w:r w:rsidR="00C63B54">
        <w:rPr>
          <w:rFonts w:ascii="Arial" w:hAnsi="Arial" w:cs="Arial"/>
        </w:rPr>
        <w:t xml:space="preserve">23 </w:t>
      </w:r>
      <w:r w:rsidR="008446D2" w:rsidRPr="00C51626">
        <w:rPr>
          <w:rFonts w:ascii="Arial" w:hAnsi="Arial" w:cs="Arial"/>
        </w:rPr>
        <w:t>No</w:t>
      </w:r>
      <w:r w:rsidR="00C51626">
        <w:rPr>
          <w:rFonts w:ascii="Arial" w:hAnsi="Arial" w:cs="Arial"/>
        </w:rPr>
        <w:t>v</w:t>
      </w:r>
      <w:r w:rsidR="008446D2" w:rsidRPr="00C51626">
        <w:rPr>
          <w:rFonts w:ascii="Arial" w:hAnsi="Arial" w:cs="Arial"/>
        </w:rPr>
        <w:t>)</w:t>
      </w:r>
    </w:p>
    <w:p w14:paraId="051F3517" w14:textId="7D7A9777" w:rsidR="00A50A18" w:rsidRPr="00C51626" w:rsidRDefault="008446D2" w:rsidP="00C51626">
      <w:pPr>
        <w:pStyle w:val="ListParagraph"/>
        <w:numPr>
          <w:ilvl w:val="0"/>
          <w:numId w:val="10"/>
        </w:numPr>
        <w:rPr>
          <w:rFonts w:ascii="Arial" w:hAnsi="Arial" w:cs="Arial"/>
        </w:rPr>
      </w:pPr>
      <w:r w:rsidRPr="00C51626">
        <w:rPr>
          <w:rFonts w:ascii="Arial" w:hAnsi="Arial" w:cs="Arial"/>
        </w:rPr>
        <w:t>The</w:t>
      </w:r>
      <w:r w:rsidR="00A50A18" w:rsidRPr="00C51626">
        <w:rPr>
          <w:rFonts w:ascii="Arial" w:hAnsi="Arial" w:cs="Arial"/>
        </w:rPr>
        <w:t xml:space="preserve"> cumulative number was at 428 cases</w:t>
      </w:r>
      <w:r w:rsidR="00043376" w:rsidRPr="00C51626">
        <w:rPr>
          <w:rFonts w:ascii="Arial" w:hAnsi="Arial" w:cs="Arial"/>
        </w:rPr>
        <w:t xml:space="preserve"> on 18 November</w:t>
      </w:r>
    </w:p>
    <w:p w14:paraId="328E1CB7" w14:textId="241EBB3F" w:rsidR="00C51626" w:rsidRPr="00C51626" w:rsidRDefault="00C51626" w:rsidP="00C51626">
      <w:pPr>
        <w:pStyle w:val="ListParagraph"/>
        <w:numPr>
          <w:ilvl w:val="0"/>
          <w:numId w:val="10"/>
        </w:numPr>
        <w:rPr>
          <w:rFonts w:ascii="Arial" w:hAnsi="Arial" w:cs="Arial"/>
        </w:rPr>
      </w:pPr>
      <w:r w:rsidRPr="00C51626">
        <w:rPr>
          <w:rFonts w:ascii="Arial" w:hAnsi="Arial" w:cs="Arial"/>
        </w:rPr>
        <w:t>COVID-19 vaccination uptake at 12 Nov 2021:</w:t>
      </w:r>
      <w:r w:rsidRPr="00C51626">
        <w:rPr>
          <w:rFonts w:ascii="Arial" w:hAnsi="Arial" w:cs="Arial"/>
          <w:b/>
          <w:bCs/>
        </w:rPr>
        <w:t xml:space="preserve"> </w:t>
      </w:r>
      <w:r w:rsidRPr="00C51626">
        <w:rPr>
          <w:rFonts w:ascii="Arial" w:hAnsi="Arial" w:cs="Arial"/>
        </w:rPr>
        <w:t>Dose 1 = 83.2%, Dose 2 = 81.3% and Dose 3 (eligible staff only) 41.3%.  Patient Facing Dose 1 = 84.3%, Dose 2 = 95.4% and Dose 3 (eligible staff only) 42.5%</w:t>
      </w:r>
    </w:p>
    <w:p w14:paraId="10D6D456" w14:textId="77777777" w:rsidR="002B15C1" w:rsidRDefault="002B15C1" w:rsidP="00896E0E">
      <w:pPr>
        <w:rPr>
          <w:rFonts w:ascii="Arial" w:hAnsi="Arial" w:cs="Arial"/>
          <w:b/>
          <w:bCs/>
        </w:rPr>
      </w:pPr>
    </w:p>
    <w:p w14:paraId="6E4DB1AF" w14:textId="1BA48033" w:rsidR="00896E0E" w:rsidRPr="002B3FE9" w:rsidRDefault="00896E0E" w:rsidP="00896E0E">
      <w:pPr>
        <w:rPr>
          <w:rFonts w:ascii="Arial" w:hAnsi="Arial" w:cs="Arial"/>
          <w:b/>
          <w:bCs/>
        </w:rPr>
      </w:pPr>
      <w:r w:rsidRPr="002B3FE9">
        <w:rPr>
          <w:rFonts w:ascii="Arial" w:hAnsi="Arial" w:cs="Arial"/>
          <w:b/>
          <w:bCs/>
        </w:rPr>
        <w:t>Referrals:</w:t>
      </w:r>
    </w:p>
    <w:p w14:paraId="35A6698E" w14:textId="77777777" w:rsidR="00896E0E" w:rsidRDefault="00896E0E" w:rsidP="00896E0E">
      <w:pPr>
        <w:rPr>
          <w:rFonts w:ascii="Arial" w:hAnsi="Arial" w:cs="Arial"/>
        </w:rPr>
      </w:pPr>
    </w:p>
    <w:p w14:paraId="4C2C447A" w14:textId="2157C54F" w:rsidR="00896E0E" w:rsidRDefault="00896E0E" w:rsidP="00896E0E">
      <w:pPr>
        <w:rPr>
          <w:rFonts w:ascii="Arial" w:hAnsi="Arial" w:cs="Arial"/>
        </w:rPr>
      </w:pPr>
      <w:r w:rsidRPr="001B7E3D">
        <w:rPr>
          <w:rFonts w:ascii="Arial" w:hAnsi="Arial" w:cs="Arial"/>
        </w:rPr>
        <w:t xml:space="preserve">The Trust continues to receive a higher number of referrals than </w:t>
      </w:r>
      <w:r>
        <w:rPr>
          <w:rFonts w:ascii="Arial" w:hAnsi="Arial" w:cs="Arial"/>
        </w:rPr>
        <w:t>it has</w:t>
      </w:r>
      <w:r w:rsidRPr="001B7E3D">
        <w:rPr>
          <w:rFonts w:ascii="Arial" w:hAnsi="Arial" w:cs="Arial"/>
        </w:rPr>
        <w:t xml:space="preserve"> seen in previous years.  </w:t>
      </w:r>
      <w:r>
        <w:rPr>
          <w:rFonts w:ascii="Arial" w:hAnsi="Arial" w:cs="Arial"/>
        </w:rPr>
        <w:t xml:space="preserve"> Overall, referrals are up 7% compared to pre-pandemic levels in 2019/20.   In addition to the overall increase in referrals, trends in the data are showing significant increases in emergency and urgent referrals and waiting times.  In many cases, waits for routine referrals have been most affected as the operational priority remains on Emergency and Urgent referrals.  For those patients waiting, additional steps have been taken to mitigate clinical risks and prevent harm.</w:t>
      </w:r>
    </w:p>
    <w:p w14:paraId="3F39389F" w14:textId="28F84C4C" w:rsidR="005824E7" w:rsidRDefault="005824E7" w:rsidP="00896E0E">
      <w:pPr>
        <w:rPr>
          <w:rFonts w:ascii="Arial" w:hAnsi="Arial" w:cs="Arial"/>
        </w:rPr>
      </w:pPr>
    </w:p>
    <w:p w14:paraId="5893C9DD" w14:textId="412B251B" w:rsidR="00757E07" w:rsidRDefault="00757E07" w:rsidP="00896E0E">
      <w:pPr>
        <w:rPr>
          <w:rFonts w:ascii="Arial" w:hAnsi="Arial" w:cs="Arial"/>
        </w:rPr>
      </w:pPr>
    </w:p>
    <w:p w14:paraId="2F3B4C29" w14:textId="77777777" w:rsidR="00757E07" w:rsidRDefault="00757E07" w:rsidP="00896E0E">
      <w:pPr>
        <w:rPr>
          <w:rFonts w:ascii="Arial" w:hAnsi="Arial" w:cs="Arial"/>
        </w:rPr>
      </w:pPr>
    </w:p>
    <w:p w14:paraId="0F7354BC" w14:textId="77777777" w:rsidR="005824E7" w:rsidRDefault="005824E7" w:rsidP="00896E0E">
      <w:pPr>
        <w:rPr>
          <w:rFonts w:ascii="Arial" w:hAnsi="Arial" w:cs="Arial"/>
        </w:rPr>
      </w:pPr>
    </w:p>
    <w:p w14:paraId="5FC1DFE5" w14:textId="77777777" w:rsidR="005824E7" w:rsidRPr="002B3FE9" w:rsidRDefault="005824E7" w:rsidP="005824E7">
      <w:pPr>
        <w:rPr>
          <w:rFonts w:ascii="Arial" w:hAnsi="Arial" w:cs="Arial"/>
          <w:b/>
          <w:bCs/>
        </w:rPr>
      </w:pPr>
      <w:r w:rsidRPr="002B3FE9">
        <w:rPr>
          <w:rFonts w:ascii="Arial" w:hAnsi="Arial" w:cs="Arial"/>
          <w:b/>
          <w:bCs/>
        </w:rPr>
        <w:lastRenderedPageBreak/>
        <w:t>Activity</w:t>
      </w:r>
      <w:r>
        <w:rPr>
          <w:rFonts w:ascii="Arial" w:hAnsi="Arial" w:cs="Arial"/>
          <w:b/>
          <w:bCs/>
        </w:rPr>
        <w:t>:</w:t>
      </w:r>
    </w:p>
    <w:p w14:paraId="2BB73C58" w14:textId="77777777" w:rsidR="005824E7" w:rsidRDefault="005824E7" w:rsidP="005824E7">
      <w:pPr>
        <w:rPr>
          <w:rFonts w:ascii="Arial" w:hAnsi="Arial" w:cs="Arial"/>
        </w:rPr>
      </w:pPr>
    </w:p>
    <w:p w14:paraId="2F92C1E1" w14:textId="77777777" w:rsidR="005824E7" w:rsidRDefault="005824E7" w:rsidP="005824E7">
      <w:pPr>
        <w:rPr>
          <w:rFonts w:ascii="Arial" w:hAnsi="Arial" w:cs="Arial"/>
        </w:rPr>
      </w:pPr>
      <w:r>
        <w:rPr>
          <w:rFonts w:ascii="Arial" w:hAnsi="Arial" w:cs="Arial"/>
        </w:rPr>
        <w:t xml:space="preserve">Despite shortages in available workforce, the Trust continues to deliver overall activity at the average levels seen in 2019/20.   However, what is notable in the October data, are significant increases in the levels of activity delivered in Adult Mental Health services in both Oxfordshire and Buckinghamshire.  (Up by C30%).  These increases are directly linked to the use of alternative ways of working that include the expanded use of telephone/digital consultations and quality improvements.  </w:t>
      </w:r>
    </w:p>
    <w:p w14:paraId="2C249A46" w14:textId="77777777" w:rsidR="005824E7" w:rsidRDefault="005824E7" w:rsidP="005824E7">
      <w:pPr>
        <w:rPr>
          <w:rFonts w:ascii="Arial" w:hAnsi="Arial" w:cs="Arial"/>
        </w:rPr>
      </w:pPr>
    </w:p>
    <w:p w14:paraId="133F387D" w14:textId="77777777" w:rsidR="005824E7" w:rsidRPr="002B3FE9" w:rsidRDefault="005824E7" w:rsidP="005824E7">
      <w:pPr>
        <w:rPr>
          <w:rFonts w:ascii="Arial" w:hAnsi="Arial" w:cs="Arial"/>
          <w:b/>
          <w:bCs/>
        </w:rPr>
      </w:pPr>
      <w:r w:rsidRPr="002B3FE9">
        <w:rPr>
          <w:rFonts w:ascii="Arial" w:hAnsi="Arial" w:cs="Arial"/>
          <w:b/>
          <w:bCs/>
        </w:rPr>
        <w:t>Admissions &amp; Length of Stay (LOS)</w:t>
      </w:r>
      <w:r>
        <w:rPr>
          <w:rFonts w:ascii="Arial" w:hAnsi="Arial" w:cs="Arial"/>
          <w:b/>
          <w:bCs/>
        </w:rPr>
        <w:t>:</w:t>
      </w:r>
      <w:r w:rsidRPr="002B3FE9">
        <w:rPr>
          <w:rFonts w:ascii="Arial" w:hAnsi="Arial" w:cs="Arial"/>
          <w:b/>
          <w:bCs/>
        </w:rPr>
        <w:t xml:space="preserve"> </w:t>
      </w:r>
    </w:p>
    <w:p w14:paraId="7B66CAB4" w14:textId="77777777" w:rsidR="005824E7" w:rsidRDefault="005824E7" w:rsidP="005824E7">
      <w:pPr>
        <w:rPr>
          <w:rFonts w:ascii="Arial" w:hAnsi="Arial" w:cs="Arial"/>
        </w:rPr>
      </w:pPr>
    </w:p>
    <w:p w14:paraId="317B5D8B" w14:textId="77777777" w:rsidR="005824E7" w:rsidRDefault="005824E7" w:rsidP="005824E7">
      <w:pPr>
        <w:rPr>
          <w:rFonts w:ascii="Arial" w:hAnsi="Arial" w:cs="Arial"/>
        </w:rPr>
      </w:pPr>
      <w:r w:rsidRPr="00E46017">
        <w:rPr>
          <w:rFonts w:ascii="Arial" w:hAnsi="Arial" w:cs="Arial"/>
        </w:rPr>
        <w:t xml:space="preserve">Admissions to the Trust’s </w:t>
      </w:r>
      <w:r>
        <w:rPr>
          <w:rFonts w:ascii="Arial" w:hAnsi="Arial" w:cs="Arial"/>
        </w:rPr>
        <w:t xml:space="preserve">mental health </w:t>
      </w:r>
      <w:r w:rsidRPr="00E46017">
        <w:rPr>
          <w:rFonts w:ascii="Arial" w:hAnsi="Arial" w:cs="Arial"/>
        </w:rPr>
        <w:t xml:space="preserve">inpatient wards in </w:t>
      </w:r>
      <w:r>
        <w:rPr>
          <w:rFonts w:ascii="Arial" w:hAnsi="Arial" w:cs="Arial"/>
        </w:rPr>
        <w:t>October was</w:t>
      </w:r>
      <w:r w:rsidRPr="00E46017">
        <w:rPr>
          <w:rFonts w:ascii="Arial" w:hAnsi="Arial" w:cs="Arial"/>
        </w:rPr>
        <w:t xml:space="preserve"> </w:t>
      </w:r>
      <w:r>
        <w:rPr>
          <w:rFonts w:ascii="Arial" w:hAnsi="Arial" w:cs="Arial"/>
        </w:rPr>
        <w:t>below</w:t>
      </w:r>
      <w:r w:rsidRPr="00E46017">
        <w:rPr>
          <w:rFonts w:ascii="Arial" w:hAnsi="Arial" w:cs="Arial"/>
        </w:rPr>
        <w:t xml:space="preserve"> previous month</w:t>
      </w:r>
      <w:r>
        <w:rPr>
          <w:rFonts w:ascii="Arial" w:hAnsi="Arial" w:cs="Arial"/>
        </w:rPr>
        <w:t xml:space="preserve">s and Length of Stay (LOS) in Adult wards in Buckinghamshire and Oxfordshire has reduced considerably.   However, there have been significant increases in CAMHS MH LOS and Eating Disorders.  </w:t>
      </w:r>
    </w:p>
    <w:p w14:paraId="64C0649A" w14:textId="77777777" w:rsidR="005824E7" w:rsidRDefault="005824E7" w:rsidP="005824E7">
      <w:pPr>
        <w:rPr>
          <w:rFonts w:ascii="Arial" w:hAnsi="Arial" w:cs="Arial"/>
        </w:rPr>
      </w:pPr>
    </w:p>
    <w:p w14:paraId="049E7276" w14:textId="71E535C7" w:rsidR="004471AA" w:rsidRPr="004471AA" w:rsidRDefault="004471AA" w:rsidP="00D90129">
      <w:pPr>
        <w:rPr>
          <w:rFonts w:ascii="Arial" w:hAnsi="Arial" w:cs="Arial"/>
          <w:b/>
          <w:bCs/>
        </w:rPr>
      </w:pPr>
      <w:r w:rsidRPr="004471AA">
        <w:rPr>
          <w:rFonts w:ascii="Arial" w:hAnsi="Arial" w:cs="Arial"/>
          <w:b/>
          <w:bCs/>
        </w:rPr>
        <w:t>Waiting Times:</w:t>
      </w:r>
    </w:p>
    <w:p w14:paraId="5C19DA04" w14:textId="66CDA956" w:rsidR="00C814CC" w:rsidRDefault="00C814CC" w:rsidP="00D90129">
      <w:pPr>
        <w:rPr>
          <w:rFonts w:ascii="Arial" w:hAnsi="Arial" w:cs="Arial"/>
        </w:rPr>
      </w:pPr>
    </w:p>
    <w:p w14:paraId="52A70B0D" w14:textId="050F219C" w:rsidR="00D90129" w:rsidRDefault="00B812F8" w:rsidP="001846A7">
      <w:pPr>
        <w:rPr>
          <w:rFonts w:ascii="Arial" w:hAnsi="Arial" w:cs="Arial"/>
        </w:rPr>
      </w:pPr>
      <w:r>
        <w:rPr>
          <w:rFonts w:ascii="Arial" w:hAnsi="Arial" w:cs="Arial"/>
        </w:rPr>
        <w:t>In October, the</w:t>
      </w:r>
      <w:r w:rsidR="00D90129">
        <w:rPr>
          <w:rFonts w:ascii="Arial" w:hAnsi="Arial" w:cs="Arial"/>
        </w:rPr>
        <w:t xml:space="preserve"> following area</w:t>
      </w:r>
      <w:r w:rsidR="006C5513">
        <w:rPr>
          <w:rFonts w:ascii="Arial" w:hAnsi="Arial" w:cs="Arial"/>
        </w:rPr>
        <w:t xml:space="preserve"> is</w:t>
      </w:r>
      <w:r w:rsidR="00952D52">
        <w:rPr>
          <w:rFonts w:ascii="Arial" w:hAnsi="Arial" w:cs="Arial"/>
        </w:rPr>
        <w:t xml:space="preserve"> showing the greatest</w:t>
      </w:r>
      <w:r w:rsidR="006C5513">
        <w:rPr>
          <w:rFonts w:ascii="Arial" w:hAnsi="Arial" w:cs="Arial"/>
        </w:rPr>
        <w:t xml:space="preserve"> press</w:t>
      </w:r>
      <w:r w:rsidR="0062212A">
        <w:rPr>
          <w:rFonts w:ascii="Arial" w:hAnsi="Arial" w:cs="Arial"/>
        </w:rPr>
        <w:t>ure</w:t>
      </w:r>
      <w:r w:rsidR="003C7368">
        <w:rPr>
          <w:rFonts w:ascii="Arial" w:hAnsi="Arial" w:cs="Arial"/>
        </w:rPr>
        <w:t xml:space="preserve"> in relation to waiting times for urgent re</w:t>
      </w:r>
      <w:r>
        <w:rPr>
          <w:rFonts w:ascii="Arial" w:hAnsi="Arial" w:cs="Arial"/>
        </w:rPr>
        <w:t xml:space="preserve">ferrals </w:t>
      </w:r>
      <w:r w:rsidRPr="00B812F8">
        <w:rPr>
          <w:rFonts w:ascii="Arial" w:hAnsi="Arial" w:cs="Arial"/>
          <w:b/>
          <w:bCs/>
        </w:rPr>
        <w:t>seen</w:t>
      </w:r>
      <w:r>
        <w:rPr>
          <w:rFonts w:ascii="Arial" w:hAnsi="Arial" w:cs="Arial"/>
        </w:rPr>
        <w:t>.</w:t>
      </w:r>
    </w:p>
    <w:p w14:paraId="403ECFDD" w14:textId="77777777" w:rsidR="00D90129" w:rsidRDefault="00D90129" w:rsidP="001846A7">
      <w:pPr>
        <w:rPr>
          <w:rFonts w:ascii="Arial" w:hAnsi="Arial" w:cs="Arial"/>
        </w:rPr>
      </w:pPr>
    </w:p>
    <w:p w14:paraId="1C557069" w14:textId="2FB15312" w:rsidR="00A1673D" w:rsidRDefault="00AA0D4E" w:rsidP="001846A7">
      <w:pPr>
        <w:pStyle w:val="ListParagraph"/>
        <w:numPr>
          <w:ilvl w:val="0"/>
          <w:numId w:val="8"/>
        </w:numPr>
        <w:contextualSpacing/>
        <w:rPr>
          <w:rFonts w:ascii="Arial" w:hAnsi="Arial" w:cs="Arial"/>
        </w:rPr>
      </w:pPr>
      <w:r w:rsidRPr="0062212A">
        <w:rPr>
          <w:rFonts w:ascii="Arial" w:hAnsi="Arial" w:cs="Arial"/>
        </w:rPr>
        <w:t>Oxon and BSW C</w:t>
      </w:r>
      <w:r w:rsidR="0014655C">
        <w:rPr>
          <w:rFonts w:ascii="Arial" w:hAnsi="Arial" w:cs="Arial"/>
        </w:rPr>
        <w:t>hild and Adolescent Mental Health Services (CAMHS)</w:t>
      </w:r>
    </w:p>
    <w:p w14:paraId="36B1F811" w14:textId="77777777" w:rsidR="001846A7" w:rsidRPr="0062212A" w:rsidRDefault="001846A7" w:rsidP="001846A7">
      <w:pPr>
        <w:pStyle w:val="ListParagraph"/>
        <w:contextualSpacing/>
        <w:rPr>
          <w:rFonts w:ascii="Arial" w:hAnsi="Arial" w:cs="Arial"/>
        </w:rPr>
      </w:pPr>
    </w:p>
    <w:p w14:paraId="1B8882FE" w14:textId="308902FD" w:rsidR="0062212A" w:rsidRPr="0062212A" w:rsidRDefault="0062212A" w:rsidP="001846A7">
      <w:pPr>
        <w:contextualSpacing/>
        <w:rPr>
          <w:rFonts w:ascii="Arial" w:hAnsi="Arial" w:cs="Arial"/>
        </w:rPr>
      </w:pPr>
      <w:r w:rsidRPr="0062212A">
        <w:rPr>
          <w:rFonts w:ascii="Arial" w:hAnsi="Arial" w:cs="Arial"/>
        </w:rPr>
        <w:t xml:space="preserve">In terms of emergency and urgent patients </w:t>
      </w:r>
      <w:r w:rsidRPr="00B812F8">
        <w:rPr>
          <w:rFonts w:ascii="Arial" w:hAnsi="Arial" w:cs="Arial"/>
          <w:b/>
          <w:bCs/>
        </w:rPr>
        <w:t>still waiting</w:t>
      </w:r>
      <w:r w:rsidRPr="0062212A">
        <w:rPr>
          <w:rFonts w:ascii="Arial" w:hAnsi="Arial" w:cs="Arial"/>
        </w:rPr>
        <w:t xml:space="preserve"> to be seen, the following areas are reporting the longest waits o</w:t>
      </w:r>
      <w:r w:rsidR="00B812F8">
        <w:rPr>
          <w:rFonts w:ascii="Arial" w:hAnsi="Arial" w:cs="Arial"/>
        </w:rPr>
        <w:t>r</w:t>
      </w:r>
      <w:r w:rsidRPr="0062212A">
        <w:rPr>
          <w:rFonts w:ascii="Arial" w:hAnsi="Arial" w:cs="Arial"/>
        </w:rPr>
        <w:t xml:space="preserve"> highest number of patients </w:t>
      </w:r>
      <w:proofErr w:type="gramStart"/>
      <w:r w:rsidRPr="0062212A">
        <w:rPr>
          <w:rFonts w:ascii="Arial" w:hAnsi="Arial" w:cs="Arial"/>
        </w:rPr>
        <w:t>waiting;</w:t>
      </w:r>
      <w:proofErr w:type="gramEnd"/>
    </w:p>
    <w:p w14:paraId="6A32B69F" w14:textId="52940B1E" w:rsidR="0062212A" w:rsidRDefault="0062212A" w:rsidP="001846A7">
      <w:pPr>
        <w:contextualSpacing/>
        <w:rPr>
          <w:rFonts w:ascii="Arial" w:hAnsi="Arial" w:cs="Arial"/>
          <w:highlight w:val="yellow"/>
        </w:rPr>
      </w:pPr>
    </w:p>
    <w:p w14:paraId="147B727D" w14:textId="648676E5" w:rsidR="004A30AB" w:rsidRDefault="004A30AB" w:rsidP="001846A7">
      <w:pPr>
        <w:contextualSpacing/>
        <w:rPr>
          <w:rFonts w:ascii="Arial" w:hAnsi="Arial" w:cs="Arial"/>
        </w:rPr>
      </w:pPr>
      <w:r w:rsidRPr="004A30AB">
        <w:rPr>
          <w:rFonts w:ascii="Arial" w:hAnsi="Arial" w:cs="Arial"/>
        </w:rPr>
        <w:t>Emergency referrals</w:t>
      </w:r>
      <w:r w:rsidR="00EF307A">
        <w:rPr>
          <w:rFonts w:ascii="Arial" w:hAnsi="Arial" w:cs="Arial"/>
        </w:rPr>
        <w:t xml:space="preserve"> still waiting</w:t>
      </w:r>
      <w:r w:rsidRPr="004A30AB">
        <w:rPr>
          <w:rFonts w:ascii="Arial" w:hAnsi="Arial" w:cs="Arial"/>
        </w:rPr>
        <w:t>:</w:t>
      </w:r>
    </w:p>
    <w:p w14:paraId="158C1D6A" w14:textId="77777777" w:rsidR="001846A7" w:rsidRPr="004A30AB" w:rsidRDefault="001846A7" w:rsidP="001846A7">
      <w:pPr>
        <w:contextualSpacing/>
        <w:rPr>
          <w:rFonts w:ascii="Arial" w:hAnsi="Arial" w:cs="Arial"/>
        </w:rPr>
      </w:pPr>
    </w:p>
    <w:p w14:paraId="5DE2925B" w14:textId="276B1A9B" w:rsidR="004A30AB" w:rsidRDefault="0014655C" w:rsidP="001846A7">
      <w:pPr>
        <w:pStyle w:val="ListParagraph"/>
        <w:numPr>
          <w:ilvl w:val="0"/>
          <w:numId w:val="8"/>
        </w:numPr>
        <w:contextualSpacing/>
        <w:rPr>
          <w:rFonts w:ascii="Arial" w:hAnsi="Arial" w:cs="Arial"/>
        </w:rPr>
      </w:pPr>
      <w:r>
        <w:rPr>
          <w:rFonts w:ascii="Arial" w:hAnsi="Arial" w:cs="Arial"/>
        </w:rPr>
        <w:t xml:space="preserve">Oxfordshire </w:t>
      </w:r>
      <w:r w:rsidR="00401D4E">
        <w:rPr>
          <w:rFonts w:ascii="Arial" w:hAnsi="Arial" w:cs="Arial"/>
        </w:rPr>
        <w:t>E</w:t>
      </w:r>
      <w:r>
        <w:rPr>
          <w:rFonts w:ascii="Arial" w:hAnsi="Arial" w:cs="Arial"/>
        </w:rPr>
        <w:t>mergency Department Psychiatric Service (EDPS)</w:t>
      </w:r>
    </w:p>
    <w:p w14:paraId="6E8490AC" w14:textId="4563BCBD" w:rsidR="00401D4E" w:rsidRDefault="00401D4E" w:rsidP="001846A7">
      <w:pPr>
        <w:pStyle w:val="ListParagraph"/>
        <w:numPr>
          <w:ilvl w:val="0"/>
          <w:numId w:val="8"/>
        </w:numPr>
        <w:contextualSpacing/>
        <w:rPr>
          <w:rFonts w:ascii="Arial" w:hAnsi="Arial" w:cs="Arial"/>
        </w:rPr>
      </w:pPr>
      <w:r>
        <w:rPr>
          <w:rFonts w:ascii="Arial" w:hAnsi="Arial" w:cs="Arial"/>
        </w:rPr>
        <w:t>B</w:t>
      </w:r>
      <w:r w:rsidR="0014655C">
        <w:rPr>
          <w:rFonts w:ascii="Arial" w:hAnsi="Arial" w:cs="Arial"/>
        </w:rPr>
        <w:t>SW</w:t>
      </w:r>
      <w:r>
        <w:rPr>
          <w:rFonts w:ascii="Arial" w:hAnsi="Arial" w:cs="Arial"/>
        </w:rPr>
        <w:t xml:space="preserve"> CAMHS</w:t>
      </w:r>
    </w:p>
    <w:p w14:paraId="333B0E6B" w14:textId="77777777" w:rsidR="001846A7" w:rsidRDefault="009902EA" w:rsidP="001846A7">
      <w:pPr>
        <w:pStyle w:val="ListParagraph"/>
        <w:numPr>
          <w:ilvl w:val="0"/>
          <w:numId w:val="8"/>
        </w:numPr>
        <w:contextualSpacing/>
        <w:rPr>
          <w:rFonts w:ascii="Arial" w:hAnsi="Arial" w:cs="Arial"/>
        </w:rPr>
      </w:pPr>
      <w:r>
        <w:rPr>
          <w:rFonts w:ascii="Arial" w:hAnsi="Arial" w:cs="Arial"/>
        </w:rPr>
        <w:t xml:space="preserve">Community Services – </w:t>
      </w:r>
      <w:r w:rsidR="002619E0">
        <w:rPr>
          <w:rFonts w:ascii="Arial" w:hAnsi="Arial" w:cs="Arial"/>
        </w:rPr>
        <w:t>Respiratory Services, Podiatry, District, Integrated Children’s Therapies</w:t>
      </w:r>
      <w:r w:rsidR="00EF307A">
        <w:rPr>
          <w:rFonts w:ascii="Arial" w:hAnsi="Arial" w:cs="Arial"/>
        </w:rPr>
        <w:t xml:space="preserve"> and Tissue Viability</w:t>
      </w:r>
    </w:p>
    <w:p w14:paraId="180152C4" w14:textId="3B512667" w:rsidR="00EF307A" w:rsidRDefault="00EF307A" w:rsidP="001846A7">
      <w:pPr>
        <w:pStyle w:val="ListParagraph"/>
        <w:contextualSpacing/>
        <w:rPr>
          <w:rFonts w:ascii="Arial" w:hAnsi="Arial" w:cs="Arial"/>
        </w:rPr>
      </w:pPr>
      <w:r>
        <w:rPr>
          <w:rFonts w:ascii="Arial" w:hAnsi="Arial" w:cs="Arial"/>
        </w:rPr>
        <w:t xml:space="preserve"> </w:t>
      </w:r>
    </w:p>
    <w:p w14:paraId="6F95733F" w14:textId="7BA4DFE8" w:rsidR="00401D4E" w:rsidRDefault="00EF307A" w:rsidP="001846A7">
      <w:pPr>
        <w:contextualSpacing/>
        <w:rPr>
          <w:rFonts w:ascii="Arial" w:hAnsi="Arial" w:cs="Arial"/>
        </w:rPr>
      </w:pPr>
      <w:r>
        <w:rPr>
          <w:rFonts w:ascii="Arial" w:hAnsi="Arial" w:cs="Arial"/>
        </w:rPr>
        <w:t>Urgent referrals still waiting:</w:t>
      </w:r>
    </w:p>
    <w:p w14:paraId="7F2EBA98" w14:textId="77777777" w:rsidR="001846A7" w:rsidRDefault="001846A7" w:rsidP="001846A7">
      <w:pPr>
        <w:contextualSpacing/>
        <w:rPr>
          <w:rFonts w:ascii="Arial" w:hAnsi="Arial" w:cs="Arial"/>
        </w:rPr>
      </w:pPr>
    </w:p>
    <w:p w14:paraId="6C286E0E" w14:textId="5E6FCCF0" w:rsidR="00EF307A" w:rsidRDefault="00651840" w:rsidP="001846A7">
      <w:pPr>
        <w:pStyle w:val="ListParagraph"/>
        <w:numPr>
          <w:ilvl w:val="0"/>
          <w:numId w:val="8"/>
        </w:numPr>
        <w:contextualSpacing/>
        <w:rPr>
          <w:rFonts w:ascii="Arial" w:hAnsi="Arial" w:cs="Arial"/>
        </w:rPr>
      </w:pPr>
      <w:r>
        <w:rPr>
          <w:rFonts w:ascii="Arial" w:hAnsi="Arial" w:cs="Arial"/>
        </w:rPr>
        <w:t xml:space="preserve">Eating Disorders – </w:t>
      </w:r>
      <w:proofErr w:type="spellStart"/>
      <w:r>
        <w:rPr>
          <w:rFonts w:ascii="Arial" w:hAnsi="Arial" w:cs="Arial"/>
        </w:rPr>
        <w:t>Costwold</w:t>
      </w:r>
      <w:proofErr w:type="spellEnd"/>
      <w:r>
        <w:rPr>
          <w:rFonts w:ascii="Arial" w:hAnsi="Arial" w:cs="Arial"/>
        </w:rPr>
        <w:t xml:space="preserve"> House</w:t>
      </w:r>
    </w:p>
    <w:p w14:paraId="0215FC9E" w14:textId="22C0E3D9" w:rsidR="00651840" w:rsidRDefault="006A7572" w:rsidP="001846A7">
      <w:pPr>
        <w:pStyle w:val="ListParagraph"/>
        <w:numPr>
          <w:ilvl w:val="0"/>
          <w:numId w:val="8"/>
        </w:numPr>
        <w:contextualSpacing/>
        <w:rPr>
          <w:rFonts w:ascii="Arial" w:hAnsi="Arial" w:cs="Arial"/>
        </w:rPr>
      </w:pPr>
      <w:r>
        <w:rPr>
          <w:rFonts w:ascii="Arial" w:hAnsi="Arial" w:cs="Arial"/>
        </w:rPr>
        <w:t>Respiratory Post COVID service</w:t>
      </w:r>
    </w:p>
    <w:p w14:paraId="5CF1C93B" w14:textId="77777777" w:rsidR="006A7572" w:rsidRPr="001846A7" w:rsidRDefault="006A7572" w:rsidP="001846A7">
      <w:pPr>
        <w:spacing w:after="160" w:line="259" w:lineRule="auto"/>
        <w:ind w:left="360"/>
        <w:contextualSpacing/>
        <w:rPr>
          <w:rFonts w:ascii="Arial" w:hAnsi="Arial" w:cs="Arial"/>
        </w:rPr>
      </w:pPr>
    </w:p>
    <w:p w14:paraId="6D07A1C4" w14:textId="1A323556" w:rsidR="006D43B2" w:rsidRPr="005824E7" w:rsidRDefault="005824E7" w:rsidP="00D90129">
      <w:pPr>
        <w:rPr>
          <w:rFonts w:ascii="Arial" w:hAnsi="Arial" w:cs="Arial"/>
          <w:b/>
          <w:bCs/>
        </w:rPr>
      </w:pPr>
      <w:r w:rsidRPr="005824E7">
        <w:rPr>
          <w:rFonts w:ascii="Arial" w:hAnsi="Arial" w:cs="Arial"/>
          <w:b/>
          <w:bCs/>
        </w:rPr>
        <w:t>Contractual KPI Performance</w:t>
      </w:r>
    </w:p>
    <w:p w14:paraId="1334E13D" w14:textId="6EB18F17" w:rsidR="005824E7" w:rsidRDefault="005824E7" w:rsidP="00D90129">
      <w:pPr>
        <w:rPr>
          <w:rFonts w:ascii="Arial" w:hAnsi="Arial" w:cs="Arial"/>
        </w:rPr>
      </w:pPr>
    </w:p>
    <w:p w14:paraId="2CCB4C75" w14:textId="52AFCFB3" w:rsidR="005824E7" w:rsidRDefault="005824E7" w:rsidP="00D90129">
      <w:pPr>
        <w:rPr>
          <w:rFonts w:ascii="Arial" w:hAnsi="Arial" w:cs="Arial"/>
        </w:rPr>
      </w:pPr>
      <w:r>
        <w:rPr>
          <w:rFonts w:ascii="Arial" w:hAnsi="Arial" w:cs="Arial"/>
        </w:rPr>
        <w:t>The Trust achieved 79% of its contractual KPIs in October</w:t>
      </w:r>
    </w:p>
    <w:p w14:paraId="25F2892F" w14:textId="3495BD12" w:rsidR="007A2CF0" w:rsidRPr="0088096A" w:rsidRDefault="007A2CF0" w:rsidP="003F7D89">
      <w:pPr>
        <w:rPr>
          <w:rFonts w:ascii="Segoe UI" w:hAnsi="Segoe UI" w:cs="Segoe UI"/>
          <w:i/>
        </w:rPr>
      </w:pPr>
    </w:p>
    <w:p w14:paraId="7264DAC3" w14:textId="4F1AEDBF"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67787F0B" w14:textId="77777777" w:rsidR="00D90129" w:rsidRPr="00D90129" w:rsidRDefault="00D90129" w:rsidP="0073522A">
      <w:pPr>
        <w:jc w:val="both"/>
        <w:rPr>
          <w:rFonts w:ascii="Segoe UI" w:hAnsi="Segoe UI" w:cs="Segoe UI"/>
          <w:bCs/>
        </w:rPr>
      </w:pPr>
    </w:p>
    <w:p w14:paraId="0BF72E6A" w14:textId="01881457" w:rsidR="00D90129" w:rsidRPr="00D90129" w:rsidRDefault="00D90129" w:rsidP="00D90129">
      <w:pPr>
        <w:rPr>
          <w:rFonts w:ascii="Arial" w:hAnsi="Arial" w:cs="Arial"/>
          <w:bCs/>
        </w:rPr>
      </w:pPr>
      <w:r>
        <w:rPr>
          <w:rFonts w:ascii="Arial" w:hAnsi="Arial" w:cs="Arial"/>
          <w:bCs/>
        </w:rPr>
        <w:t xml:space="preserve">The information that forms the basis for this monthly report is presented to the Operations Management Team and Executive Management Committee on a weekly basis.  The report </w:t>
      </w:r>
      <w:r>
        <w:rPr>
          <w:rFonts w:ascii="Arial" w:hAnsi="Arial" w:cs="Arial"/>
          <w:bCs/>
        </w:rPr>
        <w:lastRenderedPageBreak/>
        <w:t>is also presented at the Directorate Performance Management meetings and at the Board Committees as required.</w:t>
      </w:r>
    </w:p>
    <w:p w14:paraId="1B67BD04" w14:textId="77777777" w:rsidR="00D90129" w:rsidRDefault="00D90129" w:rsidP="0073522A">
      <w:pPr>
        <w:jc w:val="both"/>
        <w:rPr>
          <w:rFonts w:ascii="Segoe UI" w:hAnsi="Segoe UI" w:cs="Segoe UI"/>
          <w:b/>
        </w:rPr>
      </w:pPr>
    </w:p>
    <w:p w14:paraId="32F36C83" w14:textId="14AEAB88" w:rsidR="0073522A" w:rsidRPr="00FA3993" w:rsidRDefault="0073522A" w:rsidP="0073522A">
      <w:pPr>
        <w:jc w:val="both"/>
        <w:rPr>
          <w:rFonts w:ascii="Segoe UI" w:hAnsi="Segoe UI" w:cs="Segoe UI"/>
          <w:b/>
        </w:rPr>
      </w:pPr>
      <w:r w:rsidRPr="00FA3993">
        <w:rPr>
          <w:rFonts w:ascii="Segoe UI" w:hAnsi="Segoe UI" w:cs="Segoe UI"/>
          <w:b/>
        </w:rPr>
        <w:t>Recommendation</w:t>
      </w:r>
    </w:p>
    <w:p w14:paraId="14276737" w14:textId="5C80FEAF" w:rsidR="00D628E5" w:rsidRDefault="00D628E5" w:rsidP="0073522A">
      <w:pPr>
        <w:jc w:val="both"/>
        <w:rPr>
          <w:rFonts w:ascii="Segoe UI" w:hAnsi="Segoe UI" w:cs="Segoe UI"/>
        </w:rPr>
      </w:pPr>
    </w:p>
    <w:p w14:paraId="5BB75870" w14:textId="18F69B06" w:rsidR="00D90129" w:rsidRPr="00D90129" w:rsidRDefault="00D90129" w:rsidP="0073522A">
      <w:pPr>
        <w:jc w:val="both"/>
        <w:rPr>
          <w:rFonts w:ascii="Arial" w:hAnsi="Arial" w:cs="Arial"/>
        </w:rPr>
      </w:pPr>
      <w:r>
        <w:rPr>
          <w:rFonts w:ascii="Arial" w:hAnsi="Arial" w:cs="Arial"/>
        </w:rPr>
        <w:t>The Board of Directors are asked to note the contents of this report and provide further feedback on its development.</w:t>
      </w:r>
    </w:p>
    <w:p w14:paraId="4F5E32FA" w14:textId="77777777" w:rsidR="005D3499" w:rsidRPr="00FA3993" w:rsidRDefault="005D3499">
      <w:pPr>
        <w:jc w:val="both"/>
        <w:rPr>
          <w:rFonts w:ascii="Segoe UI" w:hAnsi="Segoe UI" w:cs="Segoe UI"/>
          <w:b/>
        </w:rPr>
      </w:pPr>
    </w:p>
    <w:p w14:paraId="0731830B" w14:textId="77777777" w:rsidR="00617CF6"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D90129">
        <w:rPr>
          <w:rFonts w:ascii="Segoe UI" w:hAnsi="Segoe UI" w:cs="Segoe UI"/>
          <w:b/>
        </w:rPr>
        <w:t>Martyn Ward</w:t>
      </w:r>
      <w:r w:rsidR="00D90129">
        <w:rPr>
          <w:rFonts w:ascii="Segoe UI" w:hAnsi="Segoe UI" w:cs="Segoe UI"/>
        </w:rPr>
        <w:t xml:space="preserve">.  </w:t>
      </w:r>
    </w:p>
    <w:p w14:paraId="6BD6928F" w14:textId="117CEE74" w:rsidR="003F7366" w:rsidRDefault="00617CF6" w:rsidP="0073522A">
      <w:pPr>
        <w:ind w:left="1440" w:hanging="1440"/>
        <w:jc w:val="both"/>
        <w:rPr>
          <w:rFonts w:ascii="Segoe UI" w:hAnsi="Segoe UI" w:cs="Segoe UI"/>
          <w:b/>
          <w:bCs/>
        </w:rPr>
      </w:pPr>
      <w:r>
        <w:rPr>
          <w:rFonts w:ascii="Segoe UI" w:hAnsi="Segoe UI" w:cs="Segoe UI"/>
          <w:b/>
          <w:bCs/>
        </w:rPr>
        <w:t>Executive Director – Digital &amp; Transformation</w:t>
      </w:r>
    </w:p>
    <w:p w14:paraId="00D48720" w14:textId="77777777" w:rsidR="00617CF6" w:rsidRPr="00D90129" w:rsidRDefault="00617CF6" w:rsidP="0073522A">
      <w:pPr>
        <w:ind w:left="1440" w:hanging="1440"/>
        <w:jc w:val="both"/>
        <w:rPr>
          <w:rFonts w:ascii="Segoe UI" w:hAnsi="Segoe UI" w:cs="Segoe UI"/>
          <w:b/>
          <w:bCs/>
        </w:rPr>
      </w:pPr>
    </w:p>
    <w:p w14:paraId="65D6ACD6" w14:textId="77777777" w:rsidR="00617CF6"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D90129">
        <w:rPr>
          <w:rFonts w:ascii="Segoe UI" w:hAnsi="Segoe UI" w:cs="Segoe UI"/>
          <w:b/>
        </w:rPr>
        <w:t xml:space="preserve">Martyn Ward.  </w:t>
      </w:r>
    </w:p>
    <w:p w14:paraId="21C16DD0" w14:textId="02071C55" w:rsidR="00FA3993" w:rsidRPr="002250DE" w:rsidRDefault="00617CF6" w:rsidP="00FA3993">
      <w:pPr>
        <w:jc w:val="both"/>
        <w:rPr>
          <w:rFonts w:ascii="Segoe UI" w:hAnsi="Segoe UI" w:cs="Segoe UI"/>
          <w:b/>
        </w:rPr>
      </w:pPr>
      <w:r>
        <w:rPr>
          <w:rFonts w:ascii="Segoe UI" w:hAnsi="Segoe UI" w:cs="Segoe UI"/>
          <w:b/>
        </w:rPr>
        <w:t>Executive Director – Digital &amp; Transformation</w:t>
      </w:r>
      <w:r w:rsidR="007B02FB">
        <w:rPr>
          <w:rFonts w:ascii="Segoe UI" w:hAnsi="Segoe UI" w:cs="Segoe UI"/>
          <w:b/>
        </w:rPr>
        <w:t xml:space="preserve"> </w:t>
      </w:r>
    </w:p>
    <w:p w14:paraId="149E93C4" w14:textId="77777777" w:rsidR="00FA3993" w:rsidRPr="0072070D" w:rsidRDefault="00FA3993" w:rsidP="00FA3993">
      <w:pPr>
        <w:jc w:val="both"/>
        <w:rPr>
          <w:rFonts w:ascii="Segoe UI" w:hAnsi="Segoe UI" w:cs="Segoe UI"/>
        </w:rPr>
      </w:pPr>
    </w:p>
    <w:p w14:paraId="6233BFAB" w14:textId="77777777" w:rsidR="00030247" w:rsidRPr="00F945DB" w:rsidRDefault="00030247" w:rsidP="0073522A">
      <w:pPr>
        <w:jc w:val="both"/>
        <w:rPr>
          <w:rFonts w:ascii="Segoe UI" w:hAnsi="Segoe UI" w:cs="Segoe UI"/>
        </w:rPr>
      </w:pPr>
    </w:p>
    <w:sectPr w:rsidR="00030247" w:rsidRPr="00F945DB" w:rsidSect="001B1DC7">
      <w:footerReference w:type="default" r:id="rId12"/>
      <w:headerReference w:type="first" r:id="rId13"/>
      <w:pgSz w:w="12240" w:h="15840" w:code="1"/>
      <w:pgMar w:top="1440" w:right="1183"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A446F" w14:textId="77777777" w:rsidR="007078B1" w:rsidRDefault="007078B1" w:rsidP="005B3E3C">
      <w:r>
        <w:separator/>
      </w:r>
    </w:p>
  </w:endnote>
  <w:endnote w:type="continuationSeparator" w:id="0">
    <w:p w14:paraId="7FBFDCA6" w14:textId="77777777" w:rsidR="007078B1" w:rsidRDefault="007078B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62DE" w14:textId="77777777" w:rsidR="007078B1" w:rsidRDefault="007078B1" w:rsidP="005B3E3C">
      <w:r>
        <w:separator/>
      </w:r>
    </w:p>
  </w:footnote>
  <w:footnote w:type="continuationSeparator" w:id="0">
    <w:p w14:paraId="5E5955C0" w14:textId="77777777" w:rsidR="007078B1" w:rsidRDefault="007078B1"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52AE5C55" w:rsidR="00262F0F" w:rsidRDefault="00262F0F" w:rsidP="00D901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04A6"/>
    <w:multiLevelType w:val="hybridMultilevel"/>
    <w:tmpl w:val="022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074752B"/>
    <w:multiLevelType w:val="hybridMultilevel"/>
    <w:tmpl w:val="17BA94FE"/>
    <w:lvl w:ilvl="0" w:tplc="8DC2DC9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5ECF7E66"/>
    <w:multiLevelType w:val="hybridMultilevel"/>
    <w:tmpl w:val="BBB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424F87"/>
    <w:multiLevelType w:val="hybridMultilevel"/>
    <w:tmpl w:val="83B6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6"/>
  </w:num>
  <w:num w:numId="6">
    <w:abstractNumId w:val="2"/>
  </w:num>
  <w:num w:numId="7">
    <w:abstractNumId w:val="8"/>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608F"/>
    <w:rsid w:val="0002698F"/>
    <w:rsid w:val="00030247"/>
    <w:rsid w:val="00030459"/>
    <w:rsid w:val="00043376"/>
    <w:rsid w:val="00047FC8"/>
    <w:rsid w:val="00056A4A"/>
    <w:rsid w:val="00065E46"/>
    <w:rsid w:val="00071842"/>
    <w:rsid w:val="000A3A29"/>
    <w:rsid w:val="000A583B"/>
    <w:rsid w:val="000A5A07"/>
    <w:rsid w:val="000B1914"/>
    <w:rsid w:val="000B420F"/>
    <w:rsid w:val="000C21A7"/>
    <w:rsid w:val="000E317C"/>
    <w:rsid w:val="000F2BDA"/>
    <w:rsid w:val="000F3138"/>
    <w:rsid w:val="00101A8F"/>
    <w:rsid w:val="001058A7"/>
    <w:rsid w:val="00114ECB"/>
    <w:rsid w:val="0012401B"/>
    <w:rsid w:val="00132D04"/>
    <w:rsid w:val="00145747"/>
    <w:rsid w:val="0014655C"/>
    <w:rsid w:val="0015530E"/>
    <w:rsid w:val="001846A7"/>
    <w:rsid w:val="001933A1"/>
    <w:rsid w:val="001A47DC"/>
    <w:rsid w:val="001B1DC7"/>
    <w:rsid w:val="001B5873"/>
    <w:rsid w:val="001B7E3D"/>
    <w:rsid w:val="001C0E43"/>
    <w:rsid w:val="001C7019"/>
    <w:rsid w:val="001D276C"/>
    <w:rsid w:val="001E6AF7"/>
    <w:rsid w:val="001F6319"/>
    <w:rsid w:val="001F76ED"/>
    <w:rsid w:val="002071A3"/>
    <w:rsid w:val="002151F3"/>
    <w:rsid w:val="002211EA"/>
    <w:rsid w:val="002250DE"/>
    <w:rsid w:val="00227F8D"/>
    <w:rsid w:val="00227FCE"/>
    <w:rsid w:val="00241A66"/>
    <w:rsid w:val="002619E0"/>
    <w:rsid w:val="002619EF"/>
    <w:rsid w:val="00262F0F"/>
    <w:rsid w:val="00267A66"/>
    <w:rsid w:val="00274347"/>
    <w:rsid w:val="002821F8"/>
    <w:rsid w:val="00292613"/>
    <w:rsid w:val="002A3234"/>
    <w:rsid w:val="002A4AF2"/>
    <w:rsid w:val="002A59FB"/>
    <w:rsid w:val="002A73E8"/>
    <w:rsid w:val="002B017D"/>
    <w:rsid w:val="002B15C1"/>
    <w:rsid w:val="002B3FE9"/>
    <w:rsid w:val="002B7785"/>
    <w:rsid w:val="002C2F97"/>
    <w:rsid w:val="002C46B1"/>
    <w:rsid w:val="002D3D1D"/>
    <w:rsid w:val="002E6FC6"/>
    <w:rsid w:val="002F0D9E"/>
    <w:rsid w:val="002F68D2"/>
    <w:rsid w:val="00306AF0"/>
    <w:rsid w:val="00316193"/>
    <w:rsid w:val="00362859"/>
    <w:rsid w:val="00376913"/>
    <w:rsid w:val="0037699B"/>
    <w:rsid w:val="00381502"/>
    <w:rsid w:val="003927AC"/>
    <w:rsid w:val="003971F6"/>
    <w:rsid w:val="003C7368"/>
    <w:rsid w:val="003E0F7E"/>
    <w:rsid w:val="003F2AF4"/>
    <w:rsid w:val="003F7366"/>
    <w:rsid w:val="003F7D89"/>
    <w:rsid w:val="00401339"/>
    <w:rsid w:val="00401D4E"/>
    <w:rsid w:val="00402549"/>
    <w:rsid w:val="00402953"/>
    <w:rsid w:val="004066F1"/>
    <w:rsid w:val="00423419"/>
    <w:rsid w:val="00426D3F"/>
    <w:rsid w:val="004326BB"/>
    <w:rsid w:val="004471AA"/>
    <w:rsid w:val="00456DDE"/>
    <w:rsid w:val="004614A3"/>
    <w:rsid w:val="00462C87"/>
    <w:rsid w:val="004742D0"/>
    <w:rsid w:val="0049399C"/>
    <w:rsid w:val="004A2819"/>
    <w:rsid w:val="004A30AB"/>
    <w:rsid w:val="004A3BFB"/>
    <w:rsid w:val="004B1397"/>
    <w:rsid w:val="004B2244"/>
    <w:rsid w:val="004B7358"/>
    <w:rsid w:val="004D0692"/>
    <w:rsid w:val="004E5389"/>
    <w:rsid w:val="004F4BBA"/>
    <w:rsid w:val="00500453"/>
    <w:rsid w:val="005233AA"/>
    <w:rsid w:val="00523450"/>
    <w:rsid w:val="00524EA4"/>
    <w:rsid w:val="00551AD9"/>
    <w:rsid w:val="00551B0F"/>
    <w:rsid w:val="0055447C"/>
    <w:rsid w:val="005659FB"/>
    <w:rsid w:val="005824E7"/>
    <w:rsid w:val="005A23E0"/>
    <w:rsid w:val="005A658B"/>
    <w:rsid w:val="005B397A"/>
    <w:rsid w:val="005B3E3C"/>
    <w:rsid w:val="005B7063"/>
    <w:rsid w:val="005C3FC1"/>
    <w:rsid w:val="005C40E1"/>
    <w:rsid w:val="005C6E0B"/>
    <w:rsid w:val="005D3499"/>
    <w:rsid w:val="005E2583"/>
    <w:rsid w:val="006032E4"/>
    <w:rsid w:val="006109A5"/>
    <w:rsid w:val="0061684E"/>
    <w:rsid w:val="00617CF6"/>
    <w:rsid w:val="0062212A"/>
    <w:rsid w:val="00632969"/>
    <w:rsid w:val="0063336D"/>
    <w:rsid w:val="0063463D"/>
    <w:rsid w:val="00651840"/>
    <w:rsid w:val="00662900"/>
    <w:rsid w:val="00683031"/>
    <w:rsid w:val="00695B6F"/>
    <w:rsid w:val="006A7572"/>
    <w:rsid w:val="006B02A9"/>
    <w:rsid w:val="006B14EF"/>
    <w:rsid w:val="006C3147"/>
    <w:rsid w:val="006C5513"/>
    <w:rsid w:val="006D1A34"/>
    <w:rsid w:val="006D43B2"/>
    <w:rsid w:val="006D4BDD"/>
    <w:rsid w:val="006E3C3E"/>
    <w:rsid w:val="006E4859"/>
    <w:rsid w:val="006F269A"/>
    <w:rsid w:val="006F2F62"/>
    <w:rsid w:val="006F6C4E"/>
    <w:rsid w:val="00700753"/>
    <w:rsid w:val="00707457"/>
    <w:rsid w:val="007078B1"/>
    <w:rsid w:val="007222E6"/>
    <w:rsid w:val="0073096A"/>
    <w:rsid w:val="00732F63"/>
    <w:rsid w:val="0073522A"/>
    <w:rsid w:val="00745B27"/>
    <w:rsid w:val="0075130B"/>
    <w:rsid w:val="007535CA"/>
    <w:rsid w:val="00757E07"/>
    <w:rsid w:val="007661B1"/>
    <w:rsid w:val="007674AA"/>
    <w:rsid w:val="007769CD"/>
    <w:rsid w:val="0078032B"/>
    <w:rsid w:val="00781566"/>
    <w:rsid w:val="00783CDB"/>
    <w:rsid w:val="007976E7"/>
    <w:rsid w:val="007A2CF0"/>
    <w:rsid w:val="007B02FB"/>
    <w:rsid w:val="007B2D01"/>
    <w:rsid w:val="007B6D77"/>
    <w:rsid w:val="007C070F"/>
    <w:rsid w:val="007E76A0"/>
    <w:rsid w:val="007F3F4E"/>
    <w:rsid w:val="007F4142"/>
    <w:rsid w:val="00802701"/>
    <w:rsid w:val="008038A2"/>
    <w:rsid w:val="00811FE8"/>
    <w:rsid w:val="008446D2"/>
    <w:rsid w:val="0084720C"/>
    <w:rsid w:val="008542D9"/>
    <w:rsid w:val="0086436B"/>
    <w:rsid w:val="00876856"/>
    <w:rsid w:val="0088096A"/>
    <w:rsid w:val="008865A9"/>
    <w:rsid w:val="00894B97"/>
    <w:rsid w:val="00896E0E"/>
    <w:rsid w:val="008A2275"/>
    <w:rsid w:val="008B3C4E"/>
    <w:rsid w:val="008C389C"/>
    <w:rsid w:val="008D0769"/>
    <w:rsid w:val="00914771"/>
    <w:rsid w:val="00920123"/>
    <w:rsid w:val="00943BBB"/>
    <w:rsid w:val="00946E6E"/>
    <w:rsid w:val="00952D52"/>
    <w:rsid w:val="009668C6"/>
    <w:rsid w:val="0097530A"/>
    <w:rsid w:val="009869DE"/>
    <w:rsid w:val="009902EA"/>
    <w:rsid w:val="009A3886"/>
    <w:rsid w:val="009E7FA6"/>
    <w:rsid w:val="009F40B3"/>
    <w:rsid w:val="009F7567"/>
    <w:rsid w:val="00A016A0"/>
    <w:rsid w:val="00A12789"/>
    <w:rsid w:val="00A15A88"/>
    <w:rsid w:val="00A1673D"/>
    <w:rsid w:val="00A16A9C"/>
    <w:rsid w:val="00A2080F"/>
    <w:rsid w:val="00A477AC"/>
    <w:rsid w:val="00A50A18"/>
    <w:rsid w:val="00A6484E"/>
    <w:rsid w:val="00A663C9"/>
    <w:rsid w:val="00A674FB"/>
    <w:rsid w:val="00A85311"/>
    <w:rsid w:val="00A86977"/>
    <w:rsid w:val="00A94804"/>
    <w:rsid w:val="00AA0C3F"/>
    <w:rsid w:val="00AA0D4E"/>
    <w:rsid w:val="00AA1C2C"/>
    <w:rsid w:val="00AC041B"/>
    <w:rsid w:val="00AC3814"/>
    <w:rsid w:val="00AD5BB1"/>
    <w:rsid w:val="00AE7742"/>
    <w:rsid w:val="00AF0562"/>
    <w:rsid w:val="00B10FB2"/>
    <w:rsid w:val="00B177B5"/>
    <w:rsid w:val="00B26E1A"/>
    <w:rsid w:val="00B26F2C"/>
    <w:rsid w:val="00B50D5E"/>
    <w:rsid w:val="00B64288"/>
    <w:rsid w:val="00B65EDD"/>
    <w:rsid w:val="00B812F8"/>
    <w:rsid w:val="00B8632D"/>
    <w:rsid w:val="00BA19E7"/>
    <w:rsid w:val="00BA3B3E"/>
    <w:rsid w:val="00BB510B"/>
    <w:rsid w:val="00BC152C"/>
    <w:rsid w:val="00BC297D"/>
    <w:rsid w:val="00BF3538"/>
    <w:rsid w:val="00BF4F0C"/>
    <w:rsid w:val="00BF5367"/>
    <w:rsid w:val="00C06C36"/>
    <w:rsid w:val="00C07817"/>
    <w:rsid w:val="00C11AA2"/>
    <w:rsid w:val="00C14E60"/>
    <w:rsid w:val="00C202D2"/>
    <w:rsid w:val="00C44FE7"/>
    <w:rsid w:val="00C51626"/>
    <w:rsid w:val="00C52439"/>
    <w:rsid w:val="00C62590"/>
    <w:rsid w:val="00C628E2"/>
    <w:rsid w:val="00C62DBE"/>
    <w:rsid w:val="00C63B54"/>
    <w:rsid w:val="00C660D9"/>
    <w:rsid w:val="00C67635"/>
    <w:rsid w:val="00C71005"/>
    <w:rsid w:val="00C81390"/>
    <w:rsid w:val="00C814CC"/>
    <w:rsid w:val="00C84B11"/>
    <w:rsid w:val="00D029E8"/>
    <w:rsid w:val="00D07064"/>
    <w:rsid w:val="00D101CB"/>
    <w:rsid w:val="00D26F70"/>
    <w:rsid w:val="00D279FC"/>
    <w:rsid w:val="00D469F7"/>
    <w:rsid w:val="00D47A39"/>
    <w:rsid w:val="00D557DE"/>
    <w:rsid w:val="00D55ADD"/>
    <w:rsid w:val="00D60B47"/>
    <w:rsid w:val="00D628E5"/>
    <w:rsid w:val="00D83532"/>
    <w:rsid w:val="00D8544F"/>
    <w:rsid w:val="00D870AD"/>
    <w:rsid w:val="00D90129"/>
    <w:rsid w:val="00D961A2"/>
    <w:rsid w:val="00DA0FA6"/>
    <w:rsid w:val="00DA6606"/>
    <w:rsid w:val="00DB024E"/>
    <w:rsid w:val="00DB0979"/>
    <w:rsid w:val="00DB161E"/>
    <w:rsid w:val="00DD1B6A"/>
    <w:rsid w:val="00DD33DF"/>
    <w:rsid w:val="00DE1293"/>
    <w:rsid w:val="00DE4919"/>
    <w:rsid w:val="00DF10CC"/>
    <w:rsid w:val="00E07C15"/>
    <w:rsid w:val="00E147F8"/>
    <w:rsid w:val="00E172B0"/>
    <w:rsid w:val="00E32C3E"/>
    <w:rsid w:val="00E43917"/>
    <w:rsid w:val="00E779D5"/>
    <w:rsid w:val="00E827C5"/>
    <w:rsid w:val="00EA2D81"/>
    <w:rsid w:val="00EB5C3A"/>
    <w:rsid w:val="00EE261A"/>
    <w:rsid w:val="00EF171A"/>
    <w:rsid w:val="00EF307A"/>
    <w:rsid w:val="00F22116"/>
    <w:rsid w:val="00F24EB2"/>
    <w:rsid w:val="00F50A07"/>
    <w:rsid w:val="00F57119"/>
    <w:rsid w:val="00F728E5"/>
    <w:rsid w:val="00F77C13"/>
    <w:rsid w:val="00F840EB"/>
    <w:rsid w:val="00F93420"/>
    <w:rsid w:val="00F945DB"/>
    <w:rsid w:val="00FA3993"/>
    <w:rsid w:val="00FA5118"/>
    <w:rsid w:val="00FA708D"/>
    <w:rsid w:val="00FB35C1"/>
    <w:rsid w:val="00FC13A1"/>
    <w:rsid w:val="00FD2279"/>
    <w:rsid w:val="00FE113A"/>
    <w:rsid w:val="00FE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4" ma:contentTypeDescription="Create a new document." ma:contentTypeScope="" ma:versionID="1235abcc8f03abebd51c75cfbcdbb627">
  <xsd:schema xmlns:xsd="http://www.w3.org/2001/XMLSchema" xmlns:xs="http://www.w3.org/2001/XMLSchema" xmlns:p="http://schemas.microsoft.com/office/2006/metadata/properties" xmlns:ns2="250169f9-d2da-4118-b53a-263316cd62ce" targetNamespace="http://schemas.microsoft.com/office/2006/metadata/properties" ma:root="true" ma:fieldsID="a911cc9c4047fa7d51f23cad0855bf73" ns2:_="">
    <xsd:import namespace="250169f9-d2da-4118-b53a-263316cd6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C816E-E237-4362-9086-B17B7FA5D01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50169f9-d2da-4118-b53a-263316cd62ce"/>
    <ds:schemaRef ds:uri="http://www.w3.org/XML/1998/namespace"/>
    <ds:schemaRef ds:uri="http://purl.org/dc/terms/"/>
  </ds:schemaRefs>
</ds:datastoreItem>
</file>

<file path=customXml/itemProps2.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3.xml><?xml version="1.0" encoding="utf-8"?>
<ds:datastoreItem xmlns:ds="http://schemas.openxmlformats.org/officeDocument/2006/customXml" ds:itemID="{01141C0F-2C52-4F16-A739-2B525202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5AF1B-0CD2-4D9F-AA5E-234117C2E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823</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2021-11-23T15:00:00Z</dcterms:created>
  <dcterms:modified xsi:type="dcterms:W3CDTF">2021-11-24T21:49:00Z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