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54684182"/>
    <w:p w14:paraId="29DCA84D" w14:textId="5433AEA8" w:rsidR="008C22B1" w:rsidRPr="00C569AF" w:rsidRDefault="00AA328B" w:rsidP="008C22B1">
      <w:pPr>
        <w:pStyle w:val="Heading1"/>
        <w:numPr>
          <w:ilvl w:val="0"/>
          <w:numId w:val="0"/>
        </w:numPr>
        <w:pBdr>
          <w:bottom w:val="single" w:sz="4" w:space="1" w:color="4F81BD" w:themeColor="accent1"/>
        </w:pBdr>
        <w:ind w:left="-720"/>
        <w:rPr>
          <w:rStyle w:val="TitleChar"/>
          <w:rFonts w:asciiTheme="minorHAnsi" w:hAnsiTheme="minorHAnsi" w:cstheme="minorHAnsi"/>
          <w:color w:val="auto"/>
          <w:sz w:val="22"/>
          <w:szCs w:val="22"/>
        </w:rPr>
      </w:pPr>
      <w:sdt>
        <w:sdtPr>
          <w:rPr>
            <w:rStyle w:val="TitleChar"/>
            <w:rFonts w:asciiTheme="minorHAnsi" w:hAnsiTheme="minorHAnsi" w:cstheme="minorHAnsi"/>
            <w:color w:val="auto"/>
            <w:sz w:val="22"/>
            <w:szCs w:val="22"/>
          </w:rPr>
          <w:alias w:val="Title"/>
          <w:tag w:val=""/>
          <w:id w:val="1596512273"/>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6535C5" w:rsidRPr="00C569AF">
            <w:rPr>
              <w:rStyle w:val="TitleChar"/>
              <w:rFonts w:asciiTheme="minorHAnsi" w:hAnsiTheme="minorHAnsi" w:cstheme="minorHAnsi"/>
              <w:color w:val="auto"/>
              <w:sz w:val="22"/>
              <w:szCs w:val="22"/>
            </w:rPr>
            <w:t>EPRR – Annual report</w:t>
          </w:r>
        </w:sdtContent>
      </w:sdt>
      <w:bookmarkEnd w:id="0"/>
    </w:p>
    <w:p w14:paraId="11314AFF" w14:textId="0E1D94AE" w:rsidR="00222D3B" w:rsidRPr="00D840C2" w:rsidRDefault="00D21492" w:rsidP="002840C6">
      <w:pPr>
        <w:pStyle w:val="Heading2"/>
        <w:ind w:left="357" w:hanging="357"/>
        <w:rPr>
          <w:rFonts w:asciiTheme="minorHAnsi" w:hAnsiTheme="minorHAnsi" w:cstheme="minorHAnsi"/>
          <w:color w:val="auto"/>
          <w:sz w:val="22"/>
          <w:szCs w:val="22"/>
        </w:rPr>
      </w:pPr>
      <w:r w:rsidRPr="00D840C2">
        <w:rPr>
          <w:rFonts w:asciiTheme="minorHAnsi" w:hAnsiTheme="minorHAnsi" w:cstheme="minorHAnsi"/>
          <w:color w:val="auto"/>
          <w:sz w:val="22"/>
          <w:szCs w:val="22"/>
        </w:rPr>
        <w:t>Introduction</w:t>
      </w:r>
    </w:p>
    <w:p w14:paraId="3347EE31" w14:textId="68E49D25" w:rsidR="0093024E" w:rsidRPr="00D840C2" w:rsidRDefault="0093024E" w:rsidP="0093024E">
      <w:pPr>
        <w:pStyle w:val="NumberedNormal"/>
        <w:ind w:left="788" w:hanging="431"/>
        <w:rPr>
          <w:rFonts w:asciiTheme="minorHAnsi" w:hAnsiTheme="minorHAnsi" w:cstheme="minorHAnsi"/>
          <w:sz w:val="22"/>
        </w:rPr>
      </w:pPr>
      <w:r w:rsidRPr="00D840C2">
        <w:rPr>
          <w:rFonts w:asciiTheme="minorHAnsi" w:hAnsiTheme="minorHAnsi" w:cstheme="minorHAnsi"/>
          <w:sz w:val="22"/>
        </w:rPr>
        <w:t xml:space="preserve">This </w:t>
      </w:r>
      <w:r w:rsidR="006D32B7" w:rsidRPr="00D840C2">
        <w:rPr>
          <w:rFonts w:asciiTheme="minorHAnsi" w:hAnsiTheme="minorHAnsi" w:cstheme="minorHAnsi"/>
          <w:sz w:val="22"/>
        </w:rPr>
        <w:t xml:space="preserve">report describes the emergency planning and business continuity activities of Oxford Health NHS Foundation Trust </w:t>
      </w:r>
      <w:r w:rsidR="007B5D4C" w:rsidRPr="00D840C2">
        <w:rPr>
          <w:rFonts w:asciiTheme="minorHAnsi" w:hAnsiTheme="minorHAnsi" w:cstheme="minorHAnsi"/>
          <w:sz w:val="22"/>
        </w:rPr>
        <w:t>during</w:t>
      </w:r>
      <w:r w:rsidR="006D32B7" w:rsidRPr="00D840C2">
        <w:rPr>
          <w:rFonts w:asciiTheme="minorHAnsi" w:hAnsiTheme="minorHAnsi" w:cstheme="minorHAnsi"/>
          <w:sz w:val="22"/>
        </w:rPr>
        <w:t xml:space="preserve"> 01 November 20</w:t>
      </w:r>
      <w:r w:rsidR="00D840C2" w:rsidRPr="00D840C2">
        <w:rPr>
          <w:rFonts w:asciiTheme="minorHAnsi" w:hAnsiTheme="minorHAnsi" w:cstheme="minorHAnsi"/>
          <w:sz w:val="22"/>
        </w:rPr>
        <w:t>20</w:t>
      </w:r>
      <w:r w:rsidR="006D32B7" w:rsidRPr="00D840C2">
        <w:rPr>
          <w:rFonts w:asciiTheme="minorHAnsi" w:hAnsiTheme="minorHAnsi" w:cstheme="minorHAnsi"/>
          <w:sz w:val="22"/>
        </w:rPr>
        <w:t xml:space="preserve"> </w:t>
      </w:r>
      <w:r w:rsidR="007B5D4C" w:rsidRPr="00D840C2">
        <w:rPr>
          <w:rFonts w:asciiTheme="minorHAnsi" w:hAnsiTheme="minorHAnsi" w:cstheme="minorHAnsi"/>
          <w:sz w:val="22"/>
        </w:rPr>
        <w:t>-</w:t>
      </w:r>
      <w:r w:rsidR="006D32B7" w:rsidRPr="00D840C2">
        <w:rPr>
          <w:rFonts w:asciiTheme="minorHAnsi" w:hAnsiTheme="minorHAnsi" w:cstheme="minorHAnsi"/>
          <w:sz w:val="22"/>
        </w:rPr>
        <w:t xml:space="preserve"> 3</w:t>
      </w:r>
      <w:r w:rsidR="001545ED" w:rsidRPr="00D840C2">
        <w:rPr>
          <w:rFonts w:asciiTheme="minorHAnsi" w:hAnsiTheme="minorHAnsi" w:cstheme="minorHAnsi"/>
          <w:sz w:val="22"/>
        </w:rPr>
        <w:t>1</w:t>
      </w:r>
      <w:r w:rsidR="006D32B7" w:rsidRPr="00D840C2">
        <w:rPr>
          <w:rFonts w:asciiTheme="minorHAnsi" w:hAnsiTheme="minorHAnsi" w:cstheme="minorHAnsi"/>
          <w:sz w:val="22"/>
        </w:rPr>
        <w:t xml:space="preserve"> October 202</w:t>
      </w:r>
      <w:r w:rsidR="00D840C2" w:rsidRPr="00D840C2">
        <w:rPr>
          <w:rFonts w:asciiTheme="minorHAnsi" w:hAnsiTheme="minorHAnsi" w:cstheme="minorHAnsi"/>
          <w:sz w:val="22"/>
        </w:rPr>
        <w:t>1</w:t>
      </w:r>
      <w:r w:rsidR="006D32B7" w:rsidRPr="00D840C2">
        <w:rPr>
          <w:rFonts w:asciiTheme="minorHAnsi" w:hAnsiTheme="minorHAnsi" w:cstheme="minorHAnsi"/>
          <w:sz w:val="22"/>
        </w:rPr>
        <w:t xml:space="preserve"> </w:t>
      </w:r>
      <w:r w:rsidR="007B5D4C" w:rsidRPr="00D840C2">
        <w:rPr>
          <w:rFonts w:asciiTheme="minorHAnsi" w:hAnsiTheme="minorHAnsi" w:cstheme="minorHAnsi"/>
          <w:sz w:val="22"/>
        </w:rPr>
        <w:t xml:space="preserve">to </w:t>
      </w:r>
      <w:r w:rsidR="006D32B7" w:rsidRPr="00D840C2">
        <w:rPr>
          <w:rFonts w:asciiTheme="minorHAnsi" w:hAnsiTheme="minorHAnsi" w:cstheme="minorHAnsi"/>
          <w:sz w:val="22"/>
        </w:rPr>
        <w:t>meet the requirements of the Civil Contingencies Act 2004 and the NHS England emergency preparedness framework 2015</w:t>
      </w:r>
      <w:r w:rsidR="00B8127E" w:rsidRPr="00D840C2">
        <w:rPr>
          <w:rFonts w:asciiTheme="minorHAnsi" w:hAnsiTheme="minorHAnsi" w:cstheme="minorHAnsi"/>
          <w:sz w:val="22"/>
        </w:rPr>
        <w:t>.</w:t>
      </w:r>
    </w:p>
    <w:p w14:paraId="6EA93EF0" w14:textId="65FE08BB" w:rsidR="001545ED" w:rsidRPr="00D840C2" w:rsidRDefault="001545ED" w:rsidP="002840C6">
      <w:pPr>
        <w:pStyle w:val="NumberedNormal"/>
        <w:ind w:left="788" w:hanging="431"/>
        <w:rPr>
          <w:rFonts w:asciiTheme="minorHAnsi" w:hAnsiTheme="minorHAnsi" w:cstheme="minorHAnsi"/>
          <w:sz w:val="22"/>
        </w:rPr>
      </w:pPr>
      <w:r w:rsidRPr="00D840C2">
        <w:rPr>
          <w:rFonts w:asciiTheme="minorHAnsi" w:hAnsiTheme="minorHAnsi" w:cstheme="minorHAnsi"/>
          <w:sz w:val="22"/>
        </w:rPr>
        <w:t xml:space="preserve">The </w:t>
      </w:r>
      <w:r w:rsidR="00B70818">
        <w:rPr>
          <w:rFonts w:asciiTheme="minorHAnsi" w:hAnsiTheme="minorHAnsi" w:cstheme="minorHAnsi"/>
          <w:sz w:val="22"/>
        </w:rPr>
        <w:t>D</w:t>
      </w:r>
      <w:r w:rsidRPr="00D840C2">
        <w:rPr>
          <w:rFonts w:asciiTheme="minorHAnsi" w:hAnsiTheme="minorHAnsi" w:cstheme="minorHAnsi"/>
          <w:sz w:val="22"/>
        </w:rPr>
        <w:t xml:space="preserve">irector of </w:t>
      </w:r>
      <w:r w:rsidR="00B70818">
        <w:rPr>
          <w:rFonts w:asciiTheme="minorHAnsi" w:hAnsiTheme="minorHAnsi" w:cstheme="minorHAnsi"/>
          <w:sz w:val="22"/>
        </w:rPr>
        <w:t>C</w:t>
      </w:r>
      <w:r w:rsidRPr="00D840C2">
        <w:rPr>
          <w:rFonts w:asciiTheme="minorHAnsi" w:hAnsiTheme="minorHAnsi" w:cstheme="minorHAnsi"/>
          <w:sz w:val="22"/>
        </w:rPr>
        <w:t xml:space="preserve">orporate </w:t>
      </w:r>
      <w:r w:rsidR="00B70818">
        <w:rPr>
          <w:rFonts w:asciiTheme="minorHAnsi" w:hAnsiTheme="minorHAnsi" w:cstheme="minorHAnsi"/>
          <w:sz w:val="22"/>
        </w:rPr>
        <w:t>A</w:t>
      </w:r>
      <w:r w:rsidRPr="00D840C2">
        <w:rPr>
          <w:rFonts w:asciiTheme="minorHAnsi" w:hAnsiTheme="minorHAnsi" w:cstheme="minorHAnsi"/>
          <w:sz w:val="22"/>
        </w:rPr>
        <w:t xml:space="preserve">ffairs, Kerry Rogers is the accountable emergency officer and holds executive responsibility for emergency preparedness on behalf of the organisation.  The </w:t>
      </w:r>
      <w:r w:rsidR="00B70818">
        <w:rPr>
          <w:rFonts w:asciiTheme="minorHAnsi" w:hAnsiTheme="minorHAnsi" w:cstheme="minorHAnsi"/>
          <w:sz w:val="22"/>
        </w:rPr>
        <w:t>D</w:t>
      </w:r>
      <w:r w:rsidRPr="00D840C2">
        <w:rPr>
          <w:rFonts w:asciiTheme="minorHAnsi" w:hAnsiTheme="minorHAnsi" w:cstheme="minorHAnsi"/>
          <w:sz w:val="22"/>
        </w:rPr>
        <w:t xml:space="preserve">irector of </w:t>
      </w:r>
      <w:r w:rsidR="00B70818">
        <w:rPr>
          <w:rFonts w:asciiTheme="minorHAnsi" w:hAnsiTheme="minorHAnsi" w:cstheme="minorHAnsi"/>
          <w:sz w:val="22"/>
        </w:rPr>
        <w:t>C</w:t>
      </w:r>
      <w:r w:rsidRPr="00D840C2">
        <w:rPr>
          <w:rFonts w:asciiTheme="minorHAnsi" w:hAnsiTheme="minorHAnsi" w:cstheme="minorHAnsi"/>
          <w:sz w:val="22"/>
        </w:rPr>
        <w:t>orporate</w:t>
      </w:r>
      <w:r w:rsidR="00B70818">
        <w:rPr>
          <w:rFonts w:asciiTheme="minorHAnsi" w:hAnsiTheme="minorHAnsi" w:cstheme="minorHAnsi"/>
          <w:sz w:val="22"/>
        </w:rPr>
        <w:t xml:space="preserve"> A</w:t>
      </w:r>
      <w:r w:rsidRPr="00D840C2">
        <w:rPr>
          <w:rFonts w:asciiTheme="minorHAnsi" w:hAnsiTheme="minorHAnsi" w:cstheme="minorHAnsi"/>
          <w:sz w:val="22"/>
        </w:rPr>
        <w:t xml:space="preserve">ffairs is supported in this role by Pete McGrane, </w:t>
      </w:r>
      <w:r w:rsidR="00074935">
        <w:rPr>
          <w:rFonts w:asciiTheme="minorHAnsi" w:hAnsiTheme="minorHAnsi" w:cstheme="minorHAnsi"/>
          <w:sz w:val="22"/>
        </w:rPr>
        <w:t>C</w:t>
      </w:r>
      <w:r w:rsidRPr="00D840C2">
        <w:rPr>
          <w:rFonts w:asciiTheme="minorHAnsi" w:hAnsiTheme="minorHAnsi" w:cstheme="minorHAnsi"/>
          <w:sz w:val="22"/>
        </w:rPr>
        <w:t xml:space="preserve">linical </w:t>
      </w:r>
      <w:r w:rsidR="00074935">
        <w:rPr>
          <w:rFonts w:asciiTheme="minorHAnsi" w:hAnsiTheme="minorHAnsi" w:cstheme="minorHAnsi"/>
          <w:sz w:val="22"/>
        </w:rPr>
        <w:t>D</w:t>
      </w:r>
      <w:r w:rsidRPr="00D840C2">
        <w:rPr>
          <w:rFonts w:asciiTheme="minorHAnsi" w:hAnsiTheme="minorHAnsi" w:cstheme="minorHAnsi"/>
          <w:sz w:val="22"/>
        </w:rPr>
        <w:t xml:space="preserve">irector.  John Allison is the </w:t>
      </w:r>
      <w:r w:rsidR="00074935">
        <w:rPr>
          <w:rFonts w:asciiTheme="minorHAnsi" w:hAnsiTheme="minorHAnsi" w:cstheme="minorHAnsi"/>
          <w:sz w:val="22"/>
        </w:rPr>
        <w:t>N</w:t>
      </w:r>
      <w:r w:rsidRPr="00D840C2">
        <w:rPr>
          <w:rFonts w:asciiTheme="minorHAnsi" w:hAnsiTheme="minorHAnsi" w:cstheme="minorHAnsi"/>
          <w:sz w:val="22"/>
        </w:rPr>
        <w:t xml:space="preserve">on-executive </w:t>
      </w:r>
      <w:r w:rsidR="00074935">
        <w:rPr>
          <w:rFonts w:asciiTheme="minorHAnsi" w:hAnsiTheme="minorHAnsi" w:cstheme="minorHAnsi"/>
          <w:sz w:val="22"/>
        </w:rPr>
        <w:t>D</w:t>
      </w:r>
      <w:r w:rsidRPr="00D840C2">
        <w:rPr>
          <w:rFonts w:asciiTheme="minorHAnsi" w:hAnsiTheme="minorHAnsi" w:cstheme="minorHAnsi"/>
          <w:sz w:val="22"/>
        </w:rPr>
        <w:t xml:space="preserve">irector of the board nominated to support the accountable emergency officer.  Katie Cleaver is the designated </w:t>
      </w:r>
      <w:r w:rsidR="00074935">
        <w:rPr>
          <w:rFonts w:asciiTheme="minorHAnsi" w:hAnsiTheme="minorHAnsi" w:cstheme="minorHAnsi"/>
          <w:sz w:val="22"/>
        </w:rPr>
        <w:t>E</w:t>
      </w:r>
      <w:r w:rsidRPr="00D840C2">
        <w:rPr>
          <w:rFonts w:asciiTheme="minorHAnsi" w:hAnsiTheme="minorHAnsi" w:cstheme="minorHAnsi"/>
          <w:sz w:val="22"/>
        </w:rPr>
        <w:t xml:space="preserve">mergency </w:t>
      </w:r>
      <w:r w:rsidR="00074935">
        <w:rPr>
          <w:rFonts w:asciiTheme="minorHAnsi" w:hAnsiTheme="minorHAnsi" w:cstheme="minorHAnsi"/>
          <w:sz w:val="22"/>
        </w:rPr>
        <w:t>P</w:t>
      </w:r>
      <w:r w:rsidRPr="00D840C2">
        <w:rPr>
          <w:rFonts w:asciiTheme="minorHAnsi" w:hAnsiTheme="minorHAnsi" w:cstheme="minorHAnsi"/>
          <w:sz w:val="22"/>
        </w:rPr>
        <w:t xml:space="preserve">lanning </w:t>
      </w:r>
      <w:r w:rsidR="00074935">
        <w:rPr>
          <w:rFonts w:asciiTheme="minorHAnsi" w:hAnsiTheme="minorHAnsi" w:cstheme="minorHAnsi"/>
          <w:sz w:val="22"/>
        </w:rPr>
        <w:t>L</w:t>
      </w:r>
      <w:r w:rsidRPr="00D840C2">
        <w:rPr>
          <w:rFonts w:asciiTheme="minorHAnsi" w:hAnsiTheme="minorHAnsi" w:cstheme="minorHAnsi"/>
          <w:sz w:val="22"/>
        </w:rPr>
        <w:t>ead and responsible for supporting the executive in the discharge of their duties</w:t>
      </w:r>
      <w:r w:rsidR="00A129AD" w:rsidRPr="00D840C2">
        <w:rPr>
          <w:rFonts w:asciiTheme="minorHAnsi" w:hAnsiTheme="minorHAnsi" w:cstheme="minorHAnsi"/>
          <w:sz w:val="22"/>
        </w:rPr>
        <w:t xml:space="preserve">.  </w:t>
      </w:r>
      <w:r w:rsidRPr="00D840C2">
        <w:rPr>
          <w:rFonts w:asciiTheme="minorHAnsi" w:hAnsiTheme="minorHAnsi" w:cstheme="minorHAnsi"/>
          <w:sz w:val="22"/>
        </w:rPr>
        <w:t xml:space="preserve">The emergency preparedness work programme for the Trust is progressed through the emergency </w:t>
      </w:r>
      <w:r w:rsidR="006B5CFD">
        <w:rPr>
          <w:rFonts w:asciiTheme="minorHAnsi" w:hAnsiTheme="minorHAnsi" w:cstheme="minorHAnsi"/>
          <w:sz w:val="22"/>
        </w:rPr>
        <w:t xml:space="preserve">preparedness, </w:t>
      </w:r>
      <w:r w:rsidR="00121B98">
        <w:rPr>
          <w:rFonts w:asciiTheme="minorHAnsi" w:hAnsiTheme="minorHAnsi" w:cstheme="minorHAnsi"/>
          <w:sz w:val="22"/>
        </w:rPr>
        <w:t>resilience</w:t>
      </w:r>
      <w:r w:rsidR="006B5CFD">
        <w:rPr>
          <w:rFonts w:asciiTheme="minorHAnsi" w:hAnsiTheme="minorHAnsi" w:cstheme="minorHAnsi"/>
          <w:sz w:val="22"/>
        </w:rPr>
        <w:t xml:space="preserve"> and response (EPRR) committee</w:t>
      </w:r>
      <w:r w:rsidRPr="00D840C2">
        <w:rPr>
          <w:rFonts w:asciiTheme="minorHAnsi" w:hAnsiTheme="minorHAnsi" w:cstheme="minorHAnsi"/>
          <w:sz w:val="22"/>
        </w:rPr>
        <w:t xml:space="preserve"> chaired by the </w:t>
      </w:r>
      <w:r w:rsidR="0063374F">
        <w:rPr>
          <w:rFonts w:asciiTheme="minorHAnsi" w:hAnsiTheme="minorHAnsi" w:cstheme="minorHAnsi"/>
          <w:sz w:val="22"/>
        </w:rPr>
        <w:t>D</w:t>
      </w:r>
      <w:r w:rsidRPr="00D840C2">
        <w:rPr>
          <w:rFonts w:asciiTheme="minorHAnsi" w:hAnsiTheme="minorHAnsi" w:cstheme="minorHAnsi"/>
          <w:sz w:val="22"/>
        </w:rPr>
        <w:t xml:space="preserve">irector of </w:t>
      </w:r>
      <w:r w:rsidR="0063374F">
        <w:rPr>
          <w:rFonts w:asciiTheme="minorHAnsi" w:hAnsiTheme="minorHAnsi" w:cstheme="minorHAnsi"/>
          <w:sz w:val="22"/>
        </w:rPr>
        <w:t>C</w:t>
      </w:r>
      <w:r w:rsidRPr="00D840C2">
        <w:rPr>
          <w:rFonts w:asciiTheme="minorHAnsi" w:hAnsiTheme="minorHAnsi" w:cstheme="minorHAnsi"/>
          <w:sz w:val="22"/>
        </w:rPr>
        <w:t xml:space="preserve">orporate </w:t>
      </w:r>
      <w:r w:rsidR="0063374F">
        <w:rPr>
          <w:rFonts w:asciiTheme="minorHAnsi" w:hAnsiTheme="minorHAnsi" w:cstheme="minorHAnsi"/>
          <w:sz w:val="22"/>
        </w:rPr>
        <w:t>A</w:t>
      </w:r>
      <w:r w:rsidRPr="00D840C2">
        <w:rPr>
          <w:rFonts w:asciiTheme="minorHAnsi" w:hAnsiTheme="minorHAnsi" w:cstheme="minorHAnsi"/>
          <w:sz w:val="22"/>
        </w:rPr>
        <w:t xml:space="preserve">ffairs with representation from </w:t>
      </w:r>
      <w:r w:rsidR="00D840C2" w:rsidRPr="00D840C2">
        <w:rPr>
          <w:rFonts w:asciiTheme="minorHAnsi" w:hAnsiTheme="minorHAnsi" w:cstheme="minorHAnsi"/>
          <w:sz w:val="22"/>
        </w:rPr>
        <w:t xml:space="preserve">service </w:t>
      </w:r>
      <w:r w:rsidRPr="00D840C2">
        <w:rPr>
          <w:rFonts w:asciiTheme="minorHAnsi" w:hAnsiTheme="minorHAnsi" w:cstheme="minorHAnsi"/>
          <w:sz w:val="22"/>
        </w:rPr>
        <w:t>directorates, communications, human resources</w:t>
      </w:r>
      <w:r w:rsidR="00BA4293">
        <w:rPr>
          <w:rFonts w:asciiTheme="minorHAnsi" w:hAnsiTheme="minorHAnsi" w:cstheme="minorHAnsi"/>
          <w:sz w:val="22"/>
        </w:rPr>
        <w:t>, informat</w:t>
      </w:r>
      <w:r w:rsidR="00C70780">
        <w:rPr>
          <w:rFonts w:asciiTheme="minorHAnsi" w:hAnsiTheme="minorHAnsi" w:cstheme="minorHAnsi"/>
          <w:sz w:val="22"/>
        </w:rPr>
        <w:t>ion management and technology</w:t>
      </w:r>
      <w:r w:rsidRPr="00D840C2">
        <w:rPr>
          <w:rFonts w:asciiTheme="minorHAnsi" w:hAnsiTheme="minorHAnsi" w:cstheme="minorHAnsi"/>
          <w:sz w:val="22"/>
        </w:rPr>
        <w:t xml:space="preserve"> and </w:t>
      </w:r>
      <w:r w:rsidR="00BA4293">
        <w:rPr>
          <w:rFonts w:asciiTheme="minorHAnsi" w:hAnsiTheme="minorHAnsi" w:cstheme="minorHAnsi"/>
          <w:sz w:val="22"/>
        </w:rPr>
        <w:t xml:space="preserve">estates and </w:t>
      </w:r>
      <w:r w:rsidRPr="00D840C2">
        <w:rPr>
          <w:rFonts w:asciiTheme="minorHAnsi" w:hAnsiTheme="minorHAnsi" w:cstheme="minorHAnsi"/>
          <w:sz w:val="22"/>
        </w:rPr>
        <w:t xml:space="preserve">facilities.  </w:t>
      </w:r>
    </w:p>
    <w:p w14:paraId="3B35B8BC" w14:textId="625A0B07" w:rsidR="001545ED" w:rsidRPr="00D840C2" w:rsidRDefault="001545ED" w:rsidP="001545ED">
      <w:pPr>
        <w:pStyle w:val="Heading1"/>
        <w:rPr>
          <w:rFonts w:asciiTheme="minorHAnsi" w:hAnsiTheme="minorHAnsi" w:cstheme="minorHAnsi"/>
          <w:color w:val="auto"/>
          <w:sz w:val="22"/>
          <w:szCs w:val="22"/>
        </w:rPr>
      </w:pPr>
      <w:bookmarkStart w:id="1" w:name="_Toc54684185"/>
      <w:r w:rsidRPr="00D840C2">
        <w:rPr>
          <w:rFonts w:asciiTheme="minorHAnsi" w:hAnsiTheme="minorHAnsi" w:cstheme="minorHAnsi"/>
          <w:color w:val="auto"/>
          <w:sz w:val="22"/>
          <w:szCs w:val="22"/>
        </w:rPr>
        <w:t>Background</w:t>
      </w:r>
      <w:bookmarkEnd w:id="1"/>
    </w:p>
    <w:p w14:paraId="5E5AF8F9" w14:textId="43AD06B6" w:rsidR="001545ED" w:rsidRPr="00D840C2" w:rsidRDefault="001545ED" w:rsidP="002840C6">
      <w:pPr>
        <w:pStyle w:val="NumberedNormal"/>
        <w:ind w:left="788" w:hanging="431"/>
        <w:rPr>
          <w:rFonts w:asciiTheme="minorHAnsi" w:hAnsiTheme="minorHAnsi" w:cstheme="minorHAnsi"/>
          <w:sz w:val="22"/>
        </w:rPr>
      </w:pPr>
      <w:r w:rsidRPr="00D840C2">
        <w:rPr>
          <w:rFonts w:asciiTheme="minorHAnsi" w:hAnsiTheme="minorHAnsi" w:cstheme="minorHAnsi"/>
          <w:sz w:val="22"/>
        </w:rPr>
        <w:t>The Civil Contingencies Act (2004) outlines a single framework for civil protection in the United Kingdom.  Part one of the Act establishes a clear set of roles and responsibilities for those involved in emergency prepar</w:t>
      </w:r>
      <w:r w:rsidR="00C70780">
        <w:rPr>
          <w:rFonts w:asciiTheme="minorHAnsi" w:hAnsiTheme="minorHAnsi" w:cstheme="minorHAnsi"/>
          <w:sz w:val="22"/>
        </w:rPr>
        <w:t>edness</w:t>
      </w:r>
      <w:r w:rsidRPr="00D840C2">
        <w:rPr>
          <w:rFonts w:asciiTheme="minorHAnsi" w:hAnsiTheme="minorHAnsi" w:cstheme="minorHAnsi"/>
          <w:sz w:val="22"/>
        </w:rPr>
        <w:t xml:space="preserve"> and response.  Oxford Health NHS Foundation Trust is subject to the following set of civil protection duties:</w:t>
      </w:r>
    </w:p>
    <w:p w14:paraId="39453EEA" w14:textId="3CC79C27" w:rsidR="001545ED" w:rsidRPr="00D840C2" w:rsidRDefault="001545ED" w:rsidP="006E75DF">
      <w:pPr>
        <w:pStyle w:val="CM15"/>
        <w:numPr>
          <w:ilvl w:val="0"/>
          <w:numId w:val="8"/>
        </w:numPr>
        <w:spacing w:before="120" w:after="120" w:line="276" w:lineRule="auto"/>
        <w:ind w:left="1560" w:hanging="425"/>
        <w:jc w:val="both"/>
        <w:rPr>
          <w:rFonts w:asciiTheme="minorHAnsi" w:hAnsiTheme="minorHAnsi" w:cstheme="minorHAnsi"/>
          <w:sz w:val="22"/>
          <w:szCs w:val="22"/>
        </w:rPr>
      </w:pPr>
      <w:r w:rsidRPr="00D840C2">
        <w:rPr>
          <w:rFonts w:asciiTheme="minorHAnsi" w:hAnsiTheme="minorHAnsi" w:cstheme="minorHAnsi"/>
          <w:sz w:val="22"/>
          <w:szCs w:val="22"/>
        </w:rPr>
        <w:t>assess the risk of emergencies occurring and use this to inform contingency planning</w:t>
      </w:r>
    </w:p>
    <w:p w14:paraId="308B69A8" w14:textId="77777777" w:rsidR="001545ED" w:rsidRPr="00D840C2" w:rsidRDefault="001545ED" w:rsidP="006E75DF">
      <w:pPr>
        <w:numPr>
          <w:ilvl w:val="0"/>
          <w:numId w:val="7"/>
        </w:numPr>
        <w:autoSpaceDE w:val="0"/>
        <w:autoSpaceDN w:val="0"/>
        <w:adjustRightInd w:val="0"/>
        <w:spacing w:after="120"/>
        <w:ind w:left="1560" w:hanging="425"/>
        <w:contextualSpacing w:val="0"/>
        <w:jc w:val="both"/>
        <w:rPr>
          <w:rFonts w:asciiTheme="minorHAnsi" w:hAnsiTheme="minorHAnsi" w:cstheme="minorHAnsi"/>
          <w:sz w:val="22"/>
        </w:rPr>
      </w:pPr>
      <w:r w:rsidRPr="00D840C2">
        <w:rPr>
          <w:rFonts w:asciiTheme="minorHAnsi" w:hAnsiTheme="minorHAnsi" w:cstheme="minorHAnsi"/>
          <w:sz w:val="22"/>
        </w:rPr>
        <w:t>put in place emergency plans</w:t>
      </w:r>
    </w:p>
    <w:p w14:paraId="6F6112EB" w14:textId="77777777" w:rsidR="001545ED" w:rsidRPr="00D840C2" w:rsidRDefault="001545ED" w:rsidP="006E75DF">
      <w:pPr>
        <w:numPr>
          <w:ilvl w:val="0"/>
          <w:numId w:val="7"/>
        </w:numPr>
        <w:autoSpaceDE w:val="0"/>
        <w:autoSpaceDN w:val="0"/>
        <w:adjustRightInd w:val="0"/>
        <w:spacing w:after="120"/>
        <w:ind w:left="1560" w:hanging="425"/>
        <w:contextualSpacing w:val="0"/>
        <w:jc w:val="both"/>
        <w:rPr>
          <w:rFonts w:asciiTheme="minorHAnsi" w:hAnsiTheme="minorHAnsi" w:cstheme="minorHAnsi"/>
          <w:sz w:val="22"/>
        </w:rPr>
      </w:pPr>
      <w:r w:rsidRPr="00D840C2">
        <w:rPr>
          <w:rFonts w:asciiTheme="minorHAnsi" w:hAnsiTheme="minorHAnsi" w:cstheme="minorHAnsi"/>
          <w:sz w:val="22"/>
        </w:rPr>
        <w:t>put in place business continuity management arrangements</w:t>
      </w:r>
    </w:p>
    <w:p w14:paraId="7A1FA6BF" w14:textId="77777777" w:rsidR="001545ED" w:rsidRPr="00D840C2" w:rsidRDefault="001545ED" w:rsidP="006E75DF">
      <w:pPr>
        <w:numPr>
          <w:ilvl w:val="0"/>
          <w:numId w:val="7"/>
        </w:numPr>
        <w:autoSpaceDE w:val="0"/>
        <w:autoSpaceDN w:val="0"/>
        <w:adjustRightInd w:val="0"/>
        <w:spacing w:after="120"/>
        <w:ind w:left="1560" w:hanging="425"/>
        <w:contextualSpacing w:val="0"/>
        <w:jc w:val="both"/>
        <w:rPr>
          <w:rFonts w:asciiTheme="minorHAnsi" w:hAnsiTheme="minorHAnsi" w:cstheme="minorHAnsi"/>
          <w:sz w:val="22"/>
        </w:rPr>
      </w:pPr>
      <w:r w:rsidRPr="00D840C2">
        <w:rPr>
          <w:rFonts w:asciiTheme="minorHAnsi" w:hAnsiTheme="minorHAnsi" w:cstheme="minorHAnsi"/>
          <w:sz w:val="22"/>
        </w:rPr>
        <w:t>put in place arrangements to make information available to the public about civil protection matters and maintain arrangements to warn, inform and advise the public in the event of an emergency</w:t>
      </w:r>
    </w:p>
    <w:p w14:paraId="2B4CE473" w14:textId="47EDFD3B" w:rsidR="001545ED" w:rsidRPr="00D840C2" w:rsidRDefault="001545ED" w:rsidP="006E75DF">
      <w:pPr>
        <w:numPr>
          <w:ilvl w:val="0"/>
          <w:numId w:val="7"/>
        </w:numPr>
        <w:autoSpaceDE w:val="0"/>
        <w:autoSpaceDN w:val="0"/>
        <w:adjustRightInd w:val="0"/>
        <w:spacing w:after="120"/>
        <w:ind w:left="1560" w:hanging="425"/>
        <w:contextualSpacing w:val="0"/>
        <w:jc w:val="both"/>
        <w:rPr>
          <w:rFonts w:asciiTheme="minorHAnsi" w:hAnsiTheme="minorHAnsi" w:cstheme="minorHAnsi"/>
          <w:sz w:val="22"/>
        </w:rPr>
      </w:pPr>
      <w:r w:rsidRPr="00D840C2">
        <w:rPr>
          <w:rFonts w:asciiTheme="minorHAnsi" w:hAnsiTheme="minorHAnsi" w:cstheme="minorHAnsi"/>
          <w:sz w:val="22"/>
        </w:rPr>
        <w:t>share information with other local responders to enhance coordination</w:t>
      </w:r>
    </w:p>
    <w:p w14:paraId="1018AE95" w14:textId="2D25D541" w:rsidR="00FC4FE3" w:rsidRPr="00D840C2" w:rsidRDefault="00D27D81" w:rsidP="006E75DF">
      <w:pPr>
        <w:numPr>
          <w:ilvl w:val="0"/>
          <w:numId w:val="7"/>
        </w:numPr>
        <w:autoSpaceDE w:val="0"/>
        <w:autoSpaceDN w:val="0"/>
        <w:adjustRightInd w:val="0"/>
        <w:spacing w:after="120"/>
        <w:ind w:left="1560" w:hanging="425"/>
        <w:contextualSpacing w:val="0"/>
        <w:jc w:val="both"/>
        <w:rPr>
          <w:rFonts w:asciiTheme="minorHAnsi" w:hAnsiTheme="minorHAnsi" w:cstheme="minorHAnsi"/>
          <w:sz w:val="22"/>
        </w:rPr>
      </w:pPr>
      <w:r w:rsidRPr="00D840C2">
        <w:rPr>
          <w:rFonts w:asciiTheme="minorHAnsi" w:hAnsiTheme="minorHAnsi" w:cstheme="minorHAnsi"/>
          <w:sz w:val="22"/>
        </w:rPr>
        <w:t xml:space="preserve">cooperate with other local responders to enhance coordination and efficiency </w:t>
      </w:r>
    </w:p>
    <w:p w14:paraId="0CB83D7A" w14:textId="0B48FB43" w:rsidR="00D2502B" w:rsidRPr="00D840C2" w:rsidRDefault="00D2502B" w:rsidP="002840C6">
      <w:pPr>
        <w:pStyle w:val="NumberedNormal"/>
        <w:ind w:left="788" w:hanging="431"/>
        <w:rPr>
          <w:rFonts w:cstheme="minorHAnsi"/>
          <w:sz w:val="22"/>
        </w:rPr>
      </w:pPr>
      <w:r w:rsidRPr="00D840C2">
        <w:rPr>
          <w:rFonts w:asciiTheme="minorHAnsi" w:hAnsiTheme="minorHAnsi" w:cstheme="minorHAnsi"/>
          <w:sz w:val="22"/>
        </w:rPr>
        <w:t xml:space="preserve">The NHS England emergency preparedness, </w:t>
      </w:r>
      <w:r w:rsidR="00121B98" w:rsidRPr="00D840C2">
        <w:rPr>
          <w:rFonts w:asciiTheme="minorHAnsi" w:hAnsiTheme="minorHAnsi" w:cstheme="minorHAnsi"/>
          <w:sz w:val="22"/>
        </w:rPr>
        <w:t>resilience</w:t>
      </w:r>
      <w:r w:rsidRPr="00D840C2">
        <w:rPr>
          <w:rFonts w:asciiTheme="minorHAnsi" w:hAnsiTheme="minorHAnsi" w:cstheme="minorHAnsi"/>
          <w:sz w:val="22"/>
        </w:rPr>
        <w:t xml:space="preserve"> and response framework </w:t>
      </w:r>
      <w:r w:rsidR="00D27D81" w:rsidRPr="00D840C2">
        <w:rPr>
          <w:rFonts w:asciiTheme="minorHAnsi" w:hAnsiTheme="minorHAnsi" w:cstheme="minorHAnsi"/>
          <w:sz w:val="22"/>
        </w:rPr>
        <w:t xml:space="preserve">(2015) </w:t>
      </w:r>
      <w:r w:rsidRPr="00D840C2">
        <w:rPr>
          <w:rFonts w:asciiTheme="minorHAnsi" w:hAnsiTheme="minorHAnsi" w:cstheme="minorHAnsi"/>
          <w:sz w:val="22"/>
        </w:rPr>
        <w:t xml:space="preserve">requires all NHS organisations to plan for and respond to incidents in a manner which is relevant, </w:t>
      </w:r>
      <w:r w:rsidR="00121B98" w:rsidRPr="00D840C2">
        <w:rPr>
          <w:rFonts w:asciiTheme="minorHAnsi" w:hAnsiTheme="minorHAnsi" w:cstheme="minorHAnsi"/>
          <w:sz w:val="22"/>
        </w:rPr>
        <w:t>necessary,</w:t>
      </w:r>
      <w:r w:rsidRPr="00D840C2">
        <w:rPr>
          <w:rFonts w:asciiTheme="minorHAnsi" w:hAnsiTheme="minorHAnsi" w:cstheme="minorHAnsi"/>
          <w:sz w:val="22"/>
        </w:rPr>
        <w:t xml:space="preserve"> and proportionate to the </w:t>
      </w:r>
      <w:r w:rsidR="00270609" w:rsidRPr="00D840C2">
        <w:rPr>
          <w:rFonts w:asciiTheme="minorHAnsi" w:hAnsiTheme="minorHAnsi" w:cstheme="minorHAnsi"/>
          <w:sz w:val="22"/>
        </w:rPr>
        <w:t>size</w:t>
      </w:r>
      <w:r w:rsidRPr="00D840C2">
        <w:rPr>
          <w:rFonts w:asciiTheme="minorHAnsi" w:hAnsiTheme="minorHAnsi" w:cstheme="minorHAnsi"/>
          <w:sz w:val="22"/>
        </w:rPr>
        <w:t xml:space="preserve"> and services provided.</w:t>
      </w:r>
    </w:p>
    <w:p w14:paraId="250C5F75" w14:textId="3B3B7F55" w:rsidR="009860F7" w:rsidRPr="00D224B2" w:rsidRDefault="00E974B3" w:rsidP="002840C6">
      <w:pPr>
        <w:pStyle w:val="Heading1"/>
        <w:ind w:left="357" w:hanging="357"/>
        <w:rPr>
          <w:rFonts w:asciiTheme="minorHAnsi" w:hAnsiTheme="minorHAnsi" w:cstheme="minorHAnsi"/>
          <w:color w:val="auto"/>
          <w:sz w:val="22"/>
          <w:szCs w:val="22"/>
        </w:rPr>
      </w:pPr>
      <w:bookmarkStart w:id="2" w:name="_Toc54684187"/>
      <w:r>
        <w:rPr>
          <w:rFonts w:asciiTheme="minorHAnsi" w:hAnsiTheme="minorHAnsi" w:cstheme="minorHAnsi"/>
          <w:color w:val="auto"/>
          <w:sz w:val="22"/>
          <w:szCs w:val="22"/>
        </w:rPr>
        <w:lastRenderedPageBreak/>
        <w:t>Policies and p</w:t>
      </w:r>
      <w:r w:rsidR="009860F7" w:rsidRPr="00D224B2">
        <w:rPr>
          <w:rFonts w:asciiTheme="minorHAnsi" w:hAnsiTheme="minorHAnsi" w:cstheme="minorHAnsi"/>
          <w:color w:val="auto"/>
          <w:sz w:val="22"/>
          <w:szCs w:val="22"/>
        </w:rPr>
        <w:t xml:space="preserve">lans </w:t>
      </w:r>
      <w:bookmarkEnd w:id="2"/>
    </w:p>
    <w:p w14:paraId="1F624BB3" w14:textId="7014AF4C" w:rsidR="00987091" w:rsidRPr="00BE6EBA" w:rsidRDefault="00E974B3" w:rsidP="00921328">
      <w:pPr>
        <w:pStyle w:val="NumberedNormal"/>
        <w:rPr>
          <w:rFonts w:asciiTheme="minorHAnsi" w:hAnsiTheme="minorHAnsi" w:cstheme="minorHAnsi"/>
          <w:sz w:val="22"/>
        </w:rPr>
      </w:pPr>
      <w:r w:rsidRPr="00BE6EBA">
        <w:rPr>
          <w:rFonts w:asciiTheme="minorHAnsi" w:hAnsiTheme="minorHAnsi" w:cstheme="minorHAnsi"/>
          <w:sz w:val="22"/>
        </w:rPr>
        <w:t>The EPRR and business continuity policy was updated in October 2021.</w:t>
      </w:r>
      <w:r>
        <w:rPr>
          <w:rFonts w:asciiTheme="minorHAnsi" w:hAnsiTheme="minorHAnsi" w:cstheme="minorHAnsi"/>
          <w:sz w:val="22"/>
        </w:rPr>
        <w:t xml:space="preserve">  </w:t>
      </w:r>
      <w:r w:rsidR="00D2502B" w:rsidRPr="00BE6EBA">
        <w:rPr>
          <w:rFonts w:asciiTheme="minorHAnsi" w:hAnsiTheme="minorHAnsi" w:cstheme="minorHAnsi"/>
          <w:sz w:val="22"/>
        </w:rPr>
        <w:t>All incident</w:t>
      </w:r>
      <w:r w:rsidR="00D840C2" w:rsidRPr="00BE6EBA">
        <w:rPr>
          <w:rFonts w:asciiTheme="minorHAnsi" w:hAnsiTheme="minorHAnsi" w:cstheme="minorHAnsi"/>
          <w:sz w:val="22"/>
        </w:rPr>
        <w:t xml:space="preserve"> response</w:t>
      </w:r>
      <w:r w:rsidR="00D2502B" w:rsidRPr="00BE6EBA">
        <w:rPr>
          <w:rFonts w:asciiTheme="minorHAnsi" w:hAnsiTheme="minorHAnsi" w:cstheme="minorHAnsi"/>
          <w:sz w:val="22"/>
        </w:rPr>
        <w:t xml:space="preserve"> plans in the </w:t>
      </w:r>
      <w:r w:rsidR="00D840C2" w:rsidRPr="00BE6EBA">
        <w:rPr>
          <w:rFonts w:asciiTheme="minorHAnsi" w:hAnsiTheme="minorHAnsi" w:cstheme="minorHAnsi"/>
          <w:sz w:val="22"/>
        </w:rPr>
        <w:t xml:space="preserve">EPRR </w:t>
      </w:r>
      <w:r w:rsidR="00D2502B" w:rsidRPr="00BE6EBA">
        <w:rPr>
          <w:rFonts w:asciiTheme="minorHAnsi" w:hAnsiTheme="minorHAnsi" w:cstheme="minorHAnsi"/>
          <w:sz w:val="22"/>
        </w:rPr>
        <w:t>response manual are reviewed on an annual basis</w:t>
      </w:r>
      <w:r w:rsidR="00682331" w:rsidRPr="00BE6EBA">
        <w:rPr>
          <w:rFonts w:asciiTheme="minorHAnsi" w:hAnsiTheme="minorHAnsi" w:cstheme="minorHAnsi"/>
          <w:sz w:val="22"/>
        </w:rPr>
        <w:t>.</w:t>
      </w:r>
      <w:r w:rsidR="00865853" w:rsidRPr="00BE6EBA">
        <w:rPr>
          <w:rFonts w:asciiTheme="minorHAnsi" w:hAnsiTheme="minorHAnsi" w:cstheme="minorHAnsi"/>
          <w:sz w:val="22"/>
        </w:rPr>
        <w:t xml:space="preserve">  </w:t>
      </w:r>
      <w:r w:rsidR="00D2502B" w:rsidRPr="00BE6EBA">
        <w:rPr>
          <w:rFonts w:asciiTheme="minorHAnsi" w:hAnsiTheme="minorHAnsi" w:cstheme="minorHAnsi"/>
          <w:sz w:val="22"/>
        </w:rPr>
        <w:t>Business continuity plans are also reviewed annually</w:t>
      </w:r>
      <w:r w:rsidR="00D840C2" w:rsidRPr="00BE6EBA">
        <w:rPr>
          <w:rFonts w:asciiTheme="minorHAnsi" w:hAnsiTheme="minorHAnsi" w:cstheme="minorHAnsi"/>
          <w:sz w:val="22"/>
        </w:rPr>
        <w:t xml:space="preserve"> with</w:t>
      </w:r>
      <w:r w:rsidR="001F0BCE">
        <w:rPr>
          <w:rFonts w:asciiTheme="minorHAnsi" w:hAnsiTheme="minorHAnsi" w:cstheme="minorHAnsi"/>
          <w:sz w:val="22"/>
        </w:rPr>
        <w:t xml:space="preserve"> services</w:t>
      </w:r>
      <w:r w:rsidR="00D224B2" w:rsidRPr="00BE6EBA">
        <w:rPr>
          <w:rFonts w:asciiTheme="minorHAnsi" w:hAnsiTheme="minorHAnsi" w:cstheme="minorHAnsi"/>
          <w:sz w:val="22"/>
        </w:rPr>
        <w:t>.</w:t>
      </w:r>
      <w:r w:rsidR="00BE6EBA" w:rsidRPr="00BE6EBA">
        <w:rPr>
          <w:rFonts w:asciiTheme="minorHAnsi" w:hAnsiTheme="minorHAnsi" w:cstheme="minorHAnsi"/>
          <w:sz w:val="22"/>
        </w:rPr>
        <w:t xml:space="preserve">  </w:t>
      </w:r>
      <w:r w:rsidR="00BE6EBA">
        <w:rPr>
          <w:rFonts w:asciiTheme="minorHAnsi" w:hAnsiTheme="minorHAnsi" w:cstheme="minorHAnsi"/>
          <w:sz w:val="22"/>
        </w:rPr>
        <w:t xml:space="preserve"> </w:t>
      </w:r>
    </w:p>
    <w:p w14:paraId="525EEFB9" w14:textId="162457CC" w:rsidR="00863784" w:rsidRPr="00BE6EBA" w:rsidRDefault="00863784" w:rsidP="00863784">
      <w:pPr>
        <w:pStyle w:val="Heading1"/>
        <w:rPr>
          <w:rFonts w:asciiTheme="minorHAnsi" w:hAnsiTheme="minorHAnsi" w:cstheme="minorHAnsi"/>
          <w:color w:val="auto"/>
          <w:sz w:val="22"/>
          <w:szCs w:val="22"/>
        </w:rPr>
      </w:pPr>
      <w:r w:rsidRPr="00BE6EBA">
        <w:rPr>
          <w:rFonts w:asciiTheme="minorHAnsi" w:hAnsiTheme="minorHAnsi" w:cstheme="minorHAnsi"/>
          <w:color w:val="auto"/>
          <w:sz w:val="22"/>
          <w:szCs w:val="22"/>
        </w:rPr>
        <w:t>Training</w:t>
      </w:r>
      <w:r w:rsidR="00250E09">
        <w:rPr>
          <w:rFonts w:asciiTheme="minorHAnsi" w:hAnsiTheme="minorHAnsi" w:cstheme="minorHAnsi"/>
          <w:color w:val="auto"/>
          <w:sz w:val="22"/>
          <w:szCs w:val="22"/>
        </w:rPr>
        <w:t xml:space="preserve">, </w:t>
      </w:r>
      <w:r w:rsidR="00121B98" w:rsidRPr="00BE6EBA">
        <w:rPr>
          <w:rFonts w:asciiTheme="minorHAnsi" w:hAnsiTheme="minorHAnsi" w:cstheme="minorHAnsi"/>
          <w:color w:val="auto"/>
          <w:sz w:val="22"/>
          <w:szCs w:val="22"/>
        </w:rPr>
        <w:t>exercises</w:t>
      </w:r>
      <w:r w:rsidR="00250E09">
        <w:rPr>
          <w:rFonts w:asciiTheme="minorHAnsi" w:hAnsiTheme="minorHAnsi" w:cstheme="minorHAnsi"/>
          <w:color w:val="auto"/>
          <w:sz w:val="22"/>
          <w:szCs w:val="22"/>
        </w:rPr>
        <w:t xml:space="preserve"> and live events</w:t>
      </w:r>
    </w:p>
    <w:p w14:paraId="41C56ADE" w14:textId="19404C63" w:rsidR="006D1459" w:rsidRPr="00C569AF" w:rsidRDefault="005441E3" w:rsidP="00863784">
      <w:pPr>
        <w:pStyle w:val="NumberedNormal"/>
        <w:rPr>
          <w:rFonts w:asciiTheme="minorHAnsi" w:hAnsiTheme="minorHAnsi" w:cstheme="minorHAnsi"/>
          <w:color w:val="FF0000"/>
          <w:sz w:val="22"/>
        </w:rPr>
      </w:pPr>
      <w:r w:rsidRPr="00A94CF7">
        <w:rPr>
          <w:rFonts w:asciiTheme="minorHAnsi" w:hAnsiTheme="minorHAnsi" w:cstheme="minorHAnsi"/>
          <w:sz w:val="22"/>
        </w:rPr>
        <w:t xml:space="preserve">Training </w:t>
      </w:r>
      <w:r w:rsidR="00311308" w:rsidRPr="00A94CF7">
        <w:rPr>
          <w:rFonts w:asciiTheme="minorHAnsi" w:hAnsiTheme="minorHAnsi" w:cstheme="minorHAnsi"/>
          <w:sz w:val="22"/>
        </w:rPr>
        <w:t>was</w:t>
      </w:r>
      <w:r w:rsidRPr="00A94CF7">
        <w:rPr>
          <w:rFonts w:asciiTheme="minorHAnsi" w:hAnsiTheme="minorHAnsi" w:cstheme="minorHAnsi"/>
          <w:sz w:val="22"/>
        </w:rPr>
        <w:t xml:space="preserve"> provided to </w:t>
      </w:r>
      <w:r w:rsidR="003C7195">
        <w:rPr>
          <w:rFonts w:asciiTheme="minorHAnsi" w:hAnsiTheme="minorHAnsi" w:cstheme="minorHAnsi"/>
          <w:sz w:val="22"/>
        </w:rPr>
        <w:t xml:space="preserve">new </w:t>
      </w:r>
      <w:r w:rsidRPr="00A94CF7">
        <w:rPr>
          <w:rFonts w:asciiTheme="minorHAnsi" w:hAnsiTheme="minorHAnsi" w:cstheme="minorHAnsi"/>
          <w:sz w:val="22"/>
        </w:rPr>
        <w:t>director</w:t>
      </w:r>
      <w:r w:rsidR="002203C7" w:rsidRPr="00A94CF7">
        <w:rPr>
          <w:rFonts w:asciiTheme="minorHAnsi" w:hAnsiTheme="minorHAnsi" w:cstheme="minorHAnsi"/>
          <w:sz w:val="22"/>
        </w:rPr>
        <w:t>s</w:t>
      </w:r>
      <w:r w:rsidRPr="00A94CF7">
        <w:rPr>
          <w:rFonts w:asciiTheme="minorHAnsi" w:hAnsiTheme="minorHAnsi" w:cstheme="minorHAnsi"/>
          <w:sz w:val="22"/>
        </w:rPr>
        <w:t xml:space="preserve"> on call </w:t>
      </w:r>
      <w:r w:rsidR="002048E0" w:rsidRPr="00A94CF7">
        <w:rPr>
          <w:rFonts w:asciiTheme="minorHAnsi" w:hAnsiTheme="minorHAnsi" w:cstheme="minorHAnsi"/>
          <w:sz w:val="22"/>
        </w:rPr>
        <w:t xml:space="preserve">prior to joining the </w:t>
      </w:r>
      <w:r w:rsidR="001D51AC" w:rsidRPr="00A94CF7">
        <w:rPr>
          <w:rFonts w:asciiTheme="minorHAnsi" w:hAnsiTheme="minorHAnsi" w:cstheme="minorHAnsi"/>
          <w:sz w:val="22"/>
        </w:rPr>
        <w:t>on-call</w:t>
      </w:r>
      <w:r w:rsidR="002048E0" w:rsidRPr="00A94CF7">
        <w:rPr>
          <w:rFonts w:asciiTheme="minorHAnsi" w:hAnsiTheme="minorHAnsi" w:cstheme="minorHAnsi"/>
          <w:sz w:val="22"/>
        </w:rPr>
        <w:t xml:space="preserve"> rota and</w:t>
      </w:r>
      <w:r w:rsidR="002203C7" w:rsidRPr="00A94CF7">
        <w:rPr>
          <w:rFonts w:asciiTheme="minorHAnsi" w:hAnsiTheme="minorHAnsi" w:cstheme="minorHAnsi"/>
          <w:sz w:val="22"/>
        </w:rPr>
        <w:t xml:space="preserve"> </w:t>
      </w:r>
      <w:r w:rsidR="00A557E4" w:rsidRPr="00A94CF7">
        <w:rPr>
          <w:rFonts w:asciiTheme="minorHAnsi" w:hAnsiTheme="minorHAnsi" w:cstheme="minorHAnsi"/>
          <w:sz w:val="22"/>
        </w:rPr>
        <w:t>individual</w:t>
      </w:r>
      <w:r w:rsidR="002203C7" w:rsidRPr="00A94CF7">
        <w:rPr>
          <w:rFonts w:asciiTheme="minorHAnsi" w:hAnsiTheme="minorHAnsi" w:cstheme="minorHAnsi"/>
          <w:sz w:val="22"/>
        </w:rPr>
        <w:t xml:space="preserve"> annual</w:t>
      </w:r>
      <w:r w:rsidR="001B500B" w:rsidRPr="00A94CF7">
        <w:rPr>
          <w:rFonts w:asciiTheme="minorHAnsi" w:hAnsiTheme="minorHAnsi" w:cstheme="minorHAnsi"/>
          <w:sz w:val="22"/>
        </w:rPr>
        <w:t xml:space="preserve"> r</w:t>
      </w:r>
      <w:r w:rsidR="002203C7" w:rsidRPr="00A94CF7">
        <w:rPr>
          <w:rFonts w:asciiTheme="minorHAnsi" w:hAnsiTheme="minorHAnsi" w:cstheme="minorHAnsi"/>
          <w:sz w:val="22"/>
        </w:rPr>
        <w:t>efresher session</w:t>
      </w:r>
      <w:r w:rsidR="00ED3B3C" w:rsidRPr="00A94CF7">
        <w:rPr>
          <w:rFonts w:asciiTheme="minorHAnsi" w:hAnsiTheme="minorHAnsi" w:cstheme="minorHAnsi"/>
          <w:sz w:val="22"/>
        </w:rPr>
        <w:t>s were</w:t>
      </w:r>
      <w:r w:rsidR="002203C7" w:rsidRPr="00A94CF7">
        <w:rPr>
          <w:rFonts w:asciiTheme="minorHAnsi" w:hAnsiTheme="minorHAnsi" w:cstheme="minorHAnsi"/>
          <w:sz w:val="22"/>
        </w:rPr>
        <w:t xml:space="preserve"> also provided</w:t>
      </w:r>
      <w:r w:rsidR="00E81533" w:rsidRPr="00A94CF7">
        <w:rPr>
          <w:rFonts w:asciiTheme="minorHAnsi" w:hAnsiTheme="minorHAnsi" w:cstheme="minorHAnsi"/>
          <w:sz w:val="22"/>
        </w:rPr>
        <w:t xml:space="preserve"> to existing directors on call</w:t>
      </w:r>
      <w:r w:rsidR="002203C7" w:rsidRPr="00A94CF7">
        <w:rPr>
          <w:rFonts w:asciiTheme="minorHAnsi" w:hAnsiTheme="minorHAnsi" w:cstheme="minorHAnsi"/>
          <w:sz w:val="22"/>
        </w:rPr>
        <w:t>.</w:t>
      </w:r>
      <w:r w:rsidR="00EC146F" w:rsidRPr="00A94CF7">
        <w:rPr>
          <w:rFonts w:asciiTheme="minorHAnsi" w:hAnsiTheme="minorHAnsi" w:cstheme="minorHAnsi"/>
          <w:sz w:val="22"/>
        </w:rPr>
        <w:t xml:space="preserve">  </w:t>
      </w:r>
      <w:r w:rsidR="00311308" w:rsidRPr="00A94CF7">
        <w:rPr>
          <w:rFonts w:asciiTheme="minorHAnsi" w:hAnsiTheme="minorHAnsi" w:cstheme="minorHAnsi"/>
          <w:sz w:val="22"/>
        </w:rPr>
        <w:t>T</w:t>
      </w:r>
      <w:r w:rsidR="00703AED" w:rsidRPr="00A94CF7">
        <w:rPr>
          <w:rFonts w:asciiTheme="minorHAnsi" w:hAnsiTheme="minorHAnsi" w:cstheme="minorHAnsi"/>
          <w:sz w:val="22"/>
        </w:rPr>
        <w:t xml:space="preserve">he Covid-19 pandemic </w:t>
      </w:r>
      <w:r w:rsidR="00A94CF7" w:rsidRPr="00A94CF7">
        <w:rPr>
          <w:rFonts w:asciiTheme="minorHAnsi" w:hAnsiTheme="minorHAnsi" w:cstheme="minorHAnsi"/>
          <w:sz w:val="22"/>
        </w:rPr>
        <w:t xml:space="preserve">continues to </w:t>
      </w:r>
      <w:r w:rsidR="00703AED" w:rsidRPr="00A94CF7">
        <w:rPr>
          <w:rFonts w:asciiTheme="minorHAnsi" w:hAnsiTheme="minorHAnsi" w:cstheme="minorHAnsi"/>
          <w:sz w:val="22"/>
        </w:rPr>
        <w:t xml:space="preserve">provide all </w:t>
      </w:r>
      <w:r w:rsidR="00A4127C" w:rsidRPr="00A94CF7">
        <w:rPr>
          <w:rFonts w:asciiTheme="minorHAnsi" w:hAnsiTheme="minorHAnsi" w:cstheme="minorHAnsi"/>
          <w:sz w:val="22"/>
        </w:rPr>
        <w:t xml:space="preserve">staff members with </w:t>
      </w:r>
      <w:r w:rsidR="00E936A5" w:rsidRPr="00A94CF7">
        <w:rPr>
          <w:rFonts w:asciiTheme="minorHAnsi" w:hAnsiTheme="minorHAnsi" w:cstheme="minorHAnsi"/>
          <w:sz w:val="22"/>
        </w:rPr>
        <w:t xml:space="preserve">exposure to the command and control arrangements in a major incident and </w:t>
      </w:r>
      <w:r w:rsidR="0089729C">
        <w:rPr>
          <w:rFonts w:asciiTheme="minorHAnsi" w:hAnsiTheme="minorHAnsi" w:cstheme="minorHAnsi"/>
          <w:sz w:val="22"/>
        </w:rPr>
        <w:t xml:space="preserve">an opportunity to </w:t>
      </w:r>
      <w:r w:rsidR="00E936A5" w:rsidRPr="00A94CF7">
        <w:rPr>
          <w:rFonts w:asciiTheme="minorHAnsi" w:hAnsiTheme="minorHAnsi" w:cstheme="minorHAnsi"/>
          <w:sz w:val="22"/>
        </w:rPr>
        <w:t>test their business conti</w:t>
      </w:r>
      <w:r w:rsidR="00832667" w:rsidRPr="00A94CF7">
        <w:rPr>
          <w:rFonts w:asciiTheme="minorHAnsi" w:hAnsiTheme="minorHAnsi" w:cstheme="minorHAnsi"/>
          <w:sz w:val="22"/>
        </w:rPr>
        <w:t>nuity plans and pandemic plan arrangements.</w:t>
      </w:r>
      <w:r w:rsidR="00A4127C" w:rsidRPr="00A94CF7">
        <w:rPr>
          <w:rFonts w:asciiTheme="minorHAnsi" w:hAnsiTheme="minorHAnsi" w:cstheme="minorHAnsi"/>
          <w:sz w:val="22"/>
        </w:rPr>
        <w:t xml:space="preserve"> </w:t>
      </w:r>
      <w:r w:rsidR="006D1459" w:rsidRPr="00A94CF7">
        <w:rPr>
          <w:rFonts w:asciiTheme="minorHAnsi" w:hAnsiTheme="minorHAnsi" w:cstheme="minorHAnsi"/>
          <w:sz w:val="22"/>
        </w:rPr>
        <w:t xml:space="preserve">  </w:t>
      </w:r>
      <w:r w:rsidR="0087644B" w:rsidRPr="00A94CF7">
        <w:rPr>
          <w:rFonts w:asciiTheme="minorHAnsi" w:hAnsiTheme="minorHAnsi" w:cstheme="minorHAnsi"/>
          <w:sz w:val="22"/>
        </w:rPr>
        <w:t>Major incident and business continuity scenarios</w:t>
      </w:r>
      <w:r w:rsidR="006D1459" w:rsidRPr="00A94CF7">
        <w:rPr>
          <w:rFonts w:asciiTheme="minorHAnsi" w:hAnsiTheme="minorHAnsi" w:cstheme="minorHAnsi"/>
          <w:sz w:val="22"/>
        </w:rPr>
        <w:t xml:space="preserve"> with prompts for discussion</w:t>
      </w:r>
      <w:r w:rsidR="0087644B" w:rsidRPr="00A94CF7">
        <w:rPr>
          <w:rFonts w:asciiTheme="minorHAnsi" w:hAnsiTheme="minorHAnsi" w:cstheme="minorHAnsi"/>
          <w:sz w:val="22"/>
        </w:rPr>
        <w:t xml:space="preserve"> are</w:t>
      </w:r>
      <w:r w:rsidR="006D1459" w:rsidRPr="00A94CF7">
        <w:rPr>
          <w:rFonts w:asciiTheme="minorHAnsi" w:hAnsiTheme="minorHAnsi" w:cstheme="minorHAnsi"/>
          <w:sz w:val="22"/>
        </w:rPr>
        <w:t xml:space="preserve"> </w:t>
      </w:r>
      <w:r w:rsidR="001F716F">
        <w:rPr>
          <w:rFonts w:asciiTheme="minorHAnsi" w:hAnsiTheme="minorHAnsi" w:cstheme="minorHAnsi"/>
          <w:sz w:val="22"/>
        </w:rPr>
        <w:t xml:space="preserve">located </w:t>
      </w:r>
      <w:r w:rsidR="00F17AB3" w:rsidRPr="00A94CF7">
        <w:rPr>
          <w:rFonts w:asciiTheme="minorHAnsi" w:hAnsiTheme="minorHAnsi" w:cstheme="minorHAnsi"/>
          <w:sz w:val="22"/>
        </w:rPr>
        <w:t xml:space="preserve">on </w:t>
      </w:r>
      <w:r w:rsidR="006D1459" w:rsidRPr="00A94CF7">
        <w:rPr>
          <w:rFonts w:asciiTheme="minorHAnsi" w:hAnsiTheme="minorHAnsi" w:cstheme="minorHAnsi"/>
          <w:sz w:val="22"/>
        </w:rPr>
        <w:t xml:space="preserve">the intranet for team managers to </w:t>
      </w:r>
      <w:r w:rsidR="00F17AB3" w:rsidRPr="00A94CF7">
        <w:rPr>
          <w:rFonts w:asciiTheme="minorHAnsi" w:hAnsiTheme="minorHAnsi" w:cstheme="minorHAnsi"/>
          <w:sz w:val="22"/>
        </w:rPr>
        <w:t xml:space="preserve">independently </w:t>
      </w:r>
      <w:r w:rsidR="006D1459" w:rsidRPr="00A94CF7">
        <w:rPr>
          <w:rFonts w:asciiTheme="minorHAnsi" w:hAnsiTheme="minorHAnsi" w:cstheme="minorHAnsi"/>
          <w:sz w:val="22"/>
        </w:rPr>
        <w:t>exercise their business continuity plan with their teams.</w:t>
      </w:r>
    </w:p>
    <w:p w14:paraId="0D8D7BF4" w14:textId="06CBB5CA" w:rsidR="00562A65" w:rsidRPr="007D31AE" w:rsidRDefault="00D2502B" w:rsidP="007F7D21">
      <w:pPr>
        <w:pStyle w:val="NumberedNormal"/>
        <w:rPr>
          <w:rFonts w:asciiTheme="minorHAnsi" w:hAnsiTheme="minorHAnsi" w:cstheme="minorHAnsi"/>
          <w:sz w:val="22"/>
        </w:rPr>
      </w:pPr>
      <w:r w:rsidRPr="007D31AE">
        <w:rPr>
          <w:rFonts w:asciiTheme="minorHAnsi" w:hAnsiTheme="minorHAnsi" w:cstheme="minorHAnsi"/>
          <w:sz w:val="22"/>
        </w:rPr>
        <w:t xml:space="preserve">NHS organisations are required to undertake a minimum of one live exercise every three years, a </w:t>
      </w:r>
      <w:r w:rsidR="00832667" w:rsidRPr="007D31AE">
        <w:rPr>
          <w:rFonts w:asciiTheme="minorHAnsi" w:hAnsiTheme="minorHAnsi" w:cstheme="minorHAnsi"/>
          <w:sz w:val="22"/>
        </w:rPr>
        <w:t>tabletop</w:t>
      </w:r>
      <w:r w:rsidRPr="007D31AE">
        <w:rPr>
          <w:rFonts w:asciiTheme="minorHAnsi" w:hAnsiTheme="minorHAnsi" w:cstheme="minorHAnsi"/>
          <w:sz w:val="22"/>
        </w:rPr>
        <w:t xml:space="preserve"> exercise every year and a test of </w:t>
      </w:r>
      <w:r w:rsidR="002814F3">
        <w:rPr>
          <w:rFonts w:asciiTheme="minorHAnsi" w:hAnsiTheme="minorHAnsi" w:cstheme="minorHAnsi"/>
          <w:sz w:val="22"/>
        </w:rPr>
        <w:t xml:space="preserve">the </w:t>
      </w:r>
      <w:r w:rsidRPr="007D31AE">
        <w:rPr>
          <w:rFonts w:asciiTheme="minorHAnsi" w:hAnsiTheme="minorHAnsi" w:cstheme="minorHAnsi"/>
          <w:sz w:val="22"/>
        </w:rPr>
        <w:t>communications cascade every six months (NHS England emergency preparedness framework, 2015).</w:t>
      </w:r>
      <w:r w:rsidR="00AF69C8" w:rsidRPr="007D31AE">
        <w:rPr>
          <w:rFonts w:asciiTheme="minorHAnsi" w:hAnsiTheme="minorHAnsi" w:cstheme="minorHAnsi"/>
          <w:sz w:val="22"/>
        </w:rPr>
        <w:t xml:space="preserve">  Lessons identified from exercises are incorporated into </w:t>
      </w:r>
      <w:r w:rsidR="002814F3">
        <w:rPr>
          <w:rFonts w:asciiTheme="minorHAnsi" w:hAnsiTheme="minorHAnsi" w:cstheme="minorHAnsi"/>
          <w:sz w:val="22"/>
        </w:rPr>
        <w:t>incident response</w:t>
      </w:r>
      <w:r w:rsidR="00AF69C8" w:rsidRPr="007D31AE">
        <w:rPr>
          <w:rFonts w:asciiTheme="minorHAnsi" w:hAnsiTheme="minorHAnsi" w:cstheme="minorHAnsi"/>
          <w:sz w:val="22"/>
        </w:rPr>
        <w:t xml:space="preserve"> plans, business continuity plans and shared with partner organisations.  </w:t>
      </w:r>
      <w:r w:rsidRPr="007D31AE">
        <w:rPr>
          <w:rFonts w:asciiTheme="minorHAnsi" w:hAnsiTheme="minorHAnsi" w:cstheme="minorHAnsi"/>
          <w:sz w:val="22"/>
        </w:rPr>
        <w:t xml:space="preserve"> </w:t>
      </w:r>
    </w:p>
    <w:p w14:paraId="494AFB95" w14:textId="5E92D973" w:rsidR="00562A65" w:rsidRPr="007D31AE" w:rsidRDefault="007F7D21" w:rsidP="00AA0F08">
      <w:pPr>
        <w:pStyle w:val="NumberedNormal"/>
        <w:numPr>
          <w:ilvl w:val="0"/>
          <w:numId w:val="10"/>
        </w:numPr>
        <w:rPr>
          <w:rFonts w:asciiTheme="minorHAnsi" w:hAnsiTheme="minorHAnsi" w:cstheme="minorHAnsi"/>
          <w:sz w:val="22"/>
        </w:rPr>
      </w:pPr>
      <w:r w:rsidRPr="007D31AE">
        <w:rPr>
          <w:rFonts w:asciiTheme="minorHAnsi" w:hAnsiTheme="minorHAnsi" w:cstheme="minorHAnsi"/>
          <w:bCs/>
          <w:sz w:val="22"/>
        </w:rPr>
        <w:t xml:space="preserve">The </w:t>
      </w:r>
      <w:r w:rsidR="006535C5" w:rsidRPr="007D31AE">
        <w:rPr>
          <w:rFonts w:asciiTheme="minorHAnsi" w:hAnsiTheme="minorHAnsi" w:cstheme="minorHAnsi"/>
          <w:bCs/>
          <w:sz w:val="22"/>
        </w:rPr>
        <w:t>six-monthly</w:t>
      </w:r>
      <w:r w:rsidRPr="007D31AE">
        <w:rPr>
          <w:rFonts w:asciiTheme="minorHAnsi" w:hAnsiTheme="minorHAnsi" w:cstheme="minorHAnsi"/>
          <w:bCs/>
          <w:sz w:val="22"/>
        </w:rPr>
        <w:t xml:space="preserve"> multi-agency communications cascade exercise</w:t>
      </w:r>
      <w:r w:rsidR="003D1AB6">
        <w:rPr>
          <w:rFonts w:asciiTheme="minorHAnsi" w:hAnsiTheme="minorHAnsi" w:cstheme="minorHAnsi"/>
          <w:bCs/>
          <w:sz w:val="22"/>
        </w:rPr>
        <w:t xml:space="preserve">, initiated by South Central Ambulance Service NHS Foundation Trust, </w:t>
      </w:r>
      <w:r w:rsidR="00311308" w:rsidRPr="007D31AE">
        <w:rPr>
          <w:rFonts w:asciiTheme="minorHAnsi" w:hAnsiTheme="minorHAnsi" w:cstheme="minorHAnsi"/>
          <w:bCs/>
          <w:sz w:val="22"/>
        </w:rPr>
        <w:t>occur</w:t>
      </w:r>
      <w:r w:rsidR="007D31AE" w:rsidRPr="007D31AE">
        <w:rPr>
          <w:rFonts w:asciiTheme="minorHAnsi" w:hAnsiTheme="minorHAnsi" w:cstheme="minorHAnsi"/>
          <w:bCs/>
          <w:sz w:val="22"/>
        </w:rPr>
        <w:t>red</w:t>
      </w:r>
      <w:r w:rsidR="00311308" w:rsidRPr="007D31AE">
        <w:rPr>
          <w:rFonts w:asciiTheme="minorHAnsi" w:hAnsiTheme="minorHAnsi" w:cstheme="minorHAnsi"/>
          <w:bCs/>
          <w:sz w:val="22"/>
        </w:rPr>
        <w:t xml:space="preserve"> in November 2020</w:t>
      </w:r>
      <w:r w:rsidR="007D31AE" w:rsidRPr="007D31AE">
        <w:rPr>
          <w:rFonts w:asciiTheme="minorHAnsi" w:hAnsiTheme="minorHAnsi" w:cstheme="minorHAnsi"/>
          <w:bCs/>
          <w:sz w:val="22"/>
        </w:rPr>
        <w:t xml:space="preserve"> and </w:t>
      </w:r>
      <w:r w:rsidR="00C90442">
        <w:rPr>
          <w:rFonts w:asciiTheme="minorHAnsi" w:hAnsiTheme="minorHAnsi" w:cstheme="minorHAnsi"/>
          <w:bCs/>
          <w:sz w:val="22"/>
        </w:rPr>
        <w:t xml:space="preserve">July 2021.  </w:t>
      </w:r>
    </w:p>
    <w:p w14:paraId="26C0CD32" w14:textId="284DC2F1" w:rsidR="00413D34" w:rsidRPr="00413D34" w:rsidRDefault="00651CFD" w:rsidP="00AA0F08">
      <w:pPr>
        <w:pStyle w:val="NumberedNormal"/>
        <w:numPr>
          <w:ilvl w:val="0"/>
          <w:numId w:val="10"/>
        </w:numPr>
        <w:rPr>
          <w:rFonts w:asciiTheme="minorHAnsi" w:hAnsiTheme="minorHAnsi" w:cstheme="minorHAnsi"/>
          <w:sz w:val="22"/>
        </w:rPr>
      </w:pPr>
      <w:r w:rsidRPr="00413D34">
        <w:rPr>
          <w:rFonts w:asciiTheme="minorHAnsi" w:hAnsiTheme="minorHAnsi" w:cstheme="minorHAnsi"/>
          <w:bCs/>
          <w:sz w:val="22"/>
        </w:rPr>
        <w:t>A</w:t>
      </w:r>
      <w:r w:rsidR="00DC4AAB">
        <w:rPr>
          <w:rFonts w:asciiTheme="minorHAnsi" w:hAnsiTheme="minorHAnsi" w:cstheme="minorHAnsi"/>
          <w:bCs/>
          <w:sz w:val="22"/>
        </w:rPr>
        <w:t xml:space="preserve"> table top exercise, followed by</w:t>
      </w:r>
      <w:r w:rsidRPr="00413D34">
        <w:rPr>
          <w:rFonts w:asciiTheme="minorHAnsi" w:hAnsiTheme="minorHAnsi" w:cstheme="minorHAnsi"/>
          <w:bCs/>
          <w:sz w:val="22"/>
        </w:rPr>
        <w:t xml:space="preserve"> live exercise</w:t>
      </w:r>
      <w:r w:rsidR="0031727E">
        <w:rPr>
          <w:rFonts w:asciiTheme="minorHAnsi" w:hAnsiTheme="minorHAnsi" w:cstheme="minorHAnsi"/>
          <w:bCs/>
          <w:sz w:val="22"/>
        </w:rPr>
        <w:t>,</w:t>
      </w:r>
      <w:r w:rsidRPr="00413D34">
        <w:rPr>
          <w:rFonts w:asciiTheme="minorHAnsi" w:hAnsiTheme="minorHAnsi" w:cstheme="minorHAnsi"/>
          <w:bCs/>
          <w:sz w:val="22"/>
        </w:rPr>
        <w:t xml:space="preserve"> took place in July 2021</w:t>
      </w:r>
      <w:r w:rsidR="00413D34" w:rsidRPr="00413D34">
        <w:rPr>
          <w:rFonts w:asciiTheme="minorHAnsi" w:hAnsiTheme="minorHAnsi" w:cstheme="minorHAnsi"/>
          <w:bCs/>
          <w:sz w:val="22"/>
        </w:rPr>
        <w:t>, in partnership with the Campbell Centre, Central North West London NHS</w:t>
      </w:r>
      <w:r w:rsidR="00F75A98">
        <w:rPr>
          <w:rFonts w:asciiTheme="minorHAnsi" w:hAnsiTheme="minorHAnsi" w:cstheme="minorHAnsi"/>
          <w:bCs/>
          <w:sz w:val="22"/>
        </w:rPr>
        <w:t xml:space="preserve"> Foundation</w:t>
      </w:r>
      <w:r w:rsidR="00413D34" w:rsidRPr="00413D34">
        <w:rPr>
          <w:rFonts w:asciiTheme="minorHAnsi" w:hAnsiTheme="minorHAnsi" w:cstheme="minorHAnsi"/>
          <w:bCs/>
          <w:sz w:val="22"/>
        </w:rPr>
        <w:t xml:space="preserve"> Trust </w:t>
      </w:r>
      <w:r w:rsidRPr="00413D34">
        <w:rPr>
          <w:rFonts w:asciiTheme="minorHAnsi" w:hAnsiTheme="minorHAnsi" w:cstheme="minorHAnsi"/>
          <w:bCs/>
          <w:sz w:val="22"/>
        </w:rPr>
        <w:t xml:space="preserve">to test the </w:t>
      </w:r>
      <w:r w:rsidR="00413D34" w:rsidRPr="00413D34">
        <w:rPr>
          <w:rFonts w:asciiTheme="minorHAnsi" w:hAnsiTheme="minorHAnsi" w:cstheme="minorHAnsi"/>
          <w:bCs/>
          <w:sz w:val="22"/>
        </w:rPr>
        <w:t>Marlborough</w:t>
      </w:r>
      <w:r w:rsidRPr="00413D34">
        <w:rPr>
          <w:rFonts w:asciiTheme="minorHAnsi" w:hAnsiTheme="minorHAnsi" w:cstheme="minorHAnsi"/>
          <w:bCs/>
          <w:sz w:val="22"/>
        </w:rPr>
        <w:t xml:space="preserve"> House, Milton Keynes </w:t>
      </w:r>
      <w:r w:rsidR="00413D34">
        <w:rPr>
          <w:rFonts w:asciiTheme="minorHAnsi" w:hAnsiTheme="minorHAnsi" w:cstheme="minorHAnsi"/>
          <w:bCs/>
          <w:sz w:val="22"/>
        </w:rPr>
        <w:t>hospital</w:t>
      </w:r>
      <w:r w:rsidRPr="00413D34">
        <w:rPr>
          <w:rFonts w:asciiTheme="minorHAnsi" w:hAnsiTheme="minorHAnsi" w:cstheme="minorHAnsi"/>
          <w:bCs/>
          <w:sz w:val="22"/>
        </w:rPr>
        <w:t xml:space="preserve"> evacuation plan</w:t>
      </w:r>
      <w:r w:rsidR="00413D34">
        <w:rPr>
          <w:rFonts w:asciiTheme="minorHAnsi" w:hAnsiTheme="minorHAnsi" w:cstheme="minorHAnsi"/>
          <w:bCs/>
          <w:sz w:val="22"/>
        </w:rPr>
        <w:t>.</w:t>
      </w:r>
    </w:p>
    <w:p w14:paraId="2B51A67C" w14:textId="549D2F23" w:rsidR="00DD2B95" w:rsidRPr="00DD2B95" w:rsidRDefault="008A7505" w:rsidP="00AA0F08">
      <w:pPr>
        <w:pStyle w:val="NumberedNormal"/>
        <w:numPr>
          <w:ilvl w:val="0"/>
          <w:numId w:val="10"/>
        </w:numPr>
        <w:rPr>
          <w:rFonts w:asciiTheme="minorHAnsi" w:hAnsiTheme="minorHAnsi" w:cstheme="minorHAnsi"/>
          <w:sz w:val="22"/>
        </w:rPr>
      </w:pPr>
      <w:r>
        <w:rPr>
          <w:rFonts w:asciiTheme="minorHAnsi" w:hAnsiTheme="minorHAnsi" w:cstheme="minorHAnsi"/>
          <w:bCs/>
          <w:sz w:val="22"/>
        </w:rPr>
        <w:t xml:space="preserve">The following live events </w:t>
      </w:r>
      <w:r w:rsidR="00DD2B95">
        <w:rPr>
          <w:rFonts w:asciiTheme="minorHAnsi" w:hAnsiTheme="minorHAnsi" w:cstheme="minorHAnsi"/>
          <w:bCs/>
          <w:sz w:val="22"/>
        </w:rPr>
        <w:t>required the implementation</w:t>
      </w:r>
      <w:r w:rsidR="000D51E4">
        <w:rPr>
          <w:rFonts w:asciiTheme="minorHAnsi" w:hAnsiTheme="minorHAnsi" w:cstheme="minorHAnsi"/>
          <w:bCs/>
          <w:sz w:val="22"/>
        </w:rPr>
        <w:t xml:space="preserve"> </w:t>
      </w:r>
      <w:r w:rsidR="00DD2B95">
        <w:rPr>
          <w:rFonts w:asciiTheme="minorHAnsi" w:hAnsiTheme="minorHAnsi" w:cstheme="minorHAnsi"/>
          <w:bCs/>
          <w:sz w:val="22"/>
        </w:rPr>
        <w:t xml:space="preserve">of </w:t>
      </w:r>
      <w:r w:rsidR="000D51E4">
        <w:rPr>
          <w:rFonts w:asciiTheme="minorHAnsi" w:hAnsiTheme="minorHAnsi" w:cstheme="minorHAnsi"/>
          <w:bCs/>
          <w:sz w:val="22"/>
        </w:rPr>
        <w:t>incident</w:t>
      </w:r>
      <w:r w:rsidR="00DD2B95">
        <w:rPr>
          <w:rFonts w:asciiTheme="minorHAnsi" w:hAnsiTheme="minorHAnsi" w:cstheme="minorHAnsi"/>
          <w:bCs/>
          <w:sz w:val="22"/>
        </w:rPr>
        <w:t xml:space="preserve"> </w:t>
      </w:r>
      <w:r w:rsidR="000D51E4">
        <w:rPr>
          <w:rFonts w:asciiTheme="minorHAnsi" w:hAnsiTheme="minorHAnsi" w:cstheme="minorHAnsi"/>
          <w:bCs/>
          <w:sz w:val="22"/>
        </w:rPr>
        <w:t>response</w:t>
      </w:r>
      <w:r w:rsidR="00DD2B95">
        <w:rPr>
          <w:rFonts w:asciiTheme="minorHAnsi" w:hAnsiTheme="minorHAnsi" w:cstheme="minorHAnsi"/>
          <w:bCs/>
          <w:sz w:val="22"/>
        </w:rPr>
        <w:t xml:space="preserve"> plans and bu</w:t>
      </w:r>
      <w:r w:rsidR="000D51E4">
        <w:rPr>
          <w:rFonts w:asciiTheme="minorHAnsi" w:hAnsiTheme="minorHAnsi" w:cstheme="minorHAnsi"/>
          <w:bCs/>
          <w:sz w:val="22"/>
        </w:rPr>
        <w:t>siness</w:t>
      </w:r>
      <w:r w:rsidR="00DD2B95">
        <w:rPr>
          <w:rFonts w:asciiTheme="minorHAnsi" w:hAnsiTheme="minorHAnsi" w:cstheme="minorHAnsi"/>
          <w:bCs/>
          <w:sz w:val="22"/>
        </w:rPr>
        <w:t xml:space="preserve"> continuity plans</w:t>
      </w:r>
    </w:p>
    <w:p w14:paraId="014A15FE" w14:textId="709EB870" w:rsidR="00DD2B95" w:rsidRPr="00DD2B95" w:rsidRDefault="000D51E4" w:rsidP="00DD2B95">
      <w:pPr>
        <w:pStyle w:val="NumberedNormal"/>
        <w:numPr>
          <w:ilvl w:val="1"/>
          <w:numId w:val="10"/>
        </w:numPr>
        <w:rPr>
          <w:rFonts w:asciiTheme="minorHAnsi" w:hAnsiTheme="minorHAnsi" w:cstheme="minorHAnsi"/>
          <w:sz w:val="22"/>
        </w:rPr>
      </w:pPr>
      <w:r>
        <w:rPr>
          <w:rFonts w:asciiTheme="minorHAnsi" w:hAnsiTheme="minorHAnsi" w:cstheme="minorHAnsi"/>
          <w:sz w:val="22"/>
        </w:rPr>
        <w:t>H</w:t>
      </w:r>
      <w:r w:rsidR="00DD2B95">
        <w:rPr>
          <w:rFonts w:asciiTheme="minorHAnsi" w:hAnsiTheme="minorHAnsi" w:cstheme="minorHAnsi"/>
          <w:sz w:val="22"/>
        </w:rPr>
        <w:t>eatwave: At the e</w:t>
      </w:r>
      <w:r w:rsidR="00DD2B95" w:rsidRPr="00F86824">
        <w:rPr>
          <w:rFonts w:asciiTheme="minorHAnsi" w:hAnsiTheme="minorHAnsi" w:cstheme="minorHAnsi"/>
          <w:sz w:val="22"/>
        </w:rPr>
        <w:t>nd of July</w:t>
      </w:r>
      <w:r w:rsidR="00DD2B95">
        <w:rPr>
          <w:rFonts w:asciiTheme="minorHAnsi" w:hAnsiTheme="minorHAnsi" w:cstheme="minorHAnsi"/>
          <w:sz w:val="22"/>
        </w:rPr>
        <w:t>,</w:t>
      </w:r>
      <w:r w:rsidR="00DD2B95" w:rsidRPr="00F86824">
        <w:rPr>
          <w:rFonts w:asciiTheme="minorHAnsi" w:hAnsiTheme="minorHAnsi" w:cstheme="minorHAnsi"/>
          <w:sz w:val="22"/>
        </w:rPr>
        <w:t xml:space="preserve"> </w:t>
      </w:r>
      <w:r w:rsidR="00DD2B95">
        <w:rPr>
          <w:rFonts w:asciiTheme="minorHAnsi" w:hAnsiTheme="minorHAnsi" w:cstheme="minorHAnsi"/>
          <w:sz w:val="22"/>
        </w:rPr>
        <w:t>the UK</w:t>
      </w:r>
      <w:r w:rsidR="00DD2B95" w:rsidRPr="00F86824">
        <w:rPr>
          <w:rFonts w:asciiTheme="minorHAnsi" w:hAnsiTheme="minorHAnsi" w:cstheme="minorHAnsi"/>
          <w:sz w:val="22"/>
        </w:rPr>
        <w:t xml:space="preserve"> experienced temperatures which prompted a level 3</w:t>
      </w:r>
      <w:r w:rsidR="00E257DF">
        <w:rPr>
          <w:rStyle w:val="FootnoteReference"/>
          <w:rFonts w:asciiTheme="minorHAnsi" w:hAnsiTheme="minorHAnsi" w:cstheme="minorHAnsi"/>
          <w:sz w:val="22"/>
        </w:rPr>
        <w:footnoteReference w:id="1"/>
      </w:r>
      <w:r w:rsidR="00DD2B95" w:rsidRPr="00F86824">
        <w:rPr>
          <w:rFonts w:asciiTheme="minorHAnsi" w:hAnsiTheme="minorHAnsi" w:cstheme="minorHAnsi"/>
          <w:sz w:val="22"/>
        </w:rPr>
        <w:t xml:space="preserve"> heatwave action declaration.  </w:t>
      </w:r>
      <w:r w:rsidR="00DD2B95">
        <w:rPr>
          <w:rFonts w:asciiTheme="minorHAnsi" w:hAnsiTheme="minorHAnsi" w:cstheme="minorHAnsi"/>
          <w:sz w:val="22"/>
        </w:rPr>
        <w:t xml:space="preserve">Learning from the incident resulted in bringing forward </w:t>
      </w:r>
      <w:r w:rsidR="00962A8F">
        <w:rPr>
          <w:rFonts w:asciiTheme="minorHAnsi" w:hAnsiTheme="minorHAnsi" w:cstheme="minorHAnsi"/>
          <w:sz w:val="22"/>
        </w:rPr>
        <w:t xml:space="preserve">several </w:t>
      </w:r>
      <w:r w:rsidR="00DD2B95">
        <w:rPr>
          <w:rFonts w:asciiTheme="minorHAnsi" w:hAnsiTheme="minorHAnsi" w:cstheme="minorHAnsi"/>
          <w:sz w:val="22"/>
        </w:rPr>
        <w:t>actions to level 2</w:t>
      </w:r>
      <w:r w:rsidR="009408C7">
        <w:rPr>
          <w:rStyle w:val="FootnoteReference"/>
          <w:rFonts w:asciiTheme="minorHAnsi" w:hAnsiTheme="minorHAnsi" w:cstheme="minorHAnsi"/>
          <w:sz w:val="22"/>
        </w:rPr>
        <w:footnoteReference w:id="2"/>
      </w:r>
      <w:r w:rsidR="00DD2B95">
        <w:rPr>
          <w:rFonts w:asciiTheme="minorHAnsi" w:hAnsiTheme="minorHAnsi" w:cstheme="minorHAnsi"/>
          <w:sz w:val="22"/>
        </w:rPr>
        <w:t xml:space="preserve"> that had previously been listed under level 3 of the heatwave plan to ensure </w:t>
      </w:r>
      <w:r w:rsidR="00DD2B95" w:rsidRPr="00756626">
        <w:rPr>
          <w:rFonts w:asciiTheme="minorHAnsi" w:hAnsiTheme="minorHAnsi" w:cstheme="minorHAnsi"/>
          <w:sz w:val="22"/>
        </w:rPr>
        <w:t xml:space="preserve">inpatient wards were prepared in advance for the high temperatures.  </w:t>
      </w:r>
    </w:p>
    <w:p w14:paraId="50B41C52" w14:textId="30F227C6" w:rsidR="00F24517" w:rsidRPr="000D51E4" w:rsidRDefault="00DD2B95" w:rsidP="00DD2B95">
      <w:pPr>
        <w:pStyle w:val="NumberedNormal"/>
        <w:numPr>
          <w:ilvl w:val="1"/>
          <w:numId w:val="10"/>
        </w:numPr>
        <w:rPr>
          <w:rFonts w:asciiTheme="minorHAnsi" w:hAnsiTheme="minorHAnsi" w:cstheme="minorHAnsi"/>
          <w:sz w:val="22"/>
        </w:rPr>
      </w:pPr>
      <w:r>
        <w:rPr>
          <w:rFonts w:asciiTheme="minorHAnsi" w:hAnsiTheme="minorHAnsi" w:cstheme="minorHAnsi"/>
          <w:bCs/>
          <w:sz w:val="22"/>
        </w:rPr>
        <w:t xml:space="preserve">Fuel shortage: </w:t>
      </w:r>
      <w:r w:rsidR="00F21D90">
        <w:rPr>
          <w:rFonts w:asciiTheme="minorHAnsi" w:hAnsiTheme="minorHAnsi" w:cstheme="minorHAnsi"/>
          <w:bCs/>
          <w:sz w:val="22"/>
        </w:rPr>
        <w:t>An</w:t>
      </w:r>
      <w:r w:rsidR="00AB0F3F">
        <w:rPr>
          <w:rFonts w:asciiTheme="minorHAnsi" w:hAnsiTheme="minorHAnsi" w:cstheme="minorHAnsi"/>
          <w:bCs/>
          <w:sz w:val="22"/>
        </w:rPr>
        <w:t xml:space="preserve"> </w:t>
      </w:r>
      <w:r w:rsidR="00F21D90">
        <w:rPr>
          <w:rFonts w:asciiTheme="minorHAnsi" w:hAnsiTheme="minorHAnsi" w:cstheme="minorHAnsi"/>
          <w:bCs/>
          <w:sz w:val="22"/>
        </w:rPr>
        <w:t xml:space="preserve">incident coordination centre was set up to manage the disruption to fuel supplies from </w:t>
      </w:r>
      <w:r w:rsidR="007E344A">
        <w:rPr>
          <w:rFonts w:asciiTheme="minorHAnsi" w:hAnsiTheme="minorHAnsi" w:cstheme="minorHAnsi"/>
          <w:bCs/>
          <w:sz w:val="22"/>
        </w:rPr>
        <w:t>28 September – 4 October.</w:t>
      </w:r>
      <w:r w:rsidR="0053776B">
        <w:rPr>
          <w:rFonts w:asciiTheme="minorHAnsi" w:hAnsiTheme="minorHAnsi" w:cstheme="minorHAnsi"/>
          <w:bCs/>
          <w:sz w:val="22"/>
        </w:rPr>
        <w:t xml:space="preserve">  </w:t>
      </w:r>
    </w:p>
    <w:p w14:paraId="54ECAB39" w14:textId="5A88C535" w:rsidR="000D51E4" w:rsidRPr="000D51E4" w:rsidRDefault="000D51E4" w:rsidP="00DD2B95">
      <w:pPr>
        <w:pStyle w:val="NumberedNormal"/>
        <w:numPr>
          <w:ilvl w:val="1"/>
          <w:numId w:val="10"/>
        </w:numPr>
        <w:rPr>
          <w:rFonts w:asciiTheme="minorHAnsi" w:hAnsiTheme="minorHAnsi" w:cstheme="minorHAnsi"/>
          <w:sz w:val="22"/>
        </w:rPr>
      </w:pPr>
      <w:r>
        <w:rPr>
          <w:rFonts w:asciiTheme="minorHAnsi" w:hAnsiTheme="minorHAnsi" w:cstheme="minorHAnsi"/>
          <w:bCs/>
          <w:sz w:val="22"/>
        </w:rPr>
        <w:t xml:space="preserve">Mains water disruption: </w:t>
      </w:r>
      <w:r w:rsidR="00DC72B4">
        <w:rPr>
          <w:rFonts w:asciiTheme="minorHAnsi" w:hAnsiTheme="minorHAnsi" w:cstheme="minorHAnsi"/>
          <w:bCs/>
          <w:sz w:val="22"/>
        </w:rPr>
        <w:t>O</w:t>
      </w:r>
      <w:r>
        <w:rPr>
          <w:rFonts w:asciiTheme="minorHAnsi" w:hAnsiTheme="minorHAnsi" w:cstheme="minorHAnsi"/>
          <w:bCs/>
          <w:sz w:val="22"/>
        </w:rPr>
        <w:t>n 26 October 20</w:t>
      </w:r>
      <w:r w:rsidR="00962A8F">
        <w:rPr>
          <w:rFonts w:asciiTheme="minorHAnsi" w:hAnsiTheme="minorHAnsi" w:cstheme="minorHAnsi"/>
          <w:bCs/>
          <w:sz w:val="22"/>
        </w:rPr>
        <w:t>21</w:t>
      </w:r>
      <w:r w:rsidR="00DC72B4">
        <w:rPr>
          <w:rFonts w:asciiTheme="minorHAnsi" w:hAnsiTheme="minorHAnsi" w:cstheme="minorHAnsi"/>
          <w:bCs/>
          <w:sz w:val="22"/>
        </w:rPr>
        <w:t xml:space="preserve"> a mains water leak required the </w:t>
      </w:r>
      <w:r>
        <w:rPr>
          <w:rFonts w:asciiTheme="minorHAnsi" w:hAnsiTheme="minorHAnsi" w:cstheme="minorHAnsi"/>
          <w:bCs/>
          <w:sz w:val="22"/>
        </w:rPr>
        <w:t xml:space="preserve">implementation of the business continuity </w:t>
      </w:r>
      <w:r w:rsidR="0029681A">
        <w:rPr>
          <w:rFonts w:asciiTheme="minorHAnsi" w:hAnsiTheme="minorHAnsi" w:cstheme="minorHAnsi"/>
          <w:bCs/>
          <w:sz w:val="22"/>
        </w:rPr>
        <w:t>plan</w:t>
      </w:r>
      <w:r w:rsidR="00864DBF">
        <w:rPr>
          <w:rFonts w:asciiTheme="minorHAnsi" w:hAnsiTheme="minorHAnsi" w:cstheme="minorHAnsi"/>
          <w:bCs/>
          <w:sz w:val="22"/>
        </w:rPr>
        <w:t xml:space="preserve"> which included </w:t>
      </w:r>
      <w:r>
        <w:rPr>
          <w:rFonts w:asciiTheme="minorHAnsi" w:hAnsiTheme="minorHAnsi" w:cstheme="minorHAnsi"/>
          <w:bCs/>
          <w:sz w:val="22"/>
        </w:rPr>
        <w:t xml:space="preserve">the deployment of a water tanker </w:t>
      </w:r>
      <w:r w:rsidR="00DC72B4">
        <w:rPr>
          <w:rFonts w:asciiTheme="minorHAnsi" w:hAnsiTheme="minorHAnsi" w:cstheme="minorHAnsi"/>
          <w:bCs/>
          <w:sz w:val="22"/>
        </w:rPr>
        <w:t xml:space="preserve">by Thames Water </w:t>
      </w:r>
      <w:r>
        <w:rPr>
          <w:rFonts w:asciiTheme="minorHAnsi" w:hAnsiTheme="minorHAnsi" w:cstheme="minorHAnsi"/>
          <w:bCs/>
          <w:sz w:val="22"/>
        </w:rPr>
        <w:t>to Wallingford community hospital</w:t>
      </w:r>
      <w:r w:rsidR="00853C13">
        <w:rPr>
          <w:rFonts w:asciiTheme="minorHAnsi" w:hAnsiTheme="minorHAnsi" w:cstheme="minorHAnsi"/>
          <w:bCs/>
          <w:sz w:val="22"/>
        </w:rPr>
        <w:t>.</w:t>
      </w:r>
      <w:r>
        <w:rPr>
          <w:rFonts w:asciiTheme="minorHAnsi" w:hAnsiTheme="minorHAnsi" w:cstheme="minorHAnsi"/>
          <w:bCs/>
          <w:sz w:val="22"/>
        </w:rPr>
        <w:t xml:space="preserve"> </w:t>
      </w:r>
    </w:p>
    <w:p w14:paraId="147CCDFC" w14:textId="126712BB" w:rsidR="00BD7917" w:rsidRPr="004A74EF" w:rsidRDefault="001E53A3" w:rsidP="002840C6">
      <w:pPr>
        <w:pStyle w:val="Heading1"/>
        <w:ind w:left="357" w:hanging="357"/>
        <w:rPr>
          <w:rFonts w:asciiTheme="minorHAnsi" w:hAnsiTheme="minorHAnsi" w:cstheme="minorHAnsi"/>
          <w:color w:val="auto"/>
          <w:sz w:val="22"/>
          <w:szCs w:val="22"/>
        </w:rPr>
      </w:pPr>
      <w:bookmarkStart w:id="3" w:name="_Toc54684191"/>
      <w:r w:rsidRPr="004A74EF">
        <w:rPr>
          <w:rFonts w:asciiTheme="minorHAnsi" w:hAnsiTheme="minorHAnsi" w:cstheme="minorHAnsi"/>
          <w:color w:val="auto"/>
          <w:sz w:val="22"/>
          <w:szCs w:val="22"/>
        </w:rPr>
        <w:t>Assurance</w:t>
      </w:r>
      <w:r w:rsidR="00163E6C" w:rsidRPr="004A74EF">
        <w:rPr>
          <w:rFonts w:asciiTheme="minorHAnsi" w:hAnsiTheme="minorHAnsi" w:cstheme="minorHAnsi"/>
          <w:color w:val="auto"/>
          <w:sz w:val="22"/>
          <w:szCs w:val="22"/>
        </w:rPr>
        <w:t xml:space="preserve"> - </w:t>
      </w:r>
      <w:r w:rsidR="00BD7917" w:rsidRPr="004A74EF">
        <w:rPr>
          <w:rFonts w:asciiTheme="minorHAnsi" w:hAnsiTheme="minorHAnsi" w:cstheme="minorHAnsi"/>
          <w:color w:val="auto"/>
          <w:sz w:val="22"/>
          <w:szCs w:val="22"/>
        </w:rPr>
        <w:t>NHS England core standards for EPRR</w:t>
      </w:r>
      <w:bookmarkEnd w:id="3"/>
    </w:p>
    <w:p w14:paraId="12F6EC47" w14:textId="77777777" w:rsidR="00BD7917" w:rsidRPr="004A74EF" w:rsidRDefault="00BD7917" w:rsidP="00BD7917">
      <w:pPr>
        <w:pStyle w:val="NumberedNormal"/>
        <w:rPr>
          <w:rFonts w:asciiTheme="minorHAnsi" w:hAnsiTheme="minorHAnsi" w:cstheme="minorHAnsi"/>
          <w:sz w:val="22"/>
        </w:rPr>
      </w:pPr>
      <w:r w:rsidRPr="004A74EF">
        <w:rPr>
          <w:rFonts w:asciiTheme="minorHAnsi" w:hAnsiTheme="minorHAnsi" w:cstheme="minorHAnsi"/>
          <w:sz w:val="22"/>
        </w:rPr>
        <w:t>The minimum requirements which commissioners and providers of NHS funded services must meet are set out in the NHS England core standards for EPRR.  The accountable emergency officer in each organisation is responsible for ensuring these standards are met.</w:t>
      </w:r>
    </w:p>
    <w:p w14:paraId="6D90BEA6" w14:textId="0288F5B3" w:rsidR="006F1435" w:rsidRPr="000B5D84" w:rsidRDefault="000A04D8" w:rsidP="000A04D8">
      <w:pPr>
        <w:pStyle w:val="NumberedNormal"/>
        <w:rPr>
          <w:rFonts w:asciiTheme="minorHAnsi" w:hAnsiTheme="minorHAnsi" w:cstheme="minorHAnsi"/>
          <w:sz w:val="22"/>
        </w:rPr>
      </w:pPr>
      <w:r w:rsidRPr="0029439A">
        <w:rPr>
          <w:rFonts w:asciiTheme="minorHAnsi" w:hAnsiTheme="minorHAnsi" w:cstheme="minorHAnsi"/>
          <w:sz w:val="22"/>
        </w:rPr>
        <w:t xml:space="preserve">NHS England </w:t>
      </w:r>
      <w:r w:rsidR="00143C74">
        <w:rPr>
          <w:rFonts w:asciiTheme="minorHAnsi" w:hAnsiTheme="minorHAnsi" w:cstheme="minorHAnsi"/>
          <w:sz w:val="22"/>
        </w:rPr>
        <w:t xml:space="preserve">and NHS Improvement </w:t>
      </w:r>
      <w:r w:rsidRPr="0029439A">
        <w:rPr>
          <w:rFonts w:asciiTheme="minorHAnsi" w:hAnsiTheme="minorHAnsi" w:cstheme="minorHAnsi"/>
          <w:sz w:val="22"/>
        </w:rPr>
        <w:t>stated</w:t>
      </w:r>
      <w:r w:rsidR="006F1435" w:rsidRPr="0029439A">
        <w:rPr>
          <w:rFonts w:asciiTheme="minorHAnsi" w:hAnsiTheme="minorHAnsi" w:cs="Segoe UI"/>
          <w:bCs/>
          <w:sz w:val="22"/>
          <w:lang w:val="en-US"/>
        </w:rPr>
        <w:t xml:space="preserve"> that </w:t>
      </w:r>
      <w:r w:rsidR="006F1435">
        <w:rPr>
          <w:rFonts w:asciiTheme="minorHAnsi" w:hAnsiTheme="minorHAnsi" w:cs="Segoe UI"/>
          <w:bCs/>
          <w:sz w:val="22"/>
          <w:lang w:val="en-US"/>
        </w:rPr>
        <w:t>due to</w:t>
      </w:r>
      <w:r w:rsidR="006F1435" w:rsidRPr="00877B61">
        <w:rPr>
          <w:rFonts w:asciiTheme="minorHAnsi" w:hAnsiTheme="minorHAnsi" w:cs="Segoe UI"/>
          <w:bCs/>
          <w:sz w:val="22"/>
          <w:lang w:val="en-US"/>
        </w:rPr>
        <w:t xml:space="preserve"> the events of 2020, the</w:t>
      </w:r>
      <w:r w:rsidR="002939C6">
        <w:rPr>
          <w:rFonts w:asciiTheme="minorHAnsi" w:hAnsiTheme="minorHAnsi" w:cs="Segoe UI"/>
          <w:bCs/>
          <w:sz w:val="22"/>
          <w:lang w:val="en-US"/>
        </w:rPr>
        <w:t xml:space="preserve"> core</w:t>
      </w:r>
      <w:r w:rsidR="006F1435" w:rsidRPr="00877B61">
        <w:rPr>
          <w:rFonts w:asciiTheme="minorHAnsi" w:hAnsiTheme="minorHAnsi" w:cs="Segoe UI"/>
          <w:bCs/>
          <w:sz w:val="22"/>
          <w:lang w:val="en-US"/>
        </w:rPr>
        <w:t xml:space="preserve"> standards</w:t>
      </w:r>
      <w:r w:rsidR="002939C6">
        <w:rPr>
          <w:rFonts w:asciiTheme="minorHAnsi" w:hAnsiTheme="minorHAnsi" w:cs="Segoe UI"/>
          <w:bCs/>
          <w:sz w:val="22"/>
          <w:lang w:val="en-US"/>
        </w:rPr>
        <w:t xml:space="preserve"> had</w:t>
      </w:r>
      <w:r w:rsidR="006F1435" w:rsidRPr="00877B61">
        <w:rPr>
          <w:rFonts w:asciiTheme="minorHAnsi" w:hAnsiTheme="minorHAnsi" w:cs="Segoe UI"/>
          <w:bCs/>
          <w:sz w:val="22"/>
          <w:lang w:val="en-US"/>
        </w:rPr>
        <w:t xml:space="preserve"> not receive</w:t>
      </w:r>
      <w:r w:rsidR="0029439A">
        <w:rPr>
          <w:rFonts w:asciiTheme="minorHAnsi" w:hAnsiTheme="minorHAnsi" w:cs="Segoe UI"/>
          <w:bCs/>
          <w:sz w:val="22"/>
          <w:lang w:val="en-US"/>
        </w:rPr>
        <w:t>d</w:t>
      </w:r>
      <w:r w:rsidR="006F1435" w:rsidRPr="00877B61">
        <w:rPr>
          <w:rFonts w:asciiTheme="minorHAnsi" w:hAnsiTheme="minorHAnsi" w:cs="Segoe UI"/>
          <w:bCs/>
          <w:sz w:val="22"/>
          <w:lang w:val="en-US"/>
        </w:rPr>
        <w:t xml:space="preserve"> their tri-annual review and</w:t>
      </w:r>
      <w:r w:rsidR="006F1435">
        <w:rPr>
          <w:rFonts w:asciiTheme="minorHAnsi" w:hAnsiTheme="minorHAnsi" w:cs="Segoe UI"/>
          <w:bCs/>
          <w:sz w:val="22"/>
          <w:lang w:val="en-US"/>
        </w:rPr>
        <w:t xml:space="preserve"> </w:t>
      </w:r>
      <w:r w:rsidR="0029439A">
        <w:rPr>
          <w:rFonts w:asciiTheme="minorHAnsi" w:hAnsiTheme="minorHAnsi" w:cs="Segoe UI"/>
          <w:bCs/>
          <w:sz w:val="22"/>
          <w:lang w:val="en-US"/>
        </w:rPr>
        <w:t xml:space="preserve">therefore </w:t>
      </w:r>
      <w:r w:rsidR="006F1435" w:rsidRPr="00877B61">
        <w:rPr>
          <w:rFonts w:asciiTheme="minorHAnsi" w:hAnsiTheme="minorHAnsi" w:cs="Segoe UI"/>
          <w:bCs/>
          <w:sz w:val="22"/>
          <w:lang w:val="en-US"/>
        </w:rPr>
        <w:t>not all standards reflect current best practice.</w:t>
      </w:r>
      <w:r w:rsidR="006F1435">
        <w:rPr>
          <w:rFonts w:asciiTheme="minorHAnsi" w:hAnsiTheme="minorHAnsi" w:cs="Segoe UI"/>
          <w:bCs/>
          <w:sz w:val="22"/>
          <w:lang w:val="en-US"/>
        </w:rPr>
        <w:t xml:space="preserve">  As a </w:t>
      </w:r>
      <w:r w:rsidR="00D404E3">
        <w:rPr>
          <w:rFonts w:asciiTheme="minorHAnsi" w:hAnsiTheme="minorHAnsi" w:cs="Segoe UI"/>
          <w:bCs/>
          <w:sz w:val="22"/>
          <w:lang w:val="en-US"/>
        </w:rPr>
        <w:t>resu</w:t>
      </w:r>
      <w:r w:rsidR="00D404E3" w:rsidRPr="00450A79">
        <w:rPr>
          <w:rFonts w:asciiTheme="minorHAnsi" w:hAnsiTheme="minorHAnsi" w:cs="Segoe UI"/>
          <w:bCs/>
          <w:sz w:val="22"/>
          <w:lang w:val="en-US"/>
        </w:rPr>
        <w:t>lt,</w:t>
      </w:r>
      <w:r w:rsidR="00ED17EF">
        <w:rPr>
          <w:rFonts w:asciiTheme="minorHAnsi" w:hAnsiTheme="minorHAnsi" w:cs="Segoe UI"/>
          <w:bCs/>
          <w:sz w:val="22"/>
          <w:lang w:val="en-US"/>
        </w:rPr>
        <w:t xml:space="preserve"> various standards were </w:t>
      </w:r>
      <w:r w:rsidR="00C26AE1">
        <w:rPr>
          <w:rFonts w:asciiTheme="minorHAnsi" w:hAnsiTheme="minorHAnsi" w:cs="Segoe UI"/>
          <w:bCs/>
          <w:sz w:val="22"/>
          <w:lang w:val="en-US"/>
        </w:rPr>
        <w:t xml:space="preserve">removed including </w:t>
      </w:r>
      <w:r w:rsidR="006F1435" w:rsidRPr="00450A79">
        <w:rPr>
          <w:rFonts w:asciiTheme="minorHAnsi" w:hAnsiTheme="minorHAnsi" w:cs="Segoe UI"/>
          <w:bCs/>
          <w:sz w:val="22"/>
          <w:lang w:val="en-US"/>
        </w:rPr>
        <w:t>a</w:t>
      </w:r>
      <w:r w:rsidR="006F1435">
        <w:rPr>
          <w:rFonts w:asciiTheme="minorHAnsi" w:hAnsiTheme="minorHAnsi" w:cs="Segoe UI"/>
          <w:bCs/>
          <w:sz w:val="22"/>
          <w:lang w:val="en-US"/>
        </w:rPr>
        <w:t xml:space="preserve">ll training standards and the requirement to </w:t>
      </w:r>
      <w:r w:rsidR="00C26AE1">
        <w:rPr>
          <w:rFonts w:asciiTheme="minorHAnsi" w:hAnsiTheme="minorHAnsi" w:cs="Segoe UI"/>
          <w:bCs/>
          <w:sz w:val="22"/>
          <w:lang w:val="en-US"/>
        </w:rPr>
        <w:t>have u</w:t>
      </w:r>
      <w:r w:rsidR="006F1435">
        <w:rPr>
          <w:rFonts w:asciiTheme="minorHAnsi" w:hAnsiTheme="minorHAnsi" w:cs="Segoe UI"/>
          <w:bCs/>
          <w:sz w:val="22"/>
          <w:lang w:val="en-US"/>
        </w:rPr>
        <w:t>pdate</w:t>
      </w:r>
      <w:r w:rsidR="00C26AE1">
        <w:rPr>
          <w:rFonts w:asciiTheme="minorHAnsi" w:hAnsiTheme="minorHAnsi" w:cs="Segoe UI"/>
          <w:bCs/>
          <w:sz w:val="22"/>
          <w:lang w:val="en-US"/>
        </w:rPr>
        <w:t>d</w:t>
      </w:r>
      <w:r w:rsidR="006F1435">
        <w:rPr>
          <w:rFonts w:asciiTheme="minorHAnsi" w:hAnsiTheme="minorHAnsi" w:cs="Segoe UI"/>
          <w:bCs/>
          <w:sz w:val="22"/>
          <w:lang w:val="en-US"/>
        </w:rPr>
        <w:t xml:space="preserve"> all plans in the last 12 months.  The deep dive </w:t>
      </w:r>
      <w:r w:rsidR="00ED140C">
        <w:rPr>
          <w:rFonts w:asciiTheme="minorHAnsi" w:hAnsiTheme="minorHAnsi" w:cs="Segoe UI"/>
          <w:bCs/>
          <w:sz w:val="22"/>
          <w:lang w:val="en-US"/>
        </w:rPr>
        <w:t>focused</w:t>
      </w:r>
      <w:r w:rsidR="006F1435">
        <w:rPr>
          <w:rFonts w:asciiTheme="minorHAnsi" w:hAnsiTheme="minorHAnsi" w:cs="Segoe UI"/>
          <w:bCs/>
          <w:sz w:val="22"/>
          <w:lang w:val="en-US"/>
        </w:rPr>
        <w:t xml:space="preserve"> on medical gases and the medical gases lead confirmed full compliance with those </w:t>
      </w:r>
      <w:r w:rsidR="006F1435" w:rsidRPr="000B5D84">
        <w:rPr>
          <w:rFonts w:asciiTheme="minorHAnsi" w:hAnsiTheme="minorHAnsi" w:cs="Segoe UI"/>
          <w:bCs/>
          <w:sz w:val="22"/>
          <w:lang w:val="en-US"/>
        </w:rPr>
        <w:t xml:space="preserve">standards </w:t>
      </w:r>
      <w:r w:rsidR="00911C2D">
        <w:rPr>
          <w:rFonts w:asciiTheme="minorHAnsi" w:hAnsiTheme="minorHAnsi" w:cs="Segoe UI"/>
          <w:bCs/>
          <w:sz w:val="22"/>
          <w:lang w:val="en-US"/>
        </w:rPr>
        <w:t xml:space="preserve">that were </w:t>
      </w:r>
      <w:r w:rsidR="006F1435" w:rsidRPr="000B5D84">
        <w:rPr>
          <w:rFonts w:asciiTheme="minorHAnsi" w:hAnsiTheme="minorHAnsi" w:cs="Segoe UI"/>
          <w:bCs/>
          <w:sz w:val="22"/>
          <w:lang w:val="en-US"/>
        </w:rPr>
        <w:t>applicable to the Trust</w:t>
      </w:r>
      <w:bookmarkStart w:id="4" w:name="_Toc54684192"/>
      <w:r w:rsidR="00ED140C" w:rsidRPr="000B5D84">
        <w:rPr>
          <w:rFonts w:asciiTheme="minorHAnsi" w:hAnsiTheme="minorHAnsi" w:cs="Segoe UI"/>
          <w:bCs/>
          <w:sz w:val="22"/>
          <w:lang w:val="en-US"/>
        </w:rPr>
        <w:t>.</w:t>
      </w:r>
    </w:p>
    <w:bookmarkEnd w:id="4"/>
    <w:p w14:paraId="54E30570" w14:textId="1907D6A6" w:rsidR="00D1250A" w:rsidRPr="000B5D84" w:rsidRDefault="00BD7917" w:rsidP="00D1250A">
      <w:pPr>
        <w:pStyle w:val="NumberedNormal"/>
        <w:rPr>
          <w:rFonts w:asciiTheme="minorHAnsi" w:hAnsiTheme="minorHAnsi" w:cstheme="minorHAnsi"/>
          <w:sz w:val="22"/>
        </w:rPr>
      </w:pPr>
      <w:r w:rsidRPr="000B5D84">
        <w:rPr>
          <w:rFonts w:asciiTheme="minorHAnsi" w:hAnsiTheme="minorHAnsi" w:cstheme="minorHAnsi"/>
          <w:sz w:val="22"/>
        </w:rPr>
        <w:t xml:space="preserve">The outcome of the self-assessment showed that against </w:t>
      </w:r>
      <w:r w:rsidR="00F623C3" w:rsidRPr="000B5D84">
        <w:rPr>
          <w:rFonts w:asciiTheme="minorHAnsi" w:hAnsiTheme="minorHAnsi" w:cstheme="minorHAnsi"/>
          <w:sz w:val="22"/>
        </w:rPr>
        <w:t xml:space="preserve">the </w:t>
      </w:r>
      <w:r w:rsidR="000B5D84" w:rsidRPr="000B5D84">
        <w:rPr>
          <w:rFonts w:asciiTheme="minorHAnsi" w:hAnsiTheme="minorHAnsi" w:cstheme="minorHAnsi"/>
          <w:sz w:val="22"/>
        </w:rPr>
        <w:t>42</w:t>
      </w:r>
      <w:r w:rsidR="00F623C3" w:rsidRPr="000B5D84">
        <w:rPr>
          <w:rFonts w:asciiTheme="minorHAnsi" w:hAnsiTheme="minorHAnsi" w:cstheme="minorHAnsi"/>
          <w:sz w:val="22"/>
        </w:rPr>
        <w:t xml:space="preserve"> core standards which are applicable to the </w:t>
      </w:r>
      <w:r w:rsidR="00E81B8F" w:rsidRPr="000B5D84">
        <w:rPr>
          <w:rFonts w:asciiTheme="minorHAnsi" w:hAnsiTheme="minorHAnsi" w:cstheme="minorHAnsi"/>
          <w:sz w:val="22"/>
        </w:rPr>
        <w:t>organisation</w:t>
      </w:r>
      <w:r w:rsidR="00F623C3" w:rsidRPr="000B5D84">
        <w:rPr>
          <w:rFonts w:asciiTheme="minorHAnsi" w:hAnsiTheme="minorHAnsi" w:cstheme="minorHAnsi"/>
          <w:sz w:val="22"/>
        </w:rPr>
        <w:t>, the Trust is fully compliant</w:t>
      </w:r>
      <w:r w:rsidR="000B5D84" w:rsidRPr="000B5D84">
        <w:rPr>
          <w:rFonts w:asciiTheme="minorHAnsi" w:hAnsiTheme="minorHAnsi" w:cstheme="minorHAnsi"/>
          <w:sz w:val="22"/>
        </w:rPr>
        <w:t>.</w:t>
      </w:r>
    </w:p>
    <w:tbl>
      <w:tblPr>
        <w:tblW w:w="8189" w:type="dxa"/>
        <w:tblInd w:w="851" w:type="dxa"/>
        <w:shd w:val="clear" w:color="auto" w:fill="D9D9D9" w:themeFill="background1" w:themeFillShade="D9"/>
        <w:tblLook w:val="04A0" w:firstRow="1" w:lastRow="0" w:firstColumn="1" w:lastColumn="0" w:noHBand="0" w:noVBand="1"/>
      </w:tblPr>
      <w:tblGrid>
        <w:gridCol w:w="2917"/>
        <w:gridCol w:w="1318"/>
        <w:gridCol w:w="1318"/>
        <w:gridCol w:w="1318"/>
        <w:gridCol w:w="1318"/>
      </w:tblGrid>
      <w:tr w:rsidR="000B5D84" w:rsidRPr="000B5D84" w14:paraId="41EC42CD" w14:textId="77777777" w:rsidTr="00344D39">
        <w:trPr>
          <w:trHeight w:val="900"/>
        </w:trPr>
        <w:tc>
          <w:tcPr>
            <w:tcW w:w="2917" w:type="dxa"/>
            <w:tcBorders>
              <w:top w:val="nil"/>
              <w:left w:val="nil"/>
              <w:bottom w:val="nil"/>
              <w:right w:val="nil"/>
            </w:tcBorders>
            <w:shd w:val="clear" w:color="auto" w:fill="D9D9D9" w:themeFill="background1" w:themeFillShade="D9"/>
            <w:noWrap/>
            <w:vAlign w:val="center"/>
            <w:hideMark/>
          </w:tcPr>
          <w:p w14:paraId="6E35F992" w14:textId="77777777" w:rsidR="001E2E21" w:rsidRPr="000B5D84" w:rsidRDefault="001E2E21" w:rsidP="00344D39">
            <w:pPr>
              <w:spacing w:before="0" w:line="240" w:lineRule="auto"/>
              <w:contextualSpacing w:val="0"/>
              <w:rPr>
                <w:rFonts w:asciiTheme="minorHAnsi" w:eastAsia="Times New Roman" w:hAnsiTheme="minorHAnsi" w:cstheme="minorHAnsi"/>
                <w:b/>
                <w:bCs/>
                <w:sz w:val="22"/>
                <w:lang w:eastAsia="en-GB"/>
              </w:rPr>
            </w:pPr>
            <w:r w:rsidRPr="000B5D84">
              <w:rPr>
                <w:rFonts w:asciiTheme="minorHAnsi" w:eastAsia="Times New Roman" w:hAnsiTheme="minorHAnsi" w:cstheme="minorHAnsi"/>
                <w:b/>
                <w:bCs/>
                <w:sz w:val="22"/>
                <w:lang w:eastAsia="en-GB"/>
              </w:rPr>
              <w:t>Core Standards</w:t>
            </w:r>
          </w:p>
        </w:tc>
        <w:tc>
          <w:tcPr>
            <w:tcW w:w="1318" w:type="dxa"/>
            <w:tcBorders>
              <w:top w:val="nil"/>
              <w:left w:val="single" w:sz="4" w:space="0" w:color="FFFFFF"/>
              <w:bottom w:val="nil"/>
              <w:right w:val="nil"/>
            </w:tcBorders>
            <w:shd w:val="clear" w:color="auto" w:fill="D9D9D9" w:themeFill="background1" w:themeFillShade="D9"/>
            <w:vAlign w:val="center"/>
            <w:hideMark/>
          </w:tcPr>
          <w:p w14:paraId="27B458F1" w14:textId="77777777" w:rsidR="001E2E21" w:rsidRPr="000B5D84" w:rsidRDefault="001E2E21" w:rsidP="00344D39">
            <w:pPr>
              <w:spacing w:before="0" w:line="240" w:lineRule="auto"/>
              <w:contextualSpacing w:val="0"/>
              <w:jc w:val="center"/>
              <w:rPr>
                <w:rFonts w:asciiTheme="minorHAnsi" w:eastAsia="Times New Roman" w:hAnsiTheme="minorHAnsi" w:cstheme="minorHAnsi"/>
                <w:b/>
                <w:bCs/>
                <w:sz w:val="22"/>
                <w:lang w:eastAsia="en-GB"/>
              </w:rPr>
            </w:pPr>
            <w:r w:rsidRPr="000B5D84">
              <w:rPr>
                <w:rFonts w:asciiTheme="minorHAnsi" w:eastAsia="Times New Roman" w:hAnsiTheme="minorHAnsi" w:cstheme="minorHAnsi"/>
                <w:b/>
                <w:bCs/>
                <w:sz w:val="22"/>
                <w:lang w:eastAsia="en-GB"/>
              </w:rPr>
              <w:t>Total standards applicable</w:t>
            </w:r>
          </w:p>
        </w:tc>
        <w:tc>
          <w:tcPr>
            <w:tcW w:w="1318" w:type="dxa"/>
            <w:tcBorders>
              <w:top w:val="nil"/>
              <w:left w:val="single" w:sz="4" w:space="0" w:color="FFFFFF"/>
              <w:bottom w:val="nil"/>
              <w:right w:val="nil"/>
            </w:tcBorders>
            <w:shd w:val="clear" w:color="auto" w:fill="D9D9D9" w:themeFill="background1" w:themeFillShade="D9"/>
            <w:vAlign w:val="center"/>
            <w:hideMark/>
          </w:tcPr>
          <w:p w14:paraId="4CC4D59D" w14:textId="77777777" w:rsidR="001E2E21" w:rsidRPr="000B5D84" w:rsidRDefault="001E2E21" w:rsidP="00344D39">
            <w:pPr>
              <w:spacing w:before="0" w:line="240" w:lineRule="auto"/>
              <w:contextualSpacing w:val="0"/>
              <w:jc w:val="center"/>
              <w:rPr>
                <w:rFonts w:asciiTheme="minorHAnsi" w:eastAsia="Times New Roman" w:hAnsiTheme="minorHAnsi" w:cstheme="minorHAnsi"/>
                <w:b/>
                <w:bCs/>
                <w:sz w:val="22"/>
                <w:lang w:eastAsia="en-GB"/>
              </w:rPr>
            </w:pPr>
            <w:r w:rsidRPr="000B5D84">
              <w:rPr>
                <w:rFonts w:asciiTheme="minorHAnsi" w:eastAsia="Times New Roman" w:hAnsiTheme="minorHAnsi" w:cstheme="minorHAnsi"/>
                <w:b/>
                <w:bCs/>
                <w:sz w:val="22"/>
                <w:lang w:eastAsia="en-GB"/>
              </w:rPr>
              <w:t>Fully compliant</w:t>
            </w:r>
          </w:p>
        </w:tc>
        <w:tc>
          <w:tcPr>
            <w:tcW w:w="1318" w:type="dxa"/>
            <w:tcBorders>
              <w:top w:val="nil"/>
              <w:left w:val="single" w:sz="4" w:space="0" w:color="FFFFFF"/>
              <w:bottom w:val="nil"/>
              <w:right w:val="nil"/>
            </w:tcBorders>
            <w:shd w:val="clear" w:color="auto" w:fill="D9D9D9" w:themeFill="background1" w:themeFillShade="D9"/>
            <w:vAlign w:val="center"/>
            <w:hideMark/>
          </w:tcPr>
          <w:p w14:paraId="3643CD7D" w14:textId="77777777" w:rsidR="001E2E21" w:rsidRPr="000B5D84" w:rsidRDefault="001E2E21" w:rsidP="00344D39">
            <w:pPr>
              <w:spacing w:before="0" w:line="240" w:lineRule="auto"/>
              <w:contextualSpacing w:val="0"/>
              <w:jc w:val="center"/>
              <w:rPr>
                <w:rFonts w:asciiTheme="minorHAnsi" w:eastAsia="Times New Roman" w:hAnsiTheme="minorHAnsi" w:cstheme="minorHAnsi"/>
                <w:b/>
                <w:bCs/>
                <w:sz w:val="22"/>
                <w:lang w:eastAsia="en-GB"/>
              </w:rPr>
            </w:pPr>
            <w:r w:rsidRPr="000B5D84">
              <w:rPr>
                <w:rFonts w:asciiTheme="minorHAnsi" w:eastAsia="Times New Roman" w:hAnsiTheme="minorHAnsi" w:cstheme="minorHAnsi"/>
                <w:b/>
                <w:bCs/>
                <w:sz w:val="22"/>
                <w:lang w:eastAsia="en-GB"/>
              </w:rPr>
              <w:t>Partially compliant</w:t>
            </w:r>
          </w:p>
        </w:tc>
        <w:tc>
          <w:tcPr>
            <w:tcW w:w="1318" w:type="dxa"/>
            <w:tcBorders>
              <w:top w:val="nil"/>
              <w:left w:val="single" w:sz="4" w:space="0" w:color="FFFFFF"/>
              <w:bottom w:val="nil"/>
              <w:right w:val="nil"/>
            </w:tcBorders>
            <w:shd w:val="clear" w:color="auto" w:fill="D9D9D9" w:themeFill="background1" w:themeFillShade="D9"/>
            <w:vAlign w:val="center"/>
            <w:hideMark/>
          </w:tcPr>
          <w:p w14:paraId="622F0C00" w14:textId="7EA9ECE8" w:rsidR="001E2E21" w:rsidRPr="000B5D84" w:rsidRDefault="001D30A1" w:rsidP="00344D39">
            <w:pPr>
              <w:spacing w:before="0" w:line="240" w:lineRule="auto"/>
              <w:contextualSpacing w:val="0"/>
              <w:jc w:val="center"/>
              <w:rPr>
                <w:rFonts w:asciiTheme="minorHAnsi" w:eastAsia="Times New Roman" w:hAnsiTheme="minorHAnsi" w:cstheme="minorHAnsi"/>
                <w:b/>
                <w:bCs/>
                <w:sz w:val="22"/>
                <w:lang w:eastAsia="en-GB"/>
              </w:rPr>
            </w:pPr>
            <w:r w:rsidRPr="000B5D84">
              <w:rPr>
                <w:rFonts w:asciiTheme="minorHAnsi" w:eastAsia="Times New Roman" w:hAnsiTheme="minorHAnsi" w:cstheme="minorHAnsi"/>
                <w:b/>
                <w:bCs/>
                <w:sz w:val="22"/>
                <w:lang w:eastAsia="en-GB"/>
              </w:rPr>
              <w:t>Non-compliant</w:t>
            </w:r>
          </w:p>
        </w:tc>
      </w:tr>
      <w:tr w:rsidR="009B69D6" w:rsidRPr="009B69D6" w14:paraId="015BD4F8" w14:textId="77777777" w:rsidTr="00344D39">
        <w:trPr>
          <w:trHeight w:val="300"/>
        </w:trPr>
        <w:tc>
          <w:tcPr>
            <w:tcW w:w="2917"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bottom"/>
            <w:hideMark/>
          </w:tcPr>
          <w:p w14:paraId="1FCB9468" w14:textId="77777777" w:rsidR="001E2E21" w:rsidRPr="009B69D6" w:rsidRDefault="001E2E21" w:rsidP="00344D39">
            <w:pPr>
              <w:spacing w:before="0" w:line="240" w:lineRule="auto"/>
              <w:contextualSpacing w:val="0"/>
              <w:rPr>
                <w:rFonts w:asciiTheme="minorHAnsi" w:eastAsia="Times New Roman" w:hAnsiTheme="minorHAnsi" w:cstheme="minorHAnsi"/>
                <w:sz w:val="22"/>
                <w:lang w:eastAsia="en-GB"/>
              </w:rPr>
            </w:pPr>
            <w:r w:rsidRPr="009B69D6">
              <w:rPr>
                <w:rFonts w:asciiTheme="minorHAnsi" w:eastAsia="Times New Roman" w:hAnsiTheme="minorHAnsi" w:cstheme="minorHAnsi"/>
                <w:sz w:val="22"/>
                <w:lang w:eastAsia="en-GB"/>
              </w:rPr>
              <w:t>Governance</w:t>
            </w:r>
          </w:p>
        </w:tc>
        <w:tc>
          <w:tcPr>
            <w:tcW w:w="1318" w:type="dxa"/>
            <w:tcBorders>
              <w:top w:val="single" w:sz="4" w:space="0" w:color="BFBFBF"/>
              <w:left w:val="nil"/>
              <w:bottom w:val="single" w:sz="4" w:space="0" w:color="BFBFBF"/>
              <w:right w:val="single" w:sz="4" w:space="0" w:color="BFBFBF"/>
            </w:tcBorders>
            <w:shd w:val="clear" w:color="auto" w:fill="FFFFFF" w:themeFill="background1"/>
            <w:vAlign w:val="bottom"/>
            <w:hideMark/>
          </w:tcPr>
          <w:p w14:paraId="60091CC4" w14:textId="2D4406B8" w:rsidR="001E2E21" w:rsidRPr="009B69D6" w:rsidRDefault="009B69D6" w:rsidP="00344D39">
            <w:pPr>
              <w:spacing w:before="0" w:line="240" w:lineRule="auto"/>
              <w:contextualSpacing w:val="0"/>
              <w:jc w:val="center"/>
              <w:rPr>
                <w:rFonts w:asciiTheme="minorHAnsi" w:eastAsia="Times New Roman" w:hAnsiTheme="minorHAnsi" w:cstheme="minorHAnsi"/>
                <w:sz w:val="22"/>
                <w:lang w:eastAsia="en-GB"/>
              </w:rPr>
            </w:pPr>
            <w:r w:rsidRPr="009B69D6">
              <w:rPr>
                <w:rFonts w:asciiTheme="minorHAnsi" w:eastAsia="Times New Roman" w:hAnsiTheme="minorHAnsi" w:cstheme="minorHAnsi"/>
                <w:sz w:val="22"/>
                <w:lang w:eastAsia="en-GB"/>
              </w:rPr>
              <w:t>5</w:t>
            </w:r>
          </w:p>
        </w:tc>
        <w:tc>
          <w:tcPr>
            <w:tcW w:w="1318" w:type="dxa"/>
            <w:tcBorders>
              <w:top w:val="single" w:sz="4" w:space="0" w:color="BFBFBF"/>
              <w:left w:val="nil"/>
              <w:bottom w:val="single" w:sz="4" w:space="0" w:color="BFBFBF"/>
              <w:right w:val="single" w:sz="4" w:space="0" w:color="BFBFBF"/>
            </w:tcBorders>
            <w:shd w:val="clear" w:color="auto" w:fill="FFFFFF" w:themeFill="background1"/>
            <w:vAlign w:val="bottom"/>
            <w:hideMark/>
          </w:tcPr>
          <w:p w14:paraId="58A173E0" w14:textId="356760BD" w:rsidR="001E2E21" w:rsidRPr="009B69D6" w:rsidRDefault="009B69D6" w:rsidP="00344D39">
            <w:pPr>
              <w:spacing w:before="0" w:line="240" w:lineRule="auto"/>
              <w:contextualSpacing w:val="0"/>
              <w:jc w:val="center"/>
              <w:rPr>
                <w:rFonts w:asciiTheme="minorHAnsi" w:eastAsia="Times New Roman" w:hAnsiTheme="minorHAnsi" w:cstheme="minorHAnsi"/>
                <w:sz w:val="22"/>
                <w:lang w:eastAsia="en-GB"/>
              </w:rPr>
            </w:pPr>
            <w:r w:rsidRPr="009B69D6">
              <w:rPr>
                <w:rFonts w:asciiTheme="minorHAnsi" w:eastAsia="Times New Roman" w:hAnsiTheme="minorHAnsi" w:cstheme="minorHAnsi"/>
                <w:sz w:val="22"/>
                <w:lang w:eastAsia="en-GB"/>
              </w:rPr>
              <w:t>5</w:t>
            </w:r>
          </w:p>
        </w:tc>
        <w:tc>
          <w:tcPr>
            <w:tcW w:w="1318" w:type="dxa"/>
            <w:tcBorders>
              <w:top w:val="single" w:sz="4" w:space="0" w:color="BFBFBF"/>
              <w:left w:val="nil"/>
              <w:bottom w:val="single" w:sz="4" w:space="0" w:color="BFBFBF"/>
              <w:right w:val="single" w:sz="4" w:space="0" w:color="BFBFBF"/>
            </w:tcBorders>
            <w:shd w:val="clear" w:color="auto" w:fill="FFFFFF" w:themeFill="background1"/>
            <w:vAlign w:val="bottom"/>
            <w:hideMark/>
          </w:tcPr>
          <w:p w14:paraId="44E74F10" w14:textId="77777777" w:rsidR="001E2E21" w:rsidRPr="009B69D6" w:rsidRDefault="001E2E21" w:rsidP="00344D39">
            <w:pPr>
              <w:spacing w:before="0" w:line="240" w:lineRule="auto"/>
              <w:contextualSpacing w:val="0"/>
              <w:jc w:val="center"/>
              <w:rPr>
                <w:rFonts w:asciiTheme="minorHAnsi" w:eastAsia="Times New Roman" w:hAnsiTheme="minorHAnsi" w:cstheme="minorHAnsi"/>
                <w:sz w:val="22"/>
                <w:lang w:eastAsia="en-GB"/>
              </w:rPr>
            </w:pPr>
            <w:r w:rsidRPr="009B69D6">
              <w:rPr>
                <w:rFonts w:asciiTheme="minorHAnsi" w:eastAsia="Times New Roman" w:hAnsiTheme="minorHAnsi" w:cstheme="minorHAnsi"/>
                <w:sz w:val="22"/>
                <w:lang w:eastAsia="en-GB"/>
              </w:rPr>
              <w:t>0</w:t>
            </w:r>
          </w:p>
        </w:tc>
        <w:tc>
          <w:tcPr>
            <w:tcW w:w="1318" w:type="dxa"/>
            <w:tcBorders>
              <w:top w:val="single" w:sz="4" w:space="0" w:color="BFBFBF"/>
              <w:left w:val="nil"/>
              <w:bottom w:val="single" w:sz="4" w:space="0" w:color="BFBFBF"/>
              <w:right w:val="single" w:sz="4" w:space="0" w:color="BFBFBF"/>
            </w:tcBorders>
            <w:shd w:val="clear" w:color="auto" w:fill="FFFFFF" w:themeFill="background1"/>
            <w:vAlign w:val="bottom"/>
            <w:hideMark/>
          </w:tcPr>
          <w:p w14:paraId="78D0E7DC" w14:textId="77777777" w:rsidR="001E2E21" w:rsidRPr="009B69D6" w:rsidRDefault="001E2E21" w:rsidP="00344D39">
            <w:pPr>
              <w:spacing w:before="0" w:line="240" w:lineRule="auto"/>
              <w:contextualSpacing w:val="0"/>
              <w:jc w:val="center"/>
              <w:rPr>
                <w:rFonts w:asciiTheme="minorHAnsi" w:eastAsia="Times New Roman" w:hAnsiTheme="minorHAnsi" w:cstheme="minorHAnsi"/>
                <w:sz w:val="22"/>
                <w:lang w:eastAsia="en-GB"/>
              </w:rPr>
            </w:pPr>
            <w:r w:rsidRPr="009B69D6">
              <w:rPr>
                <w:rFonts w:asciiTheme="minorHAnsi" w:eastAsia="Times New Roman" w:hAnsiTheme="minorHAnsi" w:cstheme="minorHAnsi"/>
                <w:sz w:val="22"/>
                <w:lang w:eastAsia="en-GB"/>
              </w:rPr>
              <w:t>0</w:t>
            </w:r>
          </w:p>
        </w:tc>
      </w:tr>
      <w:tr w:rsidR="00934957" w:rsidRPr="00934957" w14:paraId="210CCE04" w14:textId="77777777" w:rsidTr="00344D39">
        <w:trPr>
          <w:trHeight w:val="300"/>
        </w:trPr>
        <w:tc>
          <w:tcPr>
            <w:tcW w:w="2917" w:type="dxa"/>
            <w:tcBorders>
              <w:top w:val="nil"/>
              <w:left w:val="single" w:sz="4" w:space="0" w:color="BFBFBF"/>
              <w:bottom w:val="single" w:sz="4" w:space="0" w:color="BFBFBF"/>
              <w:right w:val="single" w:sz="4" w:space="0" w:color="BFBFBF"/>
            </w:tcBorders>
            <w:shd w:val="clear" w:color="auto" w:fill="FFFFFF" w:themeFill="background1"/>
            <w:noWrap/>
            <w:vAlign w:val="bottom"/>
            <w:hideMark/>
          </w:tcPr>
          <w:p w14:paraId="3B05CCE4" w14:textId="77777777" w:rsidR="001E2E21" w:rsidRPr="00934957" w:rsidRDefault="001E2E21" w:rsidP="00344D39">
            <w:pPr>
              <w:spacing w:before="0" w:line="240" w:lineRule="auto"/>
              <w:contextualSpacing w:val="0"/>
              <w:rPr>
                <w:rFonts w:asciiTheme="minorHAnsi" w:eastAsia="Times New Roman" w:hAnsiTheme="minorHAnsi" w:cstheme="minorHAnsi"/>
                <w:sz w:val="22"/>
                <w:lang w:eastAsia="en-GB"/>
              </w:rPr>
            </w:pPr>
            <w:r w:rsidRPr="00934957">
              <w:rPr>
                <w:rFonts w:asciiTheme="minorHAnsi" w:eastAsia="Times New Roman" w:hAnsiTheme="minorHAnsi" w:cstheme="minorHAnsi"/>
                <w:sz w:val="22"/>
                <w:lang w:eastAsia="en-GB"/>
              </w:rPr>
              <w:t>Duty to risk assess</w:t>
            </w:r>
          </w:p>
        </w:tc>
        <w:tc>
          <w:tcPr>
            <w:tcW w:w="1318" w:type="dxa"/>
            <w:tcBorders>
              <w:top w:val="nil"/>
              <w:left w:val="nil"/>
              <w:bottom w:val="single" w:sz="4" w:space="0" w:color="BFBFBF"/>
              <w:right w:val="single" w:sz="4" w:space="0" w:color="BFBFBF"/>
            </w:tcBorders>
            <w:shd w:val="clear" w:color="auto" w:fill="FFFFFF" w:themeFill="background1"/>
            <w:vAlign w:val="bottom"/>
            <w:hideMark/>
          </w:tcPr>
          <w:p w14:paraId="68921367" w14:textId="77777777" w:rsidR="001E2E21" w:rsidRPr="00934957" w:rsidRDefault="001E2E21" w:rsidP="00344D39">
            <w:pPr>
              <w:spacing w:before="0" w:line="240" w:lineRule="auto"/>
              <w:contextualSpacing w:val="0"/>
              <w:jc w:val="center"/>
              <w:rPr>
                <w:rFonts w:asciiTheme="minorHAnsi" w:eastAsia="Times New Roman" w:hAnsiTheme="minorHAnsi" w:cstheme="minorHAnsi"/>
                <w:sz w:val="22"/>
                <w:lang w:eastAsia="en-GB"/>
              </w:rPr>
            </w:pPr>
            <w:r w:rsidRPr="00934957">
              <w:rPr>
                <w:rFonts w:asciiTheme="minorHAnsi" w:eastAsia="Times New Roman" w:hAnsiTheme="minorHAnsi" w:cstheme="minorHAnsi"/>
                <w:sz w:val="22"/>
                <w:lang w:eastAsia="en-GB"/>
              </w:rPr>
              <w:t>2</w:t>
            </w:r>
          </w:p>
        </w:tc>
        <w:tc>
          <w:tcPr>
            <w:tcW w:w="1318" w:type="dxa"/>
            <w:tcBorders>
              <w:top w:val="nil"/>
              <w:left w:val="nil"/>
              <w:bottom w:val="single" w:sz="4" w:space="0" w:color="BFBFBF"/>
              <w:right w:val="single" w:sz="4" w:space="0" w:color="BFBFBF"/>
            </w:tcBorders>
            <w:shd w:val="clear" w:color="auto" w:fill="FFFFFF" w:themeFill="background1"/>
            <w:vAlign w:val="bottom"/>
            <w:hideMark/>
          </w:tcPr>
          <w:p w14:paraId="46FF5426" w14:textId="77777777" w:rsidR="001E2E21" w:rsidRPr="00934957" w:rsidRDefault="001E2E21" w:rsidP="00344D39">
            <w:pPr>
              <w:spacing w:before="0" w:line="240" w:lineRule="auto"/>
              <w:contextualSpacing w:val="0"/>
              <w:jc w:val="center"/>
              <w:rPr>
                <w:rFonts w:asciiTheme="minorHAnsi" w:eastAsia="Times New Roman" w:hAnsiTheme="minorHAnsi" w:cstheme="minorHAnsi"/>
                <w:sz w:val="22"/>
                <w:lang w:eastAsia="en-GB"/>
              </w:rPr>
            </w:pPr>
            <w:r w:rsidRPr="00934957">
              <w:rPr>
                <w:rFonts w:asciiTheme="minorHAnsi" w:eastAsia="Times New Roman" w:hAnsiTheme="minorHAnsi" w:cstheme="minorHAnsi"/>
                <w:sz w:val="22"/>
                <w:lang w:eastAsia="en-GB"/>
              </w:rPr>
              <w:t>2</w:t>
            </w:r>
          </w:p>
        </w:tc>
        <w:tc>
          <w:tcPr>
            <w:tcW w:w="1318" w:type="dxa"/>
            <w:tcBorders>
              <w:top w:val="nil"/>
              <w:left w:val="nil"/>
              <w:bottom w:val="single" w:sz="4" w:space="0" w:color="BFBFBF"/>
              <w:right w:val="single" w:sz="4" w:space="0" w:color="BFBFBF"/>
            </w:tcBorders>
            <w:shd w:val="clear" w:color="auto" w:fill="FFFFFF" w:themeFill="background1"/>
            <w:vAlign w:val="bottom"/>
            <w:hideMark/>
          </w:tcPr>
          <w:p w14:paraId="4C4C07B3" w14:textId="77777777" w:rsidR="001E2E21" w:rsidRPr="00934957" w:rsidRDefault="001E2E21" w:rsidP="00344D39">
            <w:pPr>
              <w:spacing w:before="0" w:line="240" w:lineRule="auto"/>
              <w:contextualSpacing w:val="0"/>
              <w:jc w:val="center"/>
              <w:rPr>
                <w:rFonts w:asciiTheme="minorHAnsi" w:eastAsia="Times New Roman" w:hAnsiTheme="minorHAnsi" w:cstheme="minorHAnsi"/>
                <w:sz w:val="22"/>
                <w:lang w:eastAsia="en-GB"/>
              </w:rPr>
            </w:pPr>
            <w:r w:rsidRPr="00934957">
              <w:rPr>
                <w:rFonts w:asciiTheme="minorHAnsi" w:eastAsia="Times New Roman" w:hAnsiTheme="minorHAnsi" w:cstheme="minorHAnsi"/>
                <w:sz w:val="22"/>
                <w:lang w:eastAsia="en-GB"/>
              </w:rPr>
              <w:t>0</w:t>
            </w:r>
          </w:p>
        </w:tc>
        <w:tc>
          <w:tcPr>
            <w:tcW w:w="1318" w:type="dxa"/>
            <w:tcBorders>
              <w:top w:val="nil"/>
              <w:left w:val="nil"/>
              <w:bottom w:val="single" w:sz="4" w:space="0" w:color="BFBFBF"/>
              <w:right w:val="single" w:sz="4" w:space="0" w:color="BFBFBF"/>
            </w:tcBorders>
            <w:shd w:val="clear" w:color="auto" w:fill="FFFFFF" w:themeFill="background1"/>
            <w:vAlign w:val="bottom"/>
            <w:hideMark/>
          </w:tcPr>
          <w:p w14:paraId="1BD04C53" w14:textId="77777777" w:rsidR="001E2E21" w:rsidRPr="00934957" w:rsidRDefault="001E2E21" w:rsidP="00344D39">
            <w:pPr>
              <w:spacing w:before="0" w:line="240" w:lineRule="auto"/>
              <w:contextualSpacing w:val="0"/>
              <w:jc w:val="center"/>
              <w:rPr>
                <w:rFonts w:asciiTheme="minorHAnsi" w:eastAsia="Times New Roman" w:hAnsiTheme="minorHAnsi" w:cstheme="minorHAnsi"/>
                <w:sz w:val="22"/>
                <w:lang w:eastAsia="en-GB"/>
              </w:rPr>
            </w:pPr>
            <w:r w:rsidRPr="00934957">
              <w:rPr>
                <w:rFonts w:asciiTheme="minorHAnsi" w:eastAsia="Times New Roman" w:hAnsiTheme="minorHAnsi" w:cstheme="minorHAnsi"/>
                <w:sz w:val="22"/>
                <w:lang w:eastAsia="en-GB"/>
              </w:rPr>
              <w:t>0</w:t>
            </w:r>
          </w:p>
        </w:tc>
      </w:tr>
      <w:tr w:rsidR="00CA2250" w:rsidRPr="00CA2250" w14:paraId="1CA0C7DF" w14:textId="77777777" w:rsidTr="00344D39">
        <w:trPr>
          <w:trHeight w:val="300"/>
        </w:trPr>
        <w:tc>
          <w:tcPr>
            <w:tcW w:w="2917" w:type="dxa"/>
            <w:tcBorders>
              <w:top w:val="nil"/>
              <w:left w:val="single" w:sz="4" w:space="0" w:color="BFBFBF"/>
              <w:bottom w:val="single" w:sz="4" w:space="0" w:color="BFBFBF"/>
              <w:right w:val="single" w:sz="4" w:space="0" w:color="BFBFBF"/>
            </w:tcBorders>
            <w:shd w:val="clear" w:color="auto" w:fill="FFFFFF" w:themeFill="background1"/>
            <w:noWrap/>
            <w:vAlign w:val="bottom"/>
            <w:hideMark/>
          </w:tcPr>
          <w:p w14:paraId="03483C55" w14:textId="77777777" w:rsidR="001E2E21" w:rsidRPr="00CA2250" w:rsidRDefault="001E2E21" w:rsidP="00344D39">
            <w:pPr>
              <w:spacing w:before="0" w:line="240" w:lineRule="auto"/>
              <w:contextualSpacing w:val="0"/>
              <w:rPr>
                <w:rFonts w:asciiTheme="minorHAnsi" w:eastAsia="Times New Roman" w:hAnsiTheme="minorHAnsi" w:cstheme="minorHAnsi"/>
                <w:sz w:val="22"/>
                <w:lang w:eastAsia="en-GB"/>
              </w:rPr>
            </w:pPr>
            <w:r w:rsidRPr="00CA2250">
              <w:rPr>
                <w:rFonts w:asciiTheme="minorHAnsi" w:eastAsia="Times New Roman" w:hAnsiTheme="minorHAnsi" w:cstheme="minorHAnsi"/>
                <w:sz w:val="22"/>
                <w:lang w:eastAsia="en-GB"/>
              </w:rPr>
              <w:t>Duty to maintain plans</w:t>
            </w:r>
          </w:p>
        </w:tc>
        <w:tc>
          <w:tcPr>
            <w:tcW w:w="1318" w:type="dxa"/>
            <w:tcBorders>
              <w:top w:val="nil"/>
              <w:left w:val="nil"/>
              <w:bottom w:val="single" w:sz="4" w:space="0" w:color="BFBFBF"/>
              <w:right w:val="single" w:sz="4" w:space="0" w:color="BFBFBF"/>
            </w:tcBorders>
            <w:shd w:val="clear" w:color="auto" w:fill="FFFFFF" w:themeFill="background1"/>
            <w:vAlign w:val="bottom"/>
            <w:hideMark/>
          </w:tcPr>
          <w:p w14:paraId="053F4A4C" w14:textId="4A2067BE" w:rsidR="001E2E21" w:rsidRPr="00CA2250" w:rsidRDefault="00CA2250" w:rsidP="00344D39">
            <w:pPr>
              <w:spacing w:before="0" w:line="240" w:lineRule="auto"/>
              <w:contextualSpacing w:val="0"/>
              <w:jc w:val="center"/>
              <w:rPr>
                <w:rFonts w:asciiTheme="minorHAnsi" w:eastAsia="Times New Roman" w:hAnsiTheme="minorHAnsi" w:cstheme="minorHAnsi"/>
                <w:sz w:val="22"/>
                <w:lang w:eastAsia="en-GB"/>
              </w:rPr>
            </w:pPr>
            <w:r w:rsidRPr="00CA2250">
              <w:rPr>
                <w:rFonts w:asciiTheme="minorHAnsi" w:eastAsia="Times New Roman" w:hAnsiTheme="minorHAnsi" w:cstheme="minorHAnsi"/>
                <w:sz w:val="22"/>
                <w:lang w:eastAsia="en-GB"/>
              </w:rPr>
              <w:t>9</w:t>
            </w:r>
          </w:p>
        </w:tc>
        <w:tc>
          <w:tcPr>
            <w:tcW w:w="1318" w:type="dxa"/>
            <w:tcBorders>
              <w:top w:val="nil"/>
              <w:left w:val="nil"/>
              <w:bottom w:val="single" w:sz="4" w:space="0" w:color="BFBFBF"/>
              <w:right w:val="single" w:sz="4" w:space="0" w:color="BFBFBF"/>
            </w:tcBorders>
            <w:shd w:val="clear" w:color="auto" w:fill="FFFFFF" w:themeFill="background1"/>
            <w:vAlign w:val="bottom"/>
            <w:hideMark/>
          </w:tcPr>
          <w:p w14:paraId="6811E8AD" w14:textId="231B1667" w:rsidR="001E2E21" w:rsidRPr="00CA2250" w:rsidRDefault="00CA2250" w:rsidP="00344D39">
            <w:pPr>
              <w:spacing w:before="0" w:line="240" w:lineRule="auto"/>
              <w:contextualSpacing w:val="0"/>
              <w:jc w:val="center"/>
              <w:rPr>
                <w:rFonts w:asciiTheme="minorHAnsi" w:eastAsia="Times New Roman" w:hAnsiTheme="minorHAnsi" w:cstheme="minorHAnsi"/>
                <w:sz w:val="22"/>
                <w:lang w:eastAsia="en-GB"/>
              </w:rPr>
            </w:pPr>
            <w:r w:rsidRPr="00CA2250">
              <w:rPr>
                <w:rFonts w:asciiTheme="minorHAnsi" w:eastAsia="Times New Roman" w:hAnsiTheme="minorHAnsi" w:cstheme="minorHAnsi"/>
                <w:sz w:val="22"/>
                <w:lang w:eastAsia="en-GB"/>
              </w:rPr>
              <w:t>9</w:t>
            </w:r>
          </w:p>
        </w:tc>
        <w:tc>
          <w:tcPr>
            <w:tcW w:w="1318" w:type="dxa"/>
            <w:tcBorders>
              <w:top w:val="nil"/>
              <w:left w:val="nil"/>
              <w:bottom w:val="single" w:sz="4" w:space="0" w:color="BFBFBF"/>
              <w:right w:val="single" w:sz="4" w:space="0" w:color="BFBFBF"/>
            </w:tcBorders>
            <w:shd w:val="clear" w:color="auto" w:fill="FFFFFF" w:themeFill="background1"/>
            <w:vAlign w:val="bottom"/>
            <w:hideMark/>
          </w:tcPr>
          <w:p w14:paraId="121825FC" w14:textId="77777777" w:rsidR="001E2E21" w:rsidRPr="00CA2250" w:rsidRDefault="001E2E21" w:rsidP="00344D39">
            <w:pPr>
              <w:spacing w:before="0" w:line="240" w:lineRule="auto"/>
              <w:contextualSpacing w:val="0"/>
              <w:jc w:val="center"/>
              <w:rPr>
                <w:rFonts w:asciiTheme="minorHAnsi" w:eastAsia="Times New Roman" w:hAnsiTheme="minorHAnsi" w:cstheme="minorHAnsi"/>
                <w:sz w:val="22"/>
                <w:lang w:eastAsia="en-GB"/>
              </w:rPr>
            </w:pPr>
            <w:r w:rsidRPr="00CA2250">
              <w:rPr>
                <w:rFonts w:asciiTheme="minorHAnsi" w:eastAsia="Times New Roman" w:hAnsiTheme="minorHAnsi" w:cstheme="minorHAnsi"/>
                <w:sz w:val="22"/>
                <w:lang w:eastAsia="en-GB"/>
              </w:rPr>
              <w:t>0</w:t>
            </w:r>
          </w:p>
        </w:tc>
        <w:tc>
          <w:tcPr>
            <w:tcW w:w="1318" w:type="dxa"/>
            <w:tcBorders>
              <w:top w:val="nil"/>
              <w:left w:val="nil"/>
              <w:bottom w:val="single" w:sz="4" w:space="0" w:color="BFBFBF"/>
              <w:right w:val="single" w:sz="4" w:space="0" w:color="BFBFBF"/>
            </w:tcBorders>
            <w:shd w:val="clear" w:color="auto" w:fill="FFFFFF" w:themeFill="background1"/>
            <w:vAlign w:val="bottom"/>
            <w:hideMark/>
          </w:tcPr>
          <w:p w14:paraId="4375E361" w14:textId="77777777" w:rsidR="001E2E21" w:rsidRPr="00CA2250" w:rsidRDefault="001E2E21" w:rsidP="00344D39">
            <w:pPr>
              <w:spacing w:before="0" w:line="240" w:lineRule="auto"/>
              <w:contextualSpacing w:val="0"/>
              <w:jc w:val="center"/>
              <w:rPr>
                <w:rFonts w:asciiTheme="minorHAnsi" w:eastAsia="Times New Roman" w:hAnsiTheme="minorHAnsi" w:cstheme="minorHAnsi"/>
                <w:sz w:val="22"/>
                <w:lang w:eastAsia="en-GB"/>
              </w:rPr>
            </w:pPr>
            <w:r w:rsidRPr="00CA2250">
              <w:rPr>
                <w:rFonts w:asciiTheme="minorHAnsi" w:eastAsia="Times New Roman" w:hAnsiTheme="minorHAnsi" w:cstheme="minorHAnsi"/>
                <w:sz w:val="22"/>
                <w:lang w:eastAsia="en-GB"/>
              </w:rPr>
              <w:t>0</w:t>
            </w:r>
          </w:p>
        </w:tc>
      </w:tr>
      <w:tr w:rsidR="00F85B9B" w:rsidRPr="00F85B9B" w14:paraId="7EB0988E" w14:textId="77777777" w:rsidTr="00344D39">
        <w:trPr>
          <w:trHeight w:val="300"/>
        </w:trPr>
        <w:tc>
          <w:tcPr>
            <w:tcW w:w="2917" w:type="dxa"/>
            <w:tcBorders>
              <w:top w:val="nil"/>
              <w:left w:val="single" w:sz="4" w:space="0" w:color="BFBFBF"/>
              <w:bottom w:val="single" w:sz="4" w:space="0" w:color="BFBFBF"/>
              <w:right w:val="single" w:sz="4" w:space="0" w:color="BFBFBF"/>
            </w:tcBorders>
            <w:shd w:val="clear" w:color="auto" w:fill="FFFFFF" w:themeFill="background1"/>
            <w:noWrap/>
            <w:vAlign w:val="bottom"/>
            <w:hideMark/>
          </w:tcPr>
          <w:p w14:paraId="5F20825D" w14:textId="77777777" w:rsidR="001E2E21" w:rsidRPr="00F85B9B" w:rsidRDefault="001E2E21" w:rsidP="00344D39">
            <w:pPr>
              <w:spacing w:before="0" w:line="240" w:lineRule="auto"/>
              <w:contextualSpacing w:val="0"/>
              <w:rPr>
                <w:rFonts w:asciiTheme="minorHAnsi" w:eastAsia="Times New Roman" w:hAnsiTheme="minorHAnsi" w:cstheme="minorHAnsi"/>
                <w:sz w:val="22"/>
                <w:lang w:eastAsia="en-GB"/>
              </w:rPr>
            </w:pPr>
            <w:r w:rsidRPr="00F85B9B">
              <w:rPr>
                <w:rFonts w:asciiTheme="minorHAnsi" w:eastAsia="Times New Roman" w:hAnsiTheme="minorHAnsi" w:cstheme="minorHAnsi"/>
                <w:sz w:val="22"/>
                <w:lang w:eastAsia="en-GB"/>
              </w:rPr>
              <w:t>Command and control</w:t>
            </w:r>
          </w:p>
        </w:tc>
        <w:tc>
          <w:tcPr>
            <w:tcW w:w="1318" w:type="dxa"/>
            <w:tcBorders>
              <w:top w:val="nil"/>
              <w:left w:val="nil"/>
              <w:bottom w:val="single" w:sz="4" w:space="0" w:color="BFBFBF"/>
              <w:right w:val="single" w:sz="4" w:space="0" w:color="BFBFBF"/>
            </w:tcBorders>
            <w:shd w:val="clear" w:color="auto" w:fill="FFFFFF" w:themeFill="background1"/>
            <w:vAlign w:val="bottom"/>
            <w:hideMark/>
          </w:tcPr>
          <w:p w14:paraId="7D360724" w14:textId="43F79E00" w:rsidR="001E2E21" w:rsidRPr="00F85B9B" w:rsidRDefault="00F85B9B" w:rsidP="00344D39">
            <w:pPr>
              <w:spacing w:before="0" w:line="240" w:lineRule="auto"/>
              <w:contextualSpacing w:val="0"/>
              <w:jc w:val="center"/>
              <w:rPr>
                <w:rFonts w:asciiTheme="minorHAnsi" w:eastAsia="Times New Roman" w:hAnsiTheme="minorHAnsi" w:cstheme="minorHAnsi"/>
                <w:sz w:val="22"/>
                <w:lang w:eastAsia="en-GB"/>
              </w:rPr>
            </w:pPr>
            <w:r w:rsidRPr="00F85B9B">
              <w:rPr>
                <w:rFonts w:asciiTheme="minorHAnsi" w:eastAsia="Times New Roman" w:hAnsiTheme="minorHAnsi" w:cstheme="minorHAnsi"/>
                <w:sz w:val="22"/>
                <w:lang w:eastAsia="en-GB"/>
              </w:rPr>
              <w:t>1</w:t>
            </w:r>
          </w:p>
        </w:tc>
        <w:tc>
          <w:tcPr>
            <w:tcW w:w="1318" w:type="dxa"/>
            <w:tcBorders>
              <w:top w:val="nil"/>
              <w:left w:val="nil"/>
              <w:bottom w:val="single" w:sz="4" w:space="0" w:color="BFBFBF"/>
              <w:right w:val="single" w:sz="4" w:space="0" w:color="BFBFBF"/>
            </w:tcBorders>
            <w:shd w:val="clear" w:color="auto" w:fill="FFFFFF" w:themeFill="background1"/>
            <w:vAlign w:val="bottom"/>
            <w:hideMark/>
          </w:tcPr>
          <w:p w14:paraId="1CBCFCB9" w14:textId="77777777" w:rsidR="001E2E21" w:rsidRPr="00F85B9B" w:rsidRDefault="001E2E21" w:rsidP="00344D39">
            <w:pPr>
              <w:spacing w:before="0" w:line="240" w:lineRule="auto"/>
              <w:contextualSpacing w:val="0"/>
              <w:jc w:val="center"/>
              <w:rPr>
                <w:rFonts w:asciiTheme="minorHAnsi" w:eastAsia="Times New Roman" w:hAnsiTheme="minorHAnsi" w:cstheme="minorHAnsi"/>
                <w:sz w:val="22"/>
                <w:lang w:eastAsia="en-GB"/>
              </w:rPr>
            </w:pPr>
            <w:r w:rsidRPr="00F85B9B">
              <w:rPr>
                <w:rFonts w:asciiTheme="minorHAnsi" w:eastAsia="Times New Roman" w:hAnsiTheme="minorHAnsi" w:cstheme="minorHAnsi"/>
                <w:sz w:val="22"/>
                <w:lang w:eastAsia="en-GB"/>
              </w:rPr>
              <w:t>1</w:t>
            </w:r>
          </w:p>
        </w:tc>
        <w:tc>
          <w:tcPr>
            <w:tcW w:w="1318" w:type="dxa"/>
            <w:tcBorders>
              <w:top w:val="nil"/>
              <w:left w:val="nil"/>
              <w:bottom w:val="single" w:sz="4" w:space="0" w:color="BFBFBF"/>
              <w:right w:val="single" w:sz="4" w:space="0" w:color="BFBFBF"/>
            </w:tcBorders>
            <w:shd w:val="clear" w:color="auto" w:fill="FFFFFF" w:themeFill="background1"/>
            <w:vAlign w:val="bottom"/>
            <w:hideMark/>
          </w:tcPr>
          <w:p w14:paraId="1937F670" w14:textId="65305782" w:rsidR="001E2E21" w:rsidRPr="00F85B9B" w:rsidRDefault="00F85B9B" w:rsidP="00344D39">
            <w:pPr>
              <w:spacing w:before="0" w:line="240" w:lineRule="auto"/>
              <w:contextualSpacing w:val="0"/>
              <w:jc w:val="center"/>
              <w:rPr>
                <w:rFonts w:asciiTheme="minorHAnsi" w:eastAsia="Times New Roman" w:hAnsiTheme="minorHAnsi" w:cstheme="minorHAnsi"/>
                <w:sz w:val="22"/>
                <w:lang w:eastAsia="en-GB"/>
              </w:rPr>
            </w:pPr>
            <w:r w:rsidRPr="00F85B9B">
              <w:rPr>
                <w:rFonts w:asciiTheme="minorHAnsi" w:eastAsia="Times New Roman" w:hAnsiTheme="minorHAnsi" w:cstheme="minorHAnsi"/>
                <w:sz w:val="22"/>
                <w:lang w:eastAsia="en-GB"/>
              </w:rPr>
              <w:t>0</w:t>
            </w:r>
          </w:p>
        </w:tc>
        <w:tc>
          <w:tcPr>
            <w:tcW w:w="1318" w:type="dxa"/>
            <w:tcBorders>
              <w:top w:val="nil"/>
              <w:left w:val="nil"/>
              <w:bottom w:val="single" w:sz="4" w:space="0" w:color="BFBFBF"/>
              <w:right w:val="single" w:sz="4" w:space="0" w:color="BFBFBF"/>
            </w:tcBorders>
            <w:shd w:val="clear" w:color="auto" w:fill="FFFFFF" w:themeFill="background1"/>
            <w:vAlign w:val="bottom"/>
            <w:hideMark/>
          </w:tcPr>
          <w:p w14:paraId="12F5E721" w14:textId="77777777" w:rsidR="001E2E21" w:rsidRPr="00F85B9B" w:rsidRDefault="001E2E21" w:rsidP="00344D39">
            <w:pPr>
              <w:spacing w:before="0" w:line="240" w:lineRule="auto"/>
              <w:contextualSpacing w:val="0"/>
              <w:jc w:val="center"/>
              <w:rPr>
                <w:rFonts w:asciiTheme="minorHAnsi" w:eastAsia="Times New Roman" w:hAnsiTheme="minorHAnsi" w:cstheme="minorHAnsi"/>
                <w:sz w:val="22"/>
                <w:lang w:eastAsia="en-GB"/>
              </w:rPr>
            </w:pPr>
            <w:r w:rsidRPr="00F85B9B">
              <w:rPr>
                <w:rFonts w:asciiTheme="minorHAnsi" w:eastAsia="Times New Roman" w:hAnsiTheme="minorHAnsi" w:cstheme="minorHAnsi"/>
                <w:sz w:val="22"/>
                <w:lang w:eastAsia="en-GB"/>
              </w:rPr>
              <w:t>0</w:t>
            </w:r>
          </w:p>
        </w:tc>
      </w:tr>
      <w:tr w:rsidR="005779F9" w:rsidRPr="005779F9" w14:paraId="3F4A39F1" w14:textId="77777777" w:rsidTr="00344D39">
        <w:trPr>
          <w:trHeight w:val="300"/>
        </w:trPr>
        <w:tc>
          <w:tcPr>
            <w:tcW w:w="2917" w:type="dxa"/>
            <w:tcBorders>
              <w:top w:val="nil"/>
              <w:left w:val="single" w:sz="4" w:space="0" w:color="BFBFBF"/>
              <w:bottom w:val="single" w:sz="4" w:space="0" w:color="BFBFBF"/>
              <w:right w:val="single" w:sz="4" w:space="0" w:color="BFBFBF"/>
            </w:tcBorders>
            <w:shd w:val="clear" w:color="auto" w:fill="FFFFFF" w:themeFill="background1"/>
            <w:noWrap/>
            <w:vAlign w:val="bottom"/>
            <w:hideMark/>
          </w:tcPr>
          <w:p w14:paraId="40EA39AD" w14:textId="77777777" w:rsidR="001E2E21" w:rsidRPr="005779F9" w:rsidRDefault="001E2E21" w:rsidP="00344D39">
            <w:pPr>
              <w:spacing w:before="0" w:line="240" w:lineRule="auto"/>
              <w:contextualSpacing w:val="0"/>
              <w:rPr>
                <w:rFonts w:asciiTheme="minorHAnsi" w:eastAsia="Times New Roman" w:hAnsiTheme="minorHAnsi" w:cstheme="minorHAnsi"/>
                <w:sz w:val="22"/>
                <w:lang w:eastAsia="en-GB"/>
              </w:rPr>
            </w:pPr>
            <w:r w:rsidRPr="005779F9">
              <w:rPr>
                <w:rFonts w:asciiTheme="minorHAnsi" w:eastAsia="Times New Roman" w:hAnsiTheme="minorHAnsi" w:cstheme="minorHAnsi"/>
                <w:sz w:val="22"/>
                <w:lang w:eastAsia="en-GB"/>
              </w:rPr>
              <w:t>Response</w:t>
            </w:r>
          </w:p>
        </w:tc>
        <w:tc>
          <w:tcPr>
            <w:tcW w:w="1318" w:type="dxa"/>
            <w:tcBorders>
              <w:top w:val="nil"/>
              <w:left w:val="nil"/>
              <w:bottom w:val="single" w:sz="4" w:space="0" w:color="BFBFBF"/>
              <w:right w:val="single" w:sz="4" w:space="0" w:color="BFBFBF"/>
            </w:tcBorders>
            <w:shd w:val="clear" w:color="auto" w:fill="FFFFFF" w:themeFill="background1"/>
            <w:vAlign w:val="bottom"/>
            <w:hideMark/>
          </w:tcPr>
          <w:p w14:paraId="74B379BC" w14:textId="77777777" w:rsidR="001E2E21" w:rsidRPr="005779F9" w:rsidRDefault="001E2E21" w:rsidP="00344D39">
            <w:pPr>
              <w:spacing w:before="0" w:line="240" w:lineRule="auto"/>
              <w:contextualSpacing w:val="0"/>
              <w:jc w:val="center"/>
              <w:rPr>
                <w:rFonts w:asciiTheme="minorHAnsi" w:eastAsia="Times New Roman" w:hAnsiTheme="minorHAnsi" w:cstheme="minorHAnsi"/>
                <w:sz w:val="22"/>
                <w:lang w:eastAsia="en-GB"/>
              </w:rPr>
            </w:pPr>
            <w:r w:rsidRPr="005779F9">
              <w:rPr>
                <w:rFonts w:asciiTheme="minorHAnsi" w:eastAsia="Times New Roman" w:hAnsiTheme="minorHAnsi" w:cstheme="minorHAnsi"/>
                <w:sz w:val="22"/>
                <w:lang w:eastAsia="en-GB"/>
              </w:rPr>
              <w:t>5</w:t>
            </w:r>
          </w:p>
        </w:tc>
        <w:tc>
          <w:tcPr>
            <w:tcW w:w="1318" w:type="dxa"/>
            <w:tcBorders>
              <w:top w:val="nil"/>
              <w:left w:val="nil"/>
              <w:bottom w:val="single" w:sz="4" w:space="0" w:color="BFBFBF"/>
              <w:right w:val="single" w:sz="4" w:space="0" w:color="BFBFBF"/>
            </w:tcBorders>
            <w:shd w:val="clear" w:color="auto" w:fill="FFFFFF" w:themeFill="background1"/>
            <w:vAlign w:val="bottom"/>
            <w:hideMark/>
          </w:tcPr>
          <w:p w14:paraId="245223F9" w14:textId="29C3677F" w:rsidR="001E2E21" w:rsidRPr="005779F9" w:rsidRDefault="005779F9" w:rsidP="00344D39">
            <w:pPr>
              <w:spacing w:before="0" w:line="240" w:lineRule="auto"/>
              <w:contextualSpacing w:val="0"/>
              <w:jc w:val="center"/>
              <w:rPr>
                <w:rFonts w:asciiTheme="minorHAnsi" w:eastAsia="Times New Roman" w:hAnsiTheme="minorHAnsi" w:cstheme="minorHAnsi"/>
                <w:sz w:val="22"/>
                <w:lang w:eastAsia="en-GB"/>
              </w:rPr>
            </w:pPr>
            <w:r w:rsidRPr="005779F9">
              <w:rPr>
                <w:rFonts w:asciiTheme="minorHAnsi" w:eastAsia="Times New Roman" w:hAnsiTheme="minorHAnsi" w:cstheme="minorHAnsi"/>
                <w:sz w:val="22"/>
                <w:lang w:eastAsia="en-GB"/>
              </w:rPr>
              <w:t>5</w:t>
            </w:r>
          </w:p>
        </w:tc>
        <w:tc>
          <w:tcPr>
            <w:tcW w:w="1318" w:type="dxa"/>
            <w:tcBorders>
              <w:top w:val="nil"/>
              <w:left w:val="nil"/>
              <w:bottom w:val="single" w:sz="4" w:space="0" w:color="BFBFBF"/>
              <w:right w:val="single" w:sz="4" w:space="0" w:color="BFBFBF"/>
            </w:tcBorders>
            <w:shd w:val="clear" w:color="auto" w:fill="FFFFFF" w:themeFill="background1"/>
            <w:vAlign w:val="bottom"/>
            <w:hideMark/>
          </w:tcPr>
          <w:p w14:paraId="7E3AD8E7" w14:textId="14202CF9" w:rsidR="001E2E21" w:rsidRPr="005779F9" w:rsidRDefault="005779F9" w:rsidP="00344D39">
            <w:pPr>
              <w:spacing w:before="0" w:line="240" w:lineRule="auto"/>
              <w:contextualSpacing w:val="0"/>
              <w:jc w:val="center"/>
              <w:rPr>
                <w:rFonts w:asciiTheme="minorHAnsi" w:eastAsia="Times New Roman" w:hAnsiTheme="minorHAnsi" w:cstheme="minorHAnsi"/>
                <w:sz w:val="22"/>
                <w:lang w:eastAsia="en-GB"/>
              </w:rPr>
            </w:pPr>
            <w:r w:rsidRPr="005779F9">
              <w:rPr>
                <w:rFonts w:asciiTheme="minorHAnsi" w:eastAsia="Times New Roman" w:hAnsiTheme="minorHAnsi" w:cstheme="minorHAnsi"/>
                <w:sz w:val="22"/>
                <w:lang w:eastAsia="en-GB"/>
              </w:rPr>
              <w:t>0</w:t>
            </w:r>
          </w:p>
        </w:tc>
        <w:tc>
          <w:tcPr>
            <w:tcW w:w="1318" w:type="dxa"/>
            <w:tcBorders>
              <w:top w:val="nil"/>
              <w:left w:val="nil"/>
              <w:bottom w:val="single" w:sz="4" w:space="0" w:color="BFBFBF"/>
              <w:right w:val="single" w:sz="4" w:space="0" w:color="BFBFBF"/>
            </w:tcBorders>
            <w:shd w:val="clear" w:color="auto" w:fill="FFFFFF" w:themeFill="background1"/>
            <w:vAlign w:val="bottom"/>
            <w:hideMark/>
          </w:tcPr>
          <w:p w14:paraId="32A000C4" w14:textId="77777777" w:rsidR="001E2E21" w:rsidRPr="005779F9" w:rsidRDefault="001E2E21" w:rsidP="00344D39">
            <w:pPr>
              <w:spacing w:before="0" w:line="240" w:lineRule="auto"/>
              <w:contextualSpacing w:val="0"/>
              <w:jc w:val="center"/>
              <w:rPr>
                <w:rFonts w:asciiTheme="minorHAnsi" w:eastAsia="Times New Roman" w:hAnsiTheme="minorHAnsi" w:cstheme="minorHAnsi"/>
                <w:sz w:val="22"/>
                <w:lang w:eastAsia="en-GB"/>
              </w:rPr>
            </w:pPr>
            <w:r w:rsidRPr="005779F9">
              <w:rPr>
                <w:rFonts w:asciiTheme="minorHAnsi" w:eastAsia="Times New Roman" w:hAnsiTheme="minorHAnsi" w:cstheme="minorHAnsi"/>
                <w:sz w:val="22"/>
                <w:lang w:eastAsia="en-GB"/>
              </w:rPr>
              <w:t>0</w:t>
            </w:r>
          </w:p>
        </w:tc>
      </w:tr>
      <w:tr w:rsidR="00F07E34" w:rsidRPr="00F07E34" w14:paraId="541B8C2C" w14:textId="77777777" w:rsidTr="00344D39">
        <w:trPr>
          <w:trHeight w:val="300"/>
        </w:trPr>
        <w:tc>
          <w:tcPr>
            <w:tcW w:w="2917" w:type="dxa"/>
            <w:tcBorders>
              <w:top w:val="nil"/>
              <w:left w:val="single" w:sz="4" w:space="0" w:color="BFBFBF"/>
              <w:bottom w:val="single" w:sz="4" w:space="0" w:color="BFBFBF"/>
              <w:right w:val="single" w:sz="4" w:space="0" w:color="BFBFBF"/>
            </w:tcBorders>
            <w:shd w:val="clear" w:color="auto" w:fill="FFFFFF" w:themeFill="background1"/>
            <w:noWrap/>
            <w:vAlign w:val="bottom"/>
            <w:hideMark/>
          </w:tcPr>
          <w:p w14:paraId="1D9DAB1E" w14:textId="77777777" w:rsidR="001E2E21" w:rsidRPr="00F07E34" w:rsidRDefault="001E2E21" w:rsidP="00344D39">
            <w:pPr>
              <w:spacing w:before="0" w:line="240" w:lineRule="auto"/>
              <w:contextualSpacing w:val="0"/>
              <w:rPr>
                <w:rFonts w:asciiTheme="minorHAnsi" w:eastAsia="Times New Roman" w:hAnsiTheme="minorHAnsi" w:cstheme="minorHAnsi"/>
                <w:sz w:val="22"/>
                <w:lang w:eastAsia="en-GB"/>
              </w:rPr>
            </w:pPr>
            <w:r w:rsidRPr="00F07E34">
              <w:rPr>
                <w:rFonts w:asciiTheme="minorHAnsi" w:eastAsia="Times New Roman" w:hAnsiTheme="minorHAnsi" w:cstheme="minorHAnsi"/>
                <w:sz w:val="22"/>
                <w:lang w:eastAsia="en-GB"/>
              </w:rPr>
              <w:t>Warning and informing</w:t>
            </w:r>
          </w:p>
        </w:tc>
        <w:tc>
          <w:tcPr>
            <w:tcW w:w="1318" w:type="dxa"/>
            <w:tcBorders>
              <w:top w:val="nil"/>
              <w:left w:val="nil"/>
              <w:bottom w:val="single" w:sz="4" w:space="0" w:color="BFBFBF"/>
              <w:right w:val="single" w:sz="4" w:space="0" w:color="BFBFBF"/>
            </w:tcBorders>
            <w:shd w:val="clear" w:color="auto" w:fill="FFFFFF" w:themeFill="background1"/>
            <w:vAlign w:val="bottom"/>
            <w:hideMark/>
          </w:tcPr>
          <w:p w14:paraId="44BA6C33" w14:textId="77777777" w:rsidR="001E2E21" w:rsidRPr="00F07E34" w:rsidRDefault="001E2E21" w:rsidP="00344D39">
            <w:pPr>
              <w:spacing w:before="0" w:line="240" w:lineRule="auto"/>
              <w:contextualSpacing w:val="0"/>
              <w:jc w:val="center"/>
              <w:rPr>
                <w:rFonts w:asciiTheme="minorHAnsi" w:eastAsia="Times New Roman" w:hAnsiTheme="minorHAnsi" w:cstheme="minorHAnsi"/>
                <w:sz w:val="22"/>
                <w:lang w:eastAsia="en-GB"/>
              </w:rPr>
            </w:pPr>
            <w:r w:rsidRPr="00F07E34">
              <w:rPr>
                <w:rFonts w:asciiTheme="minorHAnsi" w:eastAsia="Times New Roman" w:hAnsiTheme="minorHAnsi" w:cstheme="minorHAnsi"/>
                <w:sz w:val="22"/>
                <w:lang w:eastAsia="en-GB"/>
              </w:rPr>
              <w:t>3</w:t>
            </w:r>
          </w:p>
        </w:tc>
        <w:tc>
          <w:tcPr>
            <w:tcW w:w="1318" w:type="dxa"/>
            <w:tcBorders>
              <w:top w:val="nil"/>
              <w:left w:val="nil"/>
              <w:bottom w:val="single" w:sz="4" w:space="0" w:color="BFBFBF"/>
              <w:right w:val="single" w:sz="4" w:space="0" w:color="BFBFBF"/>
            </w:tcBorders>
            <w:shd w:val="clear" w:color="auto" w:fill="FFFFFF" w:themeFill="background1"/>
            <w:vAlign w:val="bottom"/>
            <w:hideMark/>
          </w:tcPr>
          <w:p w14:paraId="3ED5B340" w14:textId="77777777" w:rsidR="001E2E21" w:rsidRPr="00F07E34" w:rsidRDefault="001E2E21" w:rsidP="00344D39">
            <w:pPr>
              <w:spacing w:before="0" w:line="240" w:lineRule="auto"/>
              <w:contextualSpacing w:val="0"/>
              <w:jc w:val="center"/>
              <w:rPr>
                <w:rFonts w:asciiTheme="minorHAnsi" w:eastAsia="Times New Roman" w:hAnsiTheme="minorHAnsi" w:cstheme="minorHAnsi"/>
                <w:sz w:val="22"/>
                <w:lang w:eastAsia="en-GB"/>
              </w:rPr>
            </w:pPr>
            <w:r w:rsidRPr="00F07E34">
              <w:rPr>
                <w:rFonts w:asciiTheme="minorHAnsi" w:eastAsia="Times New Roman" w:hAnsiTheme="minorHAnsi" w:cstheme="minorHAnsi"/>
                <w:sz w:val="22"/>
                <w:lang w:eastAsia="en-GB"/>
              </w:rPr>
              <w:t>3</w:t>
            </w:r>
          </w:p>
        </w:tc>
        <w:tc>
          <w:tcPr>
            <w:tcW w:w="1318" w:type="dxa"/>
            <w:tcBorders>
              <w:top w:val="nil"/>
              <w:left w:val="nil"/>
              <w:bottom w:val="single" w:sz="4" w:space="0" w:color="BFBFBF"/>
              <w:right w:val="single" w:sz="4" w:space="0" w:color="BFBFBF"/>
            </w:tcBorders>
            <w:shd w:val="clear" w:color="auto" w:fill="FFFFFF" w:themeFill="background1"/>
            <w:vAlign w:val="bottom"/>
            <w:hideMark/>
          </w:tcPr>
          <w:p w14:paraId="274A661C" w14:textId="77777777" w:rsidR="001E2E21" w:rsidRPr="00F07E34" w:rsidRDefault="001E2E21" w:rsidP="00344D39">
            <w:pPr>
              <w:spacing w:before="0" w:line="240" w:lineRule="auto"/>
              <w:contextualSpacing w:val="0"/>
              <w:jc w:val="center"/>
              <w:rPr>
                <w:rFonts w:asciiTheme="minorHAnsi" w:eastAsia="Times New Roman" w:hAnsiTheme="minorHAnsi" w:cstheme="minorHAnsi"/>
                <w:sz w:val="22"/>
                <w:lang w:eastAsia="en-GB"/>
              </w:rPr>
            </w:pPr>
            <w:r w:rsidRPr="00F07E34">
              <w:rPr>
                <w:rFonts w:asciiTheme="minorHAnsi" w:eastAsia="Times New Roman" w:hAnsiTheme="minorHAnsi" w:cstheme="minorHAnsi"/>
                <w:sz w:val="22"/>
                <w:lang w:eastAsia="en-GB"/>
              </w:rPr>
              <w:t>0</w:t>
            </w:r>
          </w:p>
        </w:tc>
        <w:tc>
          <w:tcPr>
            <w:tcW w:w="1318" w:type="dxa"/>
            <w:tcBorders>
              <w:top w:val="nil"/>
              <w:left w:val="nil"/>
              <w:bottom w:val="single" w:sz="4" w:space="0" w:color="BFBFBF"/>
              <w:right w:val="single" w:sz="4" w:space="0" w:color="BFBFBF"/>
            </w:tcBorders>
            <w:shd w:val="clear" w:color="auto" w:fill="FFFFFF" w:themeFill="background1"/>
            <w:vAlign w:val="bottom"/>
            <w:hideMark/>
          </w:tcPr>
          <w:p w14:paraId="6C3BFB10" w14:textId="77777777" w:rsidR="001E2E21" w:rsidRPr="00F07E34" w:rsidRDefault="001E2E21" w:rsidP="00344D39">
            <w:pPr>
              <w:spacing w:before="0" w:line="240" w:lineRule="auto"/>
              <w:contextualSpacing w:val="0"/>
              <w:jc w:val="center"/>
              <w:rPr>
                <w:rFonts w:asciiTheme="minorHAnsi" w:eastAsia="Times New Roman" w:hAnsiTheme="minorHAnsi" w:cstheme="minorHAnsi"/>
                <w:sz w:val="22"/>
                <w:lang w:eastAsia="en-GB"/>
              </w:rPr>
            </w:pPr>
            <w:r w:rsidRPr="00F07E34">
              <w:rPr>
                <w:rFonts w:asciiTheme="minorHAnsi" w:eastAsia="Times New Roman" w:hAnsiTheme="minorHAnsi" w:cstheme="minorHAnsi"/>
                <w:sz w:val="22"/>
                <w:lang w:eastAsia="en-GB"/>
              </w:rPr>
              <w:t>0</w:t>
            </w:r>
          </w:p>
        </w:tc>
      </w:tr>
      <w:tr w:rsidR="00F07E34" w:rsidRPr="00F07E34" w14:paraId="7387460E" w14:textId="77777777" w:rsidTr="00344D39">
        <w:trPr>
          <w:trHeight w:val="300"/>
        </w:trPr>
        <w:tc>
          <w:tcPr>
            <w:tcW w:w="2917" w:type="dxa"/>
            <w:tcBorders>
              <w:top w:val="nil"/>
              <w:left w:val="single" w:sz="4" w:space="0" w:color="BFBFBF"/>
              <w:bottom w:val="single" w:sz="4" w:space="0" w:color="BFBFBF"/>
              <w:right w:val="single" w:sz="4" w:space="0" w:color="BFBFBF"/>
            </w:tcBorders>
            <w:shd w:val="clear" w:color="auto" w:fill="FFFFFF" w:themeFill="background1"/>
            <w:noWrap/>
            <w:vAlign w:val="bottom"/>
            <w:hideMark/>
          </w:tcPr>
          <w:p w14:paraId="3FDD5B76" w14:textId="77777777" w:rsidR="001E2E21" w:rsidRPr="00F07E34" w:rsidRDefault="001E2E21" w:rsidP="00344D39">
            <w:pPr>
              <w:spacing w:before="0" w:line="240" w:lineRule="auto"/>
              <w:contextualSpacing w:val="0"/>
              <w:rPr>
                <w:rFonts w:asciiTheme="minorHAnsi" w:eastAsia="Times New Roman" w:hAnsiTheme="minorHAnsi" w:cstheme="minorHAnsi"/>
                <w:sz w:val="22"/>
                <w:lang w:eastAsia="en-GB"/>
              </w:rPr>
            </w:pPr>
            <w:r w:rsidRPr="00F07E34">
              <w:rPr>
                <w:rFonts w:asciiTheme="minorHAnsi" w:eastAsia="Times New Roman" w:hAnsiTheme="minorHAnsi" w:cstheme="minorHAnsi"/>
                <w:sz w:val="22"/>
                <w:lang w:eastAsia="en-GB"/>
              </w:rPr>
              <w:t>Cooperation</w:t>
            </w:r>
          </w:p>
        </w:tc>
        <w:tc>
          <w:tcPr>
            <w:tcW w:w="1318" w:type="dxa"/>
            <w:tcBorders>
              <w:top w:val="nil"/>
              <w:left w:val="nil"/>
              <w:bottom w:val="single" w:sz="4" w:space="0" w:color="BFBFBF"/>
              <w:right w:val="single" w:sz="4" w:space="0" w:color="BFBFBF"/>
            </w:tcBorders>
            <w:shd w:val="clear" w:color="auto" w:fill="FFFFFF" w:themeFill="background1"/>
            <w:vAlign w:val="bottom"/>
            <w:hideMark/>
          </w:tcPr>
          <w:p w14:paraId="2A0A91CA" w14:textId="77777777" w:rsidR="001E2E21" w:rsidRPr="00F07E34" w:rsidRDefault="001E2E21" w:rsidP="00344D39">
            <w:pPr>
              <w:spacing w:before="0" w:line="240" w:lineRule="auto"/>
              <w:contextualSpacing w:val="0"/>
              <w:jc w:val="center"/>
              <w:rPr>
                <w:rFonts w:asciiTheme="minorHAnsi" w:eastAsia="Times New Roman" w:hAnsiTheme="minorHAnsi" w:cstheme="minorHAnsi"/>
                <w:sz w:val="22"/>
                <w:lang w:eastAsia="en-GB"/>
              </w:rPr>
            </w:pPr>
            <w:r w:rsidRPr="00F07E34">
              <w:rPr>
                <w:rFonts w:asciiTheme="minorHAnsi" w:eastAsia="Times New Roman" w:hAnsiTheme="minorHAnsi" w:cstheme="minorHAnsi"/>
                <w:sz w:val="22"/>
                <w:lang w:eastAsia="en-GB"/>
              </w:rPr>
              <w:t>4</w:t>
            </w:r>
          </w:p>
        </w:tc>
        <w:tc>
          <w:tcPr>
            <w:tcW w:w="1318" w:type="dxa"/>
            <w:tcBorders>
              <w:top w:val="nil"/>
              <w:left w:val="nil"/>
              <w:bottom w:val="single" w:sz="4" w:space="0" w:color="BFBFBF"/>
              <w:right w:val="single" w:sz="4" w:space="0" w:color="BFBFBF"/>
            </w:tcBorders>
            <w:shd w:val="clear" w:color="auto" w:fill="FFFFFF" w:themeFill="background1"/>
            <w:vAlign w:val="bottom"/>
            <w:hideMark/>
          </w:tcPr>
          <w:p w14:paraId="7287B6A4" w14:textId="77777777" w:rsidR="001E2E21" w:rsidRPr="00F07E34" w:rsidRDefault="001E2E21" w:rsidP="00344D39">
            <w:pPr>
              <w:spacing w:before="0" w:line="240" w:lineRule="auto"/>
              <w:contextualSpacing w:val="0"/>
              <w:jc w:val="center"/>
              <w:rPr>
                <w:rFonts w:asciiTheme="minorHAnsi" w:eastAsia="Times New Roman" w:hAnsiTheme="minorHAnsi" w:cstheme="minorHAnsi"/>
                <w:sz w:val="22"/>
                <w:lang w:eastAsia="en-GB"/>
              </w:rPr>
            </w:pPr>
            <w:r w:rsidRPr="00F07E34">
              <w:rPr>
                <w:rFonts w:asciiTheme="minorHAnsi" w:eastAsia="Times New Roman" w:hAnsiTheme="minorHAnsi" w:cstheme="minorHAnsi"/>
                <w:sz w:val="22"/>
                <w:lang w:eastAsia="en-GB"/>
              </w:rPr>
              <w:t>4</w:t>
            </w:r>
          </w:p>
        </w:tc>
        <w:tc>
          <w:tcPr>
            <w:tcW w:w="1318" w:type="dxa"/>
            <w:tcBorders>
              <w:top w:val="nil"/>
              <w:left w:val="nil"/>
              <w:bottom w:val="single" w:sz="4" w:space="0" w:color="BFBFBF"/>
              <w:right w:val="single" w:sz="4" w:space="0" w:color="BFBFBF"/>
            </w:tcBorders>
            <w:shd w:val="clear" w:color="auto" w:fill="FFFFFF" w:themeFill="background1"/>
            <w:vAlign w:val="bottom"/>
            <w:hideMark/>
          </w:tcPr>
          <w:p w14:paraId="5B769DA0" w14:textId="77777777" w:rsidR="001E2E21" w:rsidRPr="00F07E34" w:rsidRDefault="001E2E21" w:rsidP="00344D39">
            <w:pPr>
              <w:spacing w:before="0" w:line="240" w:lineRule="auto"/>
              <w:contextualSpacing w:val="0"/>
              <w:jc w:val="center"/>
              <w:rPr>
                <w:rFonts w:asciiTheme="minorHAnsi" w:eastAsia="Times New Roman" w:hAnsiTheme="minorHAnsi" w:cstheme="minorHAnsi"/>
                <w:sz w:val="22"/>
                <w:lang w:eastAsia="en-GB"/>
              </w:rPr>
            </w:pPr>
            <w:r w:rsidRPr="00F07E34">
              <w:rPr>
                <w:rFonts w:asciiTheme="minorHAnsi" w:eastAsia="Times New Roman" w:hAnsiTheme="minorHAnsi" w:cstheme="minorHAnsi"/>
                <w:sz w:val="22"/>
                <w:lang w:eastAsia="en-GB"/>
              </w:rPr>
              <w:t>0</w:t>
            </w:r>
          </w:p>
        </w:tc>
        <w:tc>
          <w:tcPr>
            <w:tcW w:w="1318" w:type="dxa"/>
            <w:tcBorders>
              <w:top w:val="nil"/>
              <w:left w:val="nil"/>
              <w:bottom w:val="single" w:sz="4" w:space="0" w:color="BFBFBF"/>
              <w:right w:val="single" w:sz="4" w:space="0" w:color="BFBFBF"/>
            </w:tcBorders>
            <w:shd w:val="clear" w:color="auto" w:fill="FFFFFF" w:themeFill="background1"/>
            <w:vAlign w:val="bottom"/>
            <w:hideMark/>
          </w:tcPr>
          <w:p w14:paraId="7089DA44" w14:textId="77777777" w:rsidR="001E2E21" w:rsidRPr="00F07E34" w:rsidRDefault="001E2E21" w:rsidP="00344D39">
            <w:pPr>
              <w:spacing w:before="0" w:line="240" w:lineRule="auto"/>
              <w:contextualSpacing w:val="0"/>
              <w:jc w:val="center"/>
              <w:rPr>
                <w:rFonts w:asciiTheme="minorHAnsi" w:eastAsia="Times New Roman" w:hAnsiTheme="minorHAnsi" w:cstheme="minorHAnsi"/>
                <w:sz w:val="22"/>
                <w:lang w:eastAsia="en-GB"/>
              </w:rPr>
            </w:pPr>
            <w:r w:rsidRPr="00F07E34">
              <w:rPr>
                <w:rFonts w:asciiTheme="minorHAnsi" w:eastAsia="Times New Roman" w:hAnsiTheme="minorHAnsi" w:cstheme="minorHAnsi"/>
                <w:sz w:val="22"/>
                <w:lang w:eastAsia="en-GB"/>
              </w:rPr>
              <w:t>0</w:t>
            </w:r>
          </w:p>
        </w:tc>
      </w:tr>
      <w:tr w:rsidR="00483988" w:rsidRPr="00483988" w14:paraId="10B5668D" w14:textId="77777777" w:rsidTr="00344D39">
        <w:trPr>
          <w:trHeight w:val="300"/>
        </w:trPr>
        <w:tc>
          <w:tcPr>
            <w:tcW w:w="2917" w:type="dxa"/>
            <w:tcBorders>
              <w:top w:val="nil"/>
              <w:left w:val="single" w:sz="4" w:space="0" w:color="BFBFBF"/>
              <w:bottom w:val="single" w:sz="4" w:space="0" w:color="BFBFBF"/>
              <w:right w:val="single" w:sz="4" w:space="0" w:color="BFBFBF"/>
            </w:tcBorders>
            <w:shd w:val="clear" w:color="auto" w:fill="FFFFFF" w:themeFill="background1"/>
            <w:noWrap/>
            <w:vAlign w:val="bottom"/>
            <w:hideMark/>
          </w:tcPr>
          <w:p w14:paraId="279781E5" w14:textId="77777777" w:rsidR="001E2E21" w:rsidRPr="00483988" w:rsidRDefault="001E2E21" w:rsidP="00344D39">
            <w:pPr>
              <w:spacing w:before="0" w:line="240" w:lineRule="auto"/>
              <w:contextualSpacing w:val="0"/>
              <w:rPr>
                <w:rFonts w:asciiTheme="minorHAnsi" w:eastAsia="Times New Roman" w:hAnsiTheme="minorHAnsi" w:cstheme="minorHAnsi"/>
                <w:sz w:val="22"/>
                <w:lang w:eastAsia="en-GB"/>
              </w:rPr>
            </w:pPr>
            <w:r w:rsidRPr="00483988">
              <w:rPr>
                <w:rFonts w:asciiTheme="minorHAnsi" w:eastAsia="Times New Roman" w:hAnsiTheme="minorHAnsi" w:cstheme="minorHAnsi"/>
                <w:sz w:val="22"/>
                <w:lang w:eastAsia="en-GB"/>
              </w:rPr>
              <w:t>Business Continuity</w:t>
            </w:r>
          </w:p>
        </w:tc>
        <w:tc>
          <w:tcPr>
            <w:tcW w:w="1318" w:type="dxa"/>
            <w:tcBorders>
              <w:top w:val="nil"/>
              <w:left w:val="nil"/>
              <w:bottom w:val="single" w:sz="4" w:space="0" w:color="BFBFBF"/>
              <w:right w:val="single" w:sz="4" w:space="0" w:color="BFBFBF"/>
            </w:tcBorders>
            <w:shd w:val="clear" w:color="auto" w:fill="FFFFFF" w:themeFill="background1"/>
            <w:vAlign w:val="bottom"/>
            <w:hideMark/>
          </w:tcPr>
          <w:p w14:paraId="7A5EFCF0" w14:textId="78AC4586" w:rsidR="001E2E21" w:rsidRPr="00483988" w:rsidRDefault="00483988" w:rsidP="00344D39">
            <w:pPr>
              <w:spacing w:before="0" w:line="240" w:lineRule="auto"/>
              <w:contextualSpacing w:val="0"/>
              <w:jc w:val="center"/>
              <w:rPr>
                <w:rFonts w:asciiTheme="minorHAnsi" w:eastAsia="Times New Roman" w:hAnsiTheme="minorHAnsi" w:cstheme="minorHAnsi"/>
                <w:sz w:val="22"/>
                <w:lang w:eastAsia="en-GB"/>
              </w:rPr>
            </w:pPr>
            <w:r w:rsidRPr="00483988">
              <w:rPr>
                <w:rFonts w:asciiTheme="minorHAnsi" w:eastAsia="Times New Roman" w:hAnsiTheme="minorHAnsi" w:cstheme="minorHAnsi"/>
                <w:sz w:val="22"/>
                <w:lang w:eastAsia="en-GB"/>
              </w:rPr>
              <w:t>7</w:t>
            </w:r>
          </w:p>
        </w:tc>
        <w:tc>
          <w:tcPr>
            <w:tcW w:w="1318" w:type="dxa"/>
            <w:tcBorders>
              <w:top w:val="nil"/>
              <w:left w:val="nil"/>
              <w:bottom w:val="single" w:sz="4" w:space="0" w:color="BFBFBF"/>
              <w:right w:val="single" w:sz="4" w:space="0" w:color="BFBFBF"/>
            </w:tcBorders>
            <w:shd w:val="clear" w:color="auto" w:fill="FFFFFF" w:themeFill="background1"/>
            <w:vAlign w:val="bottom"/>
            <w:hideMark/>
          </w:tcPr>
          <w:p w14:paraId="291A7FB8" w14:textId="49AB91D9" w:rsidR="001E2E21" w:rsidRPr="00483988" w:rsidRDefault="00483988" w:rsidP="00344D39">
            <w:pPr>
              <w:spacing w:before="0" w:line="240" w:lineRule="auto"/>
              <w:contextualSpacing w:val="0"/>
              <w:jc w:val="center"/>
              <w:rPr>
                <w:rFonts w:asciiTheme="minorHAnsi" w:eastAsia="Times New Roman" w:hAnsiTheme="minorHAnsi" w:cstheme="minorHAnsi"/>
                <w:sz w:val="22"/>
                <w:lang w:eastAsia="en-GB"/>
              </w:rPr>
            </w:pPr>
            <w:r w:rsidRPr="00483988">
              <w:rPr>
                <w:rFonts w:asciiTheme="minorHAnsi" w:eastAsia="Times New Roman" w:hAnsiTheme="minorHAnsi" w:cstheme="minorHAnsi"/>
                <w:sz w:val="22"/>
                <w:lang w:eastAsia="en-GB"/>
              </w:rPr>
              <w:t>7</w:t>
            </w:r>
          </w:p>
        </w:tc>
        <w:tc>
          <w:tcPr>
            <w:tcW w:w="1318" w:type="dxa"/>
            <w:tcBorders>
              <w:top w:val="nil"/>
              <w:left w:val="nil"/>
              <w:bottom w:val="single" w:sz="4" w:space="0" w:color="BFBFBF"/>
              <w:right w:val="single" w:sz="4" w:space="0" w:color="BFBFBF"/>
            </w:tcBorders>
            <w:shd w:val="clear" w:color="auto" w:fill="FFFFFF" w:themeFill="background1"/>
            <w:vAlign w:val="bottom"/>
            <w:hideMark/>
          </w:tcPr>
          <w:p w14:paraId="78A28B7C" w14:textId="77777777" w:rsidR="001E2E21" w:rsidRPr="00483988" w:rsidRDefault="001E2E21" w:rsidP="00344D39">
            <w:pPr>
              <w:spacing w:before="0" w:line="240" w:lineRule="auto"/>
              <w:contextualSpacing w:val="0"/>
              <w:jc w:val="center"/>
              <w:rPr>
                <w:rFonts w:asciiTheme="minorHAnsi" w:eastAsia="Times New Roman" w:hAnsiTheme="minorHAnsi" w:cstheme="minorHAnsi"/>
                <w:sz w:val="22"/>
                <w:lang w:eastAsia="en-GB"/>
              </w:rPr>
            </w:pPr>
            <w:r w:rsidRPr="00483988">
              <w:rPr>
                <w:rFonts w:asciiTheme="minorHAnsi" w:eastAsia="Times New Roman" w:hAnsiTheme="minorHAnsi" w:cstheme="minorHAnsi"/>
                <w:sz w:val="22"/>
                <w:lang w:eastAsia="en-GB"/>
              </w:rPr>
              <w:t>0</w:t>
            </w:r>
          </w:p>
        </w:tc>
        <w:tc>
          <w:tcPr>
            <w:tcW w:w="1318" w:type="dxa"/>
            <w:tcBorders>
              <w:top w:val="nil"/>
              <w:left w:val="nil"/>
              <w:bottom w:val="single" w:sz="4" w:space="0" w:color="BFBFBF"/>
              <w:right w:val="single" w:sz="4" w:space="0" w:color="BFBFBF"/>
            </w:tcBorders>
            <w:shd w:val="clear" w:color="auto" w:fill="FFFFFF" w:themeFill="background1"/>
            <w:vAlign w:val="bottom"/>
            <w:hideMark/>
          </w:tcPr>
          <w:p w14:paraId="0ECE057E" w14:textId="77777777" w:rsidR="001E2E21" w:rsidRPr="00483988" w:rsidRDefault="001E2E21" w:rsidP="00344D39">
            <w:pPr>
              <w:spacing w:before="0" w:line="240" w:lineRule="auto"/>
              <w:contextualSpacing w:val="0"/>
              <w:jc w:val="center"/>
              <w:rPr>
                <w:rFonts w:asciiTheme="minorHAnsi" w:eastAsia="Times New Roman" w:hAnsiTheme="minorHAnsi" w:cstheme="minorHAnsi"/>
                <w:sz w:val="22"/>
                <w:lang w:eastAsia="en-GB"/>
              </w:rPr>
            </w:pPr>
            <w:r w:rsidRPr="00483988">
              <w:rPr>
                <w:rFonts w:asciiTheme="minorHAnsi" w:eastAsia="Times New Roman" w:hAnsiTheme="minorHAnsi" w:cstheme="minorHAnsi"/>
                <w:sz w:val="22"/>
                <w:lang w:eastAsia="en-GB"/>
              </w:rPr>
              <w:t>0</w:t>
            </w:r>
          </w:p>
        </w:tc>
      </w:tr>
      <w:tr w:rsidR="00D34AA1" w:rsidRPr="00D34AA1" w14:paraId="3C31051D" w14:textId="77777777" w:rsidTr="00344D39">
        <w:trPr>
          <w:trHeight w:val="300"/>
        </w:trPr>
        <w:tc>
          <w:tcPr>
            <w:tcW w:w="2917" w:type="dxa"/>
            <w:tcBorders>
              <w:top w:val="nil"/>
              <w:left w:val="single" w:sz="4" w:space="0" w:color="BFBFBF"/>
              <w:bottom w:val="single" w:sz="4" w:space="0" w:color="BFBFBF"/>
              <w:right w:val="single" w:sz="4" w:space="0" w:color="BFBFBF"/>
            </w:tcBorders>
            <w:shd w:val="clear" w:color="auto" w:fill="FFFFFF" w:themeFill="background1"/>
            <w:noWrap/>
            <w:vAlign w:val="bottom"/>
            <w:hideMark/>
          </w:tcPr>
          <w:p w14:paraId="1A2BF668" w14:textId="77777777" w:rsidR="001E2E21" w:rsidRPr="00D34AA1" w:rsidRDefault="001E2E21" w:rsidP="00344D39">
            <w:pPr>
              <w:spacing w:before="0" w:line="240" w:lineRule="auto"/>
              <w:contextualSpacing w:val="0"/>
              <w:rPr>
                <w:rFonts w:asciiTheme="minorHAnsi" w:eastAsia="Times New Roman" w:hAnsiTheme="minorHAnsi" w:cstheme="minorHAnsi"/>
                <w:sz w:val="22"/>
                <w:lang w:eastAsia="en-GB"/>
              </w:rPr>
            </w:pPr>
            <w:r w:rsidRPr="00D34AA1">
              <w:rPr>
                <w:rFonts w:asciiTheme="minorHAnsi" w:eastAsia="Times New Roman" w:hAnsiTheme="minorHAnsi" w:cstheme="minorHAnsi"/>
                <w:sz w:val="22"/>
                <w:lang w:eastAsia="en-GB"/>
              </w:rPr>
              <w:t>CBRN</w:t>
            </w:r>
          </w:p>
        </w:tc>
        <w:tc>
          <w:tcPr>
            <w:tcW w:w="1318" w:type="dxa"/>
            <w:tcBorders>
              <w:top w:val="nil"/>
              <w:left w:val="nil"/>
              <w:bottom w:val="single" w:sz="4" w:space="0" w:color="BFBFBF"/>
              <w:right w:val="single" w:sz="4" w:space="0" w:color="BFBFBF"/>
            </w:tcBorders>
            <w:shd w:val="clear" w:color="auto" w:fill="FFFFFF" w:themeFill="background1"/>
            <w:vAlign w:val="bottom"/>
            <w:hideMark/>
          </w:tcPr>
          <w:p w14:paraId="2398BCB0" w14:textId="3374B546" w:rsidR="001E2E21" w:rsidRPr="00D34AA1" w:rsidRDefault="00D34AA1" w:rsidP="00344D39">
            <w:pPr>
              <w:spacing w:before="0" w:line="240" w:lineRule="auto"/>
              <w:contextualSpacing w:val="0"/>
              <w:jc w:val="center"/>
              <w:rPr>
                <w:rFonts w:asciiTheme="minorHAnsi" w:eastAsia="Times New Roman" w:hAnsiTheme="minorHAnsi" w:cstheme="minorHAnsi"/>
                <w:sz w:val="22"/>
                <w:lang w:eastAsia="en-GB"/>
              </w:rPr>
            </w:pPr>
            <w:r w:rsidRPr="00D34AA1">
              <w:rPr>
                <w:rFonts w:asciiTheme="minorHAnsi" w:eastAsia="Times New Roman" w:hAnsiTheme="minorHAnsi" w:cstheme="minorHAnsi"/>
                <w:sz w:val="22"/>
                <w:lang w:eastAsia="en-GB"/>
              </w:rPr>
              <w:t>6</w:t>
            </w:r>
          </w:p>
        </w:tc>
        <w:tc>
          <w:tcPr>
            <w:tcW w:w="1318" w:type="dxa"/>
            <w:tcBorders>
              <w:top w:val="nil"/>
              <w:left w:val="nil"/>
              <w:bottom w:val="single" w:sz="4" w:space="0" w:color="BFBFBF"/>
              <w:right w:val="single" w:sz="4" w:space="0" w:color="BFBFBF"/>
            </w:tcBorders>
            <w:shd w:val="clear" w:color="auto" w:fill="FFFFFF" w:themeFill="background1"/>
            <w:vAlign w:val="bottom"/>
            <w:hideMark/>
          </w:tcPr>
          <w:p w14:paraId="358B7BAA" w14:textId="037A0F5B" w:rsidR="001E2E21" w:rsidRPr="00D34AA1" w:rsidRDefault="00D34AA1" w:rsidP="00344D39">
            <w:pPr>
              <w:spacing w:before="0" w:line="240" w:lineRule="auto"/>
              <w:contextualSpacing w:val="0"/>
              <w:jc w:val="center"/>
              <w:rPr>
                <w:rFonts w:asciiTheme="minorHAnsi" w:eastAsia="Times New Roman" w:hAnsiTheme="minorHAnsi" w:cstheme="minorHAnsi"/>
                <w:sz w:val="22"/>
                <w:lang w:eastAsia="en-GB"/>
              </w:rPr>
            </w:pPr>
            <w:r w:rsidRPr="00D34AA1">
              <w:rPr>
                <w:rFonts w:asciiTheme="minorHAnsi" w:eastAsia="Times New Roman" w:hAnsiTheme="minorHAnsi" w:cstheme="minorHAnsi"/>
                <w:sz w:val="22"/>
                <w:lang w:eastAsia="en-GB"/>
              </w:rPr>
              <w:t>6</w:t>
            </w:r>
          </w:p>
        </w:tc>
        <w:tc>
          <w:tcPr>
            <w:tcW w:w="1318" w:type="dxa"/>
            <w:tcBorders>
              <w:top w:val="nil"/>
              <w:left w:val="nil"/>
              <w:bottom w:val="single" w:sz="4" w:space="0" w:color="BFBFBF"/>
              <w:right w:val="single" w:sz="4" w:space="0" w:color="BFBFBF"/>
            </w:tcBorders>
            <w:shd w:val="clear" w:color="auto" w:fill="FFFFFF" w:themeFill="background1"/>
            <w:vAlign w:val="bottom"/>
            <w:hideMark/>
          </w:tcPr>
          <w:p w14:paraId="4313E66D" w14:textId="77777777" w:rsidR="001E2E21" w:rsidRPr="00D34AA1" w:rsidRDefault="001E2E21" w:rsidP="00344D39">
            <w:pPr>
              <w:spacing w:before="0" w:line="240" w:lineRule="auto"/>
              <w:contextualSpacing w:val="0"/>
              <w:jc w:val="center"/>
              <w:rPr>
                <w:rFonts w:asciiTheme="minorHAnsi" w:eastAsia="Times New Roman" w:hAnsiTheme="minorHAnsi" w:cstheme="minorHAnsi"/>
                <w:sz w:val="22"/>
                <w:lang w:eastAsia="en-GB"/>
              </w:rPr>
            </w:pPr>
            <w:r w:rsidRPr="00D34AA1">
              <w:rPr>
                <w:rFonts w:asciiTheme="minorHAnsi" w:eastAsia="Times New Roman" w:hAnsiTheme="minorHAnsi" w:cstheme="minorHAnsi"/>
                <w:sz w:val="22"/>
                <w:lang w:eastAsia="en-GB"/>
              </w:rPr>
              <w:t>0</w:t>
            </w:r>
          </w:p>
        </w:tc>
        <w:tc>
          <w:tcPr>
            <w:tcW w:w="1318" w:type="dxa"/>
            <w:tcBorders>
              <w:top w:val="nil"/>
              <w:left w:val="nil"/>
              <w:bottom w:val="single" w:sz="4" w:space="0" w:color="BFBFBF"/>
              <w:right w:val="single" w:sz="4" w:space="0" w:color="BFBFBF"/>
            </w:tcBorders>
            <w:shd w:val="clear" w:color="auto" w:fill="FFFFFF" w:themeFill="background1"/>
            <w:vAlign w:val="bottom"/>
            <w:hideMark/>
          </w:tcPr>
          <w:p w14:paraId="6D7BA9E1" w14:textId="77777777" w:rsidR="001E2E21" w:rsidRPr="00D34AA1" w:rsidRDefault="001E2E21" w:rsidP="00344D39">
            <w:pPr>
              <w:spacing w:before="0" w:line="240" w:lineRule="auto"/>
              <w:contextualSpacing w:val="0"/>
              <w:jc w:val="center"/>
              <w:rPr>
                <w:rFonts w:asciiTheme="minorHAnsi" w:eastAsia="Times New Roman" w:hAnsiTheme="minorHAnsi" w:cstheme="minorHAnsi"/>
                <w:sz w:val="22"/>
                <w:lang w:eastAsia="en-GB"/>
              </w:rPr>
            </w:pPr>
            <w:r w:rsidRPr="00D34AA1">
              <w:rPr>
                <w:rFonts w:asciiTheme="minorHAnsi" w:eastAsia="Times New Roman" w:hAnsiTheme="minorHAnsi" w:cstheme="minorHAnsi"/>
                <w:sz w:val="22"/>
                <w:lang w:eastAsia="en-GB"/>
              </w:rPr>
              <w:t>0</w:t>
            </w:r>
          </w:p>
        </w:tc>
      </w:tr>
      <w:tr w:rsidR="00CD6B5B" w:rsidRPr="00CD6B5B" w14:paraId="6DF73DA4" w14:textId="77777777" w:rsidTr="00344D39">
        <w:trPr>
          <w:trHeight w:val="300"/>
        </w:trPr>
        <w:tc>
          <w:tcPr>
            <w:tcW w:w="2917" w:type="dxa"/>
            <w:tcBorders>
              <w:top w:val="nil"/>
              <w:left w:val="nil"/>
              <w:bottom w:val="nil"/>
              <w:right w:val="nil"/>
            </w:tcBorders>
            <w:shd w:val="clear" w:color="auto" w:fill="FFFFFF" w:themeFill="background1"/>
            <w:noWrap/>
            <w:vAlign w:val="center"/>
            <w:hideMark/>
          </w:tcPr>
          <w:p w14:paraId="3F9E046C" w14:textId="77777777" w:rsidR="001E2E21" w:rsidRPr="00CD6B5B" w:rsidRDefault="001E2E21" w:rsidP="00344D39">
            <w:pPr>
              <w:spacing w:before="0" w:line="240" w:lineRule="auto"/>
              <w:contextualSpacing w:val="0"/>
              <w:rPr>
                <w:rFonts w:asciiTheme="minorHAnsi" w:eastAsia="Times New Roman" w:hAnsiTheme="minorHAnsi" w:cstheme="minorHAnsi"/>
                <w:b/>
                <w:bCs/>
                <w:sz w:val="22"/>
                <w:lang w:eastAsia="en-GB"/>
              </w:rPr>
            </w:pPr>
            <w:r w:rsidRPr="00CD6B5B">
              <w:rPr>
                <w:rFonts w:asciiTheme="minorHAnsi" w:eastAsia="Times New Roman" w:hAnsiTheme="minorHAnsi" w:cstheme="minorHAnsi"/>
                <w:b/>
                <w:bCs/>
                <w:sz w:val="22"/>
                <w:lang w:eastAsia="en-GB"/>
              </w:rPr>
              <w:t>Total</w:t>
            </w:r>
          </w:p>
        </w:tc>
        <w:tc>
          <w:tcPr>
            <w:tcW w:w="1318" w:type="dxa"/>
            <w:tcBorders>
              <w:top w:val="nil"/>
              <w:left w:val="single" w:sz="4" w:space="0" w:color="FFFFFF"/>
              <w:right w:val="nil"/>
            </w:tcBorders>
            <w:shd w:val="clear" w:color="auto" w:fill="FFFFFF" w:themeFill="background1"/>
            <w:vAlign w:val="center"/>
            <w:hideMark/>
          </w:tcPr>
          <w:p w14:paraId="2C1C89BD" w14:textId="50363789" w:rsidR="001E2E21" w:rsidRPr="00CD6B5B" w:rsidRDefault="00CD6B5B" w:rsidP="00344D39">
            <w:pPr>
              <w:spacing w:before="0" w:line="240" w:lineRule="auto"/>
              <w:contextualSpacing w:val="0"/>
              <w:jc w:val="center"/>
              <w:rPr>
                <w:rFonts w:asciiTheme="minorHAnsi" w:eastAsia="Times New Roman" w:hAnsiTheme="minorHAnsi" w:cstheme="minorHAnsi"/>
                <w:b/>
                <w:bCs/>
                <w:sz w:val="22"/>
                <w:lang w:eastAsia="en-GB"/>
              </w:rPr>
            </w:pPr>
            <w:r w:rsidRPr="00CD6B5B">
              <w:rPr>
                <w:rFonts w:asciiTheme="minorHAnsi" w:eastAsia="Times New Roman" w:hAnsiTheme="minorHAnsi" w:cstheme="minorHAnsi"/>
                <w:b/>
                <w:bCs/>
                <w:sz w:val="22"/>
                <w:lang w:eastAsia="en-GB"/>
              </w:rPr>
              <w:t>42</w:t>
            </w:r>
          </w:p>
        </w:tc>
        <w:tc>
          <w:tcPr>
            <w:tcW w:w="1318" w:type="dxa"/>
            <w:tcBorders>
              <w:top w:val="nil"/>
              <w:left w:val="single" w:sz="4" w:space="0" w:color="FFFFFF"/>
              <w:right w:val="nil"/>
            </w:tcBorders>
            <w:shd w:val="clear" w:color="auto" w:fill="FFFFFF" w:themeFill="background1"/>
            <w:vAlign w:val="center"/>
            <w:hideMark/>
          </w:tcPr>
          <w:p w14:paraId="5DDCDDB7" w14:textId="5526E61B" w:rsidR="001E2E21" w:rsidRPr="00CD6B5B" w:rsidRDefault="00CD6B5B" w:rsidP="00344D39">
            <w:pPr>
              <w:spacing w:before="0" w:line="240" w:lineRule="auto"/>
              <w:contextualSpacing w:val="0"/>
              <w:jc w:val="center"/>
              <w:rPr>
                <w:rFonts w:asciiTheme="minorHAnsi" w:eastAsia="Times New Roman" w:hAnsiTheme="minorHAnsi" w:cstheme="minorHAnsi"/>
                <w:b/>
                <w:bCs/>
                <w:sz w:val="22"/>
                <w:lang w:eastAsia="en-GB"/>
              </w:rPr>
            </w:pPr>
            <w:r w:rsidRPr="00CD6B5B">
              <w:rPr>
                <w:rFonts w:asciiTheme="minorHAnsi" w:eastAsia="Times New Roman" w:hAnsiTheme="minorHAnsi" w:cstheme="minorHAnsi"/>
                <w:b/>
                <w:bCs/>
                <w:sz w:val="22"/>
                <w:lang w:eastAsia="en-GB"/>
              </w:rPr>
              <w:t>42</w:t>
            </w:r>
          </w:p>
        </w:tc>
        <w:tc>
          <w:tcPr>
            <w:tcW w:w="1318" w:type="dxa"/>
            <w:tcBorders>
              <w:top w:val="nil"/>
              <w:left w:val="single" w:sz="4" w:space="0" w:color="FFFFFF"/>
              <w:right w:val="nil"/>
            </w:tcBorders>
            <w:shd w:val="clear" w:color="auto" w:fill="FFFFFF" w:themeFill="background1"/>
            <w:vAlign w:val="center"/>
            <w:hideMark/>
          </w:tcPr>
          <w:p w14:paraId="7D32AF4F" w14:textId="201273CE" w:rsidR="001E2E21" w:rsidRPr="00CD6B5B" w:rsidRDefault="00CD6B5B" w:rsidP="00344D39">
            <w:pPr>
              <w:spacing w:before="0" w:line="240" w:lineRule="auto"/>
              <w:contextualSpacing w:val="0"/>
              <w:jc w:val="center"/>
              <w:rPr>
                <w:rFonts w:asciiTheme="minorHAnsi" w:eastAsia="Times New Roman" w:hAnsiTheme="minorHAnsi" w:cstheme="minorHAnsi"/>
                <w:b/>
                <w:bCs/>
                <w:sz w:val="22"/>
                <w:lang w:eastAsia="en-GB"/>
              </w:rPr>
            </w:pPr>
            <w:r w:rsidRPr="00CD6B5B">
              <w:rPr>
                <w:rFonts w:asciiTheme="minorHAnsi" w:eastAsia="Times New Roman" w:hAnsiTheme="minorHAnsi" w:cstheme="minorHAnsi"/>
                <w:b/>
                <w:bCs/>
                <w:sz w:val="22"/>
                <w:lang w:eastAsia="en-GB"/>
              </w:rPr>
              <w:t>0</w:t>
            </w:r>
          </w:p>
        </w:tc>
        <w:tc>
          <w:tcPr>
            <w:tcW w:w="1318" w:type="dxa"/>
            <w:tcBorders>
              <w:top w:val="nil"/>
              <w:left w:val="single" w:sz="4" w:space="0" w:color="FFFFFF"/>
              <w:right w:val="nil"/>
            </w:tcBorders>
            <w:shd w:val="clear" w:color="auto" w:fill="FFFFFF" w:themeFill="background1"/>
            <w:vAlign w:val="center"/>
            <w:hideMark/>
          </w:tcPr>
          <w:p w14:paraId="1C7C773E" w14:textId="77777777" w:rsidR="001E2E21" w:rsidRPr="00CD6B5B" w:rsidRDefault="001E2E21" w:rsidP="00344D39">
            <w:pPr>
              <w:spacing w:before="0" w:line="240" w:lineRule="auto"/>
              <w:contextualSpacing w:val="0"/>
              <w:jc w:val="center"/>
              <w:rPr>
                <w:rFonts w:asciiTheme="minorHAnsi" w:eastAsia="Times New Roman" w:hAnsiTheme="minorHAnsi" w:cstheme="minorHAnsi"/>
                <w:b/>
                <w:bCs/>
                <w:sz w:val="22"/>
                <w:lang w:eastAsia="en-GB"/>
              </w:rPr>
            </w:pPr>
            <w:r w:rsidRPr="00CD6B5B">
              <w:rPr>
                <w:rFonts w:asciiTheme="minorHAnsi" w:eastAsia="Times New Roman" w:hAnsiTheme="minorHAnsi" w:cstheme="minorHAnsi"/>
                <w:b/>
                <w:bCs/>
                <w:sz w:val="22"/>
                <w:lang w:eastAsia="en-GB"/>
              </w:rPr>
              <w:t>0</w:t>
            </w:r>
          </w:p>
        </w:tc>
      </w:tr>
      <w:tr w:rsidR="00CD6B5B" w:rsidRPr="00CD6B5B" w14:paraId="6804C52B" w14:textId="77777777" w:rsidTr="00344D39">
        <w:trPr>
          <w:trHeight w:val="300"/>
        </w:trPr>
        <w:tc>
          <w:tcPr>
            <w:tcW w:w="2917" w:type="dxa"/>
            <w:tcBorders>
              <w:top w:val="nil"/>
              <w:left w:val="nil"/>
              <w:bottom w:val="nil"/>
              <w:right w:val="single" w:sz="4" w:space="0" w:color="auto"/>
            </w:tcBorders>
            <w:shd w:val="clear" w:color="auto" w:fill="FFFFFF" w:themeFill="background1"/>
            <w:noWrap/>
            <w:vAlign w:val="center"/>
            <w:hideMark/>
          </w:tcPr>
          <w:p w14:paraId="4104BEA7" w14:textId="77777777" w:rsidR="001E2E21" w:rsidRPr="00CD6B5B" w:rsidRDefault="001E2E21" w:rsidP="00344D39">
            <w:pPr>
              <w:spacing w:before="0" w:line="240" w:lineRule="auto"/>
              <w:contextualSpacing w:val="0"/>
              <w:rPr>
                <w:rFonts w:asciiTheme="minorHAnsi" w:eastAsia="Times New Roman" w:hAnsiTheme="minorHAnsi" w:cstheme="minorHAnsi"/>
                <w:b/>
                <w:bCs/>
                <w:sz w:val="22"/>
                <w:lang w:eastAsia="en-GB"/>
              </w:rPr>
            </w:pPr>
            <w:r w:rsidRPr="00CD6B5B">
              <w:rPr>
                <w:rFonts w:asciiTheme="minorHAnsi" w:eastAsia="Times New Roman" w:hAnsiTheme="minorHAnsi" w:cstheme="minorHAnsi"/>
                <w:b/>
                <w:bCs/>
                <w:sz w:val="22"/>
                <w:lang w:eastAsia="en-GB"/>
              </w:rPr>
              <w:t>Overall assessment:</w:t>
            </w:r>
          </w:p>
        </w:tc>
        <w:tc>
          <w:tcPr>
            <w:tcW w:w="5272" w:type="dxa"/>
            <w:gridSpan w:val="4"/>
            <w:tcBorders>
              <w:top w:val="nil"/>
              <w:left w:val="single" w:sz="4" w:space="0" w:color="auto"/>
              <w:bottom w:val="nil"/>
              <w:right w:val="nil"/>
            </w:tcBorders>
            <w:shd w:val="clear" w:color="auto" w:fill="CCFFCC"/>
            <w:vAlign w:val="center"/>
          </w:tcPr>
          <w:p w14:paraId="6E12F318" w14:textId="36847188" w:rsidR="001E2E21" w:rsidRPr="00CD6B5B" w:rsidRDefault="00CD6B5B" w:rsidP="00344D39">
            <w:pPr>
              <w:spacing w:before="0" w:line="240" w:lineRule="auto"/>
              <w:contextualSpacing w:val="0"/>
              <w:jc w:val="center"/>
              <w:rPr>
                <w:rFonts w:asciiTheme="minorHAnsi" w:eastAsia="Times New Roman" w:hAnsiTheme="minorHAnsi" w:cstheme="minorHAnsi"/>
                <w:b/>
                <w:bCs/>
                <w:sz w:val="22"/>
                <w:lang w:eastAsia="en-GB"/>
              </w:rPr>
            </w:pPr>
            <w:r>
              <w:rPr>
                <w:rFonts w:asciiTheme="minorHAnsi" w:eastAsia="Times New Roman" w:hAnsiTheme="minorHAnsi" w:cstheme="minorHAnsi"/>
                <w:b/>
                <w:bCs/>
                <w:sz w:val="22"/>
                <w:lang w:eastAsia="en-GB"/>
              </w:rPr>
              <w:t>Ful</w:t>
            </w:r>
            <w:r w:rsidR="00574ABC">
              <w:rPr>
                <w:rFonts w:asciiTheme="minorHAnsi" w:eastAsia="Times New Roman" w:hAnsiTheme="minorHAnsi" w:cstheme="minorHAnsi"/>
                <w:b/>
                <w:bCs/>
                <w:sz w:val="22"/>
                <w:lang w:eastAsia="en-GB"/>
              </w:rPr>
              <w:t>l</w:t>
            </w:r>
            <w:r>
              <w:rPr>
                <w:rFonts w:asciiTheme="minorHAnsi" w:eastAsia="Times New Roman" w:hAnsiTheme="minorHAnsi" w:cstheme="minorHAnsi"/>
                <w:b/>
                <w:bCs/>
                <w:sz w:val="22"/>
                <w:lang w:eastAsia="en-GB"/>
              </w:rPr>
              <w:t xml:space="preserve"> complian</w:t>
            </w:r>
            <w:r w:rsidR="00574ABC">
              <w:rPr>
                <w:rFonts w:asciiTheme="minorHAnsi" w:eastAsia="Times New Roman" w:hAnsiTheme="minorHAnsi" w:cstheme="minorHAnsi"/>
                <w:b/>
                <w:bCs/>
                <w:sz w:val="22"/>
                <w:lang w:eastAsia="en-GB"/>
              </w:rPr>
              <w:t>ce</w:t>
            </w:r>
          </w:p>
        </w:tc>
      </w:tr>
    </w:tbl>
    <w:p w14:paraId="75E4238B" w14:textId="40E49EE2" w:rsidR="00FE3E11" w:rsidRPr="000B5D84" w:rsidRDefault="00FE3E11" w:rsidP="00FF2215">
      <w:pPr>
        <w:pStyle w:val="NumberedNormal"/>
        <w:ind w:left="788" w:hanging="431"/>
        <w:rPr>
          <w:rFonts w:asciiTheme="minorHAnsi" w:hAnsiTheme="minorHAnsi" w:cstheme="minorHAnsi"/>
          <w:sz w:val="22"/>
        </w:rPr>
      </w:pPr>
      <w:r w:rsidRPr="000B5D84">
        <w:rPr>
          <w:rFonts w:asciiTheme="minorHAnsi" w:hAnsiTheme="minorHAnsi" w:cstheme="minorHAnsi"/>
          <w:sz w:val="22"/>
        </w:rPr>
        <w:t xml:space="preserve">The statement of compliance and self-assessment was examined at a confirm and challenge meeting on </w:t>
      </w:r>
      <w:r w:rsidR="000B5D84" w:rsidRPr="000B5D84">
        <w:rPr>
          <w:rFonts w:asciiTheme="minorHAnsi" w:hAnsiTheme="minorHAnsi" w:cstheme="minorHAnsi"/>
          <w:sz w:val="22"/>
        </w:rPr>
        <w:t>22</w:t>
      </w:r>
      <w:r w:rsidRPr="000B5D84">
        <w:rPr>
          <w:rFonts w:asciiTheme="minorHAnsi" w:hAnsiTheme="minorHAnsi" w:cstheme="minorHAnsi"/>
          <w:sz w:val="22"/>
        </w:rPr>
        <w:t xml:space="preserve"> October 2020 and accepted by Oxfordshire </w:t>
      </w:r>
      <w:r w:rsidR="0054428F">
        <w:rPr>
          <w:rFonts w:asciiTheme="minorHAnsi" w:hAnsiTheme="minorHAnsi" w:cstheme="minorHAnsi"/>
          <w:sz w:val="22"/>
        </w:rPr>
        <w:t>C</w:t>
      </w:r>
      <w:r w:rsidRPr="000B5D84">
        <w:rPr>
          <w:rFonts w:asciiTheme="minorHAnsi" w:hAnsiTheme="minorHAnsi" w:cstheme="minorHAnsi"/>
          <w:sz w:val="22"/>
        </w:rPr>
        <w:t xml:space="preserve">linical </w:t>
      </w:r>
      <w:r w:rsidR="0054428F">
        <w:rPr>
          <w:rFonts w:asciiTheme="minorHAnsi" w:hAnsiTheme="minorHAnsi" w:cstheme="minorHAnsi"/>
          <w:sz w:val="22"/>
        </w:rPr>
        <w:t>C</w:t>
      </w:r>
      <w:r w:rsidRPr="000B5D84">
        <w:rPr>
          <w:rFonts w:asciiTheme="minorHAnsi" w:hAnsiTheme="minorHAnsi" w:cstheme="minorHAnsi"/>
          <w:sz w:val="22"/>
        </w:rPr>
        <w:t xml:space="preserve">ommissioning </w:t>
      </w:r>
      <w:r w:rsidR="0054428F">
        <w:rPr>
          <w:rFonts w:asciiTheme="minorHAnsi" w:hAnsiTheme="minorHAnsi" w:cstheme="minorHAnsi"/>
          <w:sz w:val="22"/>
        </w:rPr>
        <w:t>G</w:t>
      </w:r>
      <w:r w:rsidRPr="000B5D84">
        <w:rPr>
          <w:rFonts w:asciiTheme="minorHAnsi" w:hAnsiTheme="minorHAnsi" w:cstheme="minorHAnsi"/>
          <w:sz w:val="22"/>
        </w:rPr>
        <w:t>roup</w:t>
      </w:r>
      <w:r w:rsidR="00D35633" w:rsidRPr="000B5D84">
        <w:rPr>
          <w:rFonts w:asciiTheme="minorHAnsi" w:hAnsiTheme="minorHAnsi" w:cstheme="minorHAnsi"/>
          <w:sz w:val="22"/>
        </w:rPr>
        <w:t xml:space="preserve"> on behalf of NHS England and NHS Improvement</w:t>
      </w:r>
      <w:r w:rsidR="006D3680" w:rsidRPr="000B5D84">
        <w:rPr>
          <w:rFonts w:asciiTheme="minorHAnsi" w:hAnsiTheme="minorHAnsi" w:cstheme="minorHAnsi"/>
          <w:sz w:val="22"/>
        </w:rPr>
        <w:t xml:space="preserve"> – South East.</w:t>
      </w:r>
      <w:r w:rsidRPr="000B5D84">
        <w:rPr>
          <w:rFonts w:asciiTheme="minorHAnsi" w:hAnsiTheme="minorHAnsi" w:cstheme="minorHAnsi"/>
          <w:sz w:val="22"/>
        </w:rPr>
        <w:t xml:space="preserve"> </w:t>
      </w:r>
    </w:p>
    <w:p w14:paraId="13E7FDBE" w14:textId="6C4F95E5" w:rsidR="00502DB6" w:rsidRPr="002610D9" w:rsidRDefault="00502DB6" w:rsidP="00502DB6">
      <w:pPr>
        <w:pStyle w:val="Heading1"/>
        <w:rPr>
          <w:rFonts w:asciiTheme="minorHAnsi" w:hAnsiTheme="minorHAnsi" w:cstheme="minorHAnsi"/>
          <w:color w:val="auto"/>
          <w:sz w:val="22"/>
          <w:szCs w:val="22"/>
        </w:rPr>
      </w:pPr>
      <w:r w:rsidRPr="002610D9">
        <w:rPr>
          <w:rFonts w:asciiTheme="minorHAnsi" w:hAnsiTheme="minorHAnsi" w:cstheme="minorHAnsi"/>
          <w:color w:val="auto"/>
          <w:sz w:val="22"/>
          <w:szCs w:val="22"/>
        </w:rPr>
        <w:t xml:space="preserve">Partnership working </w:t>
      </w:r>
    </w:p>
    <w:p w14:paraId="45FE1BB8" w14:textId="5E283469" w:rsidR="00502DB6" w:rsidRPr="00A65E02" w:rsidRDefault="00502DB6" w:rsidP="00502DB6">
      <w:pPr>
        <w:pStyle w:val="NumberedNormal"/>
        <w:rPr>
          <w:rFonts w:asciiTheme="minorHAnsi" w:hAnsiTheme="minorHAnsi" w:cstheme="minorHAnsi"/>
          <w:sz w:val="22"/>
        </w:rPr>
      </w:pPr>
      <w:r w:rsidRPr="00A65E02">
        <w:rPr>
          <w:rFonts w:asciiTheme="minorHAnsi" w:hAnsiTheme="minorHAnsi" w:cstheme="minorHAnsi"/>
          <w:sz w:val="22"/>
        </w:rPr>
        <w:t xml:space="preserve">The Trust works in collaboration with a range of partner agencies through formal standing meetings.  The </w:t>
      </w:r>
      <w:r w:rsidR="0054428F">
        <w:rPr>
          <w:rFonts w:asciiTheme="minorHAnsi" w:hAnsiTheme="minorHAnsi" w:cstheme="minorHAnsi"/>
          <w:sz w:val="22"/>
        </w:rPr>
        <w:t>D</w:t>
      </w:r>
      <w:r w:rsidRPr="00A65E02">
        <w:rPr>
          <w:rFonts w:asciiTheme="minorHAnsi" w:hAnsiTheme="minorHAnsi" w:cstheme="minorHAnsi"/>
          <w:sz w:val="22"/>
        </w:rPr>
        <w:t xml:space="preserve">irector of </w:t>
      </w:r>
      <w:r w:rsidR="0054428F">
        <w:rPr>
          <w:rFonts w:asciiTheme="minorHAnsi" w:hAnsiTheme="minorHAnsi" w:cstheme="minorHAnsi"/>
          <w:sz w:val="22"/>
        </w:rPr>
        <w:t>C</w:t>
      </w:r>
      <w:r w:rsidRPr="00A65E02">
        <w:rPr>
          <w:rFonts w:asciiTheme="minorHAnsi" w:hAnsiTheme="minorHAnsi" w:cstheme="minorHAnsi"/>
          <w:sz w:val="22"/>
        </w:rPr>
        <w:t xml:space="preserve">orporate </w:t>
      </w:r>
      <w:r w:rsidR="0054428F">
        <w:rPr>
          <w:rFonts w:asciiTheme="minorHAnsi" w:hAnsiTheme="minorHAnsi" w:cstheme="minorHAnsi"/>
          <w:sz w:val="22"/>
        </w:rPr>
        <w:t>A</w:t>
      </w:r>
      <w:r w:rsidRPr="00A65E02">
        <w:rPr>
          <w:rFonts w:asciiTheme="minorHAnsi" w:hAnsiTheme="minorHAnsi" w:cstheme="minorHAnsi"/>
          <w:sz w:val="22"/>
        </w:rPr>
        <w:t xml:space="preserve">ffairs and the </w:t>
      </w:r>
      <w:r w:rsidR="0054428F">
        <w:rPr>
          <w:rFonts w:asciiTheme="minorHAnsi" w:hAnsiTheme="minorHAnsi" w:cstheme="minorHAnsi"/>
          <w:sz w:val="22"/>
        </w:rPr>
        <w:t>C</w:t>
      </w:r>
      <w:r w:rsidRPr="00A65E02">
        <w:rPr>
          <w:rFonts w:asciiTheme="minorHAnsi" w:hAnsiTheme="minorHAnsi" w:cstheme="minorHAnsi"/>
          <w:sz w:val="22"/>
        </w:rPr>
        <w:t xml:space="preserve">linal </w:t>
      </w:r>
      <w:r w:rsidR="0054428F">
        <w:rPr>
          <w:rFonts w:asciiTheme="minorHAnsi" w:hAnsiTheme="minorHAnsi" w:cstheme="minorHAnsi"/>
          <w:sz w:val="22"/>
        </w:rPr>
        <w:t>D</w:t>
      </w:r>
      <w:r w:rsidRPr="00A65E02">
        <w:rPr>
          <w:rFonts w:asciiTheme="minorHAnsi" w:hAnsiTheme="minorHAnsi" w:cstheme="minorHAnsi"/>
          <w:sz w:val="22"/>
        </w:rPr>
        <w:t>irector attend the local health resilience partnership.  Local health resilience partnerships (LHRPs) are strategic forums for local organisations to facilitate health sector preparedness and planning for emergencies at local resilience forum level.  Members of the LHRP are executive representatives who can authorise plans and commit resources on behalf of their organisations.</w:t>
      </w:r>
    </w:p>
    <w:p w14:paraId="407A3670" w14:textId="7C383005" w:rsidR="00502DB6" w:rsidRPr="00A65E02" w:rsidRDefault="00502DB6" w:rsidP="00502DB6">
      <w:pPr>
        <w:pStyle w:val="NumberedNormal"/>
        <w:rPr>
          <w:rFonts w:asciiTheme="minorHAnsi" w:hAnsiTheme="minorHAnsi" w:cstheme="minorHAnsi"/>
          <w:sz w:val="22"/>
        </w:rPr>
      </w:pPr>
      <w:r w:rsidRPr="00A65E02">
        <w:rPr>
          <w:rFonts w:asciiTheme="minorHAnsi" w:hAnsiTheme="minorHAnsi" w:cstheme="minorHAnsi"/>
          <w:sz w:val="22"/>
        </w:rPr>
        <w:t xml:space="preserve">The emergency planning lead attends the </w:t>
      </w:r>
      <w:r w:rsidR="0056307B">
        <w:rPr>
          <w:rFonts w:asciiTheme="minorHAnsi" w:hAnsiTheme="minorHAnsi" w:cstheme="minorHAnsi"/>
          <w:sz w:val="22"/>
        </w:rPr>
        <w:t xml:space="preserve">Thames Valley </w:t>
      </w:r>
      <w:r w:rsidRPr="00A65E02">
        <w:rPr>
          <w:rFonts w:asciiTheme="minorHAnsi" w:hAnsiTheme="minorHAnsi" w:cstheme="minorHAnsi"/>
          <w:sz w:val="22"/>
        </w:rPr>
        <w:t xml:space="preserve">LHRP business management group which is a forum for </w:t>
      </w:r>
      <w:r w:rsidR="00C24487">
        <w:rPr>
          <w:rFonts w:asciiTheme="minorHAnsi" w:hAnsiTheme="minorHAnsi" w:cstheme="minorHAnsi"/>
          <w:sz w:val="22"/>
        </w:rPr>
        <w:t xml:space="preserve">Thames Valley </w:t>
      </w:r>
      <w:r w:rsidRPr="00A65E02">
        <w:rPr>
          <w:rFonts w:asciiTheme="minorHAnsi" w:hAnsiTheme="minorHAnsi" w:cstheme="minorHAnsi"/>
          <w:bCs/>
          <w:sz w:val="22"/>
        </w:rPr>
        <w:t>emergency planning leads.  The purpose of th</w:t>
      </w:r>
      <w:r w:rsidR="00621528">
        <w:rPr>
          <w:rFonts w:asciiTheme="minorHAnsi" w:hAnsiTheme="minorHAnsi" w:cstheme="minorHAnsi"/>
          <w:bCs/>
          <w:sz w:val="22"/>
        </w:rPr>
        <w:t>is</w:t>
      </w:r>
      <w:r w:rsidRPr="00A65E02">
        <w:rPr>
          <w:rFonts w:asciiTheme="minorHAnsi" w:hAnsiTheme="minorHAnsi" w:cstheme="minorHAnsi"/>
          <w:bCs/>
          <w:sz w:val="22"/>
        </w:rPr>
        <w:t xml:space="preserve"> group is to </w:t>
      </w:r>
      <w:r w:rsidRPr="00A65E02">
        <w:rPr>
          <w:rFonts w:asciiTheme="minorHAnsi" w:hAnsiTheme="minorHAnsi" w:cstheme="minorHAnsi"/>
          <w:sz w:val="22"/>
        </w:rPr>
        <w:t>ensure that effective and coordinated arrangements are in place for multi-agency emergency preparedness and response, in accordance with national policy and direction from NHS England and NHS Improvement.</w:t>
      </w:r>
    </w:p>
    <w:p w14:paraId="2B87434D" w14:textId="59675F89" w:rsidR="00502DB6" w:rsidRDefault="00502DB6" w:rsidP="00502DB6">
      <w:pPr>
        <w:pStyle w:val="NumberedNormal"/>
        <w:rPr>
          <w:rFonts w:asciiTheme="minorHAnsi" w:hAnsiTheme="minorHAnsi" w:cstheme="minorHAnsi"/>
          <w:sz w:val="22"/>
        </w:rPr>
      </w:pPr>
      <w:r w:rsidRPr="00C24487">
        <w:rPr>
          <w:rFonts w:asciiTheme="minorHAnsi" w:hAnsiTheme="minorHAnsi" w:cstheme="minorHAnsi"/>
          <w:sz w:val="22"/>
        </w:rPr>
        <w:t xml:space="preserve">Formal committees, of which the Trust is a member </w:t>
      </w:r>
      <w:r w:rsidR="00595252" w:rsidRPr="00C24487">
        <w:rPr>
          <w:rFonts w:asciiTheme="minorHAnsi" w:hAnsiTheme="minorHAnsi" w:cstheme="minorHAnsi"/>
          <w:sz w:val="22"/>
        </w:rPr>
        <w:t xml:space="preserve">includes </w:t>
      </w:r>
      <w:r w:rsidRPr="00C24487">
        <w:rPr>
          <w:rFonts w:asciiTheme="minorHAnsi" w:hAnsiTheme="minorHAnsi" w:cstheme="minorHAnsi"/>
          <w:sz w:val="22"/>
        </w:rPr>
        <w:t xml:space="preserve">the </w:t>
      </w:r>
      <w:r w:rsidRPr="00C24487">
        <w:rPr>
          <w:rFonts w:asciiTheme="minorHAnsi" w:hAnsiTheme="minorHAnsi" w:cstheme="minorHAnsi"/>
          <w:bCs/>
          <w:sz w:val="22"/>
        </w:rPr>
        <w:t xml:space="preserve">Oxfordshire resilience group and Buckinghamshire </w:t>
      </w:r>
      <w:r w:rsidR="00C24487" w:rsidRPr="00C24487">
        <w:rPr>
          <w:rFonts w:asciiTheme="minorHAnsi" w:hAnsiTheme="minorHAnsi" w:cstheme="minorHAnsi"/>
          <w:bCs/>
          <w:sz w:val="22"/>
        </w:rPr>
        <w:t>r</w:t>
      </w:r>
      <w:r w:rsidRPr="00C24487">
        <w:rPr>
          <w:rFonts w:asciiTheme="minorHAnsi" w:hAnsiTheme="minorHAnsi" w:cstheme="minorHAnsi"/>
          <w:bCs/>
          <w:sz w:val="22"/>
        </w:rPr>
        <w:t xml:space="preserve">esilience </w:t>
      </w:r>
      <w:r w:rsidR="00C24487" w:rsidRPr="00C24487">
        <w:rPr>
          <w:rFonts w:asciiTheme="minorHAnsi" w:hAnsiTheme="minorHAnsi" w:cstheme="minorHAnsi"/>
          <w:bCs/>
          <w:sz w:val="22"/>
        </w:rPr>
        <w:t>g</w:t>
      </w:r>
      <w:r w:rsidRPr="00C24487">
        <w:rPr>
          <w:rFonts w:asciiTheme="minorHAnsi" w:hAnsiTheme="minorHAnsi" w:cstheme="minorHAnsi"/>
          <w:bCs/>
          <w:sz w:val="22"/>
        </w:rPr>
        <w:t>roup</w:t>
      </w:r>
      <w:r w:rsidR="00C24487" w:rsidRPr="00C24487">
        <w:rPr>
          <w:rFonts w:asciiTheme="minorHAnsi" w:hAnsiTheme="minorHAnsi" w:cstheme="minorHAnsi"/>
          <w:bCs/>
          <w:sz w:val="22"/>
        </w:rPr>
        <w:t xml:space="preserve">, </w:t>
      </w:r>
      <w:r w:rsidRPr="00C24487">
        <w:rPr>
          <w:rFonts w:asciiTheme="minorHAnsi" w:hAnsiTheme="minorHAnsi" w:cstheme="minorHAnsi"/>
          <w:bCs/>
          <w:sz w:val="22"/>
        </w:rPr>
        <w:t>Milton Keynes University Hospital NHS Foundation Trust EPRR board and the Wiltshire and Swindon LHRP Business Management Group</w:t>
      </w:r>
      <w:r w:rsidRPr="00C24487">
        <w:rPr>
          <w:rFonts w:asciiTheme="minorHAnsi" w:hAnsiTheme="minorHAnsi" w:cstheme="minorHAnsi"/>
          <w:sz w:val="22"/>
        </w:rPr>
        <w:t>.</w:t>
      </w:r>
    </w:p>
    <w:p w14:paraId="6A54C276" w14:textId="447DD86B" w:rsidR="006C42CC" w:rsidRPr="002610D9" w:rsidRDefault="006C42CC" w:rsidP="006C42CC">
      <w:pPr>
        <w:pStyle w:val="Heading1"/>
        <w:rPr>
          <w:rFonts w:asciiTheme="minorHAnsi" w:hAnsiTheme="minorHAnsi" w:cstheme="minorHAnsi"/>
          <w:color w:val="auto"/>
          <w:sz w:val="22"/>
          <w:szCs w:val="22"/>
        </w:rPr>
      </w:pPr>
      <w:r>
        <w:rPr>
          <w:rFonts w:asciiTheme="minorHAnsi" w:hAnsiTheme="minorHAnsi" w:cstheme="minorHAnsi"/>
          <w:color w:val="auto"/>
          <w:sz w:val="22"/>
          <w:szCs w:val="22"/>
        </w:rPr>
        <w:t>Summary</w:t>
      </w:r>
    </w:p>
    <w:p w14:paraId="3748EED4" w14:textId="37690A1F" w:rsidR="00AF05AA" w:rsidRPr="00CE5CD3" w:rsidRDefault="000A60BE" w:rsidP="002D51C9">
      <w:pPr>
        <w:pStyle w:val="NumberedNormal"/>
      </w:pPr>
      <w:r w:rsidRPr="00D60DBA">
        <w:rPr>
          <w:rFonts w:asciiTheme="minorHAnsi" w:hAnsiTheme="minorHAnsi" w:cstheme="minorHAnsi"/>
          <w:sz w:val="22"/>
        </w:rPr>
        <w:t xml:space="preserve">Oxford Health NHS Foundation Trust </w:t>
      </w:r>
      <w:r w:rsidR="001A0AB8">
        <w:rPr>
          <w:rFonts w:asciiTheme="minorHAnsi" w:hAnsiTheme="minorHAnsi" w:cstheme="minorHAnsi"/>
          <w:sz w:val="22"/>
        </w:rPr>
        <w:t xml:space="preserve">has </w:t>
      </w:r>
      <w:r w:rsidRPr="00D60DBA">
        <w:rPr>
          <w:rFonts w:asciiTheme="minorHAnsi" w:hAnsiTheme="minorHAnsi" w:cstheme="minorHAnsi"/>
          <w:sz w:val="22"/>
        </w:rPr>
        <w:t>complie</w:t>
      </w:r>
      <w:r w:rsidR="001A0AB8">
        <w:rPr>
          <w:rFonts w:asciiTheme="minorHAnsi" w:hAnsiTheme="minorHAnsi" w:cstheme="minorHAnsi"/>
          <w:sz w:val="22"/>
        </w:rPr>
        <w:t xml:space="preserve">d with the training and exercising requirements of NHS England EPRR guidance, </w:t>
      </w:r>
      <w:r w:rsidR="002D51C9">
        <w:rPr>
          <w:rFonts w:asciiTheme="minorHAnsi" w:hAnsiTheme="minorHAnsi" w:cstheme="minorHAnsi"/>
          <w:sz w:val="22"/>
        </w:rPr>
        <w:t xml:space="preserve">participated in the relevant NHS and multi-agency planning forums </w:t>
      </w:r>
      <w:r w:rsidR="00636648">
        <w:rPr>
          <w:rFonts w:asciiTheme="minorHAnsi" w:hAnsiTheme="minorHAnsi" w:cstheme="minorHAnsi"/>
          <w:sz w:val="22"/>
        </w:rPr>
        <w:t>and achieved full compliance with NHS England core standards for EPRR.</w:t>
      </w:r>
    </w:p>
    <w:p w14:paraId="24C44418" w14:textId="77777777" w:rsidR="00D2502B" w:rsidRPr="00C569AF" w:rsidRDefault="00D2502B" w:rsidP="00D2502B">
      <w:pPr>
        <w:autoSpaceDE w:val="0"/>
        <w:autoSpaceDN w:val="0"/>
        <w:adjustRightInd w:val="0"/>
        <w:spacing w:line="240" w:lineRule="auto"/>
        <w:ind w:left="567"/>
        <w:jc w:val="both"/>
        <w:rPr>
          <w:rFonts w:cstheme="minorHAnsi"/>
          <w:bCs/>
          <w:color w:val="FF0000"/>
        </w:rPr>
      </w:pPr>
    </w:p>
    <w:p w14:paraId="55B1A06C" w14:textId="5962BA90" w:rsidR="00395942" w:rsidRPr="00135B14" w:rsidRDefault="002B40EC" w:rsidP="00D2502B">
      <w:pPr>
        <w:spacing w:line="240" w:lineRule="auto"/>
        <w:jc w:val="right"/>
        <w:rPr>
          <w:rFonts w:asciiTheme="minorHAnsi" w:hAnsiTheme="minorHAnsi" w:cstheme="minorHAnsi"/>
          <w:b/>
          <w:bCs/>
          <w:sz w:val="22"/>
        </w:rPr>
      </w:pPr>
      <w:r w:rsidRPr="00135B14">
        <w:rPr>
          <w:rFonts w:asciiTheme="minorHAnsi" w:hAnsiTheme="minorHAnsi" w:cstheme="minorHAnsi"/>
          <w:b/>
          <w:bCs/>
          <w:sz w:val="22"/>
        </w:rPr>
        <w:t>31 October</w:t>
      </w:r>
      <w:r w:rsidR="00B3206F" w:rsidRPr="00135B14">
        <w:rPr>
          <w:rFonts w:asciiTheme="minorHAnsi" w:hAnsiTheme="minorHAnsi" w:cstheme="minorHAnsi"/>
          <w:b/>
          <w:bCs/>
          <w:sz w:val="22"/>
        </w:rPr>
        <w:t xml:space="preserve"> </w:t>
      </w:r>
      <w:r w:rsidR="00D2502B" w:rsidRPr="00135B14">
        <w:rPr>
          <w:rFonts w:asciiTheme="minorHAnsi" w:hAnsiTheme="minorHAnsi" w:cstheme="minorHAnsi"/>
          <w:b/>
          <w:bCs/>
          <w:sz w:val="22"/>
        </w:rPr>
        <w:t>202</w:t>
      </w:r>
      <w:r w:rsidR="00BC7649" w:rsidRPr="00135B14">
        <w:rPr>
          <w:rFonts w:asciiTheme="minorHAnsi" w:hAnsiTheme="minorHAnsi" w:cstheme="minorHAnsi"/>
          <w:b/>
          <w:bCs/>
          <w:sz w:val="22"/>
        </w:rPr>
        <w:t>1</w:t>
      </w:r>
    </w:p>
    <w:p w14:paraId="5E8F406B" w14:textId="1ED59977" w:rsidR="00D2502B" w:rsidRPr="00C569AF" w:rsidRDefault="00D2502B" w:rsidP="0028386E">
      <w:pPr>
        <w:spacing w:before="0" w:after="200"/>
        <w:contextualSpacing w:val="0"/>
        <w:rPr>
          <w:rFonts w:asciiTheme="minorHAnsi" w:hAnsiTheme="minorHAnsi" w:cstheme="minorHAnsi"/>
          <w:b/>
          <w:bCs/>
          <w:color w:val="FF0000"/>
          <w:sz w:val="22"/>
        </w:rPr>
      </w:pPr>
    </w:p>
    <w:sectPr w:rsidR="00D2502B" w:rsidRPr="00C569AF" w:rsidSect="00425D58">
      <w:footerReference w:type="default" r:id="rId11"/>
      <w:pgSz w:w="11906" w:h="16838"/>
      <w:pgMar w:top="993" w:right="1440" w:bottom="1440" w:left="1440"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303FC" w14:textId="77777777" w:rsidR="00483C99" w:rsidRDefault="00483C99" w:rsidP="00BE236B">
      <w:r>
        <w:separator/>
      </w:r>
    </w:p>
  </w:endnote>
  <w:endnote w:type="continuationSeparator" w:id="0">
    <w:p w14:paraId="41A15C81" w14:textId="77777777" w:rsidR="00483C99" w:rsidRDefault="00483C99" w:rsidP="00BE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2"/>
        <w:szCs w:val="20"/>
      </w:rPr>
      <w:id w:val="-951790487"/>
      <w:docPartObj>
        <w:docPartGallery w:val="Page Numbers (Bottom of Page)"/>
        <w:docPartUnique/>
      </w:docPartObj>
    </w:sdtPr>
    <w:sdtEndPr/>
    <w:sdtContent>
      <w:sdt>
        <w:sdtPr>
          <w:rPr>
            <w:rFonts w:asciiTheme="minorHAnsi" w:hAnsiTheme="minorHAnsi" w:cstheme="minorHAnsi"/>
            <w:sz w:val="22"/>
            <w:szCs w:val="20"/>
          </w:rPr>
          <w:id w:val="-1769616900"/>
          <w:docPartObj>
            <w:docPartGallery w:val="Page Numbers (Top of Page)"/>
            <w:docPartUnique/>
          </w:docPartObj>
        </w:sdtPr>
        <w:sdtEndPr/>
        <w:sdtContent>
          <w:p w14:paraId="6D8D2EA9" w14:textId="38E927A3" w:rsidR="00135B14" w:rsidRPr="00E544FE" w:rsidRDefault="00135B14">
            <w:pPr>
              <w:pStyle w:val="Footer"/>
              <w:jc w:val="right"/>
              <w:rPr>
                <w:rFonts w:asciiTheme="minorHAnsi" w:hAnsiTheme="minorHAnsi" w:cstheme="minorHAnsi"/>
                <w:sz w:val="22"/>
                <w:szCs w:val="20"/>
              </w:rPr>
            </w:pPr>
            <w:r w:rsidRPr="00E544FE">
              <w:rPr>
                <w:rFonts w:asciiTheme="minorHAnsi" w:hAnsiTheme="minorHAnsi" w:cstheme="minorHAnsi"/>
                <w:sz w:val="22"/>
                <w:szCs w:val="20"/>
              </w:rPr>
              <w:t xml:space="preserve">Page </w:t>
            </w:r>
            <w:r w:rsidRPr="00E544FE">
              <w:rPr>
                <w:rFonts w:asciiTheme="minorHAnsi" w:hAnsiTheme="minorHAnsi" w:cstheme="minorHAnsi"/>
                <w:b/>
                <w:bCs/>
                <w:sz w:val="22"/>
              </w:rPr>
              <w:fldChar w:fldCharType="begin"/>
            </w:r>
            <w:r w:rsidRPr="00E544FE">
              <w:rPr>
                <w:rFonts w:asciiTheme="minorHAnsi" w:hAnsiTheme="minorHAnsi" w:cstheme="minorHAnsi"/>
                <w:b/>
                <w:bCs/>
                <w:sz w:val="22"/>
                <w:szCs w:val="20"/>
              </w:rPr>
              <w:instrText xml:space="preserve"> PAGE </w:instrText>
            </w:r>
            <w:r w:rsidRPr="00E544FE">
              <w:rPr>
                <w:rFonts w:asciiTheme="minorHAnsi" w:hAnsiTheme="minorHAnsi" w:cstheme="minorHAnsi"/>
                <w:b/>
                <w:bCs/>
                <w:sz w:val="22"/>
              </w:rPr>
              <w:fldChar w:fldCharType="separate"/>
            </w:r>
            <w:r w:rsidRPr="00E544FE">
              <w:rPr>
                <w:rFonts w:asciiTheme="minorHAnsi" w:hAnsiTheme="minorHAnsi" w:cstheme="minorHAnsi"/>
                <w:b/>
                <w:bCs/>
                <w:noProof/>
                <w:sz w:val="22"/>
                <w:szCs w:val="20"/>
              </w:rPr>
              <w:t>2</w:t>
            </w:r>
            <w:r w:rsidRPr="00E544FE">
              <w:rPr>
                <w:rFonts w:asciiTheme="minorHAnsi" w:hAnsiTheme="minorHAnsi" w:cstheme="minorHAnsi"/>
                <w:b/>
                <w:bCs/>
                <w:sz w:val="22"/>
              </w:rPr>
              <w:fldChar w:fldCharType="end"/>
            </w:r>
            <w:r w:rsidRPr="00E544FE">
              <w:rPr>
                <w:rFonts w:asciiTheme="minorHAnsi" w:hAnsiTheme="minorHAnsi" w:cstheme="minorHAnsi"/>
                <w:sz w:val="22"/>
                <w:szCs w:val="20"/>
              </w:rPr>
              <w:t xml:space="preserve"> of </w:t>
            </w:r>
            <w:r w:rsidRPr="00E544FE">
              <w:rPr>
                <w:rFonts w:asciiTheme="minorHAnsi" w:hAnsiTheme="minorHAnsi" w:cstheme="minorHAnsi"/>
                <w:b/>
                <w:bCs/>
                <w:sz w:val="22"/>
              </w:rPr>
              <w:fldChar w:fldCharType="begin"/>
            </w:r>
            <w:r w:rsidRPr="00E544FE">
              <w:rPr>
                <w:rFonts w:asciiTheme="minorHAnsi" w:hAnsiTheme="minorHAnsi" w:cstheme="minorHAnsi"/>
                <w:b/>
                <w:bCs/>
                <w:sz w:val="22"/>
                <w:szCs w:val="20"/>
              </w:rPr>
              <w:instrText xml:space="preserve"> NUMPAGES  </w:instrText>
            </w:r>
            <w:r w:rsidRPr="00E544FE">
              <w:rPr>
                <w:rFonts w:asciiTheme="minorHAnsi" w:hAnsiTheme="minorHAnsi" w:cstheme="minorHAnsi"/>
                <w:b/>
                <w:bCs/>
                <w:sz w:val="22"/>
              </w:rPr>
              <w:fldChar w:fldCharType="separate"/>
            </w:r>
            <w:r w:rsidRPr="00E544FE">
              <w:rPr>
                <w:rFonts w:asciiTheme="minorHAnsi" w:hAnsiTheme="minorHAnsi" w:cstheme="minorHAnsi"/>
                <w:b/>
                <w:bCs/>
                <w:noProof/>
                <w:sz w:val="22"/>
                <w:szCs w:val="20"/>
              </w:rPr>
              <w:t>2</w:t>
            </w:r>
            <w:r w:rsidRPr="00E544FE">
              <w:rPr>
                <w:rFonts w:asciiTheme="minorHAnsi" w:hAnsiTheme="minorHAnsi" w:cstheme="minorHAnsi"/>
                <w:b/>
                <w:bCs/>
                <w:sz w:val="22"/>
              </w:rPr>
              <w:fldChar w:fldCharType="end"/>
            </w:r>
          </w:p>
        </w:sdtContent>
      </w:sdt>
    </w:sdtContent>
  </w:sdt>
  <w:p w14:paraId="683D566B" w14:textId="77777777" w:rsidR="00135B14" w:rsidRDefault="00135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CDEFE" w14:textId="77777777" w:rsidR="00483C99" w:rsidRDefault="00483C99" w:rsidP="00BE236B">
      <w:r>
        <w:separator/>
      </w:r>
    </w:p>
  </w:footnote>
  <w:footnote w:type="continuationSeparator" w:id="0">
    <w:p w14:paraId="415269DC" w14:textId="77777777" w:rsidR="00483C99" w:rsidRDefault="00483C99" w:rsidP="00BE236B">
      <w:r>
        <w:continuationSeparator/>
      </w:r>
    </w:p>
  </w:footnote>
  <w:footnote w:id="1">
    <w:p w14:paraId="71EC719D" w14:textId="026D4B06" w:rsidR="00E257DF" w:rsidRPr="00F56065" w:rsidRDefault="00E257DF">
      <w:pPr>
        <w:pStyle w:val="FootnoteText"/>
        <w:rPr>
          <w:rFonts w:asciiTheme="minorHAnsi" w:hAnsiTheme="minorHAnsi" w:cstheme="minorHAnsi"/>
        </w:rPr>
      </w:pPr>
      <w:r w:rsidRPr="00F56065">
        <w:rPr>
          <w:rStyle w:val="FootnoteReference"/>
          <w:rFonts w:asciiTheme="minorHAnsi" w:hAnsiTheme="minorHAnsi" w:cstheme="minorHAnsi"/>
        </w:rPr>
        <w:footnoteRef/>
      </w:r>
      <w:r w:rsidRPr="00F56065">
        <w:rPr>
          <w:rFonts w:asciiTheme="minorHAnsi" w:hAnsiTheme="minorHAnsi" w:cstheme="minorHAnsi"/>
        </w:rPr>
        <w:t xml:space="preserve"> </w:t>
      </w:r>
      <w:r w:rsidR="007B219E" w:rsidRPr="00F56065">
        <w:rPr>
          <w:rFonts w:asciiTheme="minorHAnsi" w:hAnsiTheme="minorHAnsi" w:cstheme="minorHAnsi"/>
        </w:rPr>
        <w:t xml:space="preserve">Level 3 </w:t>
      </w:r>
      <w:r w:rsidR="007B219E" w:rsidRPr="00F56065">
        <w:rPr>
          <w:rFonts w:asciiTheme="minorHAnsi" w:hAnsiTheme="minorHAnsi" w:cstheme="minorHAnsi"/>
        </w:rPr>
        <w:t>Heat wave action - Temperature reached in one or more Met Office national severe weather warning service regions</w:t>
      </w:r>
    </w:p>
  </w:footnote>
  <w:footnote w:id="2">
    <w:p w14:paraId="14169474" w14:textId="1528076B" w:rsidR="009408C7" w:rsidRDefault="009408C7">
      <w:pPr>
        <w:pStyle w:val="FootnoteText"/>
      </w:pPr>
      <w:r w:rsidRPr="00F56065">
        <w:rPr>
          <w:rStyle w:val="FootnoteReference"/>
          <w:rFonts w:asciiTheme="minorHAnsi" w:hAnsiTheme="minorHAnsi" w:cstheme="minorHAnsi"/>
        </w:rPr>
        <w:footnoteRef/>
      </w:r>
      <w:r w:rsidRPr="00F56065">
        <w:rPr>
          <w:rFonts w:asciiTheme="minorHAnsi" w:hAnsiTheme="minorHAnsi" w:cstheme="minorHAnsi"/>
        </w:rPr>
        <w:t xml:space="preserve"> </w:t>
      </w:r>
      <w:r w:rsidR="00F56065" w:rsidRPr="00F56065">
        <w:rPr>
          <w:rFonts w:asciiTheme="minorHAnsi" w:hAnsiTheme="minorHAnsi" w:cstheme="minorHAnsi"/>
        </w:rPr>
        <w:t>Level 2</w:t>
      </w:r>
      <w:r w:rsidR="00F56065" w:rsidRPr="00F56065">
        <w:rPr>
          <w:rFonts w:asciiTheme="minorHAnsi" w:hAnsiTheme="minorHAnsi" w:cstheme="minorHAnsi"/>
        </w:rPr>
        <w:t>Heat wave is forecast – alert and readiness - 60% risk of heat wave in the next 2–3 days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11E8"/>
    <w:multiLevelType w:val="hybridMultilevel"/>
    <w:tmpl w:val="597EA4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045B12"/>
    <w:multiLevelType w:val="multilevel"/>
    <w:tmpl w:val="F6D6F6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723425"/>
    <w:multiLevelType w:val="hybridMultilevel"/>
    <w:tmpl w:val="E0300F72"/>
    <w:lvl w:ilvl="0" w:tplc="08090001">
      <w:start w:val="1"/>
      <w:numFmt w:val="bullet"/>
      <w:lvlText w:val=""/>
      <w:lvlJc w:val="left"/>
      <w:pPr>
        <w:ind w:left="720" w:hanging="360"/>
      </w:pPr>
      <w:rPr>
        <w:rFonts w:ascii="Symbol" w:hAnsi="Symbol" w:hint="default"/>
      </w:rPr>
    </w:lvl>
    <w:lvl w:ilvl="1" w:tplc="F078F5A2">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40577"/>
    <w:multiLevelType w:val="hybridMultilevel"/>
    <w:tmpl w:val="394A517C"/>
    <w:lvl w:ilvl="0" w:tplc="6FEADD9C">
      <w:start w:val="1"/>
      <w:numFmt w:val="bullet"/>
      <w:pStyle w:val="BulletedNormal"/>
      <w:lvlText w:val=""/>
      <w:lvlJc w:val="left"/>
      <w:pPr>
        <w:ind w:left="173" w:hanging="360"/>
      </w:pPr>
      <w:rPr>
        <w:rFonts w:ascii="Symbol" w:hAnsi="Symbol" w:hint="default"/>
        <w:color w:val="000000" w:themeColor="text1"/>
      </w:rPr>
    </w:lvl>
    <w:lvl w:ilvl="1" w:tplc="08090003" w:tentative="1">
      <w:start w:val="1"/>
      <w:numFmt w:val="bullet"/>
      <w:lvlText w:val="o"/>
      <w:lvlJc w:val="left"/>
      <w:pPr>
        <w:ind w:left="893" w:hanging="360"/>
      </w:pPr>
      <w:rPr>
        <w:rFonts w:ascii="Courier New" w:hAnsi="Courier New" w:cs="Courier New" w:hint="default"/>
      </w:rPr>
    </w:lvl>
    <w:lvl w:ilvl="2" w:tplc="08090005" w:tentative="1">
      <w:start w:val="1"/>
      <w:numFmt w:val="bullet"/>
      <w:lvlText w:val=""/>
      <w:lvlJc w:val="left"/>
      <w:pPr>
        <w:ind w:left="1613" w:hanging="360"/>
      </w:pPr>
      <w:rPr>
        <w:rFonts w:ascii="Wingdings" w:hAnsi="Wingdings" w:hint="default"/>
      </w:rPr>
    </w:lvl>
    <w:lvl w:ilvl="3" w:tplc="08090001" w:tentative="1">
      <w:start w:val="1"/>
      <w:numFmt w:val="bullet"/>
      <w:lvlText w:val=""/>
      <w:lvlJc w:val="left"/>
      <w:pPr>
        <w:ind w:left="2333" w:hanging="360"/>
      </w:pPr>
      <w:rPr>
        <w:rFonts w:ascii="Symbol" w:hAnsi="Symbol" w:hint="default"/>
      </w:rPr>
    </w:lvl>
    <w:lvl w:ilvl="4" w:tplc="08090003" w:tentative="1">
      <w:start w:val="1"/>
      <w:numFmt w:val="bullet"/>
      <w:lvlText w:val="o"/>
      <w:lvlJc w:val="left"/>
      <w:pPr>
        <w:ind w:left="3053" w:hanging="360"/>
      </w:pPr>
      <w:rPr>
        <w:rFonts w:ascii="Courier New" w:hAnsi="Courier New" w:cs="Courier New" w:hint="default"/>
      </w:rPr>
    </w:lvl>
    <w:lvl w:ilvl="5" w:tplc="08090005" w:tentative="1">
      <w:start w:val="1"/>
      <w:numFmt w:val="bullet"/>
      <w:lvlText w:val=""/>
      <w:lvlJc w:val="left"/>
      <w:pPr>
        <w:ind w:left="3773" w:hanging="360"/>
      </w:pPr>
      <w:rPr>
        <w:rFonts w:ascii="Wingdings" w:hAnsi="Wingdings" w:hint="default"/>
      </w:rPr>
    </w:lvl>
    <w:lvl w:ilvl="6" w:tplc="08090001" w:tentative="1">
      <w:start w:val="1"/>
      <w:numFmt w:val="bullet"/>
      <w:lvlText w:val=""/>
      <w:lvlJc w:val="left"/>
      <w:pPr>
        <w:ind w:left="4493" w:hanging="360"/>
      </w:pPr>
      <w:rPr>
        <w:rFonts w:ascii="Symbol" w:hAnsi="Symbol" w:hint="default"/>
      </w:rPr>
    </w:lvl>
    <w:lvl w:ilvl="7" w:tplc="08090003" w:tentative="1">
      <w:start w:val="1"/>
      <w:numFmt w:val="bullet"/>
      <w:lvlText w:val="o"/>
      <w:lvlJc w:val="left"/>
      <w:pPr>
        <w:ind w:left="5213" w:hanging="360"/>
      </w:pPr>
      <w:rPr>
        <w:rFonts w:ascii="Courier New" w:hAnsi="Courier New" w:cs="Courier New" w:hint="default"/>
      </w:rPr>
    </w:lvl>
    <w:lvl w:ilvl="8" w:tplc="08090005" w:tentative="1">
      <w:start w:val="1"/>
      <w:numFmt w:val="bullet"/>
      <w:lvlText w:val=""/>
      <w:lvlJc w:val="left"/>
      <w:pPr>
        <w:ind w:left="5933" w:hanging="360"/>
      </w:pPr>
      <w:rPr>
        <w:rFonts w:ascii="Wingdings" w:hAnsi="Wingdings" w:hint="default"/>
      </w:rPr>
    </w:lvl>
  </w:abstractNum>
  <w:abstractNum w:abstractNumId="5" w15:restartNumberingAfterBreak="0">
    <w:nsid w:val="298F147A"/>
    <w:multiLevelType w:val="hybridMultilevel"/>
    <w:tmpl w:val="62640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A26769"/>
    <w:multiLevelType w:val="hybridMultilevel"/>
    <w:tmpl w:val="DF8E0F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9566F9"/>
    <w:multiLevelType w:val="hybridMultilevel"/>
    <w:tmpl w:val="DD70A142"/>
    <w:lvl w:ilvl="0" w:tplc="E1029DE8">
      <w:start w:val="1"/>
      <w:numFmt w:val="decimal"/>
      <w:pStyle w:val="NumberedList"/>
      <w:lvlText w:val="%1)"/>
      <w:lvlJc w:val="left"/>
      <w:pPr>
        <w:ind w:left="1512" w:hanging="360"/>
      </w:pPr>
      <w:rPr>
        <w:rFonts w:hint="default"/>
        <w:color w:val="000000" w:themeColor="text1"/>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8" w15:restartNumberingAfterBreak="0">
    <w:nsid w:val="3BC53749"/>
    <w:multiLevelType w:val="hybridMultilevel"/>
    <w:tmpl w:val="1842EE92"/>
    <w:lvl w:ilvl="0" w:tplc="10A6127C">
      <w:start w:val="1"/>
      <w:numFmt w:val="decimal"/>
      <w:pStyle w:val="ExecSummary"/>
      <w:lvlText w:val="%1."/>
      <w:lvlJc w:val="left"/>
      <w:pPr>
        <w:ind w:left="173" w:hanging="360"/>
      </w:pPr>
      <w:rPr>
        <w:color w:val="000000" w:themeColor="text1"/>
      </w:rPr>
    </w:lvl>
    <w:lvl w:ilvl="1" w:tplc="08090019" w:tentative="1">
      <w:start w:val="1"/>
      <w:numFmt w:val="lowerLetter"/>
      <w:lvlText w:val="%2."/>
      <w:lvlJc w:val="left"/>
      <w:pPr>
        <w:ind w:left="893" w:hanging="360"/>
      </w:pPr>
    </w:lvl>
    <w:lvl w:ilvl="2" w:tplc="0809001B" w:tentative="1">
      <w:start w:val="1"/>
      <w:numFmt w:val="lowerRoman"/>
      <w:lvlText w:val="%3."/>
      <w:lvlJc w:val="right"/>
      <w:pPr>
        <w:ind w:left="1613" w:hanging="180"/>
      </w:pPr>
    </w:lvl>
    <w:lvl w:ilvl="3" w:tplc="0809000F" w:tentative="1">
      <w:start w:val="1"/>
      <w:numFmt w:val="decimal"/>
      <w:lvlText w:val="%4."/>
      <w:lvlJc w:val="left"/>
      <w:pPr>
        <w:ind w:left="2333" w:hanging="360"/>
      </w:pPr>
    </w:lvl>
    <w:lvl w:ilvl="4" w:tplc="08090019" w:tentative="1">
      <w:start w:val="1"/>
      <w:numFmt w:val="lowerLetter"/>
      <w:lvlText w:val="%5."/>
      <w:lvlJc w:val="left"/>
      <w:pPr>
        <w:ind w:left="3053" w:hanging="360"/>
      </w:pPr>
    </w:lvl>
    <w:lvl w:ilvl="5" w:tplc="0809001B" w:tentative="1">
      <w:start w:val="1"/>
      <w:numFmt w:val="lowerRoman"/>
      <w:lvlText w:val="%6."/>
      <w:lvlJc w:val="right"/>
      <w:pPr>
        <w:ind w:left="3773" w:hanging="180"/>
      </w:pPr>
    </w:lvl>
    <w:lvl w:ilvl="6" w:tplc="0809000F" w:tentative="1">
      <w:start w:val="1"/>
      <w:numFmt w:val="decimal"/>
      <w:lvlText w:val="%7."/>
      <w:lvlJc w:val="left"/>
      <w:pPr>
        <w:ind w:left="4493" w:hanging="360"/>
      </w:pPr>
    </w:lvl>
    <w:lvl w:ilvl="7" w:tplc="08090019" w:tentative="1">
      <w:start w:val="1"/>
      <w:numFmt w:val="lowerLetter"/>
      <w:lvlText w:val="%8."/>
      <w:lvlJc w:val="left"/>
      <w:pPr>
        <w:ind w:left="5213" w:hanging="360"/>
      </w:pPr>
    </w:lvl>
    <w:lvl w:ilvl="8" w:tplc="0809001B" w:tentative="1">
      <w:start w:val="1"/>
      <w:numFmt w:val="lowerRoman"/>
      <w:lvlText w:val="%9."/>
      <w:lvlJc w:val="right"/>
      <w:pPr>
        <w:ind w:left="5933" w:hanging="180"/>
      </w:pPr>
    </w:lvl>
  </w:abstractNum>
  <w:abstractNum w:abstractNumId="9" w15:restartNumberingAfterBreak="0">
    <w:nsid w:val="3F8C238D"/>
    <w:multiLevelType w:val="hybridMultilevel"/>
    <w:tmpl w:val="13D2CF4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0" w15:restartNumberingAfterBreak="0">
    <w:nsid w:val="40732E69"/>
    <w:multiLevelType w:val="hybridMultilevel"/>
    <w:tmpl w:val="464C3AD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1" w15:restartNumberingAfterBreak="0">
    <w:nsid w:val="41E65A01"/>
    <w:multiLevelType w:val="hybridMultilevel"/>
    <w:tmpl w:val="60DE7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F14C3F"/>
    <w:multiLevelType w:val="hybridMultilevel"/>
    <w:tmpl w:val="C694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022597"/>
    <w:multiLevelType w:val="multilevel"/>
    <w:tmpl w:val="4D6C822C"/>
    <w:lvl w:ilvl="0">
      <w:start w:val="1"/>
      <w:numFmt w:val="decimal"/>
      <w:pStyle w:val="Heading1"/>
      <w:lvlText w:val="%1."/>
      <w:lvlJc w:val="left"/>
      <w:pPr>
        <w:ind w:left="360" w:hanging="360"/>
      </w:pPr>
      <w:rPr>
        <w:rFonts w:hint="default"/>
      </w:rPr>
    </w:lvl>
    <w:lvl w:ilvl="1">
      <w:start w:val="1"/>
      <w:numFmt w:val="decimal"/>
      <w:pStyle w:val="NumberedNormal"/>
      <w:lvlText w:val="%1.%2."/>
      <w:lvlJc w:val="left"/>
      <w:pPr>
        <w:ind w:left="792" w:hanging="432"/>
      </w:pPr>
      <w:rPr>
        <w:rFonts w:asciiTheme="minorHAnsi" w:hAnsiTheme="minorHAnsi" w:cstheme="minorHAnsi" w:hint="default"/>
        <w:color w:val="auto"/>
        <w:sz w:val="22"/>
        <w:szCs w:val="2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E4B48D1"/>
    <w:multiLevelType w:val="hybridMultilevel"/>
    <w:tmpl w:val="7048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7C003E"/>
    <w:multiLevelType w:val="hybridMultilevel"/>
    <w:tmpl w:val="0E201DE0"/>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670B62E5"/>
    <w:multiLevelType w:val="hybridMultilevel"/>
    <w:tmpl w:val="6314599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ED7243"/>
    <w:multiLevelType w:val="hybridMultilevel"/>
    <w:tmpl w:val="8EC0C1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3C52354"/>
    <w:multiLevelType w:val="hybridMultilevel"/>
    <w:tmpl w:val="265036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4"/>
  </w:num>
  <w:num w:numId="3">
    <w:abstractNumId w:val="8"/>
  </w:num>
  <w:num w:numId="4">
    <w:abstractNumId w:val="7"/>
  </w:num>
  <w:num w:numId="5">
    <w:abstractNumId w:val="1"/>
  </w:num>
  <w:num w:numId="6">
    <w:abstractNumId w:val="3"/>
  </w:num>
  <w:num w:numId="7">
    <w:abstractNumId w:val="14"/>
  </w:num>
  <w:num w:numId="8">
    <w:abstractNumId w:val="11"/>
  </w:num>
  <w:num w:numId="9">
    <w:abstractNumId w:val="16"/>
  </w:num>
  <w:num w:numId="10">
    <w:abstractNumId w:val="15"/>
  </w:num>
  <w:num w:numId="11">
    <w:abstractNumId w:val="6"/>
  </w:num>
  <w:num w:numId="12">
    <w:abstractNumId w:val="0"/>
  </w:num>
  <w:num w:numId="13">
    <w:abstractNumId w:val="9"/>
  </w:num>
  <w:num w:numId="14">
    <w:abstractNumId w:val="19"/>
  </w:num>
  <w:num w:numId="15">
    <w:abstractNumId w:val="10"/>
  </w:num>
  <w:num w:numId="16">
    <w:abstractNumId w:val="18"/>
  </w:num>
  <w:num w:numId="17">
    <w:abstractNumId w:val="5"/>
  </w:num>
  <w:num w:numId="18">
    <w:abstractNumId w:val="12"/>
  </w:num>
  <w:num w:numId="19">
    <w:abstractNumId w:val="17"/>
  </w:num>
  <w:num w:numId="2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2NDM0tjQxtjA1NDNQ0lEKTi0uzszPAykwrAUAUSoYFywAAAA="/>
  </w:docVars>
  <w:rsids>
    <w:rsidRoot w:val="00BB34D0"/>
    <w:rsid w:val="00003819"/>
    <w:rsid w:val="00007C9B"/>
    <w:rsid w:val="0001053E"/>
    <w:rsid w:val="00010ED8"/>
    <w:rsid w:val="000117E4"/>
    <w:rsid w:val="00012D4D"/>
    <w:rsid w:val="00017A1F"/>
    <w:rsid w:val="000207D1"/>
    <w:rsid w:val="0002359B"/>
    <w:rsid w:val="000237A7"/>
    <w:rsid w:val="00024B59"/>
    <w:rsid w:val="0003009C"/>
    <w:rsid w:val="000300B9"/>
    <w:rsid w:val="000320AA"/>
    <w:rsid w:val="0004600F"/>
    <w:rsid w:val="00052505"/>
    <w:rsid w:val="000652E5"/>
    <w:rsid w:val="000653AF"/>
    <w:rsid w:val="00067888"/>
    <w:rsid w:val="00067925"/>
    <w:rsid w:val="00067CD7"/>
    <w:rsid w:val="00067FC6"/>
    <w:rsid w:val="00071CCA"/>
    <w:rsid w:val="00072102"/>
    <w:rsid w:val="00073D38"/>
    <w:rsid w:val="000746BC"/>
    <w:rsid w:val="00074935"/>
    <w:rsid w:val="00090F82"/>
    <w:rsid w:val="000910BF"/>
    <w:rsid w:val="00091D79"/>
    <w:rsid w:val="0009634D"/>
    <w:rsid w:val="000964C2"/>
    <w:rsid w:val="000A04D8"/>
    <w:rsid w:val="000A04F0"/>
    <w:rsid w:val="000A0F28"/>
    <w:rsid w:val="000A2E05"/>
    <w:rsid w:val="000A60BE"/>
    <w:rsid w:val="000B067C"/>
    <w:rsid w:val="000B5D84"/>
    <w:rsid w:val="000C532B"/>
    <w:rsid w:val="000D51E4"/>
    <w:rsid w:val="000D614C"/>
    <w:rsid w:val="000E0C3F"/>
    <w:rsid w:val="000E142E"/>
    <w:rsid w:val="000E5562"/>
    <w:rsid w:val="000E5D2E"/>
    <w:rsid w:val="000E68F5"/>
    <w:rsid w:val="000F2454"/>
    <w:rsid w:val="00100641"/>
    <w:rsid w:val="00100B07"/>
    <w:rsid w:val="00100FFA"/>
    <w:rsid w:val="001021C1"/>
    <w:rsid w:val="0010474D"/>
    <w:rsid w:val="00105B7F"/>
    <w:rsid w:val="001069F2"/>
    <w:rsid w:val="001119AB"/>
    <w:rsid w:val="00112892"/>
    <w:rsid w:val="00113228"/>
    <w:rsid w:val="00114D08"/>
    <w:rsid w:val="00121B98"/>
    <w:rsid w:val="0012250F"/>
    <w:rsid w:val="0012549B"/>
    <w:rsid w:val="00126B2F"/>
    <w:rsid w:val="00135B14"/>
    <w:rsid w:val="00137AF3"/>
    <w:rsid w:val="001417B5"/>
    <w:rsid w:val="00143A43"/>
    <w:rsid w:val="00143C74"/>
    <w:rsid w:val="0015073D"/>
    <w:rsid w:val="00151EE1"/>
    <w:rsid w:val="00153573"/>
    <w:rsid w:val="001545ED"/>
    <w:rsid w:val="00155FCA"/>
    <w:rsid w:val="00163E6C"/>
    <w:rsid w:val="00165DBD"/>
    <w:rsid w:val="00166BCD"/>
    <w:rsid w:val="00170DBD"/>
    <w:rsid w:val="001711F4"/>
    <w:rsid w:val="0017261B"/>
    <w:rsid w:val="0017368C"/>
    <w:rsid w:val="00174EFA"/>
    <w:rsid w:val="00175E29"/>
    <w:rsid w:val="001772DF"/>
    <w:rsid w:val="00181436"/>
    <w:rsid w:val="0018234D"/>
    <w:rsid w:val="0019121E"/>
    <w:rsid w:val="00193B34"/>
    <w:rsid w:val="00194C81"/>
    <w:rsid w:val="00195BF8"/>
    <w:rsid w:val="001A069D"/>
    <w:rsid w:val="001A0AB8"/>
    <w:rsid w:val="001A19CB"/>
    <w:rsid w:val="001A2C77"/>
    <w:rsid w:val="001A4065"/>
    <w:rsid w:val="001A60D1"/>
    <w:rsid w:val="001B1470"/>
    <w:rsid w:val="001B42EB"/>
    <w:rsid w:val="001B500B"/>
    <w:rsid w:val="001B7C09"/>
    <w:rsid w:val="001D0D60"/>
    <w:rsid w:val="001D30A1"/>
    <w:rsid w:val="001D51AC"/>
    <w:rsid w:val="001D65E3"/>
    <w:rsid w:val="001D732A"/>
    <w:rsid w:val="001E2E21"/>
    <w:rsid w:val="001E310B"/>
    <w:rsid w:val="001E410E"/>
    <w:rsid w:val="001E4AC9"/>
    <w:rsid w:val="001E53A3"/>
    <w:rsid w:val="001F0BCE"/>
    <w:rsid w:val="001F4D68"/>
    <w:rsid w:val="001F716F"/>
    <w:rsid w:val="002039D7"/>
    <w:rsid w:val="0020427E"/>
    <w:rsid w:val="00204703"/>
    <w:rsid w:val="002048E0"/>
    <w:rsid w:val="00207677"/>
    <w:rsid w:val="00210C2E"/>
    <w:rsid w:val="0021141B"/>
    <w:rsid w:val="00211F96"/>
    <w:rsid w:val="0021248D"/>
    <w:rsid w:val="00212B7D"/>
    <w:rsid w:val="002203C7"/>
    <w:rsid w:val="00222625"/>
    <w:rsid w:val="00222D3B"/>
    <w:rsid w:val="00223977"/>
    <w:rsid w:val="00226A49"/>
    <w:rsid w:val="00231463"/>
    <w:rsid w:val="00232A8B"/>
    <w:rsid w:val="00232F99"/>
    <w:rsid w:val="00234377"/>
    <w:rsid w:val="00235C1D"/>
    <w:rsid w:val="00241676"/>
    <w:rsid w:val="00241714"/>
    <w:rsid w:val="002424A7"/>
    <w:rsid w:val="002450D1"/>
    <w:rsid w:val="0024675C"/>
    <w:rsid w:val="00250E09"/>
    <w:rsid w:val="00254622"/>
    <w:rsid w:val="00257334"/>
    <w:rsid w:val="002600EA"/>
    <w:rsid w:val="002610D9"/>
    <w:rsid w:val="00265AC0"/>
    <w:rsid w:val="00270609"/>
    <w:rsid w:val="00272E35"/>
    <w:rsid w:val="002768CC"/>
    <w:rsid w:val="00277EAD"/>
    <w:rsid w:val="002814F3"/>
    <w:rsid w:val="0028251D"/>
    <w:rsid w:val="00282580"/>
    <w:rsid w:val="0028386E"/>
    <w:rsid w:val="00283FE8"/>
    <w:rsid w:val="002840C6"/>
    <w:rsid w:val="00285A31"/>
    <w:rsid w:val="00287B48"/>
    <w:rsid w:val="00290B11"/>
    <w:rsid w:val="002939C6"/>
    <w:rsid w:val="00293C1A"/>
    <w:rsid w:val="0029439A"/>
    <w:rsid w:val="00296161"/>
    <w:rsid w:val="0029681A"/>
    <w:rsid w:val="00297498"/>
    <w:rsid w:val="002A00F0"/>
    <w:rsid w:val="002A451D"/>
    <w:rsid w:val="002A4D25"/>
    <w:rsid w:val="002B0502"/>
    <w:rsid w:val="002B1727"/>
    <w:rsid w:val="002B40EC"/>
    <w:rsid w:val="002B49C8"/>
    <w:rsid w:val="002C3722"/>
    <w:rsid w:val="002D068D"/>
    <w:rsid w:val="002D16FB"/>
    <w:rsid w:val="002D1983"/>
    <w:rsid w:val="002D274C"/>
    <w:rsid w:val="002D2DC3"/>
    <w:rsid w:val="002D51C9"/>
    <w:rsid w:val="002D5C51"/>
    <w:rsid w:val="002E5471"/>
    <w:rsid w:val="00307AD9"/>
    <w:rsid w:val="00311308"/>
    <w:rsid w:val="00311395"/>
    <w:rsid w:val="00316356"/>
    <w:rsid w:val="0031727E"/>
    <w:rsid w:val="00321627"/>
    <w:rsid w:val="00322DC2"/>
    <w:rsid w:val="00323E5E"/>
    <w:rsid w:val="00326DEB"/>
    <w:rsid w:val="00326E5A"/>
    <w:rsid w:val="0033144A"/>
    <w:rsid w:val="003326EB"/>
    <w:rsid w:val="00332D4E"/>
    <w:rsid w:val="0033506B"/>
    <w:rsid w:val="00340503"/>
    <w:rsid w:val="00340BE8"/>
    <w:rsid w:val="00351B21"/>
    <w:rsid w:val="0035259A"/>
    <w:rsid w:val="00352B47"/>
    <w:rsid w:val="00356C8D"/>
    <w:rsid w:val="00356E2C"/>
    <w:rsid w:val="00360409"/>
    <w:rsid w:val="00362658"/>
    <w:rsid w:val="00363DBB"/>
    <w:rsid w:val="003640DF"/>
    <w:rsid w:val="00364894"/>
    <w:rsid w:val="003669BE"/>
    <w:rsid w:val="00367422"/>
    <w:rsid w:val="0036762C"/>
    <w:rsid w:val="00367C28"/>
    <w:rsid w:val="00367F9C"/>
    <w:rsid w:val="00370E16"/>
    <w:rsid w:val="00371CCE"/>
    <w:rsid w:val="003765B6"/>
    <w:rsid w:val="00381F24"/>
    <w:rsid w:val="00395942"/>
    <w:rsid w:val="0039758C"/>
    <w:rsid w:val="00397FD2"/>
    <w:rsid w:val="003A420C"/>
    <w:rsid w:val="003B5E85"/>
    <w:rsid w:val="003B68BA"/>
    <w:rsid w:val="003B7D63"/>
    <w:rsid w:val="003C1098"/>
    <w:rsid w:val="003C28DF"/>
    <w:rsid w:val="003C7195"/>
    <w:rsid w:val="003D1AB6"/>
    <w:rsid w:val="003D5733"/>
    <w:rsid w:val="003D6CAF"/>
    <w:rsid w:val="003E12DA"/>
    <w:rsid w:val="003E2AB6"/>
    <w:rsid w:val="003E39C3"/>
    <w:rsid w:val="003E43D1"/>
    <w:rsid w:val="003E49F0"/>
    <w:rsid w:val="003E59E1"/>
    <w:rsid w:val="003F3110"/>
    <w:rsid w:val="004001C2"/>
    <w:rsid w:val="004005C3"/>
    <w:rsid w:val="00402444"/>
    <w:rsid w:val="0040408C"/>
    <w:rsid w:val="00413D34"/>
    <w:rsid w:val="00413FF4"/>
    <w:rsid w:val="00417170"/>
    <w:rsid w:val="00425D58"/>
    <w:rsid w:val="004379B8"/>
    <w:rsid w:val="00437DFF"/>
    <w:rsid w:val="004456BA"/>
    <w:rsid w:val="004548A9"/>
    <w:rsid w:val="004635B8"/>
    <w:rsid w:val="00466508"/>
    <w:rsid w:val="00472CFF"/>
    <w:rsid w:val="0047486E"/>
    <w:rsid w:val="00476F6A"/>
    <w:rsid w:val="004775DD"/>
    <w:rsid w:val="00480FC8"/>
    <w:rsid w:val="00481F9D"/>
    <w:rsid w:val="00483988"/>
    <w:rsid w:val="00483C99"/>
    <w:rsid w:val="00490D39"/>
    <w:rsid w:val="00491DF7"/>
    <w:rsid w:val="004942B1"/>
    <w:rsid w:val="004A0F95"/>
    <w:rsid w:val="004A4131"/>
    <w:rsid w:val="004A6AD1"/>
    <w:rsid w:val="004A74EF"/>
    <w:rsid w:val="004B37D3"/>
    <w:rsid w:val="004B7843"/>
    <w:rsid w:val="004C13D9"/>
    <w:rsid w:val="004C3BAB"/>
    <w:rsid w:val="004C475A"/>
    <w:rsid w:val="004D0849"/>
    <w:rsid w:val="004D0BD9"/>
    <w:rsid w:val="004D31FB"/>
    <w:rsid w:val="004D4B8B"/>
    <w:rsid w:val="004E4BAC"/>
    <w:rsid w:val="004F1D7A"/>
    <w:rsid w:val="004F6FFB"/>
    <w:rsid w:val="00500BE7"/>
    <w:rsid w:val="00502DB6"/>
    <w:rsid w:val="00504010"/>
    <w:rsid w:val="005047D8"/>
    <w:rsid w:val="005062FE"/>
    <w:rsid w:val="0050733E"/>
    <w:rsid w:val="00507ABE"/>
    <w:rsid w:val="00511DF1"/>
    <w:rsid w:val="00512B9D"/>
    <w:rsid w:val="005140BA"/>
    <w:rsid w:val="005150EC"/>
    <w:rsid w:val="00525535"/>
    <w:rsid w:val="005322B4"/>
    <w:rsid w:val="00533FA9"/>
    <w:rsid w:val="005352F9"/>
    <w:rsid w:val="0053776B"/>
    <w:rsid w:val="00542D7D"/>
    <w:rsid w:val="005441E3"/>
    <w:rsid w:val="0054428F"/>
    <w:rsid w:val="00544CE0"/>
    <w:rsid w:val="00547556"/>
    <w:rsid w:val="00551D70"/>
    <w:rsid w:val="0055201C"/>
    <w:rsid w:val="00553353"/>
    <w:rsid w:val="00557847"/>
    <w:rsid w:val="00557BD3"/>
    <w:rsid w:val="00557D1A"/>
    <w:rsid w:val="00562A65"/>
    <w:rsid w:val="0056307B"/>
    <w:rsid w:val="00564AB1"/>
    <w:rsid w:val="00567D21"/>
    <w:rsid w:val="00571740"/>
    <w:rsid w:val="00571A7F"/>
    <w:rsid w:val="00574ABC"/>
    <w:rsid w:val="00574B20"/>
    <w:rsid w:val="00574C77"/>
    <w:rsid w:val="005771E9"/>
    <w:rsid w:val="005779F9"/>
    <w:rsid w:val="0058231B"/>
    <w:rsid w:val="0058440C"/>
    <w:rsid w:val="00590BF7"/>
    <w:rsid w:val="005932A5"/>
    <w:rsid w:val="00593621"/>
    <w:rsid w:val="00595252"/>
    <w:rsid w:val="005A011C"/>
    <w:rsid w:val="005A047E"/>
    <w:rsid w:val="005A32A2"/>
    <w:rsid w:val="005A4494"/>
    <w:rsid w:val="005B08B6"/>
    <w:rsid w:val="005B5140"/>
    <w:rsid w:val="005C197E"/>
    <w:rsid w:val="005C4339"/>
    <w:rsid w:val="005C6778"/>
    <w:rsid w:val="005D0B0E"/>
    <w:rsid w:val="005D5DEB"/>
    <w:rsid w:val="005D6897"/>
    <w:rsid w:val="005D7532"/>
    <w:rsid w:val="005E1225"/>
    <w:rsid w:val="005E2DCD"/>
    <w:rsid w:val="005E4F31"/>
    <w:rsid w:val="005F432E"/>
    <w:rsid w:val="0060457A"/>
    <w:rsid w:val="00604F7F"/>
    <w:rsid w:val="006064A5"/>
    <w:rsid w:val="00614304"/>
    <w:rsid w:val="006205A2"/>
    <w:rsid w:val="00621528"/>
    <w:rsid w:val="006230AE"/>
    <w:rsid w:val="006255F8"/>
    <w:rsid w:val="00630479"/>
    <w:rsid w:val="00632162"/>
    <w:rsid w:val="0063219A"/>
    <w:rsid w:val="0063245C"/>
    <w:rsid w:val="0063374F"/>
    <w:rsid w:val="00635D63"/>
    <w:rsid w:val="00636648"/>
    <w:rsid w:val="00637428"/>
    <w:rsid w:val="006472E6"/>
    <w:rsid w:val="00651CFD"/>
    <w:rsid w:val="006535C5"/>
    <w:rsid w:val="00656830"/>
    <w:rsid w:val="006626D9"/>
    <w:rsid w:val="0066291D"/>
    <w:rsid w:val="00663727"/>
    <w:rsid w:val="00663E32"/>
    <w:rsid w:val="00672247"/>
    <w:rsid w:val="006750DA"/>
    <w:rsid w:val="00675D4A"/>
    <w:rsid w:val="00681E38"/>
    <w:rsid w:val="00682331"/>
    <w:rsid w:val="00684368"/>
    <w:rsid w:val="00684C8A"/>
    <w:rsid w:val="006906A8"/>
    <w:rsid w:val="006931B2"/>
    <w:rsid w:val="00693E1F"/>
    <w:rsid w:val="0069409F"/>
    <w:rsid w:val="006A1845"/>
    <w:rsid w:val="006A1B0C"/>
    <w:rsid w:val="006A285B"/>
    <w:rsid w:val="006A517B"/>
    <w:rsid w:val="006A5297"/>
    <w:rsid w:val="006A7C34"/>
    <w:rsid w:val="006A7C38"/>
    <w:rsid w:val="006B0293"/>
    <w:rsid w:val="006B166D"/>
    <w:rsid w:val="006B251F"/>
    <w:rsid w:val="006B30DC"/>
    <w:rsid w:val="006B5CFD"/>
    <w:rsid w:val="006B7E9D"/>
    <w:rsid w:val="006C1245"/>
    <w:rsid w:val="006C29C2"/>
    <w:rsid w:val="006C2E6C"/>
    <w:rsid w:val="006C42CC"/>
    <w:rsid w:val="006D0138"/>
    <w:rsid w:val="006D1459"/>
    <w:rsid w:val="006D32B7"/>
    <w:rsid w:val="006D3680"/>
    <w:rsid w:val="006D3921"/>
    <w:rsid w:val="006D607D"/>
    <w:rsid w:val="006E0A42"/>
    <w:rsid w:val="006E75DF"/>
    <w:rsid w:val="006F1435"/>
    <w:rsid w:val="00703AED"/>
    <w:rsid w:val="0070578F"/>
    <w:rsid w:val="0070672D"/>
    <w:rsid w:val="00706CF8"/>
    <w:rsid w:val="00711154"/>
    <w:rsid w:val="0071433D"/>
    <w:rsid w:val="00721146"/>
    <w:rsid w:val="00727B95"/>
    <w:rsid w:val="00733D86"/>
    <w:rsid w:val="007348F8"/>
    <w:rsid w:val="00734C2C"/>
    <w:rsid w:val="00735C96"/>
    <w:rsid w:val="007460CE"/>
    <w:rsid w:val="0075217B"/>
    <w:rsid w:val="0075395B"/>
    <w:rsid w:val="0075489F"/>
    <w:rsid w:val="00755BCD"/>
    <w:rsid w:val="007560F6"/>
    <w:rsid w:val="0075791B"/>
    <w:rsid w:val="007616D8"/>
    <w:rsid w:val="00761B69"/>
    <w:rsid w:val="00763E50"/>
    <w:rsid w:val="00764558"/>
    <w:rsid w:val="00766220"/>
    <w:rsid w:val="0076787C"/>
    <w:rsid w:val="007710EB"/>
    <w:rsid w:val="00771265"/>
    <w:rsid w:val="0077228E"/>
    <w:rsid w:val="007723EC"/>
    <w:rsid w:val="00772E1B"/>
    <w:rsid w:val="00773CCB"/>
    <w:rsid w:val="00774828"/>
    <w:rsid w:val="00775364"/>
    <w:rsid w:val="007774DC"/>
    <w:rsid w:val="00780167"/>
    <w:rsid w:val="007822C9"/>
    <w:rsid w:val="00784A61"/>
    <w:rsid w:val="00793D88"/>
    <w:rsid w:val="007A0A08"/>
    <w:rsid w:val="007A129C"/>
    <w:rsid w:val="007A77E2"/>
    <w:rsid w:val="007A7FD2"/>
    <w:rsid w:val="007B1137"/>
    <w:rsid w:val="007B219E"/>
    <w:rsid w:val="007B2FF2"/>
    <w:rsid w:val="007B41C7"/>
    <w:rsid w:val="007B5D4C"/>
    <w:rsid w:val="007C37F8"/>
    <w:rsid w:val="007C6B99"/>
    <w:rsid w:val="007C7ABC"/>
    <w:rsid w:val="007D31AE"/>
    <w:rsid w:val="007D4D0D"/>
    <w:rsid w:val="007D507F"/>
    <w:rsid w:val="007E344A"/>
    <w:rsid w:val="007E35DE"/>
    <w:rsid w:val="007F199F"/>
    <w:rsid w:val="007F7A37"/>
    <w:rsid w:val="007F7D21"/>
    <w:rsid w:val="008016D3"/>
    <w:rsid w:val="0080371E"/>
    <w:rsid w:val="00804A39"/>
    <w:rsid w:val="00806D8E"/>
    <w:rsid w:val="00807897"/>
    <w:rsid w:val="008154F4"/>
    <w:rsid w:val="00817033"/>
    <w:rsid w:val="00820998"/>
    <w:rsid w:val="00820DFF"/>
    <w:rsid w:val="00832667"/>
    <w:rsid w:val="0083318D"/>
    <w:rsid w:val="008331A2"/>
    <w:rsid w:val="00833EE6"/>
    <w:rsid w:val="00835D4A"/>
    <w:rsid w:val="008457CF"/>
    <w:rsid w:val="008459C2"/>
    <w:rsid w:val="0085333E"/>
    <w:rsid w:val="00853C13"/>
    <w:rsid w:val="008542BD"/>
    <w:rsid w:val="00854ADB"/>
    <w:rsid w:val="008571A1"/>
    <w:rsid w:val="0086253C"/>
    <w:rsid w:val="00863784"/>
    <w:rsid w:val="008644C5"/>
    <w:rsid w:val="00864DBF"/>
    <w:rsid w:val="00865853"/>
    <w:rsid w:val="00870BC5"/>
    <w:rsid w:val="008723BD"/>
    <w:rsid w:val="008737C3"/>
    <w:rsid w:val="00874ACF"/>
    <w:rsid w:val="0087644B"/>
    <w:rsid w:val="008824D3"/>
    <w:rsid w:val="0088280C"/>
    <w:rsid w:val="00886FA8"/>
    <w:rsid w:val="008900BF"/>
    <w:rsid w:val="008917F6"/>
    <w:rsid w:val="0089729C"/>
    <w:rsid w:val="008A16F7"/>
    <w:rsid w:val="008A3480"/>
    <w:rsid w:val="008A3BD1"/>
    <w:rsid w:val="008A4F7C"/>
    <w:rsid w:val="008A6CF7"/>
    <w:rsid w:val="008A7505"/>
    <w:rsid w:val="008B0CA8"/>
    <w:rsid w:val="008B1A49"/>
    <w:rsid w:val="008C1BC4"/>
    <w:rsid w:val="008C22B1"/>
    <w:rsid w:val="008C379F"/>
    <w:rsid w:val="008C3ECC"/>
    <w:rsid w:val="008C682E"/>
    <w:rsid w:val="008D2FCD"/>
    <w:rsid w:val="008E29CB"/>
    <w:rsid w:val="008E4DBA"/>
    <w:rsid w:val="008F0D1E"/>
    <w:rsid w:val="008F30C7"/>
    <w:rsid w:val="008F35BD"/>
    <w:rsid w:val="008F5460"/>
    <w:rsid w:val="00903A68"/>
    <w:rsid w:val="00905F6F"/>
    <w:rsid w:val="00906086"/>
    <w:rsid w:val="00906118"/>
    <w:rsid w:val="00906DA3"/>
    <w:rsid w:val="00911C2D"/>
    <w:rsid w:val="00920F27"/>
    <w:rsid w:val="009229E7"/>
    <w:rsid w:val="00925AD3"/>
    <w:rsid w:val="00927AC5"/>
    <w:rsid w:val="0093024E"/>
    <w:rsid w:val="00934957"/>
    <w:rsid w:val="00935658"/>
    <w:rsid w:val="00936FB1"/>
    <w:rsid w:val="009408C7"/>
    <w:rsid w:val="0094196F"/>
    <w:rsid w:val="00942EAE"/>
    <w:rsid w:val="00943F20"/>
    <w:rsid w:val="00944CE9"/>
    <w:rsid w:val="009505E6"/>
    <w:rsid w:val="00950608"/>
    <w:rsid w:val="0095372D"/>
    <w:rsid w:val="009622B4"/>
    <w:rsid w:val="00962A8F"/>
    <w:rsid w:val="009632F3"/>
    <w:rsid w:val="00965ECD"/>
    <w:rsid w:val="009661FF"/>
    <w:rsid w:val="00972CC8"/>
    <w:rsid w:val="009758D9"/>
    <w:rsid w:val="00976223"/>
    <w:rsid w:val="009765B8"/>
    <w:rsid w:val="00981B6B"/>
    <w:rsid w:val="009860F7"/>
    <w:rsid w:val="00987091"/>
    <w:rsid w:val="00991701"/>
    <w:rsid w:val="00991976"/>
    <w:rsid w:val="00997E75"/>
    <w:rsid w:val="009A1E66"/>
    <w:rsid w:val="009A24A4"/>
    <w:rsid w:val="009A47C4"/>
    <w:rsid w:val="009A4A19"/>
    <w:rsid w:val="009B034A"/>
    <w:rsid w:val="009B1B0C"/>
    <w:rsid w:val="009B576A"/>
    <w:rsid w:val="009B69D6"/>
    <w:rsid w:val="009C0045"/>
    <w:rsid w:val="009C25EA"/>
    <w:rsid w:val="009C3FBC"/>
    <w:rsid w:val="009C495C"/>
    <w:rsid w:val="009C500B"/>
    <w:rsid w:val="009C55F2"/>
    <w:rsid w:val="009D4DDA"/>
    <w:rsid w:val="009E21A5"/>
    <w:rsid w:val="009E5E7B"/>
    <w:rsid w:val="009F4DBF"/>
    <w:rsid w:val="00A01D2E"/>
    <w:rsid w:val="00A06B61"/>
    <w:rsid w:val="00A07EE9"/>
    <w:rsid w:val="00A1188C"/>
    <w:rsid w:val="00A129AD"/>
    <w:rsid w:val="00A12C23"/>
    <w:rsid w:val="00A12F48"/>
    <w:rsid w:val="00A1533B"/>
    <w:rsid w:val="00A26873"/>
    <w:rsid w:val="00A309E9"/>
    <w:rsid w:val="00A32007"/>
    <w:rsid w:val="00A325E1"/>
    <w:rsid w:val="00A4127C"/>
    <w:rsid w:val="00A4152B"/>
    <w:rsid w:val="00A41A87"/>
    <w:rsid w:val="00A435BB"/>
    <w:rsid w:val="00A43DFA"/>
    <w:rsid w:val="00A46C45"/>
    <w:rsid w:val="00A52253"/>
    <w:rsid w:val="00A543E7"/>
    <w:rsid w:val="00A557E4"/>
    <w:rsid w:val="00A572DC"/>
    <w:rsid w:val="00A57BA0"/>
    <w:rsid w:val="00A60441"/>
    <w:rsid w:val="00A6547E"/>
    <w:rsid w:val="00A65E02"/>
    <w:rsid w:val="00A66C5A"/>
    <w:rsid w:val="00A67DEF"/>
    <w:rsid w:val="00A718C9"/>
    <w:rsid w:val="00A7207D"/>
    <w:rsid w:val="00A733A2"/>
    <w:rsid w:val="00A76241"/>
    <w:rsid w:val="00A7745F"/>
    <w:rsid w:val="00A81E2F"/>
    <w:rsid w:val="00A8237B"/>
    <w:rsid w:val="00A86A2D"/>
    <w:rsid w:val="00A87307"/>
    <w:rsid w:val="00A92626"/>
    <w:rsid w:val="00A94CF7"/>
    <w:rsid w:val="00A9738A"/>
    <w:rsid w:val="00AA0F08"/>
    <w:rsid w:val="00AA328B"/>
    <w:rsid w:val="00AA6FCF"/>
    <w:rsid w:val="00AB0F3F"/>
    <w:rsid w:val="00AB32BB"/>
    <w:rsid w:val="00AB4D2A"/>
    <w:rsid w:val="00AC0E12"/>
    <w:rsid w:val="00AC2095"/>
    <w:rsid w:val="00AC2E8E"/>
    <w:rsid w:val="00AC67AB"/>
    <w:rsid w:val="00AD577A"/>
    <w:rsid w:val="00AE0AE0"/>
    <w:rsid w:val="00AE17ED"/>
    <w:rsid w:val="00AE18A2"/>
    <w:rsid w:val="00AE239E"/>
    <w:rsid w:val="00AE5367"/>
    <w:rsid w:val="00AE542D"/>
    <w:rsid w:val="00AE6B4F"/>
    <w:rsid w:val="00AE6CA8"/>
    <w:rsid w:val="00AE7EDD"/>
    <w:rsid w:val="00AF05AA"/>
    <w:rsid w:val="00AF0BFE"/>
    <w:rsid w:val="00AF51DA"/>
    <w:rsid w:val="00AF69C8"/>
    <w:rsid w:val="00B03589"/>
    <w:rsid w:val="00B037E8"/>
    <w:rsid w:val="00B04DE5"/>
    <w:rsid w:val="00B072C8"/>
    <w:rsid w:val="00B12E83"/>
    <w:rsid w:val="00B154C8"/>
    <w:rsid w:val="00B21033"/>
    <w:rsid w:val="00B21F8F"/>
    <w:rsid w:val="00B22EB6"/>
    <w:rsid w:val="00B22FF6"/>
    <w:rsid w:val="00B24AEE"/>
    <w:rsid w:val="00B24BD2"/>
    <w:rsid w:val="00B24C07"/>
    <w:rsid w:val="00B3206F"/>
    <w:rsid w:val="00B32542"/>
    <w:rsid w:val="00B40EDF"/>
    <w:rsid w:val="00B42510"/>
    <w:rsid w:val="00B4416A"/>
    <w:rsid w:val="00B4478C"/>
    <w:rsid w:val="00B44DCD"/>
    <w:rsid w:val="00B530EA"/>
    <w:rsid w:val="00B56666"/>
    <w:rsid w:val="00B6437D"/>
    <w:rsid w:val="00B702A8"/>
    <w:rsid w:val="00B70818"/>
    <w:rsid w:val="00B70A0C"/>
    <w:rsid w:val="00B75804"/>
    <w:rsid w:val="00B77A0A"/>
    <w:rsid w:val="00B8127E"/>
    <w:rsid w:val="00B83C2C"/>
    <w:rsid w:val="00B8588C"/>
    <w:rsid w:val="00B8646A"/>
    <w:rsid w:val="00B86B4C"/>
    <w:rsid w:val="00BA0C49"/>
    <w:rsid w:val="00BA4293"/>
    <w:rsid w:val="00BB34D0"/>
    <w:rsid w:val="00BB57A4"/>
    <w:rsid w:val="00BB5E70"/>
    <w:rsid w:val="00BC3951"/>
    <w:rsid w:val="00BC6428"/>
    <w:rsid w:val="00BC6DE1"/>
    <w:rsid w:val="00BC7649"/>
    <w:rsid w:val="00BD0B8E"/>
    <w:rsid w:val="00BD1B73"/>
    <w:rsid w:val="00BD7917"/>
    <w:rsid w:val="00BE236B"/>
    <w:rsid w:val="00BE2820"/>
    <w:rsid w:val="00BE3C87"/>
    <w:rsid w:val="00BE6D20"/>
    <w:rsid w:val="00BE6EBA"/>
    <w:rsid w:val="00BF4465"/>
    <w:rsid w:val="00BF4F2C"/>
    <w:rsid w:val="00BF54F6"/>
    <w:rsid w:val="00C01E3A"/>
    <w:rsid w:val="00C0288F"/>
    <w:rsid w:val="00C06BB0"/>
    <w:rsid w:val="00C11440"/>
    <w:rsid w:val="00C13A15"/>
    <w:rsid w:val="00C1785D"/>
    <w:rsid w:val="00C22D30"/>
    <w:rsid w:val="00C24487"/>
    <w:rsid w:val="00C26355"/>
    <w:rsid w:val="00C26994"/>
    <w:rsid w:val="00C26AE1"/>
    <w:rsid w:val="00C32741"/>
    <w:rsid w:val="00C428A0"/>
    <w:rsid w:val="00C4416D"/>
    <w:rsid w:val="00C441E1"/>
    <w:rsid w:val="00C50E3A"/>
    <w:rsid w:val="00C51BC2"/>
    <w:rsid w:val="00C5457A"/>
    <w:rsid w:val="00C5474D"/>
    <w:rsid w:val="00C55476"/>
    <w:rsid w:val="00C55ECA"/>
    <w:rsid w:val="00C569AF"/>
    <w:rsid w:val="00C56A24"/>
    <w:rsid w:val="00C6319E"/>
    <w:rsid w:val="00C703B0"/>
    <w:rsid w:val="00C70780"/>
    <w:rsid w:val="00C71876"/>
    <w:rsid w:val="00C73B6C"/>
    <w:rsid w:val="00C74326"/>
    <w:rsid w:val="00C8774D"/>
    <w:rsid w:val="00C90442"/>
    <w:rsid w:val="00C925B6"/>
    <w:rsid w:val="00C93B56"/>
    <w:rsid w:val="00C941E7"/>
    <w:rsid w:val="00CA1F3B"/>
    <w:rsid w:val="00CA2250"/>
    <w:rsid w:val="00CA240C"/>
    <w:rsid w:val="00CA6B15"/>
    <w:rsid w:val="00CB7470"/>
    <w:rsid w:val="00CC0C0F"/>
    <w:rsid w:val="00CC15BB"/>
    <w:rsid w:val="00CC1847"/>
    <w:rsid w:val="00CC24D8"/>
    <w:rsid w:val="00CC3E40"/>
    <w:rsid w:val="00CC3F04"/>
    <w:rsid w:val="00CC769A"/>
    <w:rsid w:val="00CD249F"/>
    <w:rsid w:val="00CD41A6"/>
    <w:rsid w:val="00CD65A1"/>
    <w:rsid w:val="00CD6B5B"/>
    <w:rsid w:val="00CE3777"/>
    <w:rsid w:val="00CE399E"/>
    <w:rsid w:val="00CE5CD3"/>
    <w:rsid w:val="00CF2625"/>
    <w:rsid w:val="00CF5E5C"/>
    <w:rsid w:val="00CF78D7"/>
    <w:rsid w:val="00D043CC"/>
    <w:rsid w:val="00D060BC"/>
    <w:rsid w:val="00D107DB"/>
    <w:rsid w:val="00D1250A"/>
    <w:rsid w:val="00D14260"/>
    <w:rsid w:val="00D16193"/>
    <w:rsid w:val="00D21492"/>
    <w:rsid w:val="00D224B2"/>
    <w:rsid w:val="00D2502B"/>
    <w:rsid w:val="00D252AB"/>
    <w:rsid w:val="00D27D81"/>
    <w:rsid w:val="00D34AA1"/>
    <w:rsid w:val="00D35633"/>
    <w:rsid w:val="00D404E3"/>
    <w:rsid w:val="00D43BFB"/>
    <w:rsid w:val="00D447F3"/>
    <w:rsid w:val="00D45F7A"/>
    <w:rsid w:val="00D47FC8"/>
    <w:rsid w:val="00D50564"/>
    <w:rsid w:val="00D529E2"/>
    <w:rsid w:val="00D567FF"/>
    <w:rsid w:val="00D60DBA"/>
    <w:rsid w:val="00D63B57"/>
    <w:rsid w:val="00D65458"/>
    <w:rsid w:val="00D674B2"/>
    <w:rsid w:val="00D71B9E"/>
    <w:rsid w:val="00D74547"/>
    <w:rsid w:val="00D75098"/>
    <w:rsid w:val="00D800BF"/>
    <w:rsid w:val="00D840C2"/>
    <w:rsid w:val="00DA0071"/>
    <w:rsid w:val="00DA0972"/>
    <w:rsid w:val="00DA0D1F"/>
    <w:rsid w:val="00DC1B4E"/>
    <w:rsid w:val="00DC27A2"/>
    <w:rsid w:val="00DC39A9"/>
    <w:rsid w:val="00DC4311"/>
    <w:rsid w:val="00DC4AAB"/>
    <w:rsid w:val="00DC642A"/>
    <w:rsid w:val="00DC6EA6"/>
    <w:rsid w:val="00DC72B4"/>
    <w:rsid w:val="00DD1386"/>
    <w:rsid w:val="00DD2414"/>
    <w:rsid w:val="00DD2B95"/>
    <w:rsid w:val="00DD5434"/>
    <w:rsid w:val="00DD6510"/>
    <w:rsid w:val="00DD7B62"/>
    <w:rsid w:val="00DE58CF"/>
    <w:rsid w:val="00DE664C"/>
    <w:rsid w:val="00DF2858"/>
    <w:rsid w:val="00DF4030"/>
    <w:rsid w:val="00E025F6"/>
    <w:rsid w:val="00E038D0"/>
    <w:rsid w:val="00E04736"/>
    <w:rsid w:val="00E062A2"/>
    <w:rsid w:val="00E12C7A"/>
    <w:rsid w:val="00E16B27"/>
    <w:rsid w:val="00E17150"/>
    <w:rsid w:val="00E1749E"/>
    <w:rsid w:val="00E21AF0"/>
    <w:rsid w:val="00E23C55"/>
    <w:rsid w:val="00E257DF"/>
    <w:rsid w:val="00E263AC"/>
    <w:rsid w:val="00E2648B"/>
    <w:rsid w:val="00E30E06"/>
    <w:rsid w:val="00E43D2B"/>
    <w:rsid w:val="00E459B7"/>
    <w:rsid w:val="00E51CC7"/>
    <w:rsid w:val="00E52B66"/>
    <w:rsid w:val="00E52D0B"/>
    <w:rsid w:val="00E544FE"/>
    <w:rsid w:val="00E55860"/>
    <w:rsid w:val="00E64E56"/>
    <w:rsid w:val="00E67A71"/>
    <w:rsid w:val="00E81533"/>
    <w:rsid w:val="00E81637"/>
    <w:rsid w:val="00E81B8F"/>
    <w:rsid w:val="00E838E3"/>
    <w:rsid w:val="00E90AFF"/>
    <w:rsid w:val="00E936A5"/>
    <w:rsid w:val="00E974B3"/>
    <w:rsid w:val="00EA0392"/>
    <w:rsid w:val="00EA4A8D"/>
    <w:rsid w:val="00EA4B69"/>
    <w:rsid w:val="00EA7C07"/>
    <w:rsid w:val="00EB6EC5"/>
    <w:rsid w:val="00EC146F"/>
    <w:rsid w:val="00EC5806"/>
    <w:rsid w:val="00EC71DC"/>
    <w:rsid w:val="00ED04F8"/>
    <w:rsid w:val="00ED0AA3"/>
    <w:rsid w:val="00ED140C"/>
    <w:rsid w:val="00ED17EF"/>
    <w:rsid w:val="00ED36C7"/>
    <w:rsid w:val="00ED3B3C"/>
    <w:rsid w:val="00EE2AB7"/>
    <w:rsid w:val="00EE3FB2"/>
    <w:rsid w:val="00EE42EE"/>
    <w:rsid w:val="00EE5917"/>
    <w:rsid w:val="00EF1BC7"/>
    <w:rsid w:val="00EF21E7"/>
    <w:rsid w:val="00EF6366"/>
    <w:rsid w:val="00F07E34"/>
    <w:rsid w:val="00F1014E"/>
    <w:rsid w:val="00F11396"/>
    <w:rsid w:val="00F16A87"/>
    <w:rsid w:val="00F17869"/>
    <w:rsid w:val="00F17AB3"/>
    <w:rsid w:val="00F20F73"/>
    <w:rsid w:val="00F21D90"/>
    <w:rsid w:val="00F22AF0"/>
    <w:rsid w:val="00F2404F"/>
    <w:rsid w:val="00F24517"/>
    <w:rsid w:val="00F24E14"/>
    <w:rsid w:val="00F2762F"/>
    <w:rsid w:val="00F27B51"/>
    <w:rsid w:val="00F33E73"/>
    <w:rsid w:val="00F353D4"/>
    <w:rsid w:val="00F43E0C"/>
    <w:rsid w:val="00F454D9"/>
    <w:rsid w:val="00F46682"/>
    <w:rsid w:val="00F55D26"/>
    <w:rsid w:val="00F56065"/>
    <w:rsid w:val="00F57CFF"/>
    <w:rsid w:val="00F6059D"/>
    <w:rsid w:val="00F623C3"/>
    <w:rsid w:val="00F64872"/>
    <w:rsid w:val="00F6640A"/>
    <w:rsid w:val="00F66EB3"/>
    <w:rsid w:val="00F6728E"/>
    <w:rsid w:val="00F67981"/>
    <w:rsid w:val="00F71F66"/>
    <w:rsid w:val="00F7360D"/>
    <w:rsid w:val="00F75A98"/>
    <w:rsid w:val="00F8105B"/>
    <w:rsid w:val="00F8373F"/>
    <w:rsid w:val="00F83A2C"/>
    <w:rsid w:val="00F83BA9"/>
    <w:rsid w:val="00F85B9B"/>
    <w:rsid w:val="00F861A8"/>
    <w:rsid w:val="00F87A36"/>
    <w:rsid w:val="00F941BC"/>
    <w:rsid w:val="00F94958"/>
    <w:rsid w:val="00F96094"/>
    <w:rsid w:val="00FA0BC1"/>
    <w:rsid w:val="00FA5E9E"/>
    <w:rsid w:val="00FB29F0"/>
    <w:rsid w:val="00FB449C"/>
    <w:rsid w:val="00FB48A0"/>
    <w:rsid w:val="00FB5785"/>
    <w:rsid w:val="00FC4FE3"/>
    <w:rsid w:val="00FD05D3"/>
    <w:rsid w:val="00FD6B4F"/>
    <w:rsid w:val="00FD76F7"/>
    <w:rsid w:val="00FE1A2B"/>
    <w:rsid w:val="00FE3ABB"/>
    <w:rsid w:val="00FE3E11"/>
    <w:rsid w:val="00FE747F"/>
    <w:rsid w:val="00FF0C53"/>
    <w:rsid w:val="00FF183A"/>
    <w:rsid w:val="00FF2215"/>
    <w:rsid w:val="00FF40AD"/>
    <w:rsid w:val="00FF579A"/>
    <w:rsid w:val="00FF7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3FE934"/>
  <w15:docId w15:val="{AF9C71DA-F58A-4391-B0F8-603BD88F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55D26"/>
    <w:pPr>
      <w:spacing w:before="120" w:after="0"/>
      <w:contextualSpacing/>
    </w:pPr>
    <w:rPr>
      <w:rFonts w:ascii="Arial" w:hAnsi="Arial"/>
      <w:sz w:val="24"/>
    </w:rPr>
  </w:style>
  <w:style w:type="paragraph" w:styleId="Heading1">
    <w:name w:val="heading 1"/>
    <w:basedOn w:val="Normal"/>
    <w:next w:val="Normal"/>
    <w:link w:val="Heading1Char"/>
    <w:uiPriority w:val="9"/>
    <w:qFormat/>
    <w:rsid w:val="008C22B1"/>
    <w:pPr>
      <w:keepNext/>
      <w:keepLines/>
      <w:numPr>
        <w:numId w:val="1"/>
      </w:numPr>
      <w:spacing w:before="480"/>
      <w:outlineLvl w:val="0"/>
    </w:pPr>
    <w:rPr>
      <w:rFonts w:eastAsiaTheme="majorEastAsia" w:cstheme="majorBidi"/>
      <w:b/>
      <w:bCs/>
      <w:color w:val="000000" w:themeColor="text1"/>
      <w:sz w:val="26"/>
      <w:szCs w:val="28"/>
    </w:rPr>
  </w:style>
  <w:style w:type="paragraph" w:styleId="Heading2">
    <w:name w:val="heading 2"/>
    <w:basedOn w:val="Heading1"/>
    <w:next w:val="Normal"/>
    <w:link w:val="Heading2Char"/>
    <w:uiPriority w:val="9"/>
    <w:unhideWhenUsed/>
    <w:qFormat/>
    <w:rsid w:val="008C22B1"/>
    <w:pPr>
      <w:outlineLvl w:val="1"/>
    </w:pPr>
  </w:style>
  <w:style w:type="paragraph" w:styleId="Heading3">
    <w:name w:val="heading 3"/>
    <w:basedOn w:val="Normal"/>
    <w:next w:val="Normal"/>
    <w:link w:val="Heading3Char"/>
    <w:uiPriority w:val="9"/>
    <w:unhideWhenUsed/>
    <w:qFormat/>
    <w:rsid w:val="00174EFA"/>
    <w:pPr>
      <w:keepNext/>
      <w:keepLines/>
      <w:spacing w:before="200"/>
      <w:ind w:left="36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4D0"/>
    <w:pPr>
      <w:tabs>
        <w:tab w:val="center" w:pos="4513"/>
        <w:tab w:val="right" w:pos="9026"/>
      </w:tabs>
      <w:spacing w:line="240" w:lineRule="auto"/>
    </w:pPr>
  </w:style>
  <w:style w:type="character" w:customStyle="1" w:styleId="HeaderChar">
    <w:name w:val="Header Char"/>
    <w:basedOn w:val="DefaultParagraphFont"/>
    <w:link w:val="Header"/>
    <w:uiPriority w:val="99"/>
    <w:rsid w:val="00BB34D0"/>
  </w:style>
  <w:style w:type="paragraph" w:styleId="Footer">
    <w:name w:val="footer"/>
    <w:basedOn w:val="Normal"/>
    <w:link w:val="FooterChar"/>
    <w:uiPriority w:val="99"/>
    <w:unhideWhenUsed/>
    <w:rsid w:val="00BB34D0"/>
    <w:pPr>
      <w:tabs>
        <w:tab w:val="center" w:pos="4513"/>
        <w:tab w:val="right" w:pos="9026"/>
      </w:tabs>
      <w:spacing w:line="240" w:lineRule="auto"/>
    </w:pPr>
  </w:style>
  <w:style w:type="character" w:customStyle="1" w:styleId="FooterChar">
    <w:name w:val="Footer Char"/>
    <w:basedOn w:val="DefaultParagraphFont"/>
    <w:link w:val="Footer"/>
    <w:uiPriority w:val="99"/>
    <w:rsid w:val="00BB34D0"/>
  </w:style>
  <w:style w:type="paragraph" w:styleId="BalloonText">
    <w:name w:val="Balloon Text"/>
    <w:basedOn w:val="Normal"/>
    <w:link w:val="BalloonTextChar"/>
    <w:uiPriority w:val="99"/>
    <w:semiHidden/>
    <w:unhideWhenUsed/>
    <w:rsid w:val="00BB34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4D0"/>
    <w:rPr>
      <w:rFonts w:ascii="Tahoma" w:hAnsi="Tahoma" w:cs="Tahoma"/>
      <w:sz w:val="16"/>
      <w:szCs w:val="16"/>
    </w:rPr>
  </w:style>
  <w:style w:type="character" w:customStyle="1" w:styleId="Heading1Char">
    <w:name w:val="Heading 1 Char"/>
    <w:basedOn w:val="DefaultParagraphFont"/>
    <w:link w:val="Heading1"/>
    <w:uiPriority w:val="9"/>
    <w:rsid w:val="008C22B1"/>
    <w:rPr>
      <w:rFonts w:ascii="Arial" w:eastAsiaTheme="majorEastAsia" w:hAnsi="Arial" w:cstheme="majorBidi"/>
      <w:b/>
      <w:bCs/>
      <w:color w:val="000000" w:themeColor="text1"/>
      <w:sz w:val="26"/>
      <w:szCs w:val="28"/>
    </w:rPr>
  </w:style>
  <w:style w:type="paragraph" w:styleId="Title">
    <w:name w:val="Title"/>
    <w:basedOn w:val="Normal"/>
    <w:next w:val="Normal"/>
    <w:link w:val="TitleChar"/>
    <w:uiPriority w:val="10"/>
    <w:qFormat/>
    <w:rsid w:val="00352B47"/>
    <w:pPr>
      <w:pBdr>
        <w:bottom w:val="single" w:sz="8" w:space="4" w:color="4F81BD" w:themeColor="accent1"/>
      </w:pBdr>
      <w:spacing w:before="360" w:after="300" w:line="240" w:lineRule="auto"/>
      <w:ind w:left="-540"/>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352B47"/>
    <w:rPr>
      <w:rFonts w:ascii="Arial" w:eastAsiaTheme="majorEastAsia" w:hAnsi="Arial" w:cstheme="majorBidi"/>
      <w:color w:val="17365D" w:themeColor="text2" w:themeShade="BF"/>
      <w:spacing w:val="5"/>
      <w:kern w:val="28"/>
      <w:sz w:val="28"/>
      <w:szCs w:val="52"/>
    </w:rPr>
  </w:style>
  <w:style w:type="character" w:customStyle="1" w:styleId="Heading2Char">
    <w:name w:val="Heading 2 Char"/>
    <w:basedOn w:val="DefaultParagraphFont"/>
    <w:link w:val="Heading2"/>
    <w:uiPriority w:val="9"/>
    <w:rsid w:val="008C22B1"/>
    <w:rPr>
      <w:rFonts w:ascii="Arial" w:eastAsiaTheme="majorEastAsia" w:hAnsi="Arial" w:cstheme="majorBidi"/>
      <w:b/>
      <w:bCs/>
      <w:color w:val="000000" w:themeColor="text1"/>
      <w:sz w:val="26"/>
      <w:szCs w:val="28"/>
    </w:rPr>
  </w:style>
  <w:style w:type="paragraph" w:customStyle="1" w:styleId="CoverSheetHeading">
    <w:name w:val="Cover Sheet Heading"/>
    <w:basedOn w:val="Normal"/>
    <w:link w:val="CoverSheetHeadingChar"/>
    <w:rsid w:val="00B24BD2"/>
    <w:pPr>
      <w:spacing w:before="480" w:after="480"/>
      <w:jc w:val="center"/>
    </w:pPr>
    <w:rPr>
      <w:b/>
      <w:szCs w:val="24"/>
    </w:rPr>
  </w:style>
  <w:style w:type="character" w:customStyle="1" w:styleId="CoverSheetHeadingChar">
    <w:name w:val="Cover Sheet Heading Char"/>
    <w:basedOn w:val="DefaultParagraphFont"/>
    <w:link w:val="CoverSheetHeading"/>
    <w:rsid w:val="00B24BD2"/>
    <w:rPr>
      <w:rFonts w:ascii="Arial" w:hAnsi="Arial"/>
      <w:b/>
      <w:sz w:val="24"/>
      <w:szCs w:val="24"/>
    </w:rPr>
  </w:style>
  <w:style w:type="character" w:styleId="Emphasis">
    <w:name w:val="Emphasis"/>
    <w:uiPriority w:val="20"/>
    <w:rsid w:val="00F55D26"/>
    <w:rPr>
      <w:sz w:val="26"/>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352B47"/>
    <w:pPr>
      <w:ind w:left="720"/>
    </w:pPr>
  </w:style>
  <w:style w:type="paragraph" w:customStyle="1" w:styleId="NormalUnnumbered">
    <w:name w:val="Normal Unnumbered"/>
    <w:basedOn w:val="Normal"/>
    <w:link w:val="NormalUnnumberedChar"/>
    <w:qFormat/>
    <w:rsid w:val="00F16A87"/>
    <w:pPr>
      <w:ind w:left="-547"/>
      <w:contextualSpacing w:val="0"/>
    </w:pPr>
  </w:style>
  <w:style w:type="paragraph" w:customStyle="1" w:styleId="CoverSheet">
    <w:name w:val="Cover Sheet"/>
    <w:basedOn w:val="Normal"/>
    <w:link w:val="CoverSheetChar"/>
    <w:rsid w:val="00F55D26"/>
    <w:pPr>
      <w:spacing w:before="360" w:after="360" w:line="480" w:lineRule="auto"/>
      <w:ind w:left="-547"/>
      <w:jc w:val="center"/>
    </w:pPr>
    <w:rPr>
      <w:b/>
    </w:rPr>
  </w:style>
  <w:style w:type="character" w:customStyle="1" w:styleId="NormalUnnumberedChar">
    <w:name w:val="Normal Unnumbered Char"/>
    <w:basedOn w:val="DefaultParagraphFont"/>
    <w:link w:val="NormalUnnumbered"/>
    <w:rsid w:val="00F16A87"/>
    <w:rPr>
      <w:rFonts w:ascii="Arial" w:hAnsi="Arial"/>
      <w:sz w:val="24"/>
    </w:rPr>
  </w:style>
  <w:style w:type="character" w:customStyle="1" w:styleId="CoverSheetChar">
    <w:name w:val="Cover Sheet Char"/>
    <w:basedOn w:val="DefaultParagraphFont"/>
    <w:link w:val="CoverSheet"/>
    <w:rsid w:val="00F55D26"/>
    <w:rPr>
      <w:rFonts w:ascii="Arial" w:hAnsi="Arial"/>
      <w:b/>
      <w:sz w:val="24"/>
    </w:rPr>
  </w:style>
  <w:style w:type="paragraph" w:customStyle="1" w:styleId="NumberedNormal">
    <w:name w:val="Numbered Normal"/>
    <w:basedOn w:val="Normal"/>
    <w:link w:val="NumberedNormalChar"/>
    <w:qFormat/>
    <w:rsid w:val="007560F6"/>
    <w:pPr>
      <w:numPr>
        <w:ilvl w:val="1"/>
        <w:numId w:val="1"/>
      </w:numPr>
      <w:spacing w:after="120"/>
      <w:contextualSpacing w:val="0"/>
    </w:pPr>
  </w:style>
  <w:style w:type="paragraph" w:customStyle="1" w:styleId="BulletedNormal">
    <w:name w:val="Bulleted Normal"/>
    <w:basedOn w:val="NumberedNormal"/>
    <w:link w:val="BulletedNormalChar"/>
    <w:qFormat/>
    <w:rsid w:val="009E21A5"/>
    <w:pPr>
      <w:numPr>
        <w:ilvl w:val="0"/>
        <w:numId w:val="2"/>
      </w:numPr>
      <w:ind w:left="1350" w:hanging="450"/>
    </w:pPr>
  </w:style>
  <w:style w:type="character" w:customStyle="1" w:styleId="NumberedNormalChar">
    <w:name w:val="Numbered Normal Char"/>
    <w:basedOn w:val="Heading1Char"/>
    <w:link w:val="NumberedNormal"/>
    <w:rsid w:val="007560F6"/>
    <w:rPr>
      <w:rFonts w:ascii="Arial" w:eastAsiaTheme="majorEastAsia" w:hAnsi="Arial" w:cstheme="majorBidi"/>
      <w:b w:val="0"/>
      <w:bCs w:val="0"/>
      <w:color w:val="000000" w:themeColor="text1"/>
      <w:sz w:val="24"/>
      <w:szCs w:val="28"/>
    </w:rPr>
  </w:style>
  <w:style w:type="paragraph" w:customStyle="1" w:styleId="ExecSummary">
    <w:name w:val="Exec Summary"/>
    <w:basedOn w:val="NumberedNormal"/>
    <w:link w:val="ExecSummaryChar"/>
    <w:qFormat/>
    <w:rsid w:val="00F55D26"/>
    <w:pPr>
      <w:numPr>
        <w:ilvl w:val="0"/>
        <w:numId w:val="3"/>
      </w:numPr>
    </w:pPr>
  </w:style>
  <w:style w:type="character" w:customStyle="1" w:styleId="BulletedNormalChar">
    <w:name w:val="Bulleted Normal Char"/>
    <w:basedOn w:val="NumberedNormalChar"/>
    <w:link w:val="BulletedNormal"/>
    <w:rsid w:val="009E21A5"/>
    <w:rPr>
      <w:rFonts w:ascii="Arial" w:eastAsiaTheme="majorEastAsia" w:hAnsi="Arial" w:cstheme="majorBidi"/>
      <w:b w:val="0"/>
      <w:bCs w:val="0"/>
      <w:color w:val="000000" w:themeColor="text1"/>
      <w:sz w:val="24"/>
      <w:szCs w:val="28"/>
    </w:rPr>
  </w:style>
  <w:style w:type="character" w:customStyle="1" w:styleId="ExecSummaryChar">
    <w:name w:val="Exec Summary Char"/>
    <w:basedOn w:val="NumberedNormalChar"/>
    <w:link w:val="ExecSummary"/>
    <w:rsid w:val="00F55D26"/>
    <w:rPr>
      <w:rFonts w:ascii="Arial" w:eastAsiaTheme="majorEastAsia" w:hAnsi="Arial" w:cstheme="majorBidi"/>
      <w:b w:val="0"/>
      <w:bCs w:val="0"/>
      <w:color w:val="000000" w:themeColor="text1"/>
      <w:sz w:val="24"/>
      <w:szCs w:val="28"/>
    </w:rPr>
  </w:style>
  <w:style w:type="character" w:styleId="Hyperlink">
    <w:name w:val="Hyperlink"/>
    <w:basedOn w:val="DefaultParagraphFont"/>
    <w:uiPriority w:val="99"/>
    <w:unhideWhenUsed/>
    <w:rsid w:val="004942B1"/>
    <w:rPr>
      <w:color w:val="0000FF" w:themeColor="hyperlink"/>
      <w:u w:val="single"/>
    </w:rPr>
  </w:style>
  <w:style w:type="character" w:styleId="CommentReference">
    <w:name w:val="annotation reference"/>
    <w:basedOn w:val="DefaultParagraphFont"/>
    <w:uiPriority w:val="99"/>
    <w:semiHidden/>
    <w:unhideWhenUsed/>
    <w:rsid w:val="008C3ECC"/>
    <w:rPr>
      <w:sz w:val="16"/>
      <w:szCs w:val="16"/>
    </w:rPr>
  </w:style>
  <w:style w:type="paragraph" w:styleId="CommentText">
    <w:name w:val="annotation text"/>
    <w:basedOn w:val="Normal"/>
    <w:link w:val="CommentTextChar"/>
    <w:uiPriority w:val="99"/>
    <w:semiHidden/>
    <w:unhideWhenUsed/>
    <w:rsid w:val="008C3ECC"/>
    <w:pPr>
      <w:spacing w:line="240" w:lineRule="auto"/>
    </w:pPr>
    <w:rPr>
      <w:sz w:val="20"/>
      <w:szCs w:val="20"/>
    </w:rPr>
  </w:style>
  <w:style w:type="character" w:customStyle="1" w:styleId="CommentTextChar">
    <w:name w:val="Comment Text Char"/>
    <w:basedOn w:val="DefaultParagraphFont"/>
    <w:link w:val="CommentText"/>
    <w:uiPriority w:val="99"/>
    <w:semiHidden/>
    <w:rsid w:val="008C3EC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C3ECC"/>
    <w:rPr>
      <w:b/>
      <w:bCs/>
    </w:rPr>
  </w:style>
  <w:style w:type="character" w:customStyle="1" w:styleId="CommentSubjectChar">
    <w:name w:val="Comment Subject Char"/>
    <w:basedOn w:val="CommentTextChar"/>
    <w:link w:val="CommentSubject"/>
    <w:uiPriority w:val="99"/>
    <w:semiHidden/>
    <w:rsid w:val="008C3ECC"/>
    <w:rPr>
      <w:rFonts w:ascii="Arial" w:hAnsi="Arial"/>
      <w:b/>
      <w:bCs/>
      <w:sz w:val="20"/>
      <w:szCs w:val="20"/>
    </w:rPr>
  </w:style>
  <w:style w:type="character" w:customStyle="1" w:styleId="Heading3Char">
    <w:name w:val="Heading 3 Char"/>
    <w:basedOn w:val="DefaultParagraphFont"/>
    <w:link w:val="Heading3"/>
    <w:uiPriority w:val="9"/>
    <w:rsid w:val="00174EFA"/>
    <w:rPr>
      <w:rFonts w:ascii="Arial" w:eastAsiaTheme="majorEastAsia" w:hAnsi="Arial" w:cstheme="majorBidi"/>
      <w:b/>
      <w:bCs/>
      <w:color w:val="000000" w:themeColor="text1"/>
      <w:sz w:val="24"/>
    </w:rPr>
  </w:style>
  <w:style w:type="paragraph" w:styleId="TOCHeading">
    <w:name w:val="TOC Heading"/>
    <w:basedOn w:val="Heading1"/>
    <w:next w:val="Normal"/>
    <w:uiPriority w:val="39"/>
    <w:unhideWhenUsed/>
    <w:qFormat/>
    <w:rsid w:val="006A5297"/>
    <w:pPr>
      <w:numPr>
        <w:numId w:val="0"/>
      </w:numPr>
      <w:contextualSpacing w:val="0"/>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6A5297"/>
    <w:pPr>
      <w:spacing w:after="100"/>
    </w:pPr>
  </w:style>
  <w:style w:type="paragraph" w:styleId="TOC2">
    <w:name w:val="toc 2"/>
    <w:basedOn w:val="Normal"/>
    <w:next w:val="Normal"/>
    <w:autoRedefine/>
    <w:uiPriority w:val="39"/>
    <w:unhideWhenUsed/>
    <w:rsid w:val="006A5297"/>
    <w:pPr>
      <w:spacing w:after="100"/>
      <w:ind w:left="240"/>
    </w:pPr>
  </w:style>
  <w:style w:type="paragraph" w:styleId="TOC3">
    <w:name w:val="toc 3"/>
    <w:basedOn w:val="Normal"/>
    <w:next w:val="Normal"/>
    <w:autoRedefine/>
    <w:uiPriority w:val="39"/>
    <w:unhideWhenUsed/>
    <w:rsid w:val="006A5297"/>
    <w:pPr>
      <w:spacing w:after="100"/>
      <w:ind w:left="480"/>
    </w:pPr>
  </w:style>
  <w:style w:type="character" w:styleId="PlaceholderText">
    <w:name w:val="Placeholder Text"/>
    <w:basedOn w:val="DefaultParagraphFont"/>
    <w:uiPriority w:val="99"/>
    <w:semiHidden/>
    <w:rsid w:val="005D7532"/>
    <w:rPr>
      <w:color w:val="808080"/>
    </w:rPr>
  </w:style>
  <w:style w:type="paragraph" w:customStyle="1" w:styleId="NumberedList">
    <w:name w:val="Numbered List"/>
    <w:basedOn w:val="BulletedNormal"/>
    <w:link w:val="NumberedListChar"/>
    <w:qFormat/>
    <w:rsid w:val="00675D4A"/>
    <w:pPr>
      <w:numPr>
        <w:numId w:val="4"/>
      </w:numPr>
      <w:ind w:hanging="432"/>
    </w:pPr>
  </w:style>
  <w:style w:type="character" w:customStyle="1" w:styleId="NumberedListChar">
    <w:name w:val="Numbered List Char"/>
    <w:basedOn w:val="BulletedNormalChar"/>
    <w:link w:val="NumberedList"/>
    <w:rsid w:val="00675D4A"/>
    <w:rPr>
      <w:rFonts w:ascii="Arial" w:eastAsiaTheme="majorEastAsia" w:hAnsi="Arial" w:cstheme="majorBidi"/>
      <w:b w:val="0"/>
      <w:bCs w:val="0"/>
      <w:color w:val="000000" w:themeColor="text1"/>
      <w:sz w:val="24"/>
      <w:szCs w:val="28"/>
    </w:rPr>
  </w:style>
  <w:style w:type="paragraph" w:customStyle="1" w:styleId="Level2">
    <w:name w:val="Level 2"/>
    <w:basedOn w:val="Normal"/>
    <w:rsid w:val="009622B4"/>
    <w:pPr>
      <w:tabs>
        <w:tab w:val="num" w:pos="1134"/>
      </w:tabs>
      <w:spacing w:before="60" w:after="60" w:line="240" w:lineRule="atLeast"/>
      <w:ind w:left="1134" w:hanging="567"/>
      <w:contextualSpacing w:val="0"/>
      <w:jc w:val="both"/>
    </w:pPr>
    <w:rPr>
      <w:rFonts w:ascii="Book Antiqua" w:eastAsia="Times New Roman" w:hAnsi="Book Antiqua" w:cs="Times New Roman"/>
      <w:szCs w:val="20"/>
    </w:rPr>
  </w:style>
  <w:style w:type="paragraph" w:customStyle="1" w:styleId="Para1">
    <w:name w:val="Para 1"/>
    <w:basedOn w:val="Normal"/>
    <w:qFormat/>
    <w:rsid w:val="00E16B27"/>
    <w:pPr>
      <w:spacing w:after="120" w:line="240" w:lineRule="auto"/>
      <w:ind w:left="1701" w:hanging="567"/>
      <w:contextualSpacing w:val="0"/>
    </w:pPr>
    <w:rPr>
      <w:rFonts w:eastAsia="Times New Roman" w:cs="Times New Roman"/>
      <w:szCs w:val="20"/>
    </w:rPr>
  </w:style>
  <w:style w:type="paragraph" w:customStyle="1" w:styleId="Para2">
    <w:name w:val="Para 2"/>
    <w:basedOn w:val="Para1"/>
    <w:link w:val="Para2Char"/>
    <w:qFormat/>
    <w:rsid w:val="00E16B27"/>
    <w:pPr>
      <w:ind w:left="1418" w:hanging="851"/>
    </w:pPr>
  </w:style>
  <w:style w:type="character" w:customStyle="1" w:styleId="Para2Char">
    <w:name w:val="Para 2 Char"/>
    <w:link w:val="Para2"/>
    <w:rsid w:val="00E16B27"/>
    <w:rPr>
      <w:rFonts w:ascii="Arial" w:eastAsia="Times New Roman" w:hAnsi="Arial" w:cs="Times New Roman"/>
      <w:sz w:val="24"/>
      <w:szCs w:val="20"/>
    </w:rPr>
  </w:style>
  <w:style w:type="table" w:styleId="TableGrid">
    <w:name w:val="Table Grid"/>
    <w:basedOn w:val="TableNormal"/>
    <w:uiPriority w:val="59"/>
    <w:rsid w:val="00690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6906A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6906A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6906A8"/>
    <w:rPr>
      <w:rFonts w:ascii="Arial" w:hAnsi="Arial"/>
      <w:sz w:val="24"/>
    </w:rPr>
  </w:style>
  <w:style w:type="paragraph" w:customStyle="1" w:styleId="Default">
    <w:name w:val="Default"/>
    <w:rsid w:val="00A9738A"/>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976223"/>
    <w:rPr>
      <w:color w:val="800080" w:themeColor="followedHyperlink"/>
      <w:u w:val="single"/>
    </w:rPr>
  </w:style>
  <w:style w:type="paragraph" w:customStyle="1" w:styleId="CM15">
    <w:name w:val="CM15"/>
    <w:basedOn w:val="Default"/>
    <w:next w:val="Default"/>
    <w:rsid w:val="00D2502B"/>
    <w:pPr>
      <w:widowControl w:val="0"/>
    </w:pPr>
    <w:rPr>
      <w:rFonts w:eastAsia="Times New Roman" w:cs="Times New Roman"/>
      <w:color w:val="auto"/>
      <w:lang w:eastAsia="en-GB"/>
    </w:rPr>
  </w:style>
  <w:style w:type="character" w:customStyle="1" w:styleId="Style1Char">
    <w:name w:val="Style1 Char"/>
    <w:basedOn w:val="DefaultParagraphFont"/>
    <w:link w:val="Style1"/>
    <w:locked/>
    <w:rsid w:val="00CE3777"/>
    <w:rPr>
      <w:rFonts w:ascii="Segoe UI" w:hAnsi="Segoe UI" w:cs="Segoe UI"/>
      <w:bCs/>
    </w:rPr>
  </w:style>
  <w:style w:type="paragraph" w:customStyle="1" w:styleId="Style1">
    <w:name w:val="Style1"/>
    <w:basedOn w:val="Normal"/>
    <w:link w:val="Style1Char"/>
    <w:autoRedefine/>
    <w:rsid w:val="00CE3777"/>
    <w:pPr>
      <w:spacing w:before="200" w:after="200"/>
      <w:contextualSpacing w:val="0"/>
    </w:pPr>
    <w:rPr>
      <w:rFonts w:ascii="Segoe UI" w:hAnsi="Segoe UI" w:cs="Segoe UI"/>
      <w:bCs/>
      <w:sz w:val="22"/>
    </w:rPr>
  </w:style>
  <w:style w:type="paragraph" w:styleId="FootnoteText">
    <w:name w:val="footnote text"/>
    <w:basedOn w:val="Normal"/>
    <w:link w:val="FootnoteTextChar"/>
    <w:uiPriority w:val="99"/>
    <w:semiHidden/>
    <w:unhideWhenUsed/>
    <w:rsid w:val="00E257DF"/>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E257DF"/>
    <w:rPr>
      <w:rFonts w:ascii="Arial" w:hAnsi="Arial"/>
      <w:sz w:val="20"/>
      <w:szCs w:val="20"/>
    </w:rPr>
  </w:style>
  <w:style w:type="character" w:styleId="FootnoteReference">
    <w:name w:val="footnote reference"/>
    <w:basedOn w:val="DefaultParagraphFont"/>
    <w:uiPriority w:val="99"/>
    <w:semiHidden/>
    <w:unhideWhenUsed/>
    <w:rsid w:val="00E257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31139">
      <w:bodyDiv w:val="1"/>
      <w:marLeft w:val="0"/>
      <w:marRight w:val="0"/>
      <w:marTop w:val="0"/>
      <w:marBottom w:val="0"/>
      <w:divBdr>
        <w:top w:val="none" w:sz="0" w:space="0" w:color="auto"/>
        <w:left w:val="none" w:sz="0" w:space="0" w:color="auto"/>
        <w:bottom w:val="none" w:sz="0" w:space="0" w:color="auto"/>
        <w:right w:val="none" w:sz="0" w:space="0" w:color="auto"/>
      </w:divBdr>
    </w:div>
    <w:div w:id="562646820">
      <w:bodyDiv w:val="1"/>
      <w:marLeft w:val="0"/>
      <w:marRight w:val="0"/>
      <w:marTop w:val="0"/>
      <w:marBottom w:val="0"/>
      <w:divBdr>
        <w:top w:val="none" w:sz="0" w:space="0" w:color="auto"/>
        <w:left w:val="none" w:sz="0" w:space="0" w:color="auto"/>
        <w:bottom w:val="none" w:sz="0" w:space="0" w:color="auto"/>
        <w:right w:val="none" w:sz="0" w:space="0" w:color="auto"/>
      </w:divBdr>
    </w:div>
    <w:div w:id="609699106">
      <w:bodyDiv w:val="1"/>
      <w:marLeft w:val="0"/>
      <w:marRight w:val="0"/>
      <w:marTop w:val="0"/>
      <w:marBottom w:val="0"/>
      <w:divBdr>
        <w:top w:val="none" w:sz="0" w:space="0" w:color="auto"/>
        <w:left w:val="none" w:sz="0" w:space="0" w:color="auto"/>
        <w:bottom w:val="none" w:sz="0" w:space="0" w:color="auto"/>
        <w:right w:val="none" w:sz="0" w:space="0" w:color="auto"/>
      </w:divBdr>
    </w:div>
    <w:div w:id="621031723">
      <w:bodyDiv w:val="1"/>
      <w:marLeft w:val="0"/>
      <w:marRight w:val="0"/>
      <w:marTop w:val="0"/>
      <w:marBottom w:val="0"/>
      <w:divBdr>
        <w:top w:val="none" w:sz="0" w:space="0" w:color="auto"/>
        <w:left w:val="none" w:sz="0" w:space="0" w:color="auto"/>
        <w:bottom w:val="none" w:sz="0" w:space="0" w:color="auto"/>
        <w:right w:val="none" w:sz="0" w:space="0" w:color="auto"/>
      </w:divBdr>
    </w:div>
    <w:div w:id="830481983">
      <w:bodyDiv w:val="1"/>
      <w:marLeft w:val="0"/>
      <w:marRight w:val="0"/>
      <w:marTop w:val="0"/>
      <w:marBottom w:val="0"/>
      <w:divBdr>
        <w:top w:val="none" w:sz="0" w:space="0" w:color="auto"/>
        <w:left w:val="none" w:sz="0" w:space="0" w:color="auto"/>
        <w:bottom w:val="none" w:sz="0" w:space="0" w:color="auto"/>
        <w:right w:val="none" w:sz="0" w:space="0" w:color="auto"/>
      </w:divBdr>
    </w:div>
    <w:div w:id="921913523">
      <w:bodyDiv w:val="1"/>
      <w:marLeft w:val="0"/>
      <w:marRight w:val="0"/>
      <w:marTop w:val="0"/>
      <w:marBottom w:val="0"/>
      <w:divBdr>
        <w:top w:val="none" w:sz="0" w:space="0" w:color="auto"/>
        <w:left w:val="none" w:sz="0" w:space="0" w:color="auto"/>
        <w:bottom w:val="none" w:sz="0" w:space="0" w:color="auto"/>
        <w:right w:val="none" w:sz="0" w:space="0" w:color="auto"/>
      </w:divBdr>
    </w:div>
    <w:div w:id="1082264751">
      <w:bodyDiv w:val="1"/>
      <w:marLeft w:val="0"/>
      <w:marRight w:val="0"/>
      <w:marTop w:val="0"/>
      <w:marBottom w:val="0"/>
      <w:divBdr>
        <w:top w:val="none" w:sz="0" w:space="0" w:color="auto"/>
        <w:left w:val="none" w:sz="0" w:space="0" w:color="auto"/>
        <w:bottom w:val="none" w:sz="0" w:space="0" w:color="auto"/>
        <w:right w:val="none" w:sz="0" w:space="0" w:color="auto"/>
      </w:divBdr>
    </w:div>
    <w:div w:id="1177648078">
      <w:bodyDiv w:val="1"/>
      <w:marLeft w:val="0"/>
      <w:marRight w:val="0"/>
      <w:marTop w:val="0"/>
      <w:marBottom w:val="0"/>
      <w:divBdr>
        <w:top w:val="none" w:sz="0" w:space="0" w:color="auto"/>
        <w:left w:val="none" w:sz="0" w:space="0" w:color="auto"/>
        <w:bottom w:val="none" w:sz="0" w:space="0" w:color="auto"/>
        <w:right w:val="none" w:sz="0" w:space="0" w:color="auto"/>
      </w:divBdr>
    </w:div>
    <w:div w:id="1346637557">
      <w:bodyDiv w:val="1"/>
      <w:marLeft w:val="0"/>
      <w:marRight w:val="0"/>
      <w:marTop w:val="0"/>
      <w:marBottom w:val="0"/>
      <w:divBdr>
        <w:top w:val="none" w:sz="0" w:space="0" w:color="auto"/>
        <w:left w:val="none" w:sz="0" w:space="0" w:color="auto"/>
        <w:bottom w:val="none" w:sz="0" w:space="0" w:color="auto"/>
        <w:right w:val="none" w:sz="0" w:space="0" w:color="auto"/>
      </w:divBdr>
    </w:div>
    <w:div w:id="1381133329">
      <w:bodyDiv w:val="1"/>
      <w:marLeft w:val="0"/>
      <w:marRight w:val="0"/>
      <w:marTop w:val="0"/>
      <w:marBottom w:val="0"/>
      <w:divBdr>
        <w:top w:val="none" w:sz="0" w:space="0" w:color="auto"/>
        <w:left w:val="none" w:sz="0" w:space="0" w:color="auto"/>
        <w:bottom w:val="none" w:sz="0" w:space="0" w:color="auto"/>
        <w:right w:val="none" w:sz="0" w:space="0" w:color="auto"/>
      </w:divBdr>
    </w:div>
    <w:div w:id="179432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983754C12A534486FAF6E4B0F19A7B" ma:contentTypeVersion="13" ma:contentTypeDescription="Create a new document." ma:contentTypeScope="" ma:versionID="20572f24639e7b11f86ece6b024a893a">
  <xsd:schema xmlns:xsd="http://www.w3.org/2001/XMLSchema" xmlns:xs="http://www.w3.org/2001/XMLSchema" xmlns:p="http://schemas.microsoft.com/office/2006/metadata/properties" xmlns:ns3="a1600116-b72d-43b1-9bab-9ab5708105a8" xmlns:ns4="9f1d8c2d-0f98-4249-a07f-1e885ae191a1" targetNamespace="http://schemas.microsoft.com/office/2006/metadata/properties" ma:root="true" ma:fieldsID="2546eb428f4a0c3f04559c54fe05dedc" ns3:_="" ns4:_="">
    <xsd:import namespace="a1600116-b72d-43b1-9bab-9ab5708105a8"/>
    <xsd:import namespace="9f1d8c2d-0f98-4249-a07f-1e885ae191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00116-b72d-43b1-9bab-9ab570810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1d8c2d-0f98-4249-a07f-1e885ae191a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8BB1F-70D3-4501-A581-46E4305B1C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625A49-0A97-49A5-B82D-25CAC5303820}">
  <ds:schemaRefs>
    <ds:schemaRef ds:uri="http://schemas.microsoft.com/sharepoint/v3/contenttype/forms"/>
  </ds:schemaRefs>
</ds:datastoreItem>
</file>

<file path=customXml/itemProps3.xml><?xml version="1.0" encoding="utf-8"?>
<ds:datastoreItem xmlns:ds="http://schemas.openxmlformats.org/officeDocument/2006/customXml" ds:itemID="{8054EC5F-4CFA-439D-BFBD-9BF514AD5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00116-b72d-43b1-9bab-9ab5708105a8"/>
    <ds:schemaRef ds:uri="9f1d8c2d-0f98-4249-a07f-1e885ae19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C23923-13E9-41EC-8AEA-C91F1599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4</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EPRR – Annual report 2020</vt:lpstr>
    </vt:vector>
  </TitlesOfParts>
  <Company>NHS</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EPRR – Annual report</dc:title>
  <dc:creator>Katie Cleaver</dc:creator>
  <cp:keywords/>
  <cp:lastModifiedBy>Cleaver Katie (RNU) Oxford Health</cp:lastModifiedBy>
  <cp:revision>226</cp:revision>
  <cp:lastPrinted>2020-10-12T08:42:00Z</cp:lastPrinted>
  <dcterms:created xsi:type="dcterms:W3CDTF">2020-11-12T10:11:00Z</dcterms:created>
  <dcterms:modified xsi:type="dcterms:W3CDTF">2021-11-10T11:36:00Z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0x010100A5983754C12A534486FAF6E4B0F19A7B</vt:lpwstr>
  </property>
</Properties>
</file>