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08AD6" w14:textId="30306ED0" w:rsidR="004A11CA" w:rsidRDefault="004A11CA" w:rsidP="004A11CA">
      <w:pPr>
        <w:pStyle w:val="Heading1"/>
        <w:jc w:val="center"/>
        <w:rPr>
          <w:rFonts w:ascii="Segoe UI" w:hAnsi="Segoe UI" w:cs="Segoe UI"/>
          <w:sz w:val="28"/>
          <w:u w:val="none"/>
        </w:rPr>
      </w:pPr>
      <w:r w:rsidRPr="00B77878">
        <w:rPr>
          <w:noProof/>
        </w:rPr>
        <w:drawing>
          <wp:anchor distT="0" distB="0" distL="114300" distR="114300" simplePos="0" relativeHeight="251659264" behindDoc="0" locked="0" layoutInCell="1" allowOverlap="1" wp14:anchorId="1D7089B2" wp14:editId="6403A99B">
            <wp:simplePos x="0" y="0"/>
            <wp:positionH relativeFrom="margin">
              <wp:posOffset>4857750</wp:posOffset>
            </wp:positionH>
            <wp:positionV relativeFrom="margin">
              <wp:posOffset>-175149</wp:posOffset>
            </wp:positionV>
            <wp:extent cx="1446530" cy="834390"/>
            <wp:effectExtent l="0" t="0" r="0" b="698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7" cstate="print">
                      <a:extLst>
                        <a:ext uri="{28A0092B-C50C-407E-A947-70E740481C1C}">
                          <a14:useLocalDpi xmlns:a14="http://schemas.microsoft.com/office/drawing/2010/main" val="0"/>
                        </a:ext>
                      </a:extLst>
                    </a:blip>
                    <a:srcRect t="21052" r="11947" b="22368"/>
                    <a:stretch/>
                  </pic:blipFill>
                  <pic:spPr bwMode="auto">
                    <a:xfrm>
                      <a:off x="0" y="0"/>
                      <a:ext cx="1446530" cy="834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0732B" w14:textId="19CB8816" w:rsidR="004A11CA" w:rsidRDefault="004A11CA" w:rsidP="004A11CA">
      <w:pPr>
        <w:pStyle w:val="Heading1"/>
        <w:jc w:val="center"/>
        <w:rPr>
          <w:rFonts w:ascii="Segoe UI" w:hAnsi="Segoe UI" w:cs="Segoe UI"/>
          <w:sz w:val="28"/>
          <w:u w:val="none"/>
        </w:rPr>
      </w:pPr>
    </w:p>
    <w:p w14:paraId="546835EF" w14:textId="77777777" w:rsidR="004A11CA" w:rsidRDefault="004A11CA" w:rsidP="004A11CA">
      <w:pPr>
        <w:pStyle w:val="Heading1"/>
        <w:jc w:val="center"/>
        <w:rPr>
          <w:rFonts w:ascii="Segoe UI" w:hAnsi="Segoe UI" w:cs="Segoe UI"/>
          <w:sz w:val="28"/>
          <w:u w:val="none"/>
        </w:rPr>
      </w:pPr>
    </w:p>
    <w:p w14:paraId="0A26F5C1" w14:textId="397EE6C7" w:rsidR="004A11CA" w:rsidRPr="00D357BC" w:rsidRDefault="004A11CA" w:rsidP="004A11CA">
      <w:pPr>
        <w:pStyle w:val="Heading1"/>
        <w:jc w:val="center"/>
        <w:rPr>
          <w:rFonts w:ascii="Segoe UI" w:hAnsi="Segoe UI" w:cs="Segoe UI"/>
          <w:sz w:val="28"/>
          <w:u w:val="none"/>
        </w:rPr>
      </w:pPr>
      <w:r w:rsidRPr="00D357BC">
        <w:rPr>
          <w:rFonts w:ascii="Segoe UI" w:hAnsi="Segoe UI" w:cs="Segoe UI"/>
          <w:sz w:val="28"/>
          <w:u w:val="none"/>
        </w:rPr>
        <w:t xml:space="preserve">Report to the Meeting of the </w:t>
      </w:r>
    </w:p>
    <w:p w14:paraId="13AE9162" w14:textId="0479F3C6" w:rsidR="004A11CA" w:rsidRPr="00D357BC" w:rsidRDefault="004A11CA" w:rsidP="004A11CA">
      <w:pPr>
        <w:pStyle w:val="Heading1"/>
        <w:jc w:val="center"/>
        <w:rPr>
          <w:rFonts w:ascii="Segoe UI" w:hAnsi="Segoe UI" w:cs="Segoe UI"/>
          <w:sz w:val="28"/>
          <w:u w:val="none"/>
        </w:rPr>
      </w:pPr>
      <w:r w:rsidRPr="00D357BC">
        <w:rPr>
          <w:rFonts w:ascii="Segoe UI" w:hAnsi="Segoe UI" w:cs="Segoe UI"/>
          <w:sz w:val="28"/>
          <w:u w:val="none"/>
        </w:rPr>
        <w:t xml:space="preserve">Oxford Health NHS Foundation Trust </w:t>
      </w:r>
    </w:p>
    <w:p w14:paraId="2B0C0CC8" w14:textId="5589B0D2" w:rsidR="004A11CA" w:rsidRPr="00D357BC" w:rsidRDefault="004A11CA" w:rsidP="004A11CA">
      <w:pPr>
        <w:pStyle w:val="Heading1"/>
        <w:jc w:val="center"/>
        <w:rPr>
          <w:rFonts w:ascii="Segoe UI" w:hAnsi="Segoe UI" w:cs="Segoe UI"/>
          <w:sz w:val="28"/>
          <w:u w:val="none"/>
        </w:rPr>
      </w:pPr>
      <w:r w:rsidRPr="00D357BC">
        <w:rPr>
          <w:rFonts w:ascii="Segoe UI" w:hAnsi="Segoe UI" w:cs="Segoe UI"/>
          <w:noProof/>
          <w:lang w:val="en-US"/>
        </w:rPr>
        <mc:AlternateContent>
          <mc:Choice Requires="wps">
            <w:drawing>
              <wp:anchor distT="0" distB="0" distL="114300" distR="114300" simplePos="0" relativeHeight="251657216" behindDoc="0" locked="0" layoutInCell="1" allowOverlap="1" wp14:anchorId="62BE0990" wp14:editId="3B574C00">
                <wp:simplePos x="0" y="0"/>
                <wp:positionH relativeFrom="column">
                  <wp:posOffset>4683318</wp:posOffset>
                </wp:positionH>
                <wp:positionV relativeFrom="paragraph">
                  <wp:posOffset>83516</wp:posOffset>
                </wp:positionV>
                <wp:extent cx="1327344" cy="571500"/>
                <wp:effectExtent l="0" t="0" r="2540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344" cy="571500"/>
                        </a:xfrm>
                        <a:prstGeom prst="rect">
                          <a:avLst/>
                        </a:prstGeom>
                        <a:solidFill>
                          <a:srgbClr val="FFFFFF"/>
                        </a:solidFill>
                        <a:ln w="9525">
                          <a:solidFill>
                            <a:srgbClr val="000000"/>
                          </a:solidFill>
                          <a:miter lim="800000"/>
                          <a:headEnd/>
                          <a:tailEnd/>
                        </a:ln>
                      </wps:spPr>
                      <wps:txbx>
                        <w:txbxContent>
                          <w:p w14:paraId="5C313B29" w14:textId="25121FE0" w:rsidR="004A11CA" w:rsidRDefault="004A11CA" w:rsidP="004A11CA">
                            <w:pPr>
                              <w:jc w:val="center"/>
                              <w:rPr>
                                <w:rFonts w:ascii="Segoe UI" w:hAnsi="Segoe UI" w:cs="Segoe UI"/>
                              </w:rPr>
                            </w:pPr>
                            <w:r>
                              <w:rPr>
                                <w:rFonts w:ascii="Segoe UI" w:hAnsi="Segoe UI" w:cs="Segoe UI"/>
                                <w:b/>
                              </w:rPr>
                              <w:t xml:space="preserve">BOD </w:t>
                            </w:r>
                            <w:r w:rsidR="004074D7">
                              <w:rPr>
                                <w:rFonts w:ascii="Segoe UI" w:hAnsi="Segoe UI" w:cs="Segoe UI"/>
                                <w:b/>
                              </w:rPr>
                              <w:t>83</w:t>
                            </w:r>
                            <w:r>
                              <w:rPr>
                                <w:rFonts w:ascii="Segoe UI" w:hAnsi="Segoe UI" w:cs="Segoe UI"/>
                                <w:b/>
                              </w:rPr>
                              <w:t>/2021</w:t>
                            </w:r>
                          </w:p>
                          <w:p w14:paraId="67B78BB4" w14:textId="5058AFCD" w:rsidR="004A11CA" w:rsidRPr="00FA3993" w:rsidRDefault="004A11CA" w:rsidP="004A11CA">
                            <w:pPr>
                              <w:jc w:val="center"/>
                              <w:rPr>
                                <w:rFonts w:ascii="Segoe UI" w:hAnsi="Segoe UI" w:cs="Segoe UI"/>
                                <w:sz w:val="22"/>
                                <w:szCs w:val="22"/>
                              </w:rPr>
                            </w:pPr>
                            <w:r>
                              <w:rPr>
                                <w:rFonts w:ascii="Segoe UI" w:hAnsi="Segoe UI" w:cs="Segoe UI"/>
                                <w:sz w:val="22"/>
                                <w:szCs w:val="22"/>
                              </w:rPr>
                              <w:t xml:space="preserve">(Agenda item: </w:t>
                            </w:r>
                            <w:r w:rsidR="004074D7">
                              <w:rPr>
                                <w:rFonts w:ascii="Segoe UI" w:hAnsi="Segoe UI" w:cs="Segoe UI"/>
                                <w:sz w:val="22"/>
                                <w:szCs w:val="22"/>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E0990" id="Rectangle 10" o:spid="_x0000_s1026" style="position:absolute;left:0;text-align:left;margin-left:368.75pt;margin-top:6.6pt;width:104.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">
                <v:textbox inset="0,0,0,0">
                  <w:txbxContent>
                    <w:p w14:paraId="5C313B29" w14:textId="25121FE0" w:rsidR="004A11CA" w:rsidRDefault="004A11CA" w:rsidP="004A11CA">
                      <w:pPr>
                        <w:jc w:val="center"/>
                        <w:rPr>
                          <w:rFonts w:ascii="Segoe UI" w:hAnsi="Segoe UI" w:cs="Segoe UI"/>
                        </w:rPr>
                      </w:pPr>
                      <w:r>
                        <w:rPr>
                          <w:rFonts w:ascii="Segoe UI" w:hAnsi="Segoe UI" w:cs="Segoe UI"/>
                          <w:b/>
                        </w:rPr>
                        <w:t xml:space="preserve">BOD </w:t>
                      </w:r>
                      <w:r w:rsidR="004074D7">
                        <w:rPr>
                          <w:rFonts w:ascii="Segoe UI" w:hAnsi="Segoe UI" w:cs="Segoe UI"/>
                          <w:b/>
                        </w:rPr>
                        <w:t>83</w:t>
                      </w:r>
                      <w:r>
                        <w:rPr>
                          <w:rFonts w:ascii="Segoe UI" w:hAnsi="Segoe UI" w:cs="Segoe UI"/>
                          <w:b/>
                        </w:rPr>
                        <w:t>/2021</w:t>
                      </w:r>
                    </w:p>
                    <w:p w14:paraId="67B78BB4" w14:textId="5058AFCD" w:rsidR="004A11CA" w:rsidRPr="00FA3993" w:rsidRDefault="004A11CA" w:rsidP="004A11CA">
                      <w:pPr>
                        <w:jc w:val="center"/>
                        <w:rPr>
                          <w:rFonts w:ascii="Segoe UI" w:hAnsi="Segoe UI" w:cs="Segoe UI"/>
                          <w:sz w:val="22"/>
                          <w:szCs w:val="22"/>
                        </w:rPr>
                      </w:pPr>
                      <w:r>
                        <w:rPr>
                          <w:rFonts w:ascii="Segoe UI" w:hAnsi="Segoe UI" w:cs="Segoe UI"/>
                          <w:sz w:val="22"/>
                          <w:szCs w:val="22"/>
                        </w:rPr>
                        <w:t xml:space="preserve">(Agenda item: </w:t>
                      </w:r>
                      <w:r w:rsidR="004074D7">
                        <w:rPr>
                          <w:rFonts w:ascii="Segoe UI" w:hAnsi="Segoe UI" w:cs="Segoe UI"/>
                          <w:sz w:val="22"/>
                          <w:szCs w:val="22"/>
                        </w:rPr>
                        <w:t>16</w:t>
                      </w:r>
                    </w:p>
                  </w:txbxContent>
                </v:textbox>
              </v:rect>
            </w:pict>
          </mc:Fallback>
        </mc:AlternateContent>
      </w:r>
    </w:p>
    <w:p w14:paraId="085326A2" w14:textId="744DE9F7" w:rsidR="004A11CA" w:rsidRPr="00D357BC" w:rsidRDefault="004A11CA" w:rsidP="004A11CA">
      <w:pPr>
        <w:pStyle w:val="Heading1"/>
        <w:jc w:val="center"/>
        <w:rPr>
          <w:rFonts w:ascii="Segoe UI" w:hAnsi="Segoe UI" w:cs="Segoe UI"/>
          <w:sz w:val="28"/>
          <w:u w:val="none"/>
        </w:rPr>
      </w:pPr>
      <w:r w:rsidRPr="00D357BC">
        <w:rPr>
          <w:rFonts w:ascii="Segoe UI" w:hAnsi="Segoe UI" w:cs="Segoe UI"/>
          <w:sz w:val="28"/>
          <w:u w:val="none"/>
        </w:rPr>
        <w:t>Board of Directors</w:t>
      </w:r>
    </w:p>
    <w:p w14:paraId="78FDBD62" w14:textId="77777777" w:rsidR="004A11CA" w:rsidRPr="00D357BC" w:rsidRDefault="004A11CA" w:rsidP="004A11CA">
      <w:pPr>
        <w:rPr>
          <w:rFonts w:ascii="Segoe UI" w:hAnsi="Segoe UI" w:cs="Segoe UI"/>
          <w:b/>
        </w:rPr>
      </w:pPr>
    </w:p>
    <w:p w14:paraId="39576312" w14:textId="77777777" w:rsidR="004A11CA" w:rsidRPr="00D357BC" w:rsidRDefault="004A11CA" w:rsidP="004A11CA">
      <w:pPr>
        <w:jc w:val="center"/>
        <w:rPr>
          <w:rFonts w:ascii="Segoe UI" w:hAnsi="Segoe UI" w:cs="Segoe UI"/>
          <w:b/>
        </w:rPr>
      </w:pPr>
      <w:r w:rsidRPr="00D357BC">
        <w:rPr>
          <w:rFonts w:ascii="Segoe UI" w:hAnsi="Segoe UI" w:cs="Segoe UI"/>
          <w:b/>
        </w:rPr>
        <w:t>30</w:t>
      </w:r>
      <w:r w:rsidRPr="00D357BC">
        <w:rPr>
          <w:rFonts w:ascii="Segoe UI" w:hAnsi="Segoe UI" w:cs="Segoe UI"/>
          <w:b/>
          <w:vertAlign w:val="superscript"/>
        </w:rPr>
        <w:t>th</w:t>
      </w:r>
      <w:r w:rsidRPr="00D357BC">
        <w:rPr>
          <w:rFonts w:ascii="Segoe UI" w:hAnsi="Segoe UI" w:cs="Segoe UI"/>
          <w:b/>
        </w:rPr>
        <w:t xml:space="preserve"> </w:t>
      </w:r>
      <w:proofErr w:type="gramStart"/>
      <w:r w:rsidRPr="00D357BC">
        <w:rPr>
          <w:rFonts w:ascii="Segoe UI" w:hAnsi="Segoe UI" w:cs="Segoe UI"/>
          <w:b/>
        </w:rPr>
        <w:t>November,</w:t>
      </w:r>
      <w:proofErr w:type="gramEnd"/>
      <w:r w:rsidRPr="00D357BC">
        <w:rPr>
          <w:rFonts w:ascii="Segoe UI" w:hAnsi="Segoe UI" w:cs="Segoe UI"/>
          <w:b/>
        </w:rPr>
        <w:t xml:space="preserve"> 2021</w:t>
      </w:r>
    </w:p>
    <w:p w14:paraId="688076CA" w14:textId="77777777" w:rsidR="004A11CA" w:rsidRPr="00D357BC" w:rsidRDefault="004A11CA" w:rsidP="004A11CA">
      <w:pPr>
        <w:jc w:val="center"/>
        <w:rPr>
          <w:rFonts w:ascii="Segoe UI" w:hAnsi="Segoe UI" w:cs="Segoe UI"/>
          <w:b/>
        </w:rPr>
      </w:pPr>
    </w:p>
    <w:p w14:paraId="235A07A4" w14:textId="77777777" w:rsidR="004A11CA" w:rsidRPr="00D357BC" w:rsidRDefault="004A11CA" w:rsidP="004A11CA">
      <w:pPr>
        <w:jc w:val="center"/>
        <w:rPr>
          <w:rFonts w:ascii="Segoe UI" w:hAnsi="Segoe UI" w:cs="Segoe UI"/>
          <w:b/>
        </w:rPr>
      </w:pPr>
      <w:r w:rsidRPr="00D357BC">
        <w:rPr>
          <w:rFonts w:ascii="Segoe UI" w:hAnsi="Segoe UI" w:cs="Segoe UI"/>
          <w:b/>
        </w:rPr>
        <w:t>Legal and Regulatory Update</w:t>
      </w:r>
    </w:p>
    <w:p w14:paraId="4FE3D367" w14:textId="77777777" w:rsidR="004A11CA" w:rsidRPr="00D357BC" w:rsidRDefault="004A11CA" w:rsidP="004A11CA">
      <w:pPr>
        <w:rPr>
          <w:rFonts w:ascii="Segoe UI" w:hAnsi="Segoe UI" w:cs="Segoe UI"/>
          <w:b/>
        </w:rPr>
      </w:pPr>
    </w:p>
    <w:p w14:paraId="7231F26D" w14:textId="6A2C47B7" w:rsidR="004A11CA" w:rsidRPr="00D357BC" w:rsidRDefault="004A11CA" w:rsidP="004A11CA">
      <w:pPr>
        <w:jc w:val="center"/>
        <w:rPr>
          <w:rFonts w:ascii="Segoe UI" w:hAnsi="Segoe UI" w:cs="Segoe UI"/>
        </w:rPr>
      </w:pPr>
      <w:r w:rsidRPr="00D357BC">
        <w:rPr>
          <w:rFonts w:ascii="Segoe UI" w:hAnsi="Segoe UI" w:cs="Segoe UI"/>
          <w:b/>
          <w:u w:val="single"/>
        </w:rPr>
        <w:t xml:space="preserve">For: </w:t>
      </w:r>
      <w:r w:rsidR="00821896">
        <w:rPr>
          <w:rFonts w:ascii="Segoe UI" w:hAnsi="Segoe UI" w:cs="Segoe UI"/>
          <w:b/>
          <w:u w:val="single"/>
        </w:rPr>
        <w:t>Awareness</w:t>
      </w:r>
      <w:r w:rsidRPr="00D357BC">
        <w:rPr>
          <w:rFonts w:ascii="Segoe UI" w:hAnsi="Segoe UI" w:cs="Segoe UI"/>
          <w:b/>
          <w:u w:val="single"/>
        </w:rPr>
        <w:t xml:space="preserve"> and Assurance</w:t>
      </w:r>
    </w:p>
    <w:p w14:paraId="012E41E7" w14:textId="77777777" w:rsidR="004A11CA" w:rsidRPr="00D357BC" w:rsidRDefault="004A11CA" w:rsidP="004A11CA">
      <w:pPr>
        <w:rPr>
          <w:rFonts w:ascii="Segoe UI" w:hAnsi="Segoe UI" w:cs="Segoe UI"/>
          <w:b/>
        </w:rPr>
      </w:pPr>
    </w:p>
    <w:p w14:paraId="66A2E999" w14:textId="77777777" w:rsidR="004A11CA" w:rsidRPr="00D357BC" w:rsidRDefault="004A11CA" w:rsidP="004A11CA">
      <w:pPr>
        <w:jc w:val="both"/>
        <w:rPr>
          <w:rFonts w:ascii="Segoe UI" w:hAnsi="Segoe UI" w:cs="Segoe UI"/>
          <w:b/>
          <w:sz w:val="22"/>
          <w:szCs w:val="22"/>
        </w:rPr>
      </w:pPr>
      <w:r w:rsidRPr="00D357BC">
        <w:rPr>
          <w:rFonts w:ascii="Segoe UI" w:hAnsi="Segoe UI" w:cs="Segoe UI"/>
          <w:b/>
          <w:sz w:val="22"/>
          <w:szCs w:val="22"/>
        </w:rPr>
        <w:t>Executive Summary</w:t>
      </w:r>
    </w:p>
    <w:p w14:paraId="12E872A5" w14:textId="437EC2B9" w:rsidR="004A11CA" w:rsidRPr="00D357BC" w:rsidRDefault="004A11CA" w:rsidP="004A11CA">
      <w:pPr>
        <w:jc w:val="both"/>
        <w:rPr>
          <w:rFonts w:ascii="Segoe UI" w:hAnsi="Segoe UI" w:cs="Segoe UI"/>
          <w:sz w:val="22"/>
          <w:szCs w:val="22"/>
        </w:rPr>
      </w:pPr>
      <w:r w:rsidRPr="00D357BC">
        <w:rPr>
          <w:rFonts w:ascii="Segoe UI" w:hAnsi="Segoe UI" w:cs="Segoe UI"/>
          <w:sz w:val="22"/>
          <w:szCs w:val="22"/>
        </w:rPr>
        <w:t>The Reading Room contains the detail of the regular report to inform the Board of Directors on recent legislation, regulation and compliance guidance issued by bodies such as NHS</w:t>
      </w:r>
      <w:r w:rsidR="0044240B">
        <w:rPr>
          <w:rFonts w:ascii="Segoe UI" w:hAnsi="Segoe UI" w:cs="Segoe UI"/>
          <w:sz w:val="22"/>
          <w:szCs w:val="22"/>
        </w:rPr>
        <w:t>E/</w:t>
      </w:r>
      <w:r w:rsidRPr="00D357BC">
        <w:rPr>
          <w:rFonts w:ascii="Segoe UI" w:hAnsi="Segoe UI" w:cs="Segoe UI"/>
          <w:sz w:val="22"/>
          <w:szCs w:val="22"/>
        </w:rPr>
        <w:t xml:space="preserve">I, the Care Quality Commission, and other relevant bodies where their action/publications have a consequential impact on the </w:t>
      </w:r>
      <w:proofErr w:type="gramStart"/>
      <w:r w:rsidRPr="00D357BC">
        <w:rPr>
          <w:rFonts w:ascii="Segoe UI" w:hAnsi="Segoe UI" w:cs="Segoe UI"/>
          <w:sz w:val="22"/>
          <w:szCs w:val="22"/>
        </w:rPr>
        <w:t>Trust</w:t>
      </w:r>
      <w:proofErr w:type="gramEnd"/>
      <w:r w:rsidRPr="00D357BC">
        <w:rPr>
          <w:rFonts w:ascii="Segoe UI" w:hAnsi="Segoe UI" w:cs="Segoe UI"/>
          <w:sz w:val="22"/>
          <w:szCs w:val="22"/>
        </w:rPr>
        <w:t xml:space="preserve"> or an awareness of the change/impending change is relevant to the Board of Directors and its committee</w:t>
      </w:r>
      <w:r w:rsidR="00F234DC">
        <w:rPr>
          <w:rFonts w:ascii="Segoe UI" w:hAnsi="Segoe UI" w:cs="Segoe UI"/>
          <w:sz w:val="22"/>
          <w:szCs w:val="22"/>
        </w:rPr>
        <w:t>’</w:t>
      </w:r>
      <w:r w:rsidRPr="00D357BC">
        <w:rPr>
          <w:rFonts w:ascii="Segoe UI" w:hAnsi="Segoe UI" w:cs="Segoe UI"/>
          <w:sz w:val="22"/>
          <w:szCs w:val="22"/>
        </w:rPr>
        <w:t xml:space="preserve"> business.  This report covers the period since the last report to Board and includes any noteworthy contributions covered by health think tanks and a section in the Addendum to this report on learning / ‘True for Us’ considerations. </w:t>
      </w:r>
    </w:p>
    <w:p w14:paraId="7A82DDA2" w14:textId="77777777" w:rsidR="004A11CA" w:rsidRPr="00D357BC" w:rsidRDefault="004A11CA" w:rsidP="004A11CA">
      <w:pPr>
        <w:jc w:val="both"/>
        <w:rPr>
          <w:rFonts w:ascii="Segoe UI" w:hAnsi="Segoe UI" w:cs="Segoe UI"/>
          <w:sz w:val="22"/>
          <w:szCs w:val="22"/>
        </w:rPr>
      </w:pPr>
    </w:p>
    <w:p w14:paraId="097D8AD0" w14:textId="4169F5B0" w:rsidR="004A11CA" w:rsidRPr="00D357BC" w:rsidRDefault="004A11CA" w:rsidP="004A11CA">
      <w:pPr>
        <w:jc w:val="both"/>
        <w:rPr>
          <w:rFonts w:ascii="Segoe UI" w:hAnsi="Segoe UI" w:cs="Segoe UI"/>
          <w:sz w:val="22"/>
          <w:szCs w:val="22"/>
        </w:rPr>
      </w:pPr>
      <w:r w:rsidRPr="00D357BC">
        <w:rPr>
          <w:rFonts w:ascii="Segoe UI" w:hAnsi="Segoe UI" w:cs="Segoe UI"/>
          <w:sz w:val="22"/>
          <w:szCs w:val="22"/>
        </w:rPr>
        <w:t xml:space="preserve">The Update Report is designed to reflect changes in legislation, guidance, the structure of the NHS, and government policy and direction on health and social care. A summation of the change is provided for each item and where relevant, a sense of the Trust’s position </w:t>
      </w:r>
      <w:proofErr w:type="gramStart"/>
      <w:r w:rsidRPr="00D357BC">
        <w:rPr>
          <w:rFonts w:ascii="Segoe UI" w:hAnsi="Segoe UI" w:cs="Segoe UI"/>
          <w:sz w:val="22"/>
          <w:szCs w:val="22"/>
        </w:rPr>
        <w:t>with regard to</w:t>
      </w:r>
      <w:proofErr w:type="gramEnd"/>
      <w:r w:rsidRPr="00D357BC">
        <w:rPr>
          <w:rFonts w:ascii="Segoe UI" w:hAnsi="Segoe UI" w:cs="Segoe UI"/>
          <w:sz w:val="22"/>
          <w:szCs w:val="22"/>
        </w:rPr>
        <w:t xml:space="preserve"> the change. </w:t>
      </w:r>
      <w:r w:rsidRPr="00D357BC">
        <w:rPr>
          <w:rFonts w:ascii="Segoe UI" w:hAnsi="Segoe UI" w:cs="Segoe UI"/>
          <w:b/>
          <w:sz w:val="22"/>
          <w:szCs w:val="22"/>
        </w:rPr>
        <w:t>The Board of Directors is asked to consider and note the content of the report and where relevant, members should each be satisfied of their individual and collective assurances that the internal controls in place to deliver compliance against any Trust’s obligations are effective.  The Appendix should prompt consideration of the need to commission any deep dive (</w:t>
      </w:r>
      <w:r w:rsidR="00E00681">
        <w:rPr>
          <w:rFonts w:ascii="Segoe UI" w:hAnsi="Segoe UI" w:cs="Segoe UI"/>
          <w:b/>
          <w:sz w:val="22"/>
          <w:szCs w:val="22"/>
        </w:rPr>
        <w:t xml:space="preserve">or </w:t>
      </w:r>
      <w:r w:rsidRPr="00D357BC">
        <w:rPr>
          <w:rFonts w:ascii="Segoe UI" w:hAnsi="Segoe UI" w:cs="Segoe UI"/>
          <w:b/>
          <w:sz w:val="22"/>
          <w:szCs w:val="22"/>
        </w:rPr>
        <w:t>‘true for us’ review</w:t>
      </w:r>
      <w:r w:rsidR="00E00681">
        <w:rPr>
          <w:rFonts w:ascii="Segoe UI" w:hAnsi="Segoe UI" w:cs="Segoe UI"/>
          <w:b/>
          <w:sz w:val="22"/>
          <w:szCs w:val="22"/>
        </w:rPr>
        <w:t>s</w:t>
      </w:r>
      <w:r w:rsidRPr="00D357BC">
        <w:rPr>
          <w:rFonts w:ascii="Segoe UI" w:hAnsi="Segoe UI" w:cs="Segoe UI"/>
          <w:b/>
          <w:sz w:val="22"/>
          <w:szCs w:val="22"/>
        </w:rPr>
        <w:t xml:space="preserve">) </w:t>
      </w:r>
      <w:proofErr w:type="gramStart"/>
      <w:r w:rsidRPr="00D357BC">
        <w:rPr>
          <w:rFonts w:ascii="Segoe UI" w:hAnsi="Segoe UI" w:cs="Segoe UI"/>
          <w:b/>
          <w:sz w:val="22"/>
          <w:szCs w:val="22"/>
        </w:rPr>
        <w:t>in order to</w:t>
      </w:r>
      <w:proofErr w:type="gramEnd"/>
      <w:r w:rsidRPr="00D357BC">
        <w:rPr>
          <w:rFonts w:ascii="Segoe UI" w:hAnsi="Segoe UI" w:cs="Segoe UI"/>
          <w:b/>
          <w:sz w:val="22"/>
          <w:szCs w:val="22"/>
        </w:rPr>
        <w:t xml:space="preserve"> enhance the level of assurance or to improve the control environment, and/or decisions about the focus of any relevant Board Committee.</w:t>
      </w:r>
      <w:r w:rsidRPr="00D357BC">
        <w:rPr>
          <w:rFonts w:ascii="Segoe UI" w:hAnsi="Segoe UI" w:cs="Segoe UI"/>
          <w:sz w:val="22"/>
          <w:szCs w:val="22"/>
        </w:rPr>
        <w:t xml:space="preserve">  </w:t>
      </w:r>
    </w:p>
    <w:p w14:paraId="304303E3" w14:textId="77777777" w:rsidR="004A11CA" w:rsidRPr="00D357BC" w:rsidRDefault="004A11CA" w:rsidP="004A11CA">
      <w:pPr>
        <w:jc w:val="both"/>
        <w:rPr>
          <w:rFonts w:ascii="Segoe UI" w:hAnsi="Segoe UI" w:cs="Segoe UI"/>
          <w:sz w:val="22"/>
          <w:szCs w:val="22"/>
        </w:rPr>
      </w:pPr>
    </w:p>
    <w:p w14:paraId="15F8E965" w14:textId="2D5790E1" w:rsidR="004A11CA" w:rsidRPr="00D357BC" w:rsidRDefault="006A434E" w:rsidP="004A11CA">
      <w:pPr>
        <w:jc w:val="both"/>
        <w:rPr>
          <w:rFonts w:ascii="Segoe UI" w:hAnsi="Segoe UI" w:cs="Segoe UI"/>
          <w:sz w:val="22"/>
          <w:szCs w:val="22"/>
        </w:rPr>
      </w:pPr>
      <w:r w:rsidRPr="006A434E">
        <w:rPr>
          <w:rFonts w:ascii="Segoe UI" w:hAnsi="Segoe UI" w:cs="Segoe UI"/>
          <w:sz w:val="22"/>
          <w:szCs w:val="22"/>
        </w:rPr>
        <w:t>Early consideration of certain items supports a prospective understanding of risk and opportunity.</w:t>
      </w:r>
      <w:r>
        <w:rPr>
          <w:rFonts w:ascii="Segoe UI" w:hAnsi="Segoe UI" w:cs="Segoe UI"/>
          <w:sz w:val="22"/>
          <w:szCs w:val="22"/>
        </w:rPr>
        <w:t xml:space="preserve">  </w:t>
      </w:r>
      <w:r w:rsidR="004A11CA" w:rsidRPr="00D357BC">
        <w:rPr>
          <w:rFonts w:ascii="Segoe UI" w:hAnsi="Segoe UI" w:cs="Segoe UI"/>
          <w:sz w:val="22"/>
          <w:szCs w:val="22"/>
        </w:rPr>
        <w:t xml:space="preserve">Chairs of Board Committees should consider whether more detailed assurances relevant to their committees, are necessary, </w:t>
      </w:r>
      <w:proofErr w:type="spellStart"/>
      <w:r w:rsidR="004A11CA" w:rsidRPr="00D357BC">
        <w:rPr>
          <w:rFonts w:ascii="Segoe UI" w:hAnsi="Segoe UI" w:cs="Segoe UI"/>
          <w:sz w:val="22"/>
          <w:szCs w:val="22"/>
        </w:rPr>
        <w:t>utilising</w:t>
      </w:r>
      <w:proofErr w:type="spellEnd"/>
      <w:r w:rsidR="004A11CA" w:rsidRPr="00D357BC">
        <w:rPr>
          <w:rFonts w:ascii="Segoe UI" w:hAnsi="Segoe UI" w:cs="Segoe UI"/>
          <w:sz w:val="22"/>
          <w:szCs w:val="22"/>
        </w:rPr>
        <w:t xml:space="preserve"> this report as a constructive stimulant to inform the composition of meeting agendas and reporting focus as necessary or appropriate.</w:t>
      </w:r>
    </w:p>
    <w:p w14:paraId="091E7793" w14:textId="77777777" w:rsidR="004A11CA" w:rsidRPr="00D357BC" w:rsidRDefault="004A11CA" w:rsidP="004A11CA">
      <w:pPr>
        <w:jc w:val="both"/>
        <w:rPr>
          <w:rFonts w:ascii="Segoe UI" w:hAnsi="Segoe UI" w:cs="Segoe UI"/>
          <w:sz w:val="22"/>
          <w:szCs w:val="22"/>
        </w:rPr>
      </w:pPr>
    </w:p>
    <w:p w14:paraId="70DDF87F" w14:textId="5BFD73E5" w:rsidR="004A11CA" w:rsidRPr="00D357BC" w:rsidRDefault="004A11CA" w:rsidP="004A11CA">
      <w:pPr>
        <w:jc w:val="both"/>
        <w:rPr>
          <w:rFonts w:ascii="Segoe UI" w:hAnsi="Segoe UI" w:cs="Segoe UI"/>
          <w:sz w:val="22"/>
          <w:szCs w:val="22"/>
        </w:rPr>
      </w:pPr>
      <w:r w:rsidRPr="00D357BC">
        <w:rPr>
          <w:rFonts w:ascii="Segoe UI" w:hAnsi="Segoe UI" w:cs="Segoe UI"/>
          <w:sz w:val="22"/>
          <w:szCs w:val="22"/>
        </w:rPr>
        <w:t>The Executive team meeting</w:t>
      </w:r>
      <w:r w:rsidR="003742D5">
        <w:rPr>
          <w:rFonts w:ascii="Segoe UI" w:hAnsi="Segoe UI" w:cs="Segoe UI"/>
          <w:sz w:val="22"/>
          <w:szCs w:val="22"/>
        </w:rPr>
        <w:t>’</w:t>
      </w:r>
      <w:r w:rsidRPr="00D357BC">
        <w:rPr>
          <w:rFonts w:ascii="Segoe UI" w:hAnsi="Segoe UI" w:cs="Segoe UI"/>
          <w:sz w:val="22"/>
          <w:szCs w:val="22"/>
        </w:rPr>
        <w:t xml:space="preserve"> focus will where relevant ensure Executive Directors are aware of the changes related to their portfolios and will take forward any key actions arising from the Legal, Regulatory and Policy Updates. Progress updates on any relevant actions will be reported to the Board of Directors, as pertinent and appropriate either through the report itself or via the relevant Board reports of individual Executives.</w:t>
      </w:r>
    </w:p>
    <w:p w14:paraId="0E9325E3" w14:textId="77777777" w:rsidR="004A11CA" w:rsidRPr="00D357BC" w:rsidRDefault="004A11CA" w:rsidP="004A11CA">
      <w:pPr>
        <w:jc w:val="both"/>
        <w:rPr>
          <w:rFonts w:ascii="Segoe UI" w:hAnsi="Segoe UI" w:cs="Segoe UI"/>
          <w:sz w:val="22"/>
          <w:szCs w:val="22"/>
        </w:rPr>
      </w:pPr>
    </w:p>
    <w:p w14:paraId="3E2131C8" w14:textId="77777777" w:rsidR="004A11CA" w:rsidRPr="00D357BC" w:rsidRDefault="004A11CA" w:rsidP="004A11CA">
      <w:pPr>
        <w:jc w:val="both"/>
        <w:rPr>
          <w:rFonts w:ascii="Segoe UI" w:hAnsi="Segoe UI" w:cs="Segoe UI"/>
          <w:sz w:val="22"/>
          <w:szCs w:val="22"/>
        </w:rPr>
      </w:pPr>
      <w:r w:rsidRPr="00D357BC">
        <w:rPr>
          <w:rFonts w:ascii="Segoe UI" w:hAnsi="Segoe UI" w:cs="Segoe UI"/>
          <w:sz w:val="22"/>
          <w:szCs w:val="22"/>
        </w:rPr>
        <w:t>The Director of Corporate Affairs will continue to develop or enhance internal control mechanisms to support the Trust in complying and being able to evidence compliance with relevant mandatory frameworks/obligations.</w:t>
      </w:r>
    </w:p>
    <w:p w14:paraId="1A7FA7F7" w14:textId="77777777" w:rsidR="004A11CA" w:rsidRPr="001003CA" w:rsidRDefault="004A11CA" w:rsidP="004A11CA">
      <w:pPr>
        <w:jc w:val="both"/>
        <w:rPr>
          <w:rFonts w:ascii="Segoe UI" w:hAnsi="Segoe UI" w:cs="Segoe UI"/>
          <w:sz w:val="22"/>
          <w:szCs w:val="22"/>
          <w:highlight w:val="green"/>
        </w:rPr>
      </w:pPr>
    </w:p>
    <w:p w14:paraId="2E5B6E32" w14:textId="5196A3B7" w:rsidR="004A11CA" w:rsidRPr="007210AF" w:rsidRDefault="004A11CA" w:rsidP="004A11CA">
      <w:pPr>
        <w:jc w:val="both"/>
        <w:rPr>
          <w:rFonts w:ascii="Segoe UI" w:hAnsi="Segoe UI" w:cs="Segoe UI"/>
          <w:sz w:val="22"/>
          <w:szCs w:val="22"/>
        </w:rPr>
      </w:pPr>
      <w:r w:rsidRPr="007210AF">
        <w:rPr>
          <w:rFonts w:ascii="Segoe UI" w:hAnsi="Segoe UI" w:cs="Segoe UI"/>
          <w:b/>
          <w:bCs/>
          <w:sz w:val="22"/>
          <w:szCs w:val="22"/>
        </w:rPr>
        <w:t>In this meeting’s Legal and Regulatory Update</w:t>
      </w:r>
      <w:r w:rsidRPr="007210AF">
        <w:rPr>
          <w:rFonts w:ascii="Segoe UI" w:hAnsi="Segoe UI" w:cs="Segoe UI"/>
          <w:sz w:val="22"/>
          <w:szCs w:val="22"/>
        </w:rPr>
        <w:t xml:space="preserve">, Board members will note the ongoing surge of documentation and guidance </w:t>
      </w:r>
      <w:proofErr w:type="gramStart"/>
      <w:r w:rsidRPr="007210AF">
        <w:rPr>
          <w:rFonts w:ascii="Segoe UI" w:hAnsi="Segoe UI" w:cs="Segoe UI"/>
          <w:sz w:val="22"/>
          <w:szCs w:val="22"/>
        </w:rPr>
        <w:t>with regard to</w:t>
      </w:r>
      <w:proofErr w:type="gramEnd"/>
      <w:r w:rsidRPr="007210AF">
        <w:rPr>
          <w:rFonts w:ascii="Segoe UI" w:hAnsi="Segoe UI" w:cs="Segoe UI"/>
          <w:sz w:val="22"/>
          <w:szCs w:val="22"/>
        </w:rPr>
        <w:t xml:space="preserve"> the development of the Integrated Care Systems to align with their statutory status from April 2022 and the passage of the Health and Care Bill, but also some significant publications with regard to regulation that looks to support system integration and oversee its implementation.  The state of care report from the CQC and the System Oversight Framework</w:t>
      </w:r>
      <w:r w:rsidR="00380B84">
        <w:rPr>
          <w:rFonts w:ascii="Segoe UI" w:hAnsi="Segoe UI" w:cs="Segoe UI"/>
          <w:sz w:val="22"/>
          <w:szCs w:val="22"/>
        </w:rPr>
        <w:t xml:space="preserve"> are two examples</w:t>
      </w:r>
      <w:r w:rsidRPr="007210AF">
        <w:rPr>
          <w:rFonts w:ascii="Segoe UI" w:hAnsi="Segoe UI" w:cs="Segoe UI"/>
          <w:sz w:val="22"/>
          <w:szCs w:val="22"/>
        </w:rPr>
        <w:t>, further amplified in NHSP’s briefing on Evolving Regulation and Oversight</w:t>
      </w:r>
      <w:r w:rsidR="004B28D3">
        <w:rPr>
          <w:rFonts w:ascii="Segoe UI" w:hAnsi="Segoe UI" w:cs="Segoe UI"/>
          <w:sz w:val="22"/>
          <w:szCs w:val="22"/>
        </w:rPr>
        <w:t>, as is</w:t>
      </w:r>
      <w:r w:rsidRPr="007210AF">
        <w:rPr>
          <w:rFonts w:ascii="Segoe UI" w:hAnsi="Segoe UI" w:cs="Segoe UI"/>
          <w:sz w:val="22"/>
          <w:szCs w:val="22"/>
        </w:rPr>
        <w:t xml:space="preserve"> the widening scope of the CQC to include a duty to assess the performance of local authorities in relation to the discharge of their adult social care functions</w:t>
      </w:r>
      <w:r w:rsidR="004B28D3">
        <w:rPr>
          <w:rFonts w:ascii="Segoe UI" w:hAnsi="Segoe UI" w:cs="Segoe UI"/>
          <w:sz w:val="22"/>
          <w:szCs w:val="22"/>
        </w:rPr>
        <w:t>.  O</w:t>
      </w:r>
      <w:r w:rsidRPr="007210AF">
        <w:rPr>
          <w:rFonts w:ascii="Segoe UI" w:hAnsi="Segoe UI" w:cs="Segoe UI"/>
          <w:sz w:val="22"/>
          <w:szCs w:val="22"/>
        </w:rPr>
        <w:t>f interest</w:t>
      </w:r>
      <w:r w:rsidR="004B28D3">
        <w:rPr>
          <w:rFonts w:ascii="Segoe UI" w:hAnsi="Segoe UI" w:cs="Segoe UI"/>
          <w:sz w:val="22"/>
          <w:szCs w:val="22"/>
        </w:rPr>
        <w:t xml:space="preserve"> too is</w:t>
      </w:r>
      <w:r w:rsidRPr="007210AF">
        <w:rPr>
          <w:rFonts w:ascii="Segoe UI" w:hAnsi="Segoe UI" w:cs="Segoe UI"/>
          <w:sz w:val="22"/>
          <w:szCs w:val="22"/>
        </w:rPr>
        <w:t xml:space="preserve"> their powers to police </w:t>
      </w:r>
      <w:r w:rsidRPr="002D572D">
        <w:rPr>
          <w:rFonts w:ascii="Segoe UI" w:hAnsi="Segoe UI" w:cs="Segoe UI"/>
          <w:b/>
          <w:bCs/>
          <w:sz w:val="22"/>
          <w:szCs w:val="22"/>
        </w:rPr>
        <w:t>new hospital food standards</w:t>
      </w:r>
      <w:r w:rsidRPr="007210AF">
        <w:rPr>
          <w:rFonts w:ascii="Segoe UI" w:hAnsi="Segoe UI" w:cs="Segoe UI"/>
          <w:sz w:val="22"/>
          <w:szCs w:val="22"/>
        </w:rPr>
        <w:t>.</w:t>
      </w:r>
    </w:p>
    <w:p w14:paraId="049F483D" w14:textId="77777777" w:rsidR="004A11CA" w:rsidRPr="007210AF" w:rsidRDefault="004A11CA" w:rsidP="004A11CA">
      <w:pPr>
        <w:jc w:val="both"/>
        <w:rPr>
          <w:rFonts w:ascii="Segoe UI" w:hAnsi="Segoe UI" w:cs="Segoe UI"/>
          <w:sz w:val="22"/>
          <w:szCs w:val="22"/>
        </w:rPr>
      </w:pPr>
    </w:p>
    <w:p w14:paraId="6DA2F7FE" w14:textId="0D021BCF" w:rsidR="004A11CA" w:rsidRPr="008E5A80" w:rsidRDefault="004A11CA" w:rsidP="004A11CA">
      <w:pPr>
        <w:jc w:val="both"/>
        <w:rPr>
          <w:rFonts w:ascii="Segoe UI" w:hAnsi="Segoe UI" w:cs="Segoe UI"/>
          <w:sz w:val="22"/>
          <w:szCs w:val="22"/>
          <w:lang w:val="en-GB"/>
        </w:rPr>
      </w:pPr>
      <w:r w:rsidRPr="007210AF">
        <w:rPr>
          <w:rFonts w:ascii="Segoe UI" w:hAnsi="Segoe UI" w:cs="Segoe UI"/>
          <w:sz w:val="22"/>
          <w:szCs w:val="22"/>
        </w:rPr>
        <w:t xml:space="preserve">The Board will need to </w:t>
      </w:r>
      <w:r w:rsidR="002D572D" w:rsidRPr="007210AF">
        <w:rPr>
          <w:rFonts w:ascii="Segoe UI" w:hAnsi="Segoe UI" w:cs="Segoe UI"/>
          <w:sz w:val="22"/>
          <w:szCs w:val="22"/>
        </w:rPr>
        <w:t>comprehend</w:t>
      </w:r>
      <w:r w:rsidRPr="007210AF">
        <w:rPr>
          <w:rFonts w:ascii="Segoe UI" w:hAnsi="Segoe UI" w:cs="Segoe UI"/>
          <w:sz w:val="22"/>
          <w:szCs w:val="22"/>
        </w:rPr>
        <w:t xml:space="preserve"> the implications following the outcome of the consultation on NHSE/I’s Transaction Guidance which has not been reviewed since 2017.  This will most definitely impact ongoing submissions and the F</w:t>
      </w:r>
      <w:r>
        <w:rPr>
          <w:rFonts w:ascii="Segoe UI" w:hAnsi="Segoe UI" w:cs="Segoe UI"/>
          <w:sz w:val="22"/>
          <w:szCs w:val="22"/>
        </w:rPr>
        <w:t xml:space="preserve">ull </w:t>
      </w:r>
      <w:r w:rsidRPr="007210AF">
        <w:rPr>
          <w:rFonts w:ascii="Segoe UI" w:hAnsi="Segoe UI" w:cs="Segoe UI"/>
          <w:sz w:val="22"/>
          <w:szCs w:val="22"/>
        </w:rPr>
        <w:t>B</w:t>
      </w:r>
      <w:r>
        <w:rPr>
          <w:rFonts w:ascii="Segoe UI" w:hAnsi="Segoe UI" w:cs="Segoe UI"/>
          <w:sz w:val="22"/>
          <w:szCs w:val="22"/>
        </w:rPr>
        <w:t xml:space="preserve">usiness </w:t>
      </w:r>
      <w:r w:rsidRPr="007210AF">
        <w:rPr>
          <w:rFonts w:ascii="Segoe UI" w:hAnsi="Segoe UI" w:cs="Segoe UI"/>
          <w:sz w:val="22"/>
          <w:szCs w:val="22"/>
        </w:rPr>
        <w:t>C</w:t>
      </w:r>
      <w:r>
        <w:rPr>
          <w:rFonts w:ascii="Segoe UI" w:hAnsi="Segoe UI" w:cs="Segoe UI"/>
          <w:sz w:val="22"/>
          <w:szCs w:val="22"/>
        </w:rPr>
        <w:t>ase</w:t>
      </w:r>
      <w:r w:rsidRPr="007210AF">
        <w:rPr>
          <w:rFonts w:ascii="Segoe UI" w:hAnsi="Segoe UI" w:cs="Segoe UI"/>
          <w:sz w:val="22"/>
          <w:szCs w:val="22"/>
        </w:rPr>
        <w:t xml:space="preserve"> for the Warneford </w:t>
      </w:r>
      <w:r w:rsidR="00564B8C">
        <w:rPr>
          <w:rFonts w:ascii="Segoe UI" w:hAnsi="Segoe UI" w:cs="Segoe UI"/>
          <w:sz w:val="22"/>
          <w:szCs w:val="22"/>
        </w:rPr>
        <w:t xml:space="preserve">Park </w:t>
      </w:r>
      <w:r w:rsidRPr="007210AF">
        <w:rPr>
          <w:rFonts w:ascii="Segoe UI" w:hAnsi="Segoe UI" w:cs="Segoe UI"/>
          <w:sz w:val="22"/>
          <w:szCs w:val="22"/>
        </w:rPr>
        <w:t>Development although the consultation promises to deliver a regime that promotes the success of transactions and tests Board’s on their understanding of risk.</w:t>
      </w:r>
    </w:p>
    <w:p w14:paraId="2010AF15" w14:textId="77777777" w:rsidR="004A11CA" w:rsidRPr="008E5A80" w:rsidRDefault="004A11CA" w:rsidP="004A11CA">
      <w:pPr>
        <w:jc w:val="both"/>
        <w:rPr>
          <w:rFonts w:ascii="Segoe UI" w:hAnsi="Segoe UI" w:cs="Segoe UI"/>
          <w:b/>
          <w:sz w:val="22"/>
          <w:szCs w:val="22"/>
        </w:rPr>
      </w:pPr>
    </w:p>
    <w:p w14:paraId="3B196A02" w14:textId="1B22376D" w:rsidR="004A11CA" w:rsidRPr="008E5A80" w:rsidRDefault="004A11CA" w:rsidP="004A11CA">
      <w:pPr>
        <w:jc w:val="both"/>
        <w:rPr>
          <w:rFonts w:ascii="Segoe UI" w:hAnsi="Segoe UI" w:cs="Segoe UI"/>
          <w:bCs/>
          <w:sz w:val="22"/>
          <w:szCs w:val="22"/>
        </w:rPr>
      </w:pPr>
      <w:r w:rsidRPr="008E5A80">
        <w:rPr>
          <w:rFonts w:ascii="Segoe UI" w:hAnsi="Segoe UI" w:cs="Segoe UI"/>
          <w:bCs/>
          <w:sz w:val="22"/>
          <w:szCs w:val="22"/>
        </w:rPr>
        <w:t>Under the proposed new risk assessment framework</w:t>
      </w:r>
      <w:r w:rsidR="006F249A">
        <w:rPr>
          <w:rFonts w:ascii="Segoe UI" w:hAnsi="Segoe UI" w:cs="Segoe UI"/>
          <w:bCs/>
          <w:sz w:val="22"/>
          <w:szCs w:val="22"/>
        </w:rPr>
        <w:t xml:space="preserve"> as part of this Guidance</w:t>
      </w:r>
      <w:r w:rsidRPr="008E5A80">
        <w:rPr>
          <w:rFonts w:ascii="Segoe UI" w:hAnsi="Segoe UI" w:cs="Segoe UI"/>
          <w:bCs/>
          <w:sz w:val="22"/>
          <w:szCs w:val="22"/>
        </w:rPr>
        <w:t xml:space="preserve">, </w:t>
      </w:r>
      <w:r>
        <w:rPr>
          <w:rFonts w:ascii="Segoe UI" w:hAnsi="Segoe UI" w:cs="Segoe UI"/>
          <w:bCs/>
          <w:sz w:val="22"/>
          <w:szCs w:val="22"/>
        </w:rPr>
        <w:t>the Regulator</w:t>
      </w:r>
      <w:r w:rsidRPr="008E5A80">
        <w:rPr>
          <w:rFonts w:ascii="Segoe UI" w:hAnsi="Segoe UI" w:cs="Segoe UI"/>
          <w:bCs/>
          <w:sz w:val="22"/>
          <w:szCs w:val="22"/>
        </w:rPr>
        <w:t xml:space="preserve"> will continue to differentiate between material (requiring self-certification) and significant (requiring an assurance review) </w:t>
      </w:r>
      <w:r w:rsidR="006F249A" w:rsidRPr="008E5A80">
        <w:rPr>
          <w:rFonts w:ascii="Segoe UI" w:hAnsi="Segoe UI" w:cs="Segoe UI"/>
          <w:bCs/>
          <w:sz w:val="22"/>
          <w:szCs w:val="22"/>
        </w:rPr>
        <w:t>transactions but</w:t>
      </w:r>
      <w:r w:rsidRPr="008E5A80">
        <w:rPr>
          <w:rFonts w:ascii="Segoe UI" w:hAnsi="Segoe UI" w:cs="Segoe UI"/>
          <w:bCs/>
          <w:sz w:val="22"/>
          <w:szCs w:val="22"/>
        </w:rPr>
        <w:t xml:space="preserve"> will consider more qualitative measures to do this. </w:t>
      </w:r>
      <w:r>
        <w:rPr>
          <w:rFonts w:ascii="Segoe UI" w:hAnsi="Segoe UI" w:cs="Segoe UI"/>
          <w:bCs/>
          <w:sz w:val="22"/>
          <w:szCs w:val="22"/>
        </w:rPr>
        <w:t>Currently they</w:t>
      </w:r>
      <w:r w:rsidRPr="008E5A80">
        <w:rPr>
          <w:rFonts w:ascii="Segoe UI" w:hAnsi="Segoe UI" w:cs="Segoe UI"/>
          <w:bCs/>
          <w:sz w:val="22"/>
          <w:szCs w:val="22"/>
        </w:rPr>
        <w:t xml:space="preserve"> are not proposing any changes to the reporting thresholds for transactions, with the exception that statutory transactions can no longer be classified as ‘small’; that </w:t>
      </w:r>
      <w:proofErr w:type="gramStart"/>
      <w:r w:rsidRPr="008E5A80">
        <w:rPr>
          <w:rFonts w:ascii="Segoe UI" w:hAnsi="Segoe UI" w:cs="Segoe UI"/>
          <w:bCs/>
          <w:sz w:val="22"/>
          <w:szCs w:val="22"/>
        </w:rPr>
        <w:t>is</w:t>
      </w:r>
      <w:proofErr w:type="gramEnd"/>
      <w:r w:rsidRPr="008E5A80">
        <w:rPr>
          <w:rFonts w:ascii="Segoe UI" w:hAnsi="Segoe UI" w:cs="Segoe UI"/>
          <w:bCs/>
          <w:sz w:val="22"/>
          <w:szCs w:val="22"/>
        </w:rPr>
        <w:t xml:space="preserve"> they will always be either material or significant due to the level of risk involved. Transactions that represent more than 40% of gross assets or income will no longer automatically be determined as significant. For significant transactions, </w:t>
      </w:r>
      <w:r>
        <w:rPr>
          <w:rFonts w:ascii="Segoe UI" w:hAnsi="Segoe UI" w:cs="Segoe UI"/>
          <w:bCs/>
          <w:sz w:val="22"/>
          <w:szCs w:val="22"/>
        </w:rPr>
        <w:t>into which the Warneford Development will fall, they</w:t>
      </w:r>
      <w:r w:rsidRPr="008E5A80">
        <w:rPr>
          <w:rFonts w:ascii="Segoe UI" w:hAnsi="Segoe UI" w:cs="Segoe UI"/>
          <w:bCs/>
          <w:sz w:val="22"/>
          <w:szCs w:val="22"/>
        </w:rPr>
        <w:t xml:space="preserve"> propose to iterate the risk assessment over time and particularly following review of the strategic case, at which point </w:t>
      </w:r>
      <w:r>
        <w:rPr>
          <w:rFonts w:ascii="Segoe UI" w:hAnsi="Segoe UI" w:cs="Segoe UI"/>
          <w:bCs/>
          <w:sz w:val="22"/>
          <w:szCs w:val="22"/>
        </w:rPr>
        <w:t xml:space="preserve">they </w:t>
      </w:r>
      <w:r w:rsidRPr="008E5A80">
        <w:rPr>
          <w:rFonts w:ascii="Segoe UI" w:hAnsi="Segoe UI" w:cs="Segoe UI"/>
          <w:bCs/>
          <w:sz w:val="22"/>
          <w:szCs w:val="22"/>
        </w:rPr>
        <w:t>will use it to scope the work required for the full business case. This scoping will be based on a more detailed assessment of risk than currently, such that each transaction review scope will be bespoke, reflecting the characteristics of each individual case.</w:t>
      </w:r>
      <w:r w:rsidR="000E6E09">
        <w:rPr>
          <w:rFonts w:ascii="Segoe UI" w:hAnsi="Segoe UI" w:cs="Segoe UI"/>
          <w:bCs/>
          <w:sz w:val="22"/>
          <w:szCs w:val="22"/>
        </w:rPr>
        <w:t xml:space="preserve">  The Finance</w:t>
      </w:r>
      <w:r w:rsidR="001F6EF4">
        <w:rPr>
          <w:rFonts w:ascii="Segoe UI" w:hAnsi="Segoe UI" w:cs="Segoe UI"/>
          <w:bCs/>
          <w:sz w:val="22"/>
          <w:szCs w:val="22"/>
        </w:rPr>
        <w:t xml:space="preserve"> and Investment</w:t>
      </w:r>
      <w:r w:rsidR="000E6E09">
        <w:rPr>
          <w:rFonts w:ascii="Segoe UI" w:hAnsi="Segoe UI" w:cs="Segoe UI"/>
          <w:bCs/>
          <w:sz w:val="22"/>
          <w:szCs w:val="22"/>
        </w:rPr>
        <w:t xml:space="preserve"> Committee will need to </w:t>
      </w:r>
      <w:r w:rsidR="001F6EF4">
        <w:rPr>
          <w:rFonts w:ascii="Segoe UI" w:hAnsi="Segoe UI" w:cs="Segoe UI"/>
          <w:bCs/>
          <w:sz w:val="22"/>
          <w:szCs w:val="22"/>
        </w:rPr>
        <w:t>appreciate the impact of the guidance on its ongoing review of the transaction as will the Quality Committee.</w:t>
      </w:r>
    </w:p>
    <w:p w14:paraId="59049D1A" w14:textId="77777777" w:rsidR="004A11CA" w:rsidRPr="008E5A80" w:rsidRDefault="004A11CA" w:rsidP="004A11CA">
      <w:pPr>
        <w:jc w:val="both"/>
        <w:rPr>
          <w:rFonts w:ascii="Segoe UI" w:hAnsi="Segoe UI" w:cs="Segoe UI"/>
          <w:bCs/>
          <w:sz w:val="22"/>
          <w:szCs w:val="22"/>
        </w:rPr>
      </w:pPr>
    </w:p>
    <w:p w14:paraId="210BC823" w14:textId="7A0B0089" w:rsidR="004A11CA" w:rsidRPr="00262B7A" w:rsidRDefault="004A11CA" w:rsidP="004A11CA">
      <w:pPr>
        <w:jc w:val="both"/>
        <w:rPr>
          <w:rFonts w:ascii="Segoe UI" w:hAnsi="Segoe UI" w:cs="Segoe UI"/>
          <w:bCs/>
          <w:sz w:val="22"/>
          <w:szCs w:val="22"/>
        </w:rPr>
      </w:pPr>
      <w:r>
        <w:rPr>
          <w:rFonts w:ascii="Segoe UI" w:hAnsi="Segoe UI" w:cs="Segoe UI"/>
          <w:bCs/>
          <w:sz w:val="22"/>
          <w:szCs w:val="22"/>
        </w:rPr>
        <w:t xml:space="preserve">The Systems Oversight Framework segmentation publication places all Providers and </w:t>
      </w:r>
      <w:proofErr w:type="gramStart"/>
      <w:r>
        <w:rPr>
          <w:rFonts w:ascii="Segoe UI" w:hAnsi="Segoe UI" w:cs="Segoe UI"/>
          <w:bCs/>
          <w:sz w:val="22"/>
          <w:szCs w:val="22"/>
        </w:rPr>
        <w:t>ICS’s</w:t>
      </w:r>
      <w:proofErr w:type="gramEnd"/>
      <w:r>
        <w:rPr>
          <w:rFonts w:ascii="Segoe UI" w:hAnsi="Segoe UI" w:cs="Segoe UI"/>
          <w:bCs/>
          <w:sz w:val="22"/>
          <w:szCs w:val="22"/>
        </w:rPr>
        <w:t xml:space="preserve"> in a segment that dictates the level of support / intervention.  For ease of reference this is rep</w:t>
      </w:r>
      <w:r w:rsidR="00092559">
        <w:rPr>
          <w:rFonts w:ascii="Segoe UI" w:hAnsi="Segoe UI" w:cs="Segoe UI"/>
          <w:bCs/>
          <w:sz w:val="22"/>
          <w:szCs w:val="22"/>
        </w:rPr>
        <w:t>roduced</w:t>
      </w:r>
      <w:r>
        <w:rPr>
          <w:rFonts w:ascii="Segoe UI" w:hAnsi="Segoe UI" w:cs="Segoe UI"/>
          <w:bCs/>
          <w:sz w:val="22"/>
          <w:szCs w:val="22"/>
        </w:rPr>
        <w:t xml:space="preserve"> below</w:t>
      </w:r>
      <w:r w:rsidR="00471765">
        <w:rPr>
          <w:rFonts w:ascii="Segoe UI" w:hAnsi="Segoe UI" w:cs="Segoe UI"/>
          <w:bCs/>
          <w:sz w:val="22"/>
          <w:szCs w:val="22"/>
        </w:rPr>
        <w:t xml:space="preserve">.  </w:t>
      </w:r>
      <w:r w:rsidR="006A0D10">
        <w:rPr>
          <w:rFonts w:ascii="Segoe UI" w:hAnsi="Segoe UI" w:cs="Segoe UI"/>
          <w:bCs/>
          <w:sz w:val="22"/>
          <w:szCs w:val="22"/>
        </w:rPr>
        <w:t>Any Trust or ICS falling into segment 4 will be subject to mandated intensive support</w:t>
      </w:r>
      <w:r w:rsidR="00D853C5">
        <w:rPr>
          <w:rFonts w:ascii="Segoe UI" w:hAnsi="Segoe UI" w:cs="Segoe UI"/>
          <w:bCs/>
          <w:sz w:val="22"/>
          <w:szCs w:val="22"/>
        </w:rPr>
        <w:t xml:space="preserve"> that re</w:t>
      </w:r>
      <w:r w:rsidR="003D1715">
        <w:rPr>
          <w:rFonts w:ascii="Segoe UI" w:hAnsi="Segoe UI" w:cs="Segoe UI"/>
          <w:bCs/>
          <w:sz w:val="22"/>
          <w:szCs w:val="22"/>
        </w:rPr>
        <w:t>places the previously separate quality and finance ‘special measures’ regimes.</w:t>
      </w:r>
      <w:r w:rsidR="00A52B23">
        <w:rPr>
          <w:rFonts w:ascii="Segoe UI" w:hAnsi="Segoe UI" w:cs="Segoe UI"/>
          <w:bCs/>
          <w:sz w:val="22"/>
          <w:szCs w:val="22"/>
        </w:rPr>
        <w:t xml:space="preserve"> </w:t>
      </w:r>
      <w:r w:rsidR="00A52B23" w:rsidRPr="00A52B23">
        <w:rPr>
          <w:rFonts w:ascii="Segoe UI" w:hAnsi="Segoe UI" w:cs="Segoe UI"/>
          <w:bCs/>
          <w:sz w:val="22"/>
          <w:szCs w:val="22"/>
        </w:rPr>
        <w:t xml:space="preserve">The oversight arrangements </w:t>
      </w:r>
      <w:r w:rsidR="00A52B23">
        <w:rPr>
          <w:rFonts w:ascii="Segoe UI" w:hAnsi="Segoe UI" w:cs="Segoe UI"/>
          <w:bCs/>
          <w:sz w:val="22"/>
          <w:szCs w:val="22"/>
        </w:rPr>
        <w:t xml:space="preserve">included in a previous update report to the Board, </w:t>
      </w:r>
      <w:r w:rsidR="00A52B23" w:rsidRPr="00A52B23">
        <w:rPr>
          <w:rFonts w:ascii="Segoe UI" w:hAnsi="Segoe UI" w:cs="Segoe UI"/>
          <w:bCs/>
          <w:sz w:val="22"/>
          <w:szCs w:val="22"/>
        </w:rPr>
        <w:t>reflect an expectation for evidence of effective provider collaboration and the failure of individual trusts to collaborate in a system context may be treated as a breach of governance conditions and be subject to enforcement actions</w:t>
      </w:r>
      <w:r w:rsidR="00E510F7">
        <w:rPr>
          <w:rFonts w:ascii="Segoe UI" w:hAnsi="Segoe UI" w:cs="Segoe UI"/>
          <w:bCs/>
          <w:sz w:val="22"/>
          <w:szCs w:val="22"/>
        </w:rPr>
        <w:t>.</w:t>
      </w:r>
      <w:r w:rsidR="00D74317">
        <w:rPr>
          <w:rFonts w:ascii="Segoe UI" w:hAnsi="Segoe UI" w:cs="Segoe UI"/>
          <w:bCs/>
          <w:sz w:val="22"/>
          <w:szCs w:val="22"/>
        </w:rPr>
        <w:t xml:space="preserve">  </w:t>
      </w:r>
      <w:r w:rsidR="00564D8A">
        <w:rPr>
          <w:rFonts w:ascii="Segoe UI" w:hAnsi="Segoe UI" w:cs="Segoe UI"/>
          <w:bCs/>
          <w:sz w:val="22"/>
          <w:szCs w:val="22"/>
        </w:rPr>
        <w:t>The segmentation determines t</w:t>
      </w:r>
      <w:r w:rsidR="00D74317" w:rsidRPr="00D74317">
        <w:rPr>
          <w:rFonts w:ascii="Segoe UI" w:hAnsi="Segoe UI" w:cs="Segoe UI"/>
          <w:bCs/>
          <w:sz w:val="22"/>
          <w:szCs w:val="22"/>
        </w:rPr>
        <w:t>he level and nature of support required across systems, inform</w:t>
      </w:r>
      <w:r w:rsidR="00564D8A">
        <w:rPr>
          <w:rFonts w:ascii="Segoe UI" w:hAnsi="Segoe UI" w:cs="Segoe UI"/>
          <w:bCs/>
          <w:sz w:val="22"/>
          <w:szCs w:val="22"/>
        </w:rPr>
        <w:t>s</w:t>
      </w:r>
      <w:r w:rsidR="00D74317" w:rsidRPr="00D74317">
        <w:rPr>
          <w:rFonts w:ascii="Segoe UI" w:hAnsi="Segoe UI" w:cs="Segoe UI"/>
          <w:bCs/>
          <w:sz w:val="22"/>
          <w:szCs w:val="22"/>
        </w:rPr>
        <w:t xml:space="preserve"> oversight arrangements and </w:t>
      </w:r>
      <w:r w:rsidR="00564D8A">
        <w:rPr>
          <w:rFonts w:ascii="Segoe UI" w:hAnsi="Segoe UI" w:cs="Segoe UI"/>
          <w:bCs/>
          <w:sz w:val="22"/>
          <w:szCs w:val="22"/>
        </w:rPr>
        <w:t xml:space="preserve">is how NHSE/I will </w:t>
      </w:r>
      <w:r w:rsidR="00D74317" w:rsidRPr="00D74317">
        <w:rPr>
          <w:rFonts w:ascii="Segoe UI" w:hAnsi="Segoe UI" w:cs="Segoe UI"/>
          <w:bCs/>
          <w:sz w:val="22"/>
          <w:szCs w:val="22"/>
        </w:rPr>
        <w:t>target support capacity as effectively as possible</w:t>
      </w:r>
      <w:r w:rsidR="00EF44A4">
        <w:rPr>
          <w:rFonts w:ascii="Segoe UI" w:hAnsi="Segoe UI" w:cs="Segoe UI"/>
          <w:bCs/>
          <w:sz w:val="22"/>
          <w:szCs w:val="22"/>
        </w:rPr>
        <w:t>.  They</w:t>
      </w:r>
      <w:r w:rsidR="00D74317" w:rsidRPr="00D74317">
        <w:rPr>
          <w:rFonts w:ascii="Segoe UI" w:hAnsi="Segoe UI" w:cs="Segoe UI"/>
          <w:bCs/>
          <w:sz w:val="22"/>
          <w:szCs w:val="22"/>
        </w:rPr>
        <w:t xml:space="preserve"> will adopt a phased implementation to segmentation during 2021/22 with an initial focus on ICSs and trusts that meet the criteria for </w:t>
      </w:r>
      <w:r w:rsidR="00D74317" w:rsidRPr="00D74317">
        <w:rPr>
          <w:rFonts w:ascii="Segoe UI" w:hAnsi="Segoe UI" w:cs="Segoe UI"/>
          <w:bCs/>
          <w:sz w:val="22"/>
          <w:szCs w:val="22"/>
        </w:rPr>
        <w:lastRenderedPageBreak/>
        <w:t>segments 3 and 4</w:t>
      </w:r>
      <w:r w:rsidR="009849A3">
        <w:rPr>
          <w:rFonts w:ascii="Segoe UI" w:hAnsi="Segoe UI" w:cs="Segoe UI"/>
          <w:bCs/>
          <w:sz w:val="22"/>
          <w:szCs w:val="22"/>
        </w:rPr>
        <w:t xml:space="preserve"> as these Trusts are deemed to have long standing </w:t>
      </w:r>
      <w:r w:rsidR="00030C5F">
        <w:rPr>
          <w:rFonts w:ascii="Segoe UI" w:hAnsi="Segoe UI" w:cs="Segoe UI"/>
          <w:bCs/>
          <w:sz w:val="22"/>
          <w:szCs w:val="22"/>
        </w:rPr>
        <w:t>significant support needs against oversight themes and very serious, complex iss</w:t>
      </w:r>
      <w:r w:rsidR="00AF35D6">
        <w:rPr>
          <w:rFonts w:ascii="Segoe UI" w:hAnsi="Segoe UI" w:cs="Segoe UI"/>
          <w:bCs/>
          <w:sz w:val="22"/>
          <w:szCs w:val="22"/>
        </w:rPr>
        <w:t>ues manifesting as critical quality and/or finance concerns respectively</w:t>
      </w:r>
      <w:r w:rsidR="00D74317" w:rsidRPr="00D74317">
        <w:rPr>
          <w:rFonts w:ascii="Segoe UI" w:hAnsi="Segoe UI" w:cs="Segoe UI"/>
          <w:bCs/>
          <w:sz w:val="22"/>
          <w:szCs w:val="22"/>
        </w:rPr>
        <w:t>.</w:t>
      </w:r>
      <w:r w:rsidR="00AF35D6">
        <w:rPr>
          <w:rFonts w:ascii="Segoe UI" w:hAnsi="Segoe UI" w:cs="Segoe UI"/>
          <w:bCs/>
          <w:sz w:val="22"/>
          <w:szCs w:val="22"/>
        </w:rPr>
        <w:t xml:space="preserve">  The </w:t>
      </w:r>
      <w:r w:rsidR="00AF35D6" w:rsidRPr="00262B7A">
        <w:rPr>
          <w:rFonts w:ascii="Segoe UI" w:hAnsi="Segoe UI" w:cs="Segoe UI"/>
          <w:b/>
          <w:sz w:val="22"/>
          <w:szCs w:val="22"/>
        </w:rPr>
        <w:t xml:space="preserve">Trust </w:t>
      </w:r>
      <w:r w:rsidR="00D6133C" w:rsidRPr="00262B7A">
        <w:rPr>
          <w:rFonts w:ascii="Segoe UI" w:hAnsi="Segoe UI" w:cs="Segoe UI"/>
          <w:b/>
          <w:sz w:val="22"/>
          <w:szCs w:val="22"/>
        </w:rPr>
        <w:t>has been give</w:t>
      </w:r>
      <w:r w:rsidR="00262B7A" w:rsidRPr="00262B7A">
        <w:rPr>
          <w:rFonts w:ascii="Segoe UI" w:hAnsi="Segoe UI" w:cs="Segoe UI"/>
          <w:b/>
          <w:sz w:val="22"/>
          <w:szCs w:val="22"/>
        </w:rPr>
        <w:t>n</w:t>
      </w:r>
      <w:r w:rsidR="00D6133C" w:rsidRPr="00262B7A">
        <w:rPr>
          <w:rFonts w:ascii="Segoe UI" w:hAnsi="Segoe UI" w:cs="Segoe UI"/>
          <w:b/>
          <w:sz w:val="22"/>
          <w:szCs w:val="22"/>
        </w:rPr>
        <w:t xml:space="preserve"> a segment</w:t>
      </w:r>
      <w:r w:rsidR="00D6133C">
        <w:rPr>
          <w:rFonts w:ascii="Segoe UI" w:hAnsi="Segoe UI" w:cs="Segoe UI"/>
          <w:bCs/>
          <w:sz w:val="22"/>
          <w:szCs w:val="22"/>
        </w:rPr>
        <w:t xml:space="preserve"> 2 rating with </w:t>
      </w:r>
      <w:proofErr w:type="gramStart"/>
      <w:r w:rsidR="00D6133C">
        <w:rPr>
          <w:rFonts w:ascii="Segoe UI" w:hAnsi="Segoe UI" w:cs="Segoe UI"/>
          <w:bCs/>
          <w:sz w:val="22"/>
          <w:szCs w:val="22"/>
        </w:rPr>
        <w:t>a number of</w:t>
      </w:r>
      <w:proofErr w:type="gramEnd"/>
      <w:r w:rsidR="00D6133C">
        <w:rPr>
          <w:rFonts w:ascii="Segoe UI" w:hAnsi="Segoe UI" w:cs="Segoe UI"/>
          <w:bCs/>
          <w:sz w:val="22"/>
          <w:szCs w:val="22"/>
        </w:rPr>
        <w:t xml:space="preserve"> local Trusts finding themselves in segment 3</w:t>
      </w:r>
      <w:r w:rsidR="00D6133C" w:rsidRPr="000F7910">
        <w:rPr>
          <w:rFonts w:ascii="Segoe UI" w:hAnsi="Segoe UI" w:cs="Segoe UI"/>
          <w:b/>
          <w:sz w:val="22"/>
          <w:szCs w:val="22"/>
        </w:rPr>
        <w:t xml:space="preserve">.  It is important the Board </w:t>
      </w:r>
      <w:r w:rsidR="00216000" w:rsidRPr="000F7910">
        <w:rPr>
          <w:rFonts w:ascii="Segoe UI" w:hAnsi="Segoe UI" w:cs="Segoe UI"/>
          <w:b/>
          <w:sz w:val="22"/>
          <w:szCs w:val="22"/>
        </w:rPr>
        <w:t>focuses equally on quality and financial performance</w:t>
      </w:r>
      <w:r w:rsidR="00262B7A">
        <w:rPr>
          <w:rFonts w:ascii="Segoe UI" w:hAnsi="Segoe UI" w:cs="Segoe UI"/>
          <w:b/>
          <w:sz w:val="22"/>
          <w:szCs w:val="22"/>
        </w:rPr>
        <w:t xml:space="preserve"> </w:t>
      </w:r>
      <w:proofErr w:type="gramStart"/>
      <w:r w:rsidR="00262B7A">
        <w:rPr>
          <w:rFonts w:ascii="Segoe UI" w:hAnsi="Segoe UI" w:cs="Segoe UI"/>
          <w:bCs/>
          <w:sz w:val="22"/>
          <w:szCs w:val="22"/>
        </w:rPr>
        <w:t>in order to</w:t>
      </w:r>
      <w:proofErr w:type="gramEnd"/>
      <w:r w:rsidR="00262B7A">
        <w:rPr>
          <w:rFonts w:ascii="Segoe UI" w:hAnsi="Segoe UI" w:cs="Segoe UI"/>
          <w:bCs/>
          <w:sz w:val="22"/>
          <w:szCs w:val="22"/>
        </w:rPr>
        <w:t xml:space="preserve"> avoid slippage into segment 3</w:t>
      </w:r>
      <w:r w:rsidR="00D61913">
        <w:rPr>
          <w:rFonts w:ascii="Segoe UI" w:hAnsi="Segoe UI" w:cs="Segoe UI"/>
          <w:bCs/>
          <w:sz w:val="22"/>
          <w:szCs w:val="22"/>
        </w:rPr>
        <w:t xml:space="preserve"> and mandated interventions.</w:t>
      </w:r>
    </w:p>
    <w:p w14:paraId="5C09AA73" w14:textId="77777777" w:rsidR="004A11CA" w:rsidRPr="00435E63" w:rsidRDefault="004A11CA" w:rsidP="004A11CA">
      <w:pPr>
        <w:jc w:val="both"/>
        <w:rPr>
          <w:rFonts w:ascii="Segoe UI" w:hAnsi="Segoe UI" w:cs="Segoe UI"/>
          <w:sz w:val="22"/>
          <w:szCs w:val="22"/>
        </w:rPr>
      </w:pPr>
    </w:p>
    <w:p w14:paraId="79DCDF68" w14:textId="77777777" w:rsidR="004A11CA" w:rsidRPr="00435E63" w:rsidRDefault="004A11CA" w:rsidP="004A11CA">
      <w:pPr>
        <w:jc w:val="both"/>
        <w:rPr>
          <w:rFonts w:ascii="Segoe UI" w:hAnsi="Segoe UI" w:cs="Segoe UI"/>
          <w:sz w:val="22"/>
          <w:szCs w:val="22"/>
        </w:rPr>
      </w:pPr>
      <w:proofErr w:type="gramStart"/>
      <w:r w:rsidRPr="00435E63">
        <w:rPr>
          <w:rFonts w:ascii="Segoe UI" w:hAnsi="Segoe UI" w:cs="Segoe UI"/>
          <w:sz w:val="22"/>
          <w:szCs w:val="22"/>
        </w:rPr>
        <w:t>A number of</w:t>
      </w:r>
      <w:proofErr w:type="gramEnd"/>
      <w:r w:rsidRPr="00435E63">
        <w:rPr>
          <w:rFonts w:ascii="Segoe UI" w:hAnsi="Segoe UI" w:cs="Segoe UI"/>
          <w:sz w:val="22"/>
          <w:szCs w:val="22"/>
        </w:rPr>
        <w:t xml:space="preserve"> leadership reviews have taken place over the years, the most recent Rose, and Kerr reviews, but the latest Messenger review will be watched with interest across NHS Leadership with recommendations expected in as little as four months.</w:t>
      </w:r>
    </w:p>
    <w:p w14:paraId="29738C9F" w14:textId="77777777" w:rsidR="004A11CA" w:rsidRPr="00435E63" w:rsidRDefault="004A11CA" w:rsidP="004A11CA">
      <w:pPr>
        <w:jc w:val="both"/>
        <w:rPr>
          <w:rFonts w:ascii="Segoe UI" w:hAnsi="Segoe UI" w:cs="Segoe UI"/>
          <w:sz w:val="22"/>
          <w:szCs w:val="22"/>
        </w:rPr>
      </w:pPr>
    </w:p>
    <w:p w14:paraId="50E682B5" w14:textId="1131EB4A" w:rsidR="004A11CA" w:rsidRPr="00435E63" w:rsidRDefault="0014008C" w:rsidP="004A11CA">
      <w:pPr>
        <w:jc w:val="both"/>
        <w:rPr>
          <w:rFonts w:ascii="Segoe UI" w:hAnsi="Segoe UI" w:cs="Segoe UI"/>
          <w:sz w:val="22"/>
          <w:szCs w:val="22"/>
        </w:rPr>
      </w:pPr>
      <w:r>
        <w:rPr>
          <w:rFonts w:ascii="Segoe UI" w:hAnsi="Segoe UI" w:cs="Segoe UI"/>
          <w:sz w:val="22"/>
          <w:szCs w:val="22"/>
        </w:rPr>
        <w:t xml:space="preserve">On page 12 of the report, </w:t>
      </w:r>
      <w:r w:rsidR="00900349">
        <w:rPr>
          <w:rFonts w:ascii="Segoe UI" w:hAnsi="Segoe UI" w:cs="Segoe UI"/>
          <w:sz w:val="22"/>
          <w:szCs w:val="22"/>
        </w:rPr>
        <w:t>t</w:t>
      </w:r>
      <w:r w:rsidR="004A11CA" w:rsidRPr="00435E63">
        <w:rPr>
          <w:rFonts w:ascii="Segoe UI" w:hAnsi="Segoe UI" w:cs="Segoe UI"/>
          <w:sz w:val="22"/>
          <w:szCs w:val="22"/>
        </w:rPr>
        <w:t xml:space="preserve">he </w:t>
      </w:r>
      <w:r w:rsidR="00900349">
        <w:rPr>
          <w:rFonts w:ascii="Segoe UI" w:hAnsi="Segoe UI" w:cs="Segoe UI"/>
          <w:sz w:val="22"/>
          <w:szCs w:val="22"/>
        </w:rPr>
        <w:t xml:space="preserve">Good Governance Institute </w:t>
      </w:r>
      <w:r w:rsidR="004A11CA" w:rsidRPr="00435E63">
        <w:rPr>
          <w:rFonts w:ascii="Segoe UI" w:hAnsi="Segoe UI" w:cs="Segoe UI"/>
          <w:sz w:val="22"/>
          <w:szCs w:val="22"/>
        </w:rPr>
        <w:t xml:space="preserve">has </w:t>
      </w:r>
      <w:r w:rsidR="00900349">
        <w:rPr>
          <w:rFonts w:ascii="Segoe UI" w:hAnsi="Segoe UI" w:cs="Segoe UI"/>
          <w:sz w:val="22"/>
          <w:szCs w:val="22"/>
        </w:rPr>
        <w:t>undertaken</w:t>
      </w:r>
      <w:r w:rsidR="004A11CA" w:rsidRPr="00435E63">
        <w:rPr>
          <w:rFonts w:ascii="Segoe UI" w:hAnsi="Segoe UI" w:cs="Segoe UI"/>
          <w:sz w:val="22"/>
          <w:szCs w:val="22"/>
        </w:rPr>
        <w:t xml:space="preserve"> some thematic work which is a useful read in terms of our own </w:t>
      </w:r>
      <w:r w:rsidR="003F5F1E">
        <w:rPr>
          <w:rFonts w:ascii="Segoe UI" w:hAnsi="Segoe UI" w:cs="Segoe UI"/>
          <w:sz w:val="22"/>
          <w:szCs w:val="22"/>
        </w:rPr>
        <w:t xml:space="preserve">quality improvement journey and translating </w:t>
      </w:r>
      <w:r w:rsidR="004A11CA" w:rsidRPr="00435E63">
        <w:rPr>
          <w:rFonts w:ascii="Segoe UI" w:hAnsi="Segoe UI" w:cs="Segoe UI"/>
          <w:sz w:val="22"/>
          <w:szCs w:val="22"/>
        </w:rPr>
        <w:t xml:space="preserve">the </w:t>
      </w:r>
      <w:r w:rsidR="00860ED7">
        <w:rPr>
          <w:rFonts w:ascii="Segoe UI" w:hAnsi="Segoe UI" w:cs="Segoe UI"/>
          <w:sz w:val="22"/>
          <w:szCs w:val="22"/>
        </w:rPr>
        <w:t xml:space="preserve">theoretical </w:t>
      </w:r>
      <w:r w:rsidR="004A11CA" w:rsidRPr="00435E63">
        <w:rPr>
          <w:rFonts w:ascii="Segoe UI" w:hAnsi="Segoe UI" w:cs="Segoe UI"/>
          <w:sz w:val="22"/>
          <w:szCs w:val="22"/>
        </w:rPr>
        <w:t xml:space="preserve">application of </w:t>
      </w:r>
      <w:r w:rsidR="00860ED7">
        <w:rPr>
          <w:rFonts w:ascii="Segoe UI" w:hAnsi="Segoe UI" w:cs="Segoe UI"/>
          <w:sz w:val="22"/>
          <w:szCs w:val="22"/>
        </w:rPr>
        <w:t>quality improvement</w:t>
      </w:r>
      <w:r w:rsidR="004A11CA" w:rsidRPr="00435E63">
        <w:rPr>
          <w:rFonts w:ascii="Segoe UI" w:hAnsi="Segoe UI" w:cs="Segoe UI"/>
          <w:sz w:val="22"/>
          <w:szCs w:val="22"/>
        </w:rPr>
        <w:t xml:space="preserve"> principles</w:t>
      </w:r>
      <w:r w:rsidR="00860ED7">
        <w:rPr>
          <w:rFonts w:ascii="Segoe UI" w:hAnsi="Segoe UI" w:cs="Segoe UI"/>
          <w:sz w:val="22"/>
          <w:szCs w:val="22"/>
        </w:rPr>
        <w:t xml:space="preserve"> </w:t>
      </w:r>
      <w:r w:rsidR="00965BFC">
        <w:rPr>
          <w:rFonts w:ascii="Segoe UI" w:hAnsi="Segoe UI" w:cs="Segoe UI"/>
          <w:sz w:val="22"/>
          <w:szCs w:val="22"/>
        </w:rPr>
        <w:t>to help Boards which will be of particular interest to the Quality Committee.</w:t>
      </w:r>
    </w:p>
    <w:p w14:paraId="36313684" w14:textId="77777777" w:rsidR="004A11CA" w:rsidRPr="00435E63" w:rsidRDefault="004A11CA" w:rsidP="004A11CA">
      <w:pPr>
        <w:jc w:val="both"/>
        <w:rPr>
          <w:rFonts w:ascii="Segoe UI" w:hAnsi="Segoe UI" w:cs="Segoe UI"/>
          <w:sz w:val="22"/>
          <w:szCs w:val="22"/>
        </w:rPr>
      </w:pPr>
    </w:p>
    <w:p w14:paraId="19053AD9" w14:textId="77777777" w:rsidR="004A11CA" w:rsidRPr="00435E63" w:rsidRDefault="004A11CA" w:rsidP="004A11CA">
      <w:pPr>
        <w:jc w:val="both"/>
        <w:rPr>
          <w:rFonts w:ascii="Segoe UI" w:hAnsi="Segoe UI" w:cs="Segoe UI"/>
          <w:sz w:val="22"/>
          <w:szCs w:val="22"/>
        </w:rPr>
      </w:pPr>
      <w:r w:rsidRPr="00435E63">
        <w:rPr>
          <w:rFonts w:ascii="Segoe UI" w:hAnsi="Segoe UI" w:cs="Segoe UI"/>
          <w:sz w:val="22"/>
          <w:szCs w:val="22"/>
        </w:rPr>
        <w:t xml:space="preserve">With the ambitions for the Oxford Health Charity ramping up given the work on implementing its first </w:t>
      </w:r>
      <w:proofErr w:type="gramStart"/>
      <w:r w:rsidRPr="00435E63">
        <w:rPr>
          <w:rFonts w:ascii="Segoe UI" w:hAnsi="Segoe UI" w:cs="Segoe UI"/>
          <w:sz w:val="22"/>
          <w:szCs w:val="22"/>
        </w:rPr>
        <w:t>three year</w:t>
      </w:r>
      <w:proofErr w:type="gramEnd"/>
      <w:r w:rsidRPr="00435E63">
        <w:rPr>
          <w:rFonts w:ascii="Segoe UI" w:hAnsi="Segoe UI" w:cs="Segoe UI"/>
          <w:sz w:val="22"/>
          <w:szCs w:val="22"/>
        </w:rPr>
        <w:t xml:space="preserve"> strategy and concentrating on governance and ‘local’ awareness, the recognition in NHSP’s blog on the power of NHS charities in improving experiences of staff and service users is timely in advance of our Corporate Trustee charity session in the New Year.</w:t>
      </w:r>
    </w:p>
    <w:p w14:paraId="78AF68F3" w14:textId="77777777" w:rsidR="004A11CA" w:rsidRPr="001003CA" w:rsidRDefault="004A11CA" w:rsidP="004A11CA">
      <w:pPr>
        <w:jc w:val="both"/>
        <w:rPr>
          <w:rFonts w:ascii="Segoe UI" w:hAnsi="Segoe UI" w:cs="Segoe UI"/>
          <w:sz w:val="22"/>
          <w:szCs w:val="22"/>
          <w:highlight w:val="green"/>
        </w:rPr>
      </w:pPr>
    </w:p>
    <w:p w14:paraId="7C5A3579" w14:textId="433E7A40" w:rsidR="004A11CA" w:rsidRPr="00A1334D" w:rsidRDefault="004A11CA" w:rsidP="004A11CA">
      <w:pPr>
        <w:jc w:val="both"/>
        <w:rPr>
          <w:rFonts w:ascii="Segoe UI" w:hAnsi="Segoe UI" w:cs="Segoe UI"/>
          <w:sz w:val="22"/>
          <w:szCs w:val="22"/>
        </w:rPr>
      </w:pPr>
      <w:r w:rsidRPr="00A1334D">
        <w:rPr>
          <w:rFonts w:ascii="Segoe UI" w:hAnsi="Segoe UI" w:cs="Segoe UI"/>
          <w:sz w:val="22"/>
          <w:szCs w:val="22"/>
        </w:rPr>
        <w:t xml:space="preserve">Also, with the theme of learning and </w:t>
      </w:r>
      <w:r w:rsidR="00860D75">
        <w:rPr>
          <w:rFonts w:ascii="Segoe UI" w:hAnsi="Segoe UI" w:cs="Segoe UI"/>
          <w:sz w:val="22"/>
          <w:szCs w:val="22"/>
        </w:rPr>
        <w:t>the encouraged</w:t>
      </w:r>
      <w:r w:rsidRPr="00A1334D">
        <w:rPr>
          <w:rFonts w:ascii="Segoe UI" w:hAnsi="Segoe UI" w:cs="Segoe UI"/>
          <w:sz w:val="22"/>
          <w:szCs w:val="22"/>
        </w:rPr>
        <w:t xml:space="preserve"> ‘True for Us’ curiosity, I invite Board and Committee members to consider the Addendum to the Report in the Reading Room.  Notable is a growing importance </w:t>
      </w:r>
      <w:proofErr w:type="gramStart"/>
      <w:r w:rsidRPr="00A1334D">
        <w:rPr>
          <w:rFonts w:ascii="Segoe UI" w:hAnsi="Segoe UI" w:cs="Segoe UI"/>
          <w:sz w:val="22"/>
          <w:szCs w:val="22"/>
        </w:rPr>
        <w:t>with regard to</w:t>
      </w:r>
      <w:proofErr w:type="gramEnd"/>
      <w:r w:rsidRPr="00A1334D">
        <w:rPr>
          <w:rFonts w:ascii="Segoe UI" w:hAnsi="Segoe UI" w:cs="Segoe UI"/>
          <w:sz w:val="22"/>
          <w:szCs w:val="22"/>
        </w:rPr>
        <w:t xml:space="preserve"> defensible procurement practice when</w:t>
      </w:r>
      <w:r w:rsidR="002846D2">
        <w:rPr>
          <w:rFonts w:ascii="Segoe UI" w:hAnsi="Segoe UI" w:cs="Segoe UI"/>
          <w:sz w:val="22"/>
          <w:szCs w:val="22"/>
        </w:rPr>
        <w:t xml:space="preserve"> undertaking large scale</w:t>
      </w:r>
      <w:r w:rsidRPr="00A1334D">
        <w:rPr>
          <w:rFonts w:ascii="Segoe UI" w:hAnsi="Segoe UI" w:cs="Segoe UI"/>
          <w:sz w:val="22"/>
          <w:szCs w:val="22"/>
        </w:rPr>
        <w:t xml:space="preserve"> tendering for services with a number of Legal Updates reports to Board now showing the appetite for suing the NHS and Local Authorities.</w:t>
      </w:r>
      <w:r w:rsidR="002846D2">
        <w:rPr>
          <w:rFonts w:ascii="Segoe UI" w:hAnsi="Segoe UI" w:cs="Segoe UI"/>
          <w:sz w:val="22"/>
          <w:szCs w:val="22"/>
        </w:rPr>
        <w:t xml:space="preserve">  This will be of significance when we consider the procurement process for the development of the new hospital.  </w:t>
      </w:r>
      <w:r w:rsidRPr="00A1334D">
        <w:rPr>
          <w:rFonts w:ascii="Segoe UI" w:hAnsi="Segoe UI" w:cs="Segoe UI"/>
          <w:sz w:val="22"/>
          <w:szCs w:val="22"/>
        </w:rPr>
        <w:t xml:space="preserve">Equally, this and previous reports have shown a trend of CQC fines and penalties – this report highlighting fines for the failure to comply with the duty of </w:t>
      </w:r>
      <w:proofErr w:type="spellStart"/>
      <w:r w:rsidRPr="00A1334D">
        <w:rPr>
          <w:rFonts w:ascii="Segoe UI" w:hAnsi="Segoe UI" w:cs="Segoe UI"/>
          <w:sz w:val="22"/>
          <w:szCs w:val="22"/>
        </w:rPr>
        <w:t>candour</w:t>
      </w:r>
      <w:proofErr w:type="spellEnd"/>
      <w:r w:rsidR="00336423">
        <w:rPr>
          <w:rFonts w:ascii="Segoe UI" w:hAnsi="Segoe UI" w:cs="Segoe UI"/>
          <w:sz w:val="22"/>
          <w:szCs w:val="22"/>
        </w:rPr>
        <w:t xml:space="preserve"> and failure to make improvements highlighted previously in CQC inspections, later causing harm</w:t>
      </w:r>
      <w:r w:rsidRPr="00A1334D">
        <w:rPr>
          <w:rFonts w:ascii="Segoe UI" w:hAnsi="Segoe UI" w:cs="Segoe UI"/>
          <w:sz w:val="22"/>
          <w:szCs w:val="22"/>
        </w:rPr>
        <w:t>.</w:t>
      </w:r>
      <w:r w:rsidR="00336423">
        <w:rPr>
          <w:rFonts w:ascii="Segoe UI" w:hAnsi="Segoe UI" w:cs="Segoe UI"/>
          <w:sz w:val="22"/>
          <w:szCs w:val="22"/>
        </w:rPr>
        <w:t xml:space="preserve"> Furthermore, the importance of listening </w:t>
      </w:r>
      <w:r w:rsidR="00771C22">
        <w:rPr>
          <w:rFonts w:ascii="Segoe UI" w:hAnsi="Segoe UI" w:cs="Segoe UI"/>
          <w:sz w:val="22"/>
          <w:szCs w:val="22"/>
        </w:rPr>
        <w:t>to, and acting on staff concerns is highlighted.</w:t>
      </w:r>
    </w:p>
    <w:p w14:paraId="2BC26542" w14:textId="77777777" w:rsidR="004A11CA" w:rsidRPr="00A1334D" w:rsidRDefault="004A11CA" w:rsidP="004A11CA">
      <w:pPr>
        <w:jc w:val="both"/>
        <w:rPr>
          <w:rFonts w:ascii="Segoe UI" w:hAnsi="Segoe UI" w:cs="Segoe UI"/>
          <w:sz w:val="22"/>
          <w:szCs w:val="22"/>
        </w:rPr>
      </w:pPr>
    </w:p>
    <w:p w14:paraId="0CF721E1" w14:textId="5B81B7C4" w:rsidR="004A11CA" w:rsidRPr="00A1334D" w:rsidRDefault="004A11CA" w:rsidP="004A11CA">
      <w:pPr>
        <w:jc w:val="both"/>
        <w:rPr>
          <w:rFonts w:ascii="Segoe UI" w:hAnsi="Segoe UI" w:cs="Segoe UI"/>
          <w:bCs/>
          <w:sz w:val="22"/>
          <w:szCs w:val="22"/>
          <w:lang w:val="en-GB"/>
        </w:rPr>
      </w:pPr>
      <w:r w:rsidRPr="00A1334D">
        <w:rPr>
          <w:rFonts w:ascii="Segoe UI" w:hAnsi="Segoe UI" w:cs="Segoe UI"/>
          <w:bCs/>
          <w:sz w:val="22"/>
          <w:szCs w:val="22"/>
        </w:rPr>
        <w:t>Finally,</w:t>
      </w:r>
      <w:r>
        <w:rPr>
          <w:rFonts w:ascii="Segoe UI" w:hAnsi="Segoe UI" w:cs="Segoe UI"/>
          <w:bCs/>
          <w:sz w:val="22"/>
          <w:szCs w:val="22"/>
        </w:rPr>
        <w:t xml:space="preserve"> set out below are some of the considerations coming out of impending legislative and regulatory </w:t>
      </w:r>
      <w:proofErr w:type="gramStart"/>
      <w:r>
        <w:rPr>
          <w:rFonts w:ascii="Segoe UI" w:hAnsi="Segoe UI" w:cs="Segoe UI"/>
          <w:bCs/>
          <w:sz w:val="22"/>
          <w:szCs w:val="22"/>
        </w:rPr>
        <w:t>change</w:t>
      </w:r>
      <w:r w:rsidR="0018017E">
        <w:rPr>
          <w:rFonts w:ascii="Segoe UI" w:hAnsi="Segoe UI" w:cs="Segoe UI"/>
          <w:bCs/>
          <w:sz w:val="22"/>
          <w:szCs w:val="22"/>
        </w:rPr>
        <w:t>:</w:t>
      </w:r>
      <w:r>
        <w:rPr>
          <w:rFonts w:ascii="Segoe UI" w:hAnsi="Segoe UI" w:cs="Segoe UI"/>
          <w:bCs/>
          <w:sz w:val="22"/>
          <w:szCs w:val="22"/>
        </w:rPr>
        <w:t>-</w:t>
      </w:r>
      <w:proofErr w:type="gramEnd"/>
    </w:p>
    <w:p w14:paraId="7FDB62F7" w14:textId="32E982EF" w:rsidR="004A11CA" w:rsidRPr="00D902A0" w:rsidRDefault="004A11CA" w:rsidP="00402A7B">
      <w:pPr>
        <w:pStyle w:val="Default"/>
        <w:numPr>
          <w:ilvl w:val="0"/>
          <w:numId w:val="18"/>
        </w:numPr>
        <w:spacing w:after="19"/>
        <w:jc w:val="both"/>
        <w:rPr>
          <w:rFonts w:ascii="Segoe UI" w:hAnsi="Segoe UI" w:cs="Segoe UI"/>
          <w:sz w:val="22"/>
          <w:szCs w:val="22"/>
        </w:rPr>
      </w:pPr>
      <w:r w:rsidRPr="00D902A0">
        <w:rPr>
          <w:rFonts w:ascii="Segoe UI" w:hAnsi="Segoe UI" w:cs="Segoe UI"/>
          <w:sz w:val="22"/>
          <w:szCs w:val="22"/>
        </w:rPr>
        <w:t xml:space="preserve">Health and Care Bill -published on 6 July has just finished </w:t>
      </w:r>
      <w:r w:rsidR="00402A7B">
        <w:rPr>
          <w:rFonts w:ascii="Segoe UI" w:hAnsi="Segoe UI" w:cs="Segoe UI"/>
          <w:sz w:val="22"/>
          <w:szCs w:val="22"/>
        </w:rPr>
        <w:t xml:space="preserve">the </w:t>
      </w:r>
      <w:r w:rsidRPr="00D902A0">
        <w:rPr>
          <w:rFonts w:ascii="Segoe UI" w:hAnsi="Segoe UI" w:cs="Segoe UI"/>
          <w:sz w:val="22"/>
          <w:szCs w:val="22"/>
        </w:rPr>
        <w:t xml:space="preserve">committee stage – back end of November and is on track to reach the Lords before Christmas: in–depth scrutiny </w:t>
      </w:r>
      <w:proofErr w:type="gramStart"/>
      <w:r w:rsidRPr="00D902A0">
        <w:rPr>
          <w:rFonts w:ascii="Segoe UI" w:hAnsi="Segoe UI" w:cs="Segoe UI"/>
          <w:sz w:val="22"/>
          <w:szCs w:val="22"/>
        </w:rPr>
        <w:t>expected</w:t>
      </w:r>
      <w:r w:rsidR="00E95F9C">
        <w:rPr>
          <w:rFonts w:ascii="Segoe UI" w:hAnsi="Segoe UI" w:cs="Segoe UI"/>
          <w:sz w:val="22"/>
          <w:szCs w:val="22"/>
        </w:rPr>
        <w:t>;</w:t>
      </w:r>
      <w:proofErr w:type="gramEnd"/>
    </w:p>
    <w:p w14:paraId="1E70A0B5" w14:textId="3151D6F6" w:rsidR="004A11CA" w:rsidRPr="00D902A0" w:rsidRDefault="004A11CA" w:rsidP="00402A7B">
      <w:pPr>
        <w:pStyle w:val="Default"/>
        <w:numPr>
          <w:ilvl w:val="0"/>
          <w:numId w:val="18"/>
        </w:numPr>
        <w:spacing w:after="19"/>
        <w:jc w:val="both"/>
        <w:rPr>
          <w:rFonts w:ascii="Segoe UI" w:hAnsi="Segoe UI" w:cs="Segoe UI"/>
          <w:sz w:val="22"/>
          <w:szCs w:val="22"/>
        </w:rPr>
      </w:pPr>
      <w:r w:rsidRPr="00D902A0">
        <w:rPr>
          <w:rFonts w:ascii="Segoe UI" w:hAnsi="Segoe UI" w:cs="Segoe UI"/>
          <w:sz w:val="22"/>
          <w:szCs w:val="22"/>
        </w:rPr>
        <w:t xml:space="preserve">Secretary of state powers of direction, including intervention in local service </w:t>
      </w:r>
      <w:proofErr w:type="gramStart"/>
      <w:r w:rsidRPr="00D902A0">
        <w:rPr>
          <w:rFonts w:ascii="Segoe UI" w:hAnsi="Segoe UI" w:cs="Segoe UI"/>
          <w:sz w:val="22"/>
          <w:szCs w:val="22"/>
        </w:rPr>
        <w:t>configurations</w:t>
      </w:r>
      <w:r w:rsidR="00EA2E2D">
        <w:rPr>
          <w:rFonts w:ascii="Segoe UI" w:hAnsi="Segoe UI" w:cs="Segoe UI"/>
          <w:sz w:val="22"/>
          <w:szCs w:val="22"/>
        </w:rPr>
        <w:t>;</w:t>
      </w:r>
      <w:proofErr w:type="gramEnd"/>
    </w:p>
    <w:p w14:paraId="61D206B6" w14:textId="2C117DFA" w:rsidR="004A11CA" w:rsidRPr="00D902A0" w:rsidRDefault="004A11CA" w:rsidP="00402A7B">
      <w:pPr>
        <w:pStyle w:val="Default"/>
        <w:numPr>
          <w:ilvl w:val="0"/>
          <w:numId w:val="18"/>
        </w:numPr>
        <w:spacing w:after="19"/>
        <w:jc w:val="both"/>
        <w:rPr>
          <w:rFonts w:ascii="Segoe UI" w:hAnsi="Segoe UI" w:cs="Segoe UI"/>
          <w:sz w:val="22"/>
          <w:szCs w:val="22"/>
        </w:rPr>
      </w:pPr>
      <w:r w:rsidRPr="00D902A0">
        <w:rPr>
          <w:rFonts w:ascii="Segoe UI" w:hAnsi="Segoe UI" w:cs="Segoe UI"/>
          <w:sz w:val="22"/>
          <w:szCs w:val="22"/>
        </w:rPr>
        <w:t xml:space="preserve">Statutory ICSs –functions, duties, governance, accountability –and CQC assessment of </w:t>
      </w:r>
      <w:proofErr w:type="gramStart"/>
      <w:r w:rsidRPr="00D902A0">
        <w:rPr>
          <w:rFonts w:ascii="Segoe UI" w:hAnsi="Segoe UI" w:cs="Segoe UI"/>
          <w:sz w:val="22"/>
          <w:szCs w:val="22"/>
        </w:rPr>
        <w:t>systems</w:t>
      </w:r>
      <w:r w:rsidR="00EA2E2D">
        <w:rPr>
          <w:rFonts w:ascii="Segoe UI" w:hAnsi="Segoe UI" w:cs="Segoe UI"/>
          <w:sz w:val="22"/>
          <w:szCs w:val="22"/>
        </w:rPr>
        <w:t>;</w:t>
      </w:r>
      <w:proofErr w:type="gramEnd"/>
    </w:p>
    <w:p w14:paraId="51584E7B" w14:textId="361ABB75" w:rsidR="004A11CA" w:rsidRPr="00B662F2" w:rsidRDefault="004A11CA" w:rsidP="00402A7B">
      <w:pPr>
        <w:pStyle w:val="Default"/>
        <w:numPr>
          <w:ilvl w:val="0"/>
          <w:numId w:val="18"/>
        </w:numPr>
        <w:jc w:val="both"/>
        <w:rPr>
          <w:rFonts w:ascii="Segoe UI" w:hAnsi="Segoe UI" w:cs="Segoe UI"/>
          <w:sz w:val="22"/>
          <w:szCs w:val="22"/>
        </w:rPr>
      </w:pPr>
      <w:r w:rsidRPr="00B662F2">
        <w:rPr>
          <w:rFonts w:ascii="Segoe UI" w:hAnsi="Segoe UI" w:cs="Segoe UI"/>
          <w:sz w:val="22"/>
          <w:szCs w:val="22"/>
        </w:rPr>
        <w:t xml:space="preserve">Foundation trusts’ capital spending </w:t>
      </w:r>
      <w:proofErr w:type="gramStart"/>
      <w:r w:rsidRPr="00B662F2">
        <w:rPr>
          <w:rFonts w:ascii="Segoe UI" w:hAnsi="Segoe UI" w:cs="Segoe UI"/>
          <w:sz w:val="22"/>
          <w:szCs w:val="22"/>
        </w:rPr>
        <w:t>limits</w:t>
      </w:r>
      <w:r w:rsidR="00EA2E2D">
        <w:rPr>
          <w:rFonts w:ascii="Segoe UI" w:hAnsi="Segoe UI" w:cs="Segoe UI"/>
          <w:sz w:val="22"/>
          <w:szCs w:val="22"/>
        </w:rPr>
        <w:t>;</w:t>
      </w:r>
      <w:proofErr w:type="gramEnd"/>
    </w:p>
    <w:p w14:paraId="43C7A0C5" w14:textId="3A9656F7" w:rsidR="004A11CA" w:rsidRPr="00D902A0" w:rsidRDefault="004A11CA" w:rsidP="00402A7B">
      <w:pPr>
        <w:pStyle w:val="Default"/>
        <w:numPr>
          <w:ilvl w:val="0"/>
          <w:numId w:val="18"/>
        </w:numPr>
        <w:spacing w:after="19"/>
        <w:jc w:val="both"/>
        <w:rPr>
          <w:rFonts w:ascii="Segoe UI" w:hAnsi="Segoe UI" w:cs="Segoe UI"/>
          <w:sz w:val="22"/>
          <w:szCs w:val="22"/>
        </w:rPr>
      </w:pPr>
      <w:r w:rsidRPr="00D902A0">
        <w:rPr>
          <w:rFonts w:ascii="Segoe UI" w:hAnsi="Segoe UI" w:cs="Segoe UI"/>
          <w:sz w:val="22"/>
          <w:szCs w:val="22"/>
        </w:rPr>
        <w:t xml:space="preserve">Opportunities for mental health providers </w:t>
      </w:r>
      <w:proofErr w:type="gramStart"/>
      <w:r w:rsidRPr="00D902A0">
        <w:rPr>
          <w:rFonts w:ascii="Segoe UI" w:hAnsi="Segoe UI" w:cs="Segoe UI"/>
          <w:sz w:val="22"/>
          <w:szCs w:val="22"/>
        </w:rPr>
        <w:t>i.e.</w:t>
      </w:r>
      <w:proofErr w:type="gramEnd"/>
      <w:r w:rsidRPr="00D902A0">
        <w:rPr>
          <w:rFonts w:ascii="Segoe UI" w:hAnsi="Segoe UI" w:cs="Segoe UI"/>
          <w:sz w:val="22"/>
          <w:szCs w:val="22"/>
        </w:rPr>
        <w:t xml:space="preserve"> tackling health inequalities and improving care across pathways</w:t>
      </w:r>
      <w:r w:rsidR="00EA2E2D">
        <w:rPr>
          <w:rFonts w:ascii="Segoe UI" w:hAnsi="Segoe UI" w:cs="Segoe UI"/>
          <w:sz w:val="22"/>
          <w:szCs w:val="22"/>
        </w:rPr>
        <w:t>;</w:t>
      </w:r>
    </w:p>
    <w:p w14:paraId="5C6F8878" w14:textId="073168C5" w:rsidR="004A11CA" w:rsidRPr="00D902A0" w:rsidRDefault="004A11CA" w:rsidP="00402A7B">
      <w:pPr>
        <w:pStyle w:val="Default"/>
        <w:numPr>
          <w:ilvl w:val="0"/>
          <w:numId w:val="18"/>
        </w:numPr>
        <w:spacing w:after="19"/>
        <w:jc w:val="both"/>
        <w:rPr>
          <w:rFonts w:ascii="Segoe UI" w:hAnsi="Segoe UI" w:cs="Segoe UI"/>
          <w:sz w:val="22"/>
          <w:szCs w:val="22"/>
        </w:rPr>
      </w:pPr>
      <w:r>
        <w:rPr>
          <w:rFonts w:ascii="Segoe UI" w:hAnsi="Segoe UI" w:cs="Segoe UI"/>
          <w:sz w:val="22"/>
          <w:szCs w:val="22"/>
        </w:rPr>
        <w:t>C</w:t>
      </w:r>
      <w:r w:rsidRPr="00D902A0">
        <w:rPr>
          <w:rFonts w:ascii="Segoe UI" w:hAnsi="Segoe UI" w:cs="Segoe UI"/>
          <w:sz w:val="22"/>
          <w:szCs w:val="22"/>
        </w:rPr>
        <w:t xml:space="preserve">oncerns about the involvement of mental health providers in ICS design and decision making, operation over a multi-ICS footprint, and relationships with non-NHS </w:t>
      </w:r>
      <w:proofErr w:type="gramStart"/>
      <w:r w:rsidRPr="00D902A0">
        <w:rPr>
          <w:rFonts w:ascii="Segoe UI" w:hAnsi="Segoe UI" w:cs="Segoe UI"/>
          <w:sz w:val="22"/>
          <w:szCs w:val="22"/>
        </w:rPr>
        <w:t>partners</w:t>
      </w:r>
      <w:r w:rsidR="00EA2E2D">
        <w:rPr>
          <w:rFonts w:ascii="Segoe UI" w:hAnsi="Segoe UI" w:cs="Segoe UI"/>
          <w:sz w:val="22"/>
          <w:szCs w:val="22"/>
        </w:rPr>
        <w:t>;</w:t>
      </w:r>
      <w:proofErr w:type="gramEnd"/>
      <w:r w:rsidRPr="00D902A0">
        <w:rPr>
          <w:rFonts w:ascii="Segoe UI" w:hAnsi="Segoe UI" w:cs="Segoe UI"/>
          <w:sz w:val="22"/>
          <w:szCs w:val="22"/>
        </w:rPr>
        <w:t xml:space="preserve">  </w:t>
      </w:r>
    </w:p>
    <w:p w14:paraId="3DD35ACE" w14:textId="56077D75" w:rsidR="004A11CA" w:rsidRPr="0016520F" w:rsidRDefault="004A11CA" w:rsidP="00402A7B">
      <w:pPr>
        <w:pStyle w:val="Default"/>
        <w:numPr>
          <w:ilvl w:val="0"/>
          <w:numId w:val="18"/>
        </w:numPr>
        <w:jc w:val="both"/>
        <w:rPr>
          <w:rFonts w:ascii="Segoe UI" w:hAnsi="Segoe UI" w:cs="Segoe UI"/>
          <w:bCs/>
          <w:sz w:val="22"/>
          <w:szCs w:val="22"/>
        </w:rPr>
      </w:pPr>
      <w:r w:rsidRPr="0016520F">
        <w:rPr>
          <w:rFonts w:ascii="Segoe UI" w:hAnsi="Segoe UI" w:cs="Segoe UI"/>
          <w:sz w:val="22"/>
          <w:szCs w:val="22"/>
        </w:rPr>
        <w:lastRenderedPageBreak/>
        <w:t xml:space="preserve">Outstanding questions on development of ICBs and the funding and responsibilities delegated to provider collaboratives and place-based </w:t>
      </w:r>
      <w:proofErr w:type="gramStart"/>
      <w:r w:rsidRPr="0016520F">
        <w:rPr>
          <w:rFonts w:ascii="Segoe UI" w:hAnsi="Segoe UI" w:cs="Segoe UI"/>
          <w:sz w:val="22"/>
          <w:szCs w:val="22"/>
        </w:rPr>
        <w:t>partnerships</w:t>
      </w:r>
      <w:r w:rsidR="00EA2E2D">
        <w:rPr>
          <w:rFonts w:ascii="Segoe UI" w:hAnsi="Segoe UI" w:cs="Segoe UI"/>
          <w:sz w:val="22"/>
          <w:szCs w:val="22"/>
        </w:rPr>
        <w:t>;</w:t>
      </w:r>
      <w:proofErr w:type="gramEnd"/>
    </w:p>
    <w:p w14:paraId="704F6A4C" w14:textId="1DE43704" w:rsidR="004A11CA" w:rsidRPr="00D902A0" w:rsidRDefault="004A11CA" w:rsidP="00402A7B">
      <w:pPr>
        <w:pStyle w:val="ListParagraph"/>
        <w:numPr>
          <w:ilvl w:val="0"/>
          <w:numId w:val="18"/>
        </w:numPr>
        <w:jc w:val="both"/>
        <w:rPr>
          <w:rFonts w:ascii="Segoe UI" w:hAnsi="Segoe UI" w:cs="Segoe UI"/>
          <w:bCs/>
          <w:sz w:val="22"/>
          <w:szCs w:val="22"/>
          <w:lang w:val="en-GB"/>
        </w:rPr>
      </w:pPr>
      <w:r w:rsidRPr="00D902A0">
        <w:rPr>
          <w:rFonts w:ascii="Segoe UI" w:hAnsi="Segoe UI" w:cs="Segoe UI"/>
          <w:bCs/>
          <w:sz w:val="22"/>
          <w:szCs w:val="22"/>
          <w:lang w:val="en-GB"/>
        </w:rPr>
        <w:t xml:space="preserve">Key upcoming mental health national policy </w:t>
      </w:r>
      <w:proofErr w:type="gramStart"/>
      <w:r w:rsidRPr="00D902A0">
        <w:rPr>
          <w:rFonts w:ascii="Segoe UI" w:hAnsi="Segoe UI" w:cs="Segoe UI"/>
          <w:bCs/>
          <w:sz w:val="22"/>
          <w:szCs w:val="22"/>
          <w:lang w:val="en-GB"/>
        </w:rPr>
        <w:t>developments</w:t>
      </w:r>
      <w:r w:rsidR="00F46E11">
        <w:rPr>
          <w:rFonts w:ascii="Segoe UI" w:hAnsi="Segoe UI" w:cs="Segoe UI"/>
          <w:bCs/>
          <w:sz w:val="22"/>
          <w:szCs w:val="22"/>
          <w:lang w:val="en-GB"/>
        </w:rPr>
        <w:t>;</w:t>
      </w:r>
      <w:proofErr w:type="gramEnd"/>
    </w:p>
    <w:p w14:paraId="31ADE12B" w14:textId="571F5A83" w:rsidR="004A11CA" w:rsidRPr="00D902A0" w:rsidRDefault="004A11CA" w:rsidP="00402A7B">
      <w:pPr>
        <w:pStyle w:val="ListParagraph"/>
        <w:numPr>
          <w:ilvl w:val="0"/>
          <w:numId w:val="18"/>
        </w:numPr>
        <w:jc w:val="both"/>
        <w:rPr>
          <w:rFonts w:ascii="Segoe UI" w:hAnsi="Segoe UI" w:cs="Segoe UI"/>
          <w:bCs/>
          <w:sz w:val="22"/>
          <w:szCs w:val="22"/>
          <w:lang w:val="en-GB"/>
        </w:rPr>
      </w:pPr>
      <w:r w:rsidRPr="00D902A0">
        <w:rPr>
          <w:rFonts w:ascii="Segoe UI" w:hAnsi="Segoe UI" w:cs="Segoe UI"/>
          <w:bCs/>
          <w:sz w:val="22"/>
          <w:szCs w:val="22"/>
          <w:lang w:val="en-GB"/>
        </w:rPr>
        <w:t xml:space="preserve">New mental health access standards (imminent) NHSE/I response to consultation due imminently. Implementation expected in shadow form from Q4 </w:t>
      </w:r>
      <w:proofErr w:type="gramStart"/>
      <w:r w:rsidRPr="00D902A0">
        <w:rPr>
          <w:rFonts w:ascii="Segoe UI" w:hAnsi="Segoe UI" w:cs="Segoe UI"/>
          <w:bCs/>
          <w:sz w:val="22"/>
          <w:szCs w:val="22"/>
          <w:lang w:val="en-GB"/>
        </w:rPr>
        <w:t>2021/22</w:t>
      </w:r>
      <w:r w:rsidR="00F46E11">
        <w:rPr>
          <w:rFonts w:ascii="Segoe UI" w:hAnsi="Segoe UI" w:cs="Segoe UI"/>
          <w:bCs/>
          <w:sz w:val="22"/>
          <w:szCs w:val="22"/>
          <w:lang w:val="en-GB"/>
        </w:rPr>
        <w:t>;</w:t>
      </w:r>
      <w:proofErr w:type="gramEnd"/>
    </w:p>
    <w:p w14:paraId="76A3F653" w14:textId="68E0270F" w:rsidR="004A11CA" w:rsidRPr="00D902A0" w:rsidRDefault="004A11CA" w:rsidP="00402A7B">
      <w:pPr>
        <w:pStyle w:val="ListParagraph"/>
        <w:numPr>
          <w:ilvl w:val="0"/>
          <w:numId w:val="18"/>
        </w:numPr>
        <w:jc w:val="both"/>
        <w:rPr>
          <w:rFonts w:ascii="Segoe UI" w:hAnsi="Segoe UI" w:cs="Segoe UI"/>
          <w:bCs/>
          <w:sz w:val="22"/>
          <w:szCs w:val="22"/>
          <w:lang w:val="en-GB"/>
        </w:rPr>
      </w:pPr>
      <w:r w:rsidRPr="00D902A0">
        <w:rPr>
          <w:rFonts w:ascii="Segoe UI" w:hAnsi="Segoe UI" w:cs="Segoe UI"/>
          <w:bCs/>
          <w:sz w:val="22"/>
          <w:szCs w:val="22"/>
          <w:lang w:val="en-GB"/>
        </w:rPr>
        <w:t xml:space="preserve">CQC restrictive practices stock take (before end of the year) report assessing progress made one year on from thematic review being </w:t>
      </w:r>
      <w:proofErr w:type="gramStart"/>
      <w:r w:rsidRPr="00D902A0">
        <w:rPr>
          <w:rFonts w:ascii="Segoe UI" w:hAnsi="Segoe UI" w:cs="Segoe UI"/>
          <w:bCs/>
          <w:sz w:val="22"/>
          <w:szCs w:val="22"/>
          <w:lang w:val="en-GB"/>
        </w:rPr>
        <w:t>published</w:t>
      </w:r>
      <w:r w:rsidR="00F46E11">
        <w:rPr>
          <w:rFonts w:ascii="Segoe UI" w:hAnsi="Segoe UI" w:cs="Segoe UI"/>
          <w:bCs/>
          <w:sz w:val="22"/>
          <w:szCs w:val="22"/>
          <w:lang w:val="en-GB"/>
        </w:rPr>
        <w:t>;</w:t>
      </w:r>
      <w:proofErr w:type="gramEnd"/>
    </w:p>
    <w:p w14:paraId="03554019" w14:textId="58D4F037" w:rsidR="00023B36" w:rsidRDefault="004A11CA" w:rsidP="00023B36">
      <w:pPr>
        <w:pStyle w:val="ListParagraph"/>
        <w:numPr>
          <w:ilvl w:val="0"/>
          <w:numId w:val="18"/>
        </w:numPr>
        <w:jc w:val="both"/>
        <w:rPr>
          <w:rFonts w:ascii="Segoe UI" w:hAnsi="Segoe UI" w:cs="Segoe UI"/>
          <w:bCs/>
          <w:sz w:val="22"/>
          <w:szCs w:val="22"/>
          <w:lang w:val="en-GB"/>
        </w:rPr>
      </w:pPr>
      <w:r w:rsidRPr="00D902A0">
        <w:rPr>
          <w:rFonts w:ascii="Segoe UI" w:hAnsi="Segoe UI" w:cs="Segoe UI"/>
          <w:bCs/>
          <w:sz w:val="22"/>
          <w:szCs w:val="22"/>
          <w:lang w:val="en-GB"/>
        </w:rPr>
        <w:t xml:space="preserve">Reforming the Mental Health Act (timings TBC) engagement ahead of draft bill publication Spring </w:t>
      </w:r>
      <w:proofErr w:type="gramStart"/>
      <w:r w:rsidRPr="00D902A0">
        <w:rPr>
          <w:rFonts w:ascii="Segoe UI" w:hAnsi="Segoe UI" w:cs="Segoe UI"/>
          <w:bCs/>
          <w:sz w:val="22"/>
          <w:szCs w:val="22"/>
          <w:lang w:val="en-GB"/>
        </w:rPr>
        <w:t>2022</w:t>
      </w:r>
      <w:r w:rsidR="00B33DAD">
        <w:rPr>
          <w:rFonts w:ascii="Segoe UI" w:hAnsi="Segoe UI" w:cs="Segoe UI"/>
          <w:bCs/>
          <w:sz w:val="22"/>
          <w:szCs w:val="22"/>
          <w:lang w:val="en-GB"/>
        </w:rPr>
        <w:t>;</w:t>
      </w:r>
      <w:proofErr w:type="gramEnd"/>
    </w:p>
    <w:p w14:paraId="1CB7E760" w14:textId="1B070DC7" w:rsidR="00E95F9C" w:rsidRDefault="004A11CA" w:rsidP="00023B36">
      <w:pPr>
        <w:pStyle w:val="ListParagraph"/>
        <w:numPr>
          <w:ilvl w:val="0"/>
          <w:numId w:val="18"/>
        </w:numPr>
        <w:ind w:hanging="357"/>
        <w:jc w:val="both"/>
        <w:rPr>
          <w:rFonts w:ascii="Segoe UI" w:hAnsi="Segoe UI" w:cs="Segoe UI"/>
          <w:bCs/>
          <w:sz w:val="22"/>
          <w:szCs w:val="22"/>
          <w:lang w:val="en-GB"/>
        </w:rPr>
      </w:pPr>
      <w:r w:rsidRPr="00023B36">
        <w:rPr>
          <w:rFonts w:ascii="Segoe UI" w:hAnsi="Segoe UI" w:cs="Segoe UI"/>
          <w:bCs/>
          <w:sz w:val="22"/>
          <w:szCs w:val="22"/>
          <w:lang w:val="en-GB"/>
        </w:rPr>
        <w:t xml:space="preserve">Mental Capacity Act (timings TBC) consultation on code of practice and regulations. Liberty Protection Safeguards due to ‘go live’ April </w:t>
      </w:r>
      <w:proofErr w:type="gramStart"/>
      <w:r w:rsidRPr="00023B36">
        <w:rPr>
          <w:rFonts w:ascii="Segoe UI" w:hAnsi="Segoe UI" w:cs="Segoe UI"/>
          <w:bCs/>
          <w:sz w:val="22"/>
          <w:szCs w:val="22"/>
          <w:lang w:val="en-GB"/>
        </w:rPr>
        <w:t>2022</w:t>
      </w:r>
      <w:r w:rsidR="00B33DAD">
        <w:rPr>
          <w:rFonts w:ascii="Segoe UI" w:hAnsi="Segoe UI" w:cs="Segoe UI"/>
          <w:bCs/>
          <w:sz w:val="22"/>
          <w:szCs w:val="22"/>
          <w:lang w:val="en-GB"/>
        </w:rPr>
        <w:t>;</w:t>
      </w:r>
      <w:proofErr w:type="gramEnd"/>
    </w:p>
    <w:p w14:paraId="6B09A1CE" w14:textId="6C068002" w:rsidR="00E95F9C" w:rsidRDefault="004A11CA" w:rsidP="00E95F9C">
      <w:pPr>
        <w:pStyle w:val="ListParagraph"/>
        <w:numPr>
          <w:ilvl w:val="0"/>
          <w:numId w:val="18"/>
        </w:numPr>
        <w:ind w:hanging="357"/>
        <w:jc w:val="both"/>
        <w:rPr>
          <w:rFonts w:ascii="Segoe UI" w:hAnsi="Segoe UI" w:cs="Segoe UI"/>
          <w:bCs/>
          <w:sz w:val="22"/>
          <w:szCs w:val="22"/>
          <w:lang w:val="en-GB"/>
        </w:rPr>
      </w:pPr>
      <w:r w:rsidRPr="00023B36">
        <w:rPr>
          <w:rFonts w:ascii="Segoe UI" w:hAnsi="Segoe UI" w:cs="Segoe UI"/>
          <w:bCs/>
          <w:sz w:val="22"/>
          <w:szCs w:val="22"/>
          <w:lang w:val="en-GB"/>
        </w:rPr>
        <w:t xml:space="preserve">New long term mental health strategy (winter 2021/22) scoping over the winter with a public consultation launch due end of January/early </w:t>
      </w:r>
      <w:proofErr w:type="gramStart"/>
      <w:r w:rsidRPr="00023B36">
        <w:rPr>
          <w:rFonts w:ascii="Segoe UI" w:hAnsi="Segoe UI" w:cs="Segoe UI"/>
          <w:bCs/>
          <w:sz w:val="22"/>
          <w:szCs w:val="22"/>
          <w:lang w:val="en-GB"/>
        </w:rPr>
        <w:t>February</w:t>
      </w:r>
      <w:r w:rsidR="00B33DAD">
        <w:rPr>
          <w:rFonts w:ascii="Segoe UI" w:hAnsi="Segoe UI" w:cs="Segoe UI"/>
          <w:bCs/>
          <w:sz w:val="22"/>
          <w:szCs w:val="22"/>
          <w:lang w:val="en-GB"/>
        </w:rPr>
        <w:t>;</w:t>
      </w:r>
      <w:proofErr w:type="gramEnd"/>
      <w:r w:rsidRPr="00023B36">
        <w:rPr>
          <w:rFonts w:ascii="Segoe UI" w:hAnsi="Segoe UI" w:cs="Segoe UI"/>
          <w:bCs/>
          <w:sz w:val="22"/>
          <w:szCs w:val="22"/>
          <w:lang w:val="en-GB"/>
        </w:rPr>
        <w:t xml:space="preserve"> </w:t>
      </w:r>
    </w:p>
    <w:p w14:paraId="34A7E54C" w14:textId="5069C1D7" w:rsidR="00E95F9C" w:rsidRPr="00E95F9C" w:rsidRDefault="004A11CA" w:rsidP="00E95F9C">
      <w:pPr>
        <w:pStyle w:val="ListParagraph"/>
        <w:numPr>
          <w:ilvl w:val="0"/>
          <w:numId w:val="18"/>
        </w:numPr>
        <w:ind w:hanging="357"/>
        <w:jc w:val="both"/>
        <w:rPr>
          <w:rFonts w:ascii="Segoe UI" w:hAnsi="Segoe UI" w:cs="Segoe UI"/>
          <w:bCs/>
          <w:sz w:val="22"/>
          <w:szCs w:val="22"/>
          <w:lang w:val="en-GB"/>
        </w:rPr>
      </w:pPr>
      <w:r w:rsidRPr="00E95F9C">
        <w:rPr>
          <w:rFonts w:ascii="Segoe UI" w:hAnsi="Segoe UI" w:cs="Segoe UI"/>
          <w:bCs/>
          <w:sz w:val="22"/>
          <w:szCs w:val="22"/>
          <w:lang w:val="en-GB"/>
        </w:rPr>
        <w:t xml:space="preserve">Social Care Reform – </w:t>
      </w:r>
      <w:r w:rsidRPr="00E95F9C">
        <w:rPr>
          <w:rFonts w:ascii="Segoe UI" w:hAnsi="Segoe UI" w:cs="Segoe UI"/>
          <w:sz w:val="22"/>
          <w:szCs w:val="22"/>
        </w:rPr>
        <w:t xml:space="preserve">Integration White paper - promoting integrated health and social care and making the most of benefits of collaboration between health and social care </w:t>
      </w:r>
      <w:proofErr w:type="gramStart"/>
      <w:r w:rsidRPr="00E95F9C">
        <w:rPr>
          <w:rFonts w:ascii="Segoe UI" w:hAnsi="Segoe UI" w:cs="Segoe UI"/>
          <w:sz w:val="22"/>
          <w:szCs w:val="22"/>
        </w:rPr>
        <w:t>partners</w:t>
      </w:r>
      <w:r w:rsidR="00B33DAD">
        <w:rPr>
          <w:rFonts w:ascii="Segoe UI" w:hAnsi="Segoe UI" w:cs="Segoe UI"/>
          <w:sz w:val="22"/>
          <w:szCs w:val="22"/>
        </w:rPr>
        <w:t>;</w:t>
      </w:r>
      <w:proofErr w:type="gramEnd"/>
    </w:p>
    <w:p w14:paraId="6EFCF2A1" w14:textId="609E5175" w:rsidR="004A11CA" w:rsidRPr="00E95F9C" w:rsidRDefault="004A11CA" w:rsidP="00E95F9C">
      <w:pPr>
        <w:pStyle w:val="ListParagraph"/>
        <w:numPr>
          <w:ilvl w:val="0"/>
          <w:numId w:val="18"/>
        </w:numPr>
        <w:ind w:hanging="357"/>
        <w:jc w:val="both"/>
        <w:rPr>
          <w:rFonts w:ascii="Segoe UI" w:hAnsi="Segoe UI" w:cs="Segoe UI"/>
          <w:bCs/>
          <w:sz w:val="22"/>
          <w:szCs w:val="22"/>
          <w:lang w:val="en-GB"/>
        </w:rPr>
      </w:pPr>
      <w:r w:rsidRPr="00E95F9C">
        <w:rPr>
          <w:rFonts w:ascii="Segoe UI" w:hAnsi="Segoe UI" w:cs="Segoe UI"/>
          <w:color w:val="3D3C3B"/>
          <w:sz w:val="22"/>
          <w:szCs w:val="22"/>
          <w:lang w:val="en-GB" w:eastAsia="en-GB"/>
        </w:rPr>
        <w:t>There is also the conundrum of whether places within an ICS should be able to adopt differing governance arrangements. Adopting different arrangements could result in:</w:t>
      </w:r>
    </w:p>
    <w:p w14:paraId="78F4EA2B" w14:textId="77777777" w:rsidR="004A11CA" w:rsidRPr="00402A7B" w:rsidRDefault="004A11CA" w:rsidP="00023B36">
      <w:pPr>
        <w:pStyle w:val="ListParagraph"/>
        <w:numPr>
          <w:ilvl w:val="1"/>
          <w:numId w:val="11"/>
        </w:numPr>
        <w:shd w:val="clear" w:color="auto" w:fill="FFFFFF"/>
        <w:spacing w:before="60" w:beforeAutospacing="1" w:after="60" w:afterAutospacing="1"/>
        <w:ind w:hanging="357"/>
        <w:jc w:val="both"/>
        <w:rPr>
          <w:rFonts w:ascii="Segoe UI" w:hAnsi="Segoe UI" w:cs="Segoe UI"/>
          <w:color w:val="333333"/>
          <w:sz w:val="22"/>
          <w:szCs w:val="22"/>
          <w:lang w:val="en-GB" w:eastAsia="en-GB"/>
        </w:rPr>
      </w:pPr>
      <w:r w:rsidRPr="00402A7B">
        <w:rPr>
          <w:rFonts w:ascii="Segoe UI" w:hAnsi="Segoe UI" w:cs="Segoe UI"/>
          <w:color w:val="333333"/>
          <w:sz w:val="22"/>
          <w:szCs w:val="22"/>
          <w:lang w:val="en-GB" w:eastAsia="en-GB"/>
        </w:rPr>
        <w:t xml:space="preserve">Overly complex arrangements </w:t>
      </w:r>
    </w:p>
    <w:p w14:paraId="66C8722C" w14:textId="77777777" w:rsidR="004A11CA" w:rsidRPr="00402A7B" w:rsidRDefault="004A11CA" w:rsidP="00023B36">
      <w:pPr>
        <w:pStyle w:val="ListParagraph"/>
        <w:numPr>
          <w:ilvl w:val="1"/>
          <w:numId w:val="11"/>
        </w:numPr>
        <w:shd w:val="clear" w:color="auto" w:fill="FFFFFF"/>
        <w:spacing w:before="60" w:beforeAutospacing="1" w:after="60" w:afterAutospacing="1"/>
        <w:ind w:hanging="357"/>
        <w:jc w:val="both"/>
        <w:rPr>
          <w:rFonts w:ascii="Segoe UI" w:hAnsi="Segoe UI" w:cs="Segoe UI"/>
          <w:color w:val="333333"/>
          <w:sz w:val="22"/>
          <w:szCs w:val="22"/>
          <w:lang w:val="en-GB" w:eastAsia="en-GB"/>
        </w:rPr>
      </w:pPr>
      <w:r w:rsidRPr="00402A7B">
        <w:rPr>
          <w:rFonts w:ascii="Segoe UI" w:hAnsi="Segoe UI" w:cs="Segoe UI"/>
          <w:color w:val="333333"/>
          <w:sz w:val="22"/>
          <w:szCs w:val="22"/>
          <w:lang w:val="en-GB" w:eastAsia="en-GB"/>
        </w:rPr>
        <w:t>Disparities in administrative burden and overheads between places</w:t>
      </w:r>
    </w:p>
    <w:p w14:paraId="32D0FA3F" w14:textId="77777777" w:rsidR="004A11CA" w:rsidRPr="00402A7B" w:rsidRDefault="004A11CA" w:rsidP="00023B36">
      <w:pPr>
        <w:numPr>
          <w:ilvl w:val="1"/>
          <w:numId w:val="11"/>
        </w:numPr>
        <w:shd w:val="clear" w:color="auto" w:fill="FFFFFF"/>
        <w:spacing w:before="60" w:after="60"/>
        <w:ind w:hanging="357"/>
        <w:rPr>
          <w:rFonts w:ascii="Segoe UI" w:hAnsi="Segoe UI" w:cs="Segoe UI"/>
          <w:color w:val="333333"/>
          <w:sz w:val="22"/>
          <w:szCs w:val="22"/>
          <w:lang w:val="en-GB" w:eastAsia="en-GB"/>
        </w:rPr>
      </w:pPr>
      <w:r w:rsidRPr="00402A7B">
        <w:rPr>
          <w:rFonts w:ascii="Segoe UI" w:hAnsi="Segoe UI" w:cs="Segoe UI"/>
          <w:color w:val="333333"/>
          <w:sz w:val="22"/>
          <w:szCs w:val="22"/>
          <w:lang w:val="en-GB" w:eastAsia="en-GB"/>
        </w:rPr>
        <w:t>Different representation from stakeholders</w:t>
      </w:r>
    </w:p>
    <w:p w14:paraId="18C4471A" w14:textId="77777777" w:rsidR="004A11CA" w:rsidRPr="009C3CC8" w:rsidRDefault="004A11CA" w:rsidP="004A11CA">
      <w:pPr>
        <w:jc w:val="both"/>
        <w:rPr>
          <w:rFonts w:ascii="Segoe UI" w:hAnsi="Segoe UI" w:cs="Segoe UI"/>
          <w:b/>
          <w:sz w:val="22"/>
          <w:szCs w:val="22"/>
        </w:rPr>
      </w:pPr>
      <w:r w:rsidRPr="009C3CC8">
        <w:rPr>
          <w:rFonts w:ascii="Segoe UI" w:hAnsi="Segoe UI" w:cs="Segoe UI"/>
          <w:b/>
          <w:sz w:val="22"/>
          <w:szCs w:val="22"/>
        </w:rPr>
        <w:t>Governance Route/Approval Process</w:t>
      </w:r>
    </w:p>
    <w:p w14:paraId="3CE88258" w14:textId="77777777" w:rsidR="004A11CA" w:rsidRPr="009C3CC8" w:rsidRDefault="004A11CA" w:rsidP="004A11CA">
      <w:pPr>
        <w:jc w:val="both"/>
        <w:rPr>
          <w:rFonts w:ascii="Segoe UI" w:hAnsi="Segoe UI" w:cs="Segoe UI"/>
          <w:sz w:val="22"/>
          <w:szCs w:val="22"/>
        </w:rPr>
      </w:pPr>
      <w:r w:rsidRPr="009C3CC8">
        <w:rPr>
          <w:rFonts w:ascii="Segoe UI" w:hAnsi="Segoe UI" w:cs="Segoe UI"/>
          <w:sz w:val="22"/>
          <w:szCs w:val="22"/>
        </w:rPr>
        <w:t xml:space="preserve">This is a routine report with direct relevance to the Board. </w:t>
      </w:r>
    </w:p>
    <w:p w14:paraId="3EDD31E6" w14:textId="77777777" w:rsidR="004A11CA" w:rsidRPr="009C3CC8" w:rsidRDefault="004A11CA" w:rsidP="004A11CA">
      <w:pPr>
        <w:jc w:val="both"/>
        <w:rPr>
          <w:rFonts w:ascii="Segoe UI" w:hAnsi="Segoe UI" w:cs="Segoe UI"/>
          <w:b/>
          <w:sz w:val="22"/>
          <w:szCs w:val="22"/>
        </w:rPr>
      </w:pPr>
    </w:p>
    <w:p w14:paraId="46D02CC8" w14:textId="77777777" w:rsidR="004A11CA" w:rsidRPr="009C3CC8" w:rsidRDefault="004A11CA" w:rsidP="004A11CA">
      <w:pPr>
        <w:jc w:val="both"/>
        <w:rPr>
          <w:rFonts w:ascii="Segoe UI" w:hAnsi="Segoe UI" w:cs="Segoe UI"/>
          <w:b/>
          <w:sz w:val="22"/>
          <w:szCs w:val="22"/>
        </w:rPr>
      </w:pPr>
      <w:r w:rsidRPr="009C3CC8">
        <w:rPr>
          <w:rFonts w:ascii="Segoe UI" w:hAnsi="Segoe UI" w:cs="Segoe UI"/>
          <w:b/>
          <w:sz w:val="22"/>
          <w:szCs w:val="22"/>
        </w:rPr>
        <w:t>Recommendation</w:t>
      </w:r>
    </w:p>
    <w:p w14:paraId="3B52C189" w14:textId="77777777" w:rsidR="004A11CA" w:rsidRPr="0072538C" w:rsidRDefault="004A11CA" w:rsidP="004A11CA">
      <w:pPr>
        <w:jc w:val="both"/>
        <w:rPr>
          <w:rFonts w:ascii="Segoe UI" w:hAnsi="Segoe UI" w:cs="Segoe UI"/>
          <w:sz w:val="22"/>
          <w:szCs w:val="22"/>
        </w:rPr>
      </w:pPr>
      <w:r w:rsidRPr="0072538C">
        <w:rPr>
          <w:rFonts w:ascii="Segoe UI" w:hAnsi="Segoe UI" w:cs="Segoe UI"/>
          <w:sz w:val="22"/>
          <w:szCs w:val="22"/>
        </w:rPr>
        <w:t xml:space="preserve">The Board of Directors is invited to consider and be aware of the content of the report and where relevant, members should each be satisfied of their individual and collective assurances that the internal plans and controls in place to deliver compliance against any Trust’s obligations are appropriate and effective.  Chairs of Board Committees should consider whether more detailed assurances relevant to their committees, are necessary, </w:t>
      </w:r>
      <w:proofErr w:type="spellStart"/>
      <w:r w:rsidRPr="0072538C">
        <w:rPr>
          <w:rFonts w:ascii="Segoe UI" w:hAnsi="Segoe UI" w:cs="Segoe UI"/>
          <w:sz w:val="22"/>
          <w:szCs w:val="22"/>
        </w:rPr>
        <w:t>utilising</w:t>
      </w:r>
      <w:proofErr w:type="spellEnd"/>
      <w:r w:rsidRPr="0072538C">
        <w:rPr>
          <w:rFonts w:ascii="Segoe UI" w:hAnsi="Segoe UI" w:cs="Segoe UI"/>
          <w:sz w:val="22"/>
          <w:szCs w:val="22"/>
        </w:rPr>
        <w:t xml:space="preserve"> this report as a constructive stimulant to inform the composition of meeting agendas and reporting focus as necessary or appropriate.</w:t>
      </w:r>
    </w:p>
    <w:p w14:paraId="70D7662E" w14:textId="77777777" w:rsidR="004A11CA" w:rsidRPr="0072538C" w:rsidRDefault="004A11CA" w:rsidP="004A11CA">
      <w:pPr>
        <w:jc w:val="both"/>
        <w:rPr>
          <w:rFonts w:ascii="Segoe UI" w:hAnsi="Segoe UI" w:cs="Segoe UI"/>
          <w:b/>
          <w:sz w:val="22"/>
          <w:szCs w:val="22"/>
        </w:rPr>
      </w:pPr>
    </w:p>
    <w:p w14:paraId="1277E282" w14:textId="77777777" w:rsidR="004A11CA" w:rsidRPr="0072538C" w:rsidRDefault="004A11CA" w:rsidP="004A11CA">
      <w:pPr>
        <w:jc w:val="both"/>
        <w:rPr>
          <w:rFonts w:ascii="Segoe UI" w:hAnsi="Segoe UI" w:cs="Segoe UI"/>
          <w:sz w:val="22"/>
          <w:szCs w:val="22"/>
        </w:rPr>
      </w:pPr>
      <w:r w:rsidRPr="0072538C">
        <w:rPr>
          <w:rFonts w:ascii="Segoe UI" w:hAnsi="Segoe UI" w:cs="Segoe UI"/>
          <w:b/>
          <w:sz w:val="22"/>
          <w:szCs w:val="22"/>
        </w:rPr>
        <w:t xml:space="preserve">Author and Title: </w:t>
      </w:r>
      <w:r w:rsidRPr="0072538C">
        <w:rPr>
          <w:rFonts w:ascii="Segoe UI" w:hAnsi="Segoe UI" w:cs="Segoe UI"/>
          <w:b/>
          <w:sz w:val="22"/>
          <w:szCs w:val="22"/>
        </w:rPr>
        <w:tab/>
      </w:r>
      <w:r w:rsidRPr="0072538C">
        <w:rPr>
          <w:rFonts w:ascii="Segoe UI" w:hAnsi="Segoe UI" w:cs="Segoe UI"/>
          <w:b/>
          <w:sz w:val="22"/>
          <w:szCs w:val="22"/>
        </w:rPr>
        <w:tab/>
        <w:t xml:space="preserve">Kerry Rogers, Director of Corporate Affairs &amp; </w:t>
      </w:r>
      <w:r w:rsidRPr="0072538C">
        <w:rPr>
          <w:rFonts w:ascii="Segoe UI" w:hAnsi="Segoe UI" w:cs="Segoe UI"/>
          <w:b/>
          <w:sz w:val="22"/>
          <w:szCs w:val="22"/>
        </w:rPr>
        <w:tab/>
      </w:r>
      <w:r w:rsidRPr="0072538C">
        <w:rPr>
          <w:rFonts w:ascii="Segoe UI" w:hAnsi="Segoe UI" w:cs="Segoe UI"/>
          <w:b/>
          <w:sz w:val="22"/>
          <w:szCs w:val="22"/>
        </w:rPr>
        <w:tab/>
      </w:r>
      <w:r w:rsidRPr="0072538C">
        <w:rPr>
          <w:rFonts w:ascii="Segoe UI" w:hAnsi="Segoe UI" w:cs="Segoe UI"/>
          <w:b/>
          <w:sz w:val="22"/>
          <w:szCs w:val="22"/>
        </w:rPr>
        <w:tab/>
      </w:r>
      <w:r w:rsidRPr="0072538C">
        <w:rPr>
          <w:rFonts w:ascii="Segoe UI" w:hAnsi="Segoe UI" w:cs="Segoe UI"/>
          <w:b/>
          <w:sz w:val="22"/>
          <w:szCs w:val="22"/>
        </w:rPr>
        <w:tab/>
      </w:r>
      <w:r w:rsidRPr="0072538C">
        <w:rPr>
          <w:rFonts w:ascii="Segoe UI" w:hAnsi="Segoe UI" w:cs="Segoe UI"/>
          <w:b/>
          <w:sz w:val="22"/>
          <w:szCs w:val="22"/>
        </w:rPr>
        <w:tab/>
      </w:r>
      <w:r w:rsidRPr="0072538C">
        <w:rPr>
          <w:rFonts w:ascii="Segoe UI" w:hAnsi="Segoe UI" w:cs="Segoe UI"/>
          <w:b/>
          <w:sz w:val="22"/>
          <w:szCs w:val="22"/>
        </w:rPr>
        <w:tab/>
        <w:t xml:space="preserve">Company Secretary </w:t>
      </w:r>
    </w:p>
    <w:p w14:paraId="1C394901" w14:textId="77777777" w:rsidR="004A11CA" w:rsidRPr="0072538C" w:rsidRDefault="004A11CA" w:rsidP="004A11CA">
      <w:pPr>
        <w:jc w:val="both"/>
        <w:rPr>
          <w:rFonts w:ascii="Segoe UI" w:hAnsi="Segoe UI" w:cs="Segoe UI"/>
          <w:b/>
          <w:sz w:val="22"/>
          <w:szCs w:val="22"/>
        </w:rPr>
      </w:pPr>
      <w:r w:rsidRPr="0072538C">
        <w:rPr>
          <w:rFonts w:ascii="Segoe UI" w:hAnsi="Segoe UI" w:cs="Segoe UI"/>
          <w:b/>
          <w:sz w:val="22"/>
          <w:szCs w:val="22"/>
        </w:rPr>
        <w:t xml:space="preserve">Lead Executive Director:  </w:t>
      </w:r>
      <w:r w:rsidRPr="0072538C">
        <w:rPr>
          <w:rFonts w:ascii="Segoe UI" w:hAnsi="Segoe UI" w:cs="Segoe UI"/>
          <w:b/>
          <w:sz w:val="22"/>
          <w:szCs w:val="22"/>
        </w:rPr>
        <w:tab/>
        <w:t xml:space="preserve">Kerry Rogers, Director of Corporate Affairs &amp; </w:t>
      </w:r>
      <w:r w:rsidRPr="0072538C">
        <w:rPr>
          <w:rFonts w:ascii="Segoe UI" w:hAnsi="Segoe UI" w:cs="Segoe UI"/>
          <w:b/>
          <w:sz w:val="22"/>
          <w:szCs w:val="22"/>
        </w:rPr>
        <w:tab/>
      </w:r>
      <w:r w:rsidRPr="0072538C">
        <w:rPr>
          <w:rFonts w:ascii="Segoe UI" w:hAnsi="Segoe UI" w:cs="Segoe UI"/>
          <w:b/>
          <w:sz w:val="22"/>
          <w:szCs w:val="22"/>
        </w:rPr>
        <w:tab/>
      </w:r>
      <w:r w:rsidRPr="0072538C">
        <w:rPr>
          <w:rFonts w:ascii="Segoe UI" w:hAnsi="Segoe UI" w:cs="Segoe UI"/>
          <w:b/>
          <w:sz w:val="22"/>
          <w:szCs w:val="22"/>
        </w:rPr>
        <w:tab/>
        <w:t xml:space="preserve">                     </w:t>
      </w:r>
      <w:r w:rsidRPr="0072538C">
        <w:rPr>
          <w:rFonts w:ascii="Segoe UI" w:hAnsi="Segoe UI" w:cs="Segoe UI"/>
          <w:b/>
          <w:sz w:val="22"/>
          <w:szCs w:val="22"/>
        </w:rPr>
        <w:tab/>
      </w:r>
      <w:r w:rsidRPr="0072538C">
        <w:rPr>
          <w:rFonts w:ascii="Segoe UI" w:hAnsi="Segoe UI" w:cs="Segoe UI"/>
          <w:b/>
          <w:sz w:val="22"/>
          <w:szCs w:val="22"/>
        </w:rPr>
        <w:tab/>
        <w:t xml:space="preserve">Company Secretary </w:t>
      </w:r>
      <w:r w:rsidRPr="0072538C">
        <w:rPr>
          <w:rFonts w:ascii="Segoe UI" w:hAnsi="Segoe UI" w:cs="Segoe UI"/>
          <w:sz w:val="22"/>
          <w:szCs w:val="22"/>
        </w:rPr>
        <w:tab/>
        <w:t xml:space="preserve"> </w:t>
      </w:r>
    </w:p>
    <w:p w14:paraId="5CB2728B" w14:textId="77777777" w:rsidR="004A11CA" w:rsidRPr="0072538C" w:rsidRDefault="004A11CA" w:rsidP="004A11CA">
      <w:pPr>
        <w:jc w:val="both"/>
        <w:rPr>
          <w:rFonts w:ascii="Segoe UI" w:hAnsi="Segoe UI" w:cs="Segoe UI"/>
        </w:rPr>
      </w:pPr>
    </w:p>
    <w:p w14:paraId="44E12DC4" w14:textId="77777777" w:rsidR="004A11CA" w:rsidRPr="0072538C" w:rsidRDefault="004A11CA" w:rsidP="004A11CA">
      <w:pPr>
        <w:numPr>
          <w:ilvl w:val="0"/>
          <w:numId w:val="4"/>
        </w:numPr>
        <w:jc w:val="both"/>
        <w:rPr>
          <w:rFonts w:ascii="Segoe UI" w:hAnsi="Segoe UI" w:cs="Segoe UI"/>
          <w:i/>
          <w:sz w:val="20"/>
          <w:szCs w:val="20"/>
        </w:rPr>
      </w:pPr>
      <w:r w:rsidRPr="0072538C">
        <w:rPr>
          <w:rFonts w:ascii="Segoe UI" w:hAnsi="Segoe UI" w:cs="Segoe UI"/>
          <w:i/>
          <w:sz w:val="20"/>
          <w:szCs w:val="20"/>
        </w:rPr>
        <w:t>A risk assessment has been undertaken around the legal issues that this report presents and there are no issues that need to be referred to the Trust Solicitors</w:t>
      </w:r>
    </w:p>
    <w:p w14:paraId="0DA587EE" w14:textId="77777777" w:rsidR="004A11CA" w:rsidRPr="0072538C" w:rsidRDefault="004A11CA" w:rsidP="004A11CA">
      <w:pPr>
        <w:ind w:left="720"/>
        <w:jc w:val="both"/>
        <w:rPr>
          <w:rFonts w:ascii="Segoe UI" w:hAnsi="Segoe UI" w:cs="Segoe UI"/>
          <w:i/>
          <w:sz w:val="20"/>
          <w:szCs w:val="20"/>
        </w:rPr>
      </w:pPr>
    </w:p>
    <w:p w14:paraId="225C7321" w14:textId="77777777" w:rsidR="004A11CA" w:rsidRPr="0072538C" w:rsidRDefault="004A11CA" w:rsidP="004A11CA">
      <w:pPr>
        <w:numPr>
          <w:ilvl w:val="0"/>
          <w:numId w:val="4"/>
        </w:numPr>
        <w:jc w:val="both"/>
        <w:rPr>
          <w:rFonts w:ascii="Segoe UI" w:hAnsi="Segoe UI" w:cs="Segoe UI"/>
          <w:i/>
          <w:sz w:val="20"/>
          <w:szCs w:val="20"/>
        </w:rPr>
      </w:pPr>
      <w:r w:rsidRPr="0072538C">
        <w:rPr>
          <w:rFonts w:ascii="Segoe UI" w:hAnsi="Segoe UI" w:cs="Segoe UI"/>
          <w:b/>
          <w:i/>
          <w:sz w:val="20"/>
          <w:szCs w:val="20"/>
        </w:rPr>
        <w:t>Strategic Objectives/Priorities</w:t>
      </w:r>
      <w:r w:rsidRPr="0072538C">
        <w:rPr>
          <w:rFonts w:ascii="Segoe UI" w:hAnsi="Segoe UI" w:cs="Segoe UI"/>
          <w:i/>
          <w:sz w:val="20"/>
          <w:szCs w:val="20"/>
        </w:rPr>
        <w:t xml:space="preserve"> – this report relates to or provides assurance and evidence against aspects of each of the Strategic Objectives/Priorities of the Trust </w:t>
      </w:r>
    </w:p>
    <w:p w14:paraId="4FB97F45" w14:textId="6545F6D1" w:rsidR="004A11CA" w:rsidRDefault="004A11CA" w:rsidP="004A11CA">
      <w:pPr>
        <w:pStyle w:val="ListParagraph"/>
        <w:rPr>
          <w:rFonts w:ascii="Segoe UI" w:hAnsi="Segoe UI" w:cs="Segoe UI"/>
          <w:i/>
          <w:sz w:val="20"/>
          <w:szCs w:val="20"/>
        </w:rPr>
      </w:pPr>
    </w:p>
    <w:p w14:paraId="481AACD5" w14:textId="4265395A" w:rsidR="00A07AC3" w:rsidRDefault="00A07AC3" w:rsidP="004A11CA">
      <w:pPr>
        <w:pStyle w:val="ListParagraph"/>
        <w:rPr>
          <w:rFonts w:ascii="Segoe UI" w:hAnsi="Segoe UI" w:cs="Segoe UI"/>
          <w:i/>
          <w:sz w:val="20"/>
          <w:szCs w:val="20"/>
        </w:rPr>
      </w:pPr>
    </w:p>
    <w:p w14:paraId="40560098" w14:textId="3E61AB53" w:rsidR="00A07AC3" w:rsidRDefault="00A07AC3" w:rsidP="004A11CA">
      <w:pPr>
        <w:pStyle w:val="ListParagraph"/>
        <w:rPr>
          <w:rFonts w:ascii="Segoe UI" w:hAnsi="Segoe UI" w:cs="Segoe UI"/>
          <w:i/>
          <w:sz w:val="20"/>
          <w:szCs w:val="20"/>
        </w:rPr>
      </w:pPr>
    </w:p>
    <w:p w14:paraId="43F65C67" w14:textId="5D43BFAC" w:rsidR="00A07AC3" w:rsidRDefault="00A07AC3" w:rsidP="004A11CA">
      <w:pPr>
        <w:pStyle w:val="ListParagraph"/>
        <w:rPr>
          <w:rFonts w:ascii="Segoe UI" w:hAnsi="Segoe UI" w:cs="Segoe UI"/>
          <w:i/>
          <w:sz w:val="20"/>
          <w:szCs w:val="20"/>
        </w:rPr>
      </w:pPr>
    </w:p>
    <w:p w14:paraId="0B1D04AD" w14:textId="7349167E" w:rsidR="00A07AC3" w:rsidRDefault="00A07AC3" w:rsidP="004A11CA">
      <w:pPr>
        <w:pStyle w:val="ListParagraph"/>
        <w:rPr>
          <w:rFonts w:ascii="Segoe UI" w:hAnsi="Segoe UI" w:cs="Segoe UI"/>
          <w:i/>
          <w:sz w:val="20"/>
          <w:szCs w:val="20"/>
        </w:rPr>
      </w:pPr>
    </w:p>
    <w:p w14:paraId="55F0E213" w14:textId="77777777" w:rsidR="00A07AC3" w:rsidRDefault="00A07AC3" w:rsidP="004A11CA">
      <w:pPr>
        <w:pStyle w:val="ListParagraph"/>
        <w:rPr>
          <w:rFonts w:ascii="Segoe UI" w:hAnsi="Segoe UI" w:cs="Segoe UI"/>
          <w:i/>
          <w:sz w:val="20"/>
          <w:szCs w:val="20"/>
        </w:rPr>
      </w:pPr>
    </w:p>
    <w:tbl>
      <w:tblPr>
        <w:tblW w:w="11663" w:type="dxa"/>
        <w:tblCellMar>
          <w:top w:w="15" w:type="dxa"/>
          <w:bottom w:w="15" w:type="dxa"/>
        </w:tblCellMar>
        <w:tblLook w:val="04A0" w:firstRow="1" w:lastRow="0" w:firstColumn="1" w:lastColumn="0" w:noHBand="0" w:noVBand="1"/>
      </w:tblPr>
      <w:tblGrid>
        <w:gridCol w:w="6379"/>
        <w:gridCol w:w="1843"/>
        <w:gridCol w:w="3441"/>
      </w:tblGrid>
      <w:tr w:rsidR="004A11CA" w:rsidRPr="00BE26A9" w14:paraId="78407660" w14:textId="77777777" w:rsidTr="00AA4E52">
        <w:trPr>
          <w:trHeight w:val="375"/>
        </w:trPr>
        <w:tc>
          <w:tcPr>
            <w:tcW w:w="6379" w:type="dxa"/>
            <w:tcBorders>
              <w:top w:val="nil"/>
              <w:left w:val="nil"/>
              <w:bottom w:val="nil"/>
              <w:right w:val="nil"/>
            </w:tcBorders>
            <w:noWrap/>
            <w:vAlign w:val="bottom"/>
            <w:hideMark/>
          </w:tcPr>
          <w:p w14:paraId="7770F4D1" w14:textId="0427A120" w:rsidR="004A11CA" w:rsidRPr="00BE26A9" w:rsidRDefault="00461F54"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N</w:t>
            </w:r>
            <w:r w:rsidR="004A11CA" w:rsidRPr="00BE26A9">
              <w:rPr>
                <w:rFonts w:ascii="Segoe UI" w:hAnsi="Segoe UI" w:cs="Segoe UI"/>
                <w:b/>
                <w:bCs/>
                <w:i/>
                <w:sz w:val="20"/>
                <w:szCs w:val="20"/>
                <w:lang w:val="en-GB"/>
              </w:rPr>
              <w:t>HS Provider Segmentation</w:t>
            </w:r>
          </w:p>
        </w:tc>
        <w:tc>
          <w:tcPr>
            <w:tcW w:w="1843" w:type="dxa"/>
            <w:tcBorders>
              <w:top w:val="nil"/>
              <w:left w:val="nil"/>
              <w:bottom w:val="nil"/>
              <w:right w:val="nil"/>
            </w:tcBorders>
            <w:noWrap/>
            <w:vAlign w:val="bottom"/>
            <w:hideMark/>
          </w:tcPr>
          <w:p w14:paraId="436CE678" w14:textId="77777777" w:rsidR="004A11CA" w:rsidRPr="00BE26A9" w:rsidRDefault="004A11CA" w:rsidP="00DE0914">
            <w:pPr>
              <w:jc w:val="both"/>
              <w:rPr>
                <w:rFonts w:ascii="Segoe UI" w:hAnsi="Segoe UI" w:cs="Segoe UI"/>
                <w:b/>
                <w:bCs/>
                <w:i/>
                <w:sz w:val="20"/>
                <w:szCs w:val="20"/>
                <w:lang w:val="en-GB"/>
              </w:rPr>
            </w:pPr>
          </w:p>
        </w:tc>
        <w:tc>
          <w:tcPr>
            <w:tcW w:w="3441" w:type="dxa"/>
            <w:tcBorders>
              <w:top w:val="nil"/>
              <w:left w:val="nil"/>
              <w:bottom w:val="nil"/>
              <w:right w:val="nil"/>
            </w:tcBorders>
            <w:noWrap/>
            <w:vAlign w:val="bottom"/>
            <w:hideMark/>
          </w:tcPr>
          <w:p w14:paraId="43D25CD7" w14:textId="77777777" w:rsidR="004A11CA" w:rsidRPr="00BE26A9" w:rsidRDefault="004A11CA" w:rsidP="00DE0914">
            <w:pPr>
              <w:jc w:val="both"/>
              <w:rPr>
                <w:rFonts w:ascii="Segoe UI" w:hAnsi="Segoe UI" w:cs="Segoe UI"/>
                <w:i/>
                <w:sz w:val="20"/>
                <w:szCs w:val="20"/>
                <w:lang w:val="en-GB"/>
              </w:rPr>
            </w:pPr>
          </w:p>
        </w:tc>
      </w:tr>
      <w:tr w:rsidR="004A11CA" w:rsidRPr="00BE26A9" w14:paraId="77B8F0E3" w14:textId="77777777" w:rsidTr="00AA4E52">
        <w:trPr>
          <w:trHeight w:val="525"/>
        </w:trPr>
        <w:tc>
          <w:tcPr>
            <w:tcW w:w="6379"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5C0A2BA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Trust</w:t>
            </w:r>
          </w:p>
        </w:tc>
        <w:tc>
          <w:tcPr>
            <w:tcW w:w="1843" w:type="dxa"/>
            <w:tcBorders>
              <w:top w:val="single" w:sz="8" w:space="0" w:color="auto"/>
              <w:left w:val="nil"/>
              <w:bottom w:val="single" w:sz="8" w:space="0" w:color="auto"/>
              <w:right w:val="single" w:sz="8" w:space="0" w:color="auto"/>
            </w:tcBorders>
            <w:shd w:val="clear" w:color="000000" w:fill="70AD47"/>
            <w:vAlign w:val="center"/>
            <w:hideMark/>
          </w:tcPr>
          <w:p w14:paraId="0D39530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SOF Segmentation</w:t>
            </w:r>
          </w:p>
        </w:tc>
        <w:tc>
          <w:tcPr>
            <w:tcW w:w="3441" w:type="dxa"/>
            <w:tcBorders>
              <w:top w:val="nil"/>
              <w:left w:val="nil"/>
              <w:bottom w:val="nil"/>
              <w:right w:val="nil"/>
            </w:tcBorders>
            <w:noWrap/>
            <w:vAlign w:val="bottom"/>
            <w:hideMark/>
          </w:tcPr>
          <w:p w14:paraId="6B31FCB7" w14:textId="77777777" w:rsidR="004A11CA" w:rsidRPr="00BE26A9" w:rsidRDefault="004A11CA" w:rsidP="00DE0914">
            <w:pPr>
              <w:jc w:val="both"/>
              <w:rPr>
                <w:rFonts w:ascii="Segoe UI" w:hAnsi="Segoe UI" w:cs="Segoe UI"/>
                <w:b/>
                <w:bCs/>
                <w:i/>
                <w:sz w:val="20"/>
                <w:szCs w:val="20"/>
                <w:lang w:val="en-GB"/>
              </w:rPr>
            </w:pPr>
          </w:p>
        </w:tc>
      </w:tr>
      <w:tr w:rsidR="004A11CA" w:rsidRPr="00BE26A9" w14:paraId="6000FA4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CFE30C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Airedale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EA1DC99"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729883B0" w14:textId="77777777" w:rsidR="004A11CA" w:rsidRPr="00BE26A9" w:rsidRDefault="004A11CA" w:rsidP="00DE0914">
            <w:pPr>
              <w:jc w:val="both"/>
              <w:rPr>
                <w:rFonts w:ascii="Segoe UI" w:hAnsi="Segoe UI" w:cs="Segoe UI"/>
                <w:b/>
                <w:bCs/>
                <w:i/>
                <w:sz w:val="20"/>
                <w:szCs w:val="20"/>
                <w:lang w:val="en-GB"/>
              </w:rPr>
            </w:pPr>
          </w:p>
        </w:tc>
      </w:tr>
      <w:tr w:rsidR="004A11CA" w:rsidRPr="00BE26A9" w14:paraId="54BD34C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208EAC6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Alder Hey Children’s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C786B6C"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52BDC1B6" w14:textId="77777777" w:rsidR="004A11CA" w:rsidRPr="00BE26A9" w:rsidRDefault="004A11CA" w:rsidP="00DE0914">
            <w:pPr>
              <w:jc w:val="both"/>
              <w:rPr>
                <w:rFonts w:ascii="Segoe UI" w:hAnsi="Segoe UI" w:cs="Segoe UI"/>
                <w:b/>
                <w:bCs/>
                <w:i/>
                <w:sz w:val="20"/>
                <w:szCs w:val="20"/>
                <w:lang w:val="en-GB"/>
              </w:rPr>
            </w:pPr>
          </w:p>
        </w:tc>
      </w:tr>
      <w:tr w:rsidR="004A11CA" w:rsidRPr="00BE26A9" w14:paraId="30FDF280"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799F02C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Ashford and St. Peter’s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43A342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27EFAE49" w14:textId="77777777" w:rsidR="004A11CA" w:rsidRPr="00BE26A9" w:rsidRDefault="004A11CA" w:rsidP="00DE0914">
            <w:pPr>
              <w:jc w:val="both"/>
              <w:rPr>
                <w:rFonts w:ascii="Segoe UI" w:hAnsi="Segoe UI" w:cs="Segoe UI"/>
                <w:b/>
                <w:bCs/>
                <w:i/>
                <w:sz w:val="20"/>
                <w:szCs w:val="20"/>
                <w:lang w:val="en-GB"/>
              </w:rPr>
            </w:pPr>
          </w:p>
        </w:tc>
      </w:tr>
      <w:tr w:rsidR="00F24B7B" w:rsidRPr="00BE26A9" w14:paraId="611BFA8B"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94CD306"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Avon and Wiltshire Mental Health Partnership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3483B56"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3</w:t>
            </w:r>
          </w:p>
        </w:tc>
        <w:tc>
          <w:tcPr>
            <w:tcW w:w="3441" w:type="dxa"/>
            <w:tcBorders>
              <w:top w:val="nil"/>
              <w:left w:val="nil"/>
              <w:bottom w:val="nil"/>
              <w:right w:val="nil"/>
            </w:tcBorders>
            <w:noWrap/>
            <w:vAlign w:val="bottom"/>
            <w:hideMark/>
          </w:tcPr>
          <w:p w14:paraId="751927E2"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3D892E1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96780A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Barking, Havering And Redbridge University Hospitals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2BEB46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491B75F6" w14:textId="77777777" w:rsidR="004A11CA" w:rsidRPr="00BE26A9" w:rsidRDefault="004A11CA" w:rsidP="00DE0914">
            <w:pPr>
              <w:jc w:val="both"/>
              <w:rPr>
                <w:rFonts w:ascii="Segoe UI" w:hAnsi="Segoe UI" w:cs="Segoe UI"/>
                <w:b/>
                <w:bCs/>
                <w:i/>
                <w:sz w:val="20"/>
                <w:szCs w:val="20"/>
                <w:lang w:val="en-GB"/>
              </w:rPr>
            </w:pPr>
          </w:p>
        </w:tc>
      </w:tr>
      <w:tr w:rsidR="004A11CA" w:rsidRPr="00BE26A9" w14:paraId="2D46F22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2BA0C6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Barnet, </w:t>
            </w:r>
            <w:proofErr w:type="gramStart"/>
            <w:r w:rsidRPr="00BE26A9">
              <w:rPr>
                <w:rFonts w:ascii="Segoe UI" w:hAnsi="Segoe UI" w:cs="Segoe UI"/>
                <w:i/>
                <w:sz w:val="20"/>
                <w:szCs w:val="20"/>
                <w:lang w:val="en-GB"/>
              </w:rPr>
              <w:t>Enfield</w:t>
            </w:r>
            <w:proofErr w:type="gramEnd"/>
            <w:r w:rsidRPr="00BE26A9">
              <w:rPr>
                <w:rFonts w:ascii="Segoe UI" w:hAnsi="Segoe UI" w:cs="Segoe UI"/>
                <w:i/>
                <w:sz w:val="20"/>
                <w:szCs w:val="20"/>
                <w:lang w:val="en-GB"/>
              </w:rPr>
              <w:t xml:space="preserve"> and Haringey Mental Health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679F83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50357143" w14:textId="77777777" w:rsidR="004A11CA" w:rsidRPr="00BE26A9" w:rsidRDefault="004A11CA" w:rsidP="00DE0914">
            <w:pPr>
              <w:jc w:val="both"/>
              <w:rPr>
                <w:rFonts w:ascii="Segoe UI" w:hAnsi="Segoe UI" w:cs="Segoe UI"/>
                <w:b/>
                <w:bCs/>
                <w:i/>
                <w:sz w:val="20"/>
                <w:szCs w:val="20"/>
                <w:lang w:val="en-GB"/>
              </w:rPr>
            </w:pPr>
          </w:p>
        </w:tc>
      </w:tr>
      <w:tr w:rsidR="004A11CA" w:rsidRPr="00BE26A9" w14:paraId="0533A70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5C4A1B4"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Barnsley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37C409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0C5F423" w14:textId="77777777" w:rsidR="004A11CA" w:rsidRPr="00BE26A9" w:rsidRDefault="004A11CA" w:rsidP="00DE0914">
            <w:pPr>
              <w:jc w:val="both"/>
              <w:rPr>
                <w:rFonts w:ascii="Segoe UI" w:hAnsi="Segoe UI" w:cs="Segoe UI"/>
                <w:b/>
                <w:bCs/>
                <w:i/>
                <w:sz w:val="20"/>
                <w:szCs w:val="20"/>
                <w:lang w:val="en-GB"/>
              </w:rPr>
            </w:pPr>
          </w:p>
        </w:tc>
      </w:tr>
      <w:tr w:rsidR="004A11CA" w:rsidRPr="00BE26A9" w14:paraId="6ADCEDCC"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9C6A6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Barts Health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0A9B7B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39FAF02E" w14:textId="77777777" w:rsidR="004A11CA" w:rsidRPr="00BE26A9" w:rsidRDefault="004A11CA" w:rsidP="00DE0914">
            <w:pPr>
              <w:jc w:val="both"/>
              <w:rPr>
                <w:rFonts w:ascii="Segoe UI" w:hAnsi="Segoe UI" w:cs="Segoe UI"/>
                <w:b/>
                <w:bCs/>
                <w:i/>
                <w:sz w:val="20"/>
                <w:szCs w:val="20"/>
                <w:lang w:val="en-GB"/>
              </w:rPr>
            </w:pPr>
          </w:p>
        </w:tc>
      </w:tr>
      <w:tr w:rsidR="004A11CA" w:rsidRPr="00BE26A9" w14:paraId="5085611F"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389BAA3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Bedfordshire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6DCCFA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2017EA54" w14:textId="77777777" w:rsidR="004A11CA" w:rsidRPr="00BE26A9" w:rsidRDefault="004A11CA" w:rsidP="00DE0914">
            <w:pPr>
              <w:jc w:val="both"/>
              <w:rPr>
                <w:rFonts w:ascii="Segoe UI" w:hAnsi="Segoe UI" w:cs="Segoe UI"/>
                <w:b/>
                <w:bCs/>
                <w:i/>
                <w:sz w:val="20"/>
                <w:szCs w:val="20"/>
                <w:lang w:val="en-GB"/>
              </w:rPr>
            </w:pPr>
          </w:p>
        </w:tc>
      </w:tr>
      <w:tr w:rsidR="00F24B7B" w:rsidRPr="00BE26A9" w14:paraId="1AA7C920"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EBBC7A"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Berkshire Healthcare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9AA6279"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1</w:t>
            </w:r>
          </w:p>
        </w:tc>
        <w:tc>
          <w:tcPr>
            <w:tcW w:w="3441" w:type="dxa"/>
            <w:tcBorders>
              <w:top w:val="nil"/>
              <w:left w:val="nil"/>
              <w:bottom w:val="nil"/>
              <w:right w:val="nil"/>
            </w:tcBorders>
            <w:noWrap/>
            <w:vAlign w:val="bottom"/>
            <w:hideMark/>
          </w:tcPr>
          <w:p w14:paraId="389080BE"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0DA1022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1DB8AC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Birmingham and Solihull Mental Health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E677F9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7397478E" w14:textId="77777777" w:rsidR="004A11CA" w:rsidRPr="00BE26A9" w:rsidRDefault="004A11CA" w:rsidP="00DE0914">
            <w:pPr>
              <w:jc w:val="both"/>
              <w:rPr>
                <w:rFonts w:ascii="Segoe UI" w:hAnsi="Segoe UI" w:cs="Segoe UI"/>
                <w:b/>
                <w:bCs/>
                <w:i/>
                <w:sz w:val="20"/>
                <w:szCs w:val="20"/>
                <w:lang w:val="en-GB"/>
              </w:rPr>
            </w:pPr>
          </w:p>
        </w:tc>
      </w:tr>
      <w:tr w:rsidR="004A11CA" w:rsidRPr="00BE26A9" w14:paraId="017577E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DC7DD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Birmingham Community Health 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9D47B9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7797466B" w14:textId="77777777" w:rsidR="004A11CA" w:rsidRPr="00BE26A9" w:rsidRDefault="004A11CA" w:rsidP="00DE0914">
            <w:pPr>
              <w:jc w:val="both"/>
              <w:rPr>
                <w:rFonts w:ascii="Segoe UI" w:hAnsi="Segoe UI" w:cs="Segoe UI"/>
                <w:b/>
                <w:bCs/>
                <w:i/>
                <w:sz w:val="20"/>
                <w:szCs w:val="20"/>
                <w:lang w:val="en-GB"/>
              </w:rPr>
            </w:pPr>
          </w:p>
        </w:tc>
      </w:tr>
      <w:tr w:rsidR="004A11CA" w:rsidRPr="00BE26A9" w14:paraId="193E47D3"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85844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Birmingham Women’s and Children’s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315E5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2BFCB87C" w14:textId="77777777" w:rsidR="004A11CA" w:rsidRPr="00BE26A9" w:rsidRDefault="004A11CA" w:rsidP="00DE0914">
            <w:pPr>
              <w:jc w:val="both"/>
              <w:rPr>
                <w:rFonts w:ascii="Segoe UI" w:hAnsi="Segoe UI" w:cs="Segoe UI"/>
                <w:b/>
                <w:bCs/>
                <w:i/>
                <w:sz w:val="20"/>
                <w:szCs w:val="20"/>
                <w:lang w:val="en-GB"/>
              </w:rPr>
            </w:pPr>
          </w:p>
        </w:tc>
      </w:tr>
      <w:tr w:rsidR="004A11CA" w:rsidRPr="00BE26A9" w14:paraId="336C072C"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556328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Black Country Healthcare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6DCF7B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7618E091" w14:textId="77777777" w:rsidR="004A11CA" w:rsidRPr="00BE26A9" w:rsidRDefault="004A11CA" w:rsidP="00DE0914">
            <w:pPr>
              <w:jc w:val="both"/>
              <w:rPr>
                <w:rFonts w:ascii="Segoe UI" w:hAnsi="Segoe UI" w:cs="Segoe UI"/>
                <w:b/>
                <w:bCs/>
                <w:i/>
                <w:sz w:val="20"/>
                <w:szCs w:val="20"/>
                <w:lang w:val="en-GB"/>
              </w:rPr>
            </w:pPr>
          </w:p>
        </w:tc>
      </w:tr>
      <w:tr w:rsidR="004A11CA" w:rsidRPr="00BE26A9" w14:paraId="2FC9855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525BFD6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Blackpool Teaching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15FB4A"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1C5624AB" w14:textId="77777777" w:rsidR="004A11CA" w:rsidRPr="00BE26A9" w:rsidRDefault="004A11CA" w:rsidP="00DE0914">
            <w:pPr>
              <w:jc w:val="both"/>
              <w:rPr>
                <w:rFonts w:ascii="Segoe UI" w:hAnsi="Segoe UI" w:cs="Segoe UI"/>
                <w:b/>
                <w:bCs/>
                <w:i/>
                <w:sz w:val="20"/>
                <w:szCs w:val="20"/>
                <w:lang w:val="en-GB"/>
              </w:rPr>
            </w:pPr>
          </w:p>
        </w:tc>
      </w:tr>
      <w:tr w:rsidR="004A11CA" w:rsidRPr="00BE26A9" w14:paraId="0B7E6F1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610D56E9"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Bolton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7CC0F9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A7F2A16" w14:textId="77777777" w:rsidR="004A11CA" w:rsidRPr="00BE26A9" w:rsidRDefault="004A11CA" w:rsidP="00DE0914">
            <w:pPr>
              <w:jc w:val="both"/>
              <w:rPr>
                <w:rFonts w:ascii="Segoe UI" w:hAnsi="Segoe UI" w:cs="Segoe UI"/>
                <w:b/>
                <w:bCs/>
                <w:i/>
                <w:sz w:val="20"/>
                <w:szCs w:val="20"/>
                <w:lang w:val="en-GB"/>
              </w:rPr>
            </w:pPr>
          </w:p>
        </w:tc>
      </w:tr>
      <w:tr w:rsidR="004A11CA" w:rsidRPr="00BE26A9" w14:paraId="3E5F6163"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C78FB8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Bradford District Care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855738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213D0E6E" w14:textId="77777777" w:rsidR="004A11CA" w:rsidRPr="00BE26A9" w:rsidRDefault="004A11CA" w:rsidP="00DE0914">
            <w:pPr>
              <w:jc w:val="both"/>
              <w:rPr>
                <w:rFonts w:ascii="Segoe UI" w:hAnsi="Segoe UI" w:cs="Segoe UI"/>
                <w:b/>
                <w:bCs/>
                <w:i/>
                <w:sz w:val="20"/>
                <w:szCs w:val="20"/>
                <w:lang w:val="en-GB"/>
              </w:rPr>
            </w:pPr>
          </w:p>
        </w:tc>
      </w:tr>
      <w:tr w:rsidR="004A11CA" w:rsidRPr="00BE26A9" w14:paraId="6F6B9B82"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C27DB1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Bradford Teaching Hospitals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0E0B0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5C9F292" w14:textId="77777777" w:rsidR="004A11CA" w:rsidRPr="00BE26A9" w:rsidRDefault="004A11CA" w:rsidP="00DE0914">
            <w:pPr>
              <w:jc w:val="both"/>
              <w:rPr>
                <w:rFonts w:ascii="Segoe UI" w:hAnsi="Segoe UI" w:cs="Segoe UI"/>
                <w:b/>
                <w:bCs/>
                <w:i/>
                <w:sz w:val="20"/>
                <w:szCs w:val="20"/>
                <w:lang w:val="en-GB"/>
              </w:rPr>
            </w:pPr>
          </w:p>
        </w:tc>
      </w:tr>
      <w:tr w:rsidR="004A11CA" w:rsidRPr="00BE26A9" w14:paraId="3CE9B22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0E39CD94"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Bridgewater Community Healthcare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906A4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7149F284" w14:textId="77777777" w:rsidR="004A11CA" w:rsidRPr="00BE26A9" w:rsidRDefault="004A11CA" w:rsidP="00DE0914">
            <w:pPr>
              <w:jc w:val="both"/>
              <w:rPr>
                <w:rFonts w:ascii="Segoe UI" w:hAnsi="Segoe UI" w:cs="Segoe UI"/>
                <w:b/>
                <w:bCs/>
                <w:i/>
                <w:sz w:val="20"/>
                <w:szCs w:val="20"/>
                <w:lang w:val="en-GB"/>
              </w:rPr>
            </w:pPr>
          </w:p>
        </w:tc>
      </w:tr>
      <w:tr w:rsidR="002C5536" w:rsidRPr="00BE26A9" w14:paraId="7E1EE94B"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C647A47"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Buckinghamshire Healthcare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B3D626"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3</w:t>
            </w:r>
          </w:p>
        </w:tc>
        <w:tc>
          <w:tcPr>
            <w:tcW w:w="3441" w:type="dxa"/>
            <w:tcBorders>
              <w:top w:val="nil"/>
              <w:left w:val="nil"/>
              <w:bottom w:val="nil"/>
              <w:right w:val="nil"/>
            </w:tcBorders>
            <w:noWrap/>
            <w:vAlign w:val="bottom"/>
            <w:hideMark/>
          </w:tcPr>
          <w:p w14:paraId="3F2B606C"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7D604335"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2E8EF3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Calderdale and Huddersfield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D2CD18A"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7B6F7173" w14:textId="77777777" w:rsidR="004A11CA" w:rsidRPr="00BE26A9" w:rsidRDefault="004A11CA" w:rsidP="00DE0914">
            <w:pPr>
              <w:jc w:val="both"/>
              <w:rPr>
                <w:rFonts w:ascii="Segoe UI" w:hAnsi="Segoe UI" w:cs="Segoe UI"/>
                <w:b/>
                <w:bCs/>
                <w:i/>
                <w:sz w:val="20"/>
                <w:szCs w:val="20"/>
                <w:lang w:val="en-GB"/>
              </w:rPr>
            </w:pPr>
          </w:p>
        </w:tc>
      </w:tr>
      <w:tr w:rsidR="004A11CA" w:rsidRPr="00BE26A9" w14:paraId="54AE035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70FF40F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Cambridge University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B6C0F3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B8F549E" w14:textId="77777777" w:rsidR="004A11CA" w:rsidRPr="00BE26A9" w:rsidRDefault="004A11CA" w:rsidP="00DE0914">
            <w:pPr>
              <w:jc w:val="both"/>
              <w:rPr>
                <w:rFonts w:ascii="Segoe UI" w:hAnsi="Segoe UI" w:cs="Segoe UI"/>
                <w:b/>
                <w:bCs/>
                <w:i/>
                <w:sz w:val="20"/>
                <w:szCs w:val="20"/>
                <w:lang w:val="en-GB"/>
              </w:rPr>
            </w:pPr>
          </w:p>
        </w:tc>
      </w:tr>
      <w:tr w:rsidR="004A11CA" w:rsidRPr="00BE26A9" w14:paraId="4F18B0C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32C4226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Cambridgeshire &amp; Peterborough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68FA4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3B553680" w14:textId="77777777" w:rsidR="004A11CA" w:rsidRPr="00BE26A9" w:rsidRDefault="004A11CA" w:rsidP="00DE0914">
            <w:pPr>
              <w:jc w:val="both"/>
              <w:rPr>
                <w:rFonts w:ascii="Segoe UI" w:hAnsi="Segoe UI" w:cs="Segoe UI"/>
                <w:b/>
                <w:bCs/>
                <w:i/>
                <w:sz w:val="20"/>
                <w:szCs w:val="20"/>
                <w:lang w:val="en-GB"/>
              </w:rPr>
            </w:pPr>
          </w:p>
        </w:tc>
      </w:tr>
      <w:tr w:rsidR="002C5536" w:rsidRPr="00BE26A9" w14:paraId="5616187B"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0141B74E"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Cambridgeshire Community Services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21E0FC"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1</w:t>
            </w:r>
          </w:p>
        </w:tc>
        <w:tc>
          <w:tcPr>
            <w:tcW w:w="3441" w:type="dxa"/>
            <w:tcBorders>
              <w:top w:val="nil"/>
              <w:left w:val="nil"/>
              <w:bottom w:val="nil"/>
              <w:right w:val="nil"/>
            </w:tcBorders>
            <w:noWrap/>
            <w:vAlign w:val="bottom"/>
            <w:hideMark/>
          </w:tcPr>
          <w:p w14:paraId="1BC0FF7D"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06B5467F"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8B5F7C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Camden and Islington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EE957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6E97EE1" w14:textId="77777777" w:rsidR="004A11CA" w:rsidRPr="00BE26A9" w:rsidRDefault="004A11CA" w:rsidP="00DE0914">
            <w:pPr>
              <w:jc w:val="both"/>
              <w:rPr>
                <w:rFonts w:ascii="Segoe UI" w:hAnsi="Segoe UI" w:cs="Segoe UI"/>
                <w:b/>
                <w:bCs/>
                <w:i/>
                <w:sz w:val="20"/>
                <w:szCs w:val="20"/>
                <w:lang w:val="en-GB"/>
              </w:rPr>
            </w:pPr>
          </w:p>
        </w:tc>
      </w:tr>
      <w:tr w:rsidR="004A11CA" w:rsidRPr="00BE26A9" w14:paraId="45E06A44"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35E37E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Central and North West London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944503"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53282356" w14:textId="77777777" w:rsidR="004A11CA" w:rsidRPr="00BE26A9" w:rsidRDefault="004A11CA" w:rsidP="00DE0914">
            <w:pPr>
              <w:jc w:val="both"/>
              <w:rPr>
                <w:rFonts w:ascii="Segoe UI" w:hAnsi="Segoe UI" w:cs="Segoe UI"/>
                <w:b/>
                <w:bCs/>
                <w:i/>
                <w:sz w:val="20"/>
                <w:szCs w:val="20"/>
                <w:lang w:val="en-GB"/>
              </w:rPr>
            </w:pPr>
          </w:p>
        </w:tc>
      </w:tr>
      <w:tr w:rsidR="002C5536" w:rsidRPr="00BE26A9" w14:paraId="14B5408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5997B5"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Central London Community Healthcare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11DCEE7"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1</w:t>
            </w:r>
          </w:p>
        </w:tc>
        <w:tc>
          <w:tcPr>
            <w:tcW w:w="3441" w:type="dxa"/>
            <w:tcBorders>
              <w:top w:val="nil"/>
              <w:left w:val="nil"/>
              <w:bottom w:val="nil"/>
              <w:right w:val="nil"/>
            </w:tcBorders>
            <w:noWrap/>
            <w:vAlign w:val="bottom"/>
            <w:hideMark/>
          </w:tcPr>
          <w:p w14:paraId="6F9726B7"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0C7BCEC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795EC7"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Chelsea and Westminster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335A2B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2BAFA5E3" w14:textId="77777777" w:rsidR="004A11CA" w:rsidRPr="00BE26A9" w:rsidRDefault="004A11CA" w:rsidP="00DE0914">
            <w:pPr>
              <w:jc w:val="both"/>
              <w:rPr>
                <w:rFonts w:ascii="Segoe UI" w:hAnsi="Segoe UI" w:cs="Segoe UI"/>
                <w:b/>
                <w:bCs/>
                <w:i/>
                <w:sz w:val="20"/>
                <w:szCs w:val="20"/>
                <w:lang w:val="en-GB"/>
              </w:rPr>
            </w:pPr>
          </w:p>
        </w:tc>
      </w:tr>
      <w:tr w:rsidR="004A11CA" w:rsidRPr="00BE26A9" w14:paraId="542B0BCB"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04B895EB"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Cheshire and Wirral Partnership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85C01E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3CC106B4" w14:textId="77777777" w:rsidR="004A11CA" w:rsidRPr="00BE26A9" w:rsidRDefault="004A11CA" w:rsidP="00DE0914">
            <w:pPr>
              <w:jc w:val="both"/>
              <w:rPr>
                <w:rFonts w:ascii="Segoe UI" w:hAnsi="Segoe UI" w:cs="Segoe UI"/>
                <w:b/>
                <w:bCs/>
                <w:i/>
                <w:sz w:val="20"/>
                <w:szCs w:val="20"/>
                <w:lang w:val="en-GB"/>
              </w:rPr>
            </w:pPr>
          </w:p>
        </w:tc>
      </w:tr>
      <w:tr w:rsidR="004A11CA" w:rsidRPr="00BE26A9" w14:paraId="1865ABF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7053E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lastRenderedPageBreak/>
              <w:t>Chesterfield Royal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4E65C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2CA38658" w14:textId="77777777" w:rsidR="004A11CA" w:rsidRPr="00BE26A9" w:rsidRDefault="004A11CA" w:rsidP="00DE0914">
            <w:pPr>
              <w:jc w:val="both"/>
              <w:rPr>
                <w:rFonts w:ascii="Segoe UI" w:hAnsi="Segoe UI" w:cs="Segoe UI"/>
                <w:b/>
                <w:bCs/>
                <w:i/>
                <w:sz w:val="20"/>
                <w:szCs w:val="20"/>
                <w:lang w:val="en-GB"/>
              </w:rPr>
            </w:pPr>
          </w:p>
        </w:tc>
      </w:tr>
      <w:tr w:rsidR="004A11CA" w:rsidRPr="00BE26A9" w14:paraId="2A6EBB65"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0F83264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Clatterbridge Cancer Centre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56156A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72470A9A" w14:textId="77777777" w:rsidR="004A11CA" w:rsidRPr="00BE26A9" w:rsidRDefault="004A11CA" w:rsidP="00DE0914">
            <w:pPr>
              <w:jc w:val="both"/>
              <w:rPr>
                <w:rFonts w:ascii="Segoe UI" w:hAnsi="Segoe UI" w:cs="Segoe UI"/>
                <w:b/>
                <w:bCs/>
                <w:i/>
                <w:sz w:val="20"/>
                <w:szCs w:val="20"/>
                <w:lang w:val="en-GB"/>
              </w:rPr>
            </w:pPr>
          </w:p>
        </w:tc>
      </w:tr>
      <w:tr w:rsidR="004A11CA" w:rsidRPr="00BE26A9" w14:paraId="0B0781C2"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17D87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Cornwall Partnership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D972E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671AD26D" w14:textId="77777777" w:rsidR="004A11CA" w:rsidRPr="00BE26A9" w:rsidRDefault="004A11CA" w:rsidP="00DE0914">
            <w:pPr>
              <w:jc w:val="both"/>
              <w:rPr>
                <w:rFonts w:ascii="Segoe UI" w:hAnsi="Segoe UI" w:cs="Segoe UI"/>
                <w:b/>
                <w:bCs/>
                <w:i/>
                <w:sz w:val="20"/>
                <w:szCs w:val="20"/>
                <w:lang w:val="en-GB"/>
              </w:rPr>
            </w:pPr>
          </w:p>
        </w:tc>
      </w:tr>
      <w:tr w:rsidR="004A11CA" w:rsidRPr="00BE26A9" w14:paraId="6907E51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3A09A10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Countess of Chester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E727FA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2998E14C" w14:textId="77777777" w:rsidR="004A11CA" w:rsidRPr="00BE26A9" w:rsidRDefault="004A11CA" w:rsidP="00DE0914">
            <w:pPr>
              <w:jc w:val="both"/>
              <w:rPr>
                <w:rFonts w:ascii="Segoe UI" w:hAnsi="Segoe UI" w:cs="Segoe UI"/>
                <w:b/>
                <w:bCs/>
                <w:i/>
                <w:sz w:val="20"/>
                <w:szCs w:val="20"/>
                <w:lang w:val="en-GB"/>
              </w:rPr>
            </w:pPr>
          </w:p>
        </w:tc>
      </w:tr>
      <w:tr w:rsidR="004A11CA" w:rsidRPr="00BE26A9" w14:paraId="046C476D"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EECA44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County Durham and Darlington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768355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3D2AE0F" w14:textId="77777777" w:rsidR="004A11CA" w:rsidRPr="00BE26A9" w:rsidRDefault="004A11CA" w:rsidP="00DE0914">
            <w:pPr>
              <w:jc w:val="both"/>
              <w:rPr>
                <w:rFonts w:ascii="Segoe UI" w:hAnsi="Segoe UI" w:cs="Segoe UI"/>
                <w:b/>
                <w:bCs/>
                <w:i/>
                <w:sz w:val="20"/>
                <w:szCs w:val="20"/>
                <w:lang w:val="en-GB"/>
              </w:rPr>
            </w:pPr>
          </w:p>
        </w:tc>
      </w:tr>
      <w:tr w:rsidR="004A11CA" w:rsidRPr="00BE26A9" w14:paraId="16EF7A5F"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8FCC92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Coventry and Warwickshire Partnership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4BD017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01EDB2C2" w14:textId="77777777" w:rsidR="004A11CA" w:rsidRPr="00BE26A9" w:rsidRDefault="004A11CA" w:rsidP="00DE0914">
            <w:pPr>
              <w:jc w:val="both"/>
              <w:rPr>
                <w:rFonts w:ascii="Segoe UI" w:hAnsi="Segoe UI" w:cs="Segoe UI"/>
                <w:b/>
                <w:bCs/>
                <w:i/>
                <w:sz w:val="20"/>
                <w:szCs w:val="20"/>
                <w:lang w:val="en-GB"/>
              </w:rPr>
            </w:pPr>
          </w:p>
        </w:tc>
      </w:tr>
      <w:tr w:rsidR="004A11CA" w:rsidRPr="00BE26A9" w14:paraId="6022AD7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C36435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Croydon Health Services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8C22D4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5C4F0FEC" w14:textId="77777777" w:rsidR="004A11CA" w:rsidRPr="00BE26A9" w:rsidRDefault="004A11CA" w:rsidP="00DE0914">
            <w:pPr>
              <w:jc w:val="both"/>
              <w:rPr>
                <w:rFonts w:ascii="Segoe UI" w:hAnsi="Segoe UI" w:cs="Segoe UI"/>
                <w:b/>
                <w:bCs/>
                <w:i/>
                <w:sz w:val="20"/>
                <w:szCs w:val="20"/>
                <w:lang w:val="en-GB"/>
              </w:rPr>
            </w:pPr>
          </w:p>
        </w:tc>
      </w:tr>
      <w:tr w:rsidR="004A11CA" w:rsidRPr="00BE26A9" w14:paraId="75A3851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66B608"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Cumbria, Northumberland, </w:t>
            </w:r>
            <w:proofErr w:type="gramStart"/>
            <w:r w:rsidRPr="00BE26A9">
              <w:rPr>
                <w:rFonts w:ascii="Segoe UI" w:hAnsi="Segoe UI" w:cs="Segoe UI"/>
                <w:i/>
                <w:sz w:val="20"/>
                <w:szCs w:val="20"/>
                <w:lang w:val="en-GB"/>
              </w:rPr>
              <w:t>Tyne</w:t>
            </w:r>
            <w:proofErr w:type="gramEnd"/>
            <w:r w:rsidRPr="00BE26A9">
              <w:rPr>
                <w:rFonts w:ascii="Segoe UI" w:hAnsi="Segoe UI" w:cs="Segoe UI"/>
                <w:i/>
                <w:sz w:val="20"/>
                <w:szCs w:val="20"/>
                <w:lang w:val="en-GB"/>
              </w:rPr>
              <w:t xml:space="preserve"> and Wear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862230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47E6A061" w14:textId="77777777" w:rsidR="004A11CA" w:rsidRPr="00BE26A9" w:rsidRDefault="004A11CA" w:rsidP="00DE0914">
            <w:pPr>
              <w:jc w:val="both"/>
              <w:rPr>
                <w:rFonts w:ascii="Segoe UI" w:hAnsi="Segoe UI" w:cs="Segoe UI"/>
                <w:b/>
                <w:bCs/>
                <w:i/>
                <w:sz w:val="20"/>
                <w:szCs w:val="20"/>
                <w:lang w:val="en-GB"/>
              </w:rPr>
            </w:pPr>
          </w:p>
        </w:tc>
      </w:tr>
      <w:tr w:rsidR="004A11CA" w:rsidRPr="00BE26A9" w14:paraId="624C7EE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D36047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Dartford and Gravesham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C5566B3"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3351C056" w14:textId="77777777" w:rsidR="004A11CA" w:rsidRPr="00BE26A9" w:rsidRDefault="004A11CA" w:rsidP="00DE0914">
            <w:pPr>
              <w:jc w:val="both"/>
              <w:rPr>
                <w:rFonts w:ascii="Segoe UI" w:hAnsi="Segoe UI" w:cs="Segoe UI"/>
                <w:b/>
                <w:bCs/>
                <w:i/>
                <w:sz w:val="20"/>
                <w:szCs w:val="20"/>
                <w:lang w:val="en-GB"/>
              </w:rPr>
            </w:pPr>
          </w:p>
        </w:tc>
      </w:tr>
      <w:tr w:rsidR="004A11CA" w:rsidRPr="00BE26A9" w14:paraId="6B4E10B2"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BAC5D3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Derbyshire Community Health Services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E8030B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66DA99E0" w14:textId="77777777" w:rsidR="004A11CA" w:rsidRPr="00BE26A9" w:rsidRDefault="004A11CA" w:rsidP="00DE0914">
            <w:pPr>
              <w:jc w:val="both"/>
              <w:rPr>
                <w:rFonts w:ascii="Segoe UI" w:hAnsi="Segoe UI" w:cs="Segoe UI"/>
                <w:b/>
                <w:bCs/>
                <w:i/>
                <w:sz w:val="20"/>
                <w:szCs w:val="20"/>
                <w:lang w:val="en-GB"/>
              </w:rPr>
            </w:pPr>
          </w:p>
        </w:tc>
      </w:tr>
      <w:tr w:rsidR="004A11CA" w:rsidRPr="00BE26A9" w14:paraId="763E858F"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E37334"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Derbyshire Healthcare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C7532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75CDE105" w14:textId="77777777" w:rsidR="004A11CA" w:rsidRPr="00BE26A9" w:rsidRDefault="004A11CA" w:rsidP="00DE0914">
            <w:pPr>
              <w:jc w:val="both"/>
              <w:rPr>
                <w:rFonts w:ascii="Segoe UI" w:hAnsi="Segoe UI" w:cs="Segoe UI"/>
                <w:b/>
                <w:bCs/>
                <w:i/>
                <w:sz w:val="20"/>
                <w:szCs w:val="20"/>
                <w:lang w:val="en-GB"/>
              </w:rPr>
            </w:pPr>
          </w:p>
        </w:tc>
      </w:tr>
      <w:tr w:rsidR="004A11CA" w:rsidRPr="00BE26A9" w14:paraId="4DF804F0"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796ABD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Devon Partnership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A4A6E4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24759594" w14:textId="77777777" w:rsidR="004A11CA" w:rsidRPr="00BE26A9" w:rsidRDefault="004A11CA" w:rsidP="00DE0914">
            <w:pPr>
              <w:jc w:val="both"/>
              <w:rPr>
                <w:rFonts w:ascii="Segoe UI" w:hAnsi="Segoe UI" w:cs="Segoe UI"/>
                <w:b/>
                <w:bCs/>
                <w:i/>
                <w:sz w:val="20"/>
                <w:szCs w:val="20"/>
                <w:lang w:val="en-GB"/>
              </w:rPr>
            </w:pPr>
          </w:p>
        </w:tc>
      </w:tr>
      <w:tr w:rsidR="004A11CA" w:rsidRPr="00BE26A9" w14:paraId="36135E9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EE2518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Doncaster and Bassetlaw Teaching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B5EF99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559AFE1C" w14:textId="77777777" w:rsidR="004A11CA" w:rsidRPr="00BE26A9" w:rsidRDefault="004A11CA" w:rsidP="00DE0914">
            <w:pPr>
              <w:jc w:val="both"/>
              <w:rPr>
                <w:rFonts w:ascii="Segoe UI" w:hAnsi="Segoe UI" w:cs="Segoe UI"/>
                <w:b/>
                <w:bCs/>
                <w:i/>
                <w:sz w:val="20"/>
                <w:szCs w:val="20"/>
                <w:lang w:val="en-GB"/>
              </w:rPr>
            </w:pPr>
          </w:p>
        </w:tc>
      </w:tr>
      <w:tr w:rsidR="004A11CA" w:rsidRPr="00BE26A9" w14:paraId="6F86CE23"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020F90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Dorset County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BFEA5D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632DCFB9" w14:textId="77777777" w:rsidR="004A11CA" w:rsidRPr="00BE26A9" w:rsidRDefault="004A11CA" w:rsidP="00DE0914">
            <w:pPr>
              <w:jc w:val="both"/>
              <w:rPr>
                <w:rFonts w:ascii="Segoe UI" w:hAnsi="Segoe UI" w:cs="Segoe UI"/>
                <w:b/>
                <w:bCs/>
                <w:i/>
                <w:sz w:val="20"/>
                <w:szCs w:val="20"/>
                <w:lang w:val="en-GB"/>
              </w:rPr>
            </w:pPr>
          </w:p>
        </w:tc>
      </w:tr>
      <w:tr w:rsidR="004A11CA" w:rsidRPr="00BE26A9" w14:paraId="76F2824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19EFE1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Dorset HealthCare University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B8594A3"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7EA40F79" w14:textId="77777777" w:rsidR="004A11CA" w:rsidRPr="00BE26A9" w:rsidRDefault="004A11CA" w:rsidP="00DE0914">
            <w:pPr>
              <w:jc w:val="both"/>
              <w:rPr>
                <w:rFonts w:ascii="Segoe UI" w:hAnsi="Segoe UI" w:cs="Segoe UI"/>
                <w:b/>
                <w:bCs/>
                <w:i/>
                <w:sz w:val="20"/>
                <w:szCs w:val="20"/>
                <w:lang w:val="en-GB"/>
              </w:rPr>
            </w:pPr>
          </w:p>
        </w:tc>
      </w:tr>
      <w:tr w:rsidR="004A11CA" w:rsidRPr="00BE26A9" w14:paraId="53424D4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07CB83B"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Dudley Integrated Health and Care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BB4929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39678411" w14:textId="77777777" w:rsidR="004A11CA" w:rsidRPr="00BE26A9" w:rsidRDefault="004A11CA" w:rsidP="00DE0914">
            <w:pPr>
              <w:jc w:val="both"/>
              <w:rPr>
                <w:rFonts w:ascii="Segoe UI" w:hAnsi="Segoe UI" w:cs="Segoe UI"/>
                <w:b/>
                <w:bCs/>
                <w:i/>
                <w:sz w:val="20"/>
                <w:szCs w:val="20"/>
                <w:lang w:val="en-GB"/>
              </w:rPr>
            </w:pPr>
          </w:p>
        </w:tc>
      </w:tr>
      <w:tr w:rsidR="004A11CA" w:rsidRPr="00BE26A9" w14:paraId="0768633D"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319B731D"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East &amp; North Hertfordshire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39BDC9A"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7D6ADB34" w14:textId="77777777" w:rsidR="004A11CA" w:rsidRPr="00BE26A9" w:rsidRDefault="004A11CA" w:rsidP="00DE0914">
            <w:pPr>
              <w:jc w:val="both"/>
              <w:rPr>
                <w:rFonts w:ascii="Segoe UI" w:hAnsi="Segoe UI" w:cs="Segoe UI"/>
                <w:b/>
                <w:bCs/>
                <w:i/>
                <w:sz w:val="20"/>
                <w:szCs w:val="20"/>
                <w:lang w:val="en-GB"/>
              </w:rPr>
            </w:pPr>
          </w:p>
        </w:tc>
      </w:tr>
      <w:tr w:rsidR="004A11CA" w:rsidRPr="00BE26A9" w14:paraId="63B8779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4AB3CCB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East Cheshire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EC0583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640660B2" w14:textId="77777777" w:rsidR="004A11CA" w:rsidRPr="00BE26A9" w:rsidRDefault="004A11CA" w:rsidP="00DE0914">
            <w:pPr>
              <w:jc w:val="both"/>
              <w:rPr>
                <w:rFonts w:ascii="Segoe UI" w:hAnsi="Segoe UI" w:cs="Segoe UI"/>
                <w:b/>
                <w:bCs/>
                <w:i/>
                <w:sz w:val="20"/>
                <w:szCs w:val="20"/>
                <w:lang w:val="en-GB"/>
              </w:rPr>
            </w:pPr>
          </w:p>
        </w:tc>
      </w:tr>
      <w:tr w:rsidR="004A11CA" w:rsidRPr="00BE26A9" w14:paraId="4AFDB525"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6D0970D"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East of England Ambulance Service NHS Foundation Trust</w:t>
            </w:r>
          </w:p>
        </w:tc>
        <w:tc>
          <w:tcPr>
            <w:tcW w:w="1843" w:type="dxa"/>
            <w:tcBorders>
              <w:top w:val="single" w:sz="8" w:space="0" w:color="auto"/>
              <w:left w:val="single" w:sz="8" w:space="0" w:color="auto"/>
              <w:bottom w:val="nil"/>
              <w:right w:val="single" w:sz="8" w:space="0" w:color="auto"/>
            </w:tcBorders>
            <w:shd w:val="clear" w:color="000000" w:fill="FFFFFF"/>
            <w:noWrap/>
            <w:vAlign w:val="center"/>
            <w:hideMark/>
          </w:tcPr>
          <w:p w14:paraId="7B3F943A"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5126725A" w14:textId="77777777" w:rsidR="004A11CA" w:rsidRPr="00BE26A9" w:rsidRDefault="004A11CA" w:rsidP="00DE0914">
            <w:pPr>
              <w:jc w:val="both"/>
              <w:rPr>
                <w:rFonts w:ascii="Segoe UI" w:hAnsi="Segoe UI" w:cs="Segoe UI"/>
                <w:b/>
                <w:bCs/>
                <w:i/>
                <w:sz w:val="20"/>
                <w:szCs w:val="20"/>
                <w:lang w:val="en-GB"/>
              </w:rPr>
            </w:pPr>
          </w:p>
        </w:tc>
      </w:tr>
      <w:tr w:rsidR="004A11CA" w:rsidRPr="00BE26A9" w14:paraId="3015D476" w14:textId="77777777" w:rsidTr="00AA4E52">
        <w:trPr>
          <w:trHeight w:val="375"/>
        </w:trPr>
        <w:tc>
          <w:tcPr>
            <w:tcW w:w="6379" w:type="dxa"/>
            <w:tcBorders>
              <w:top w:val="nil"/>
              <w:left w:val="single" w:sz="8" w:space="0" w:color="auto"/>
              <w:bottom w:val="single" w:sz="8" w:space="0" w:color="auto"/>
              <w:right w:val="nil"/>
            </w:tcBorders>
            <w:shd w:val="clear" w:color="000000" w:fill="FFFFFF"/>
            <w:noWrap/>
            <w:vAlign w:val="center"/>
            <w:hideMark/>
          </w:tcPr>
          <w:p w14:paraId="021B2D1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East Kent Hospitals University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9DFE0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33286775" w14:textId="77777777" w:rsidR="004A11CA" w:rsidRPr="00BE26A9" w:rsidRDefault="004A11CA" w:rsidP="00DE0914">
            <w:pPr>
              <w:jc w:val="both"/>
              <w:rPr>
                <w:rFonts w:ascii="Segoe UI" w:hAnsi="Segoe UI" w:cs="Segoe UI"/>
                <w:b/>
                <w:bCs/>
                <w:i/>
                <w:sz w:val="20"/>
                <w:szCs w:val="20"/>
                <w:lang w:val="en-GB"/>
              </w:rPr>
            </w:pPr>
          </w:p>
        </w:tc>
      </w:tr>
      <w:tr w:rsidR="004A11CA" w:rsidRPr="00BE26A9" w14:paraId="346F4799"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hideMark/>
          </w:tcPr>
          <w:p w14:paraId="50848E5B"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East Lancashire Hospitals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560A9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7E0C194" w14:textId="77777777" w:rsidR="004A11CA" w:rsidRPr="00BE26A9" w:rsidRDefault="004A11CA" w:rsidP="00DE0914">
            <w:pPr>
              <w:jc w:val="both"/>
              <w:rPr>
                <w:rFonts w:ascii="Segoe UI" w:hAnsi="Segoe UI" w:cs="Segoe UI"/>
                <w:b/>
                <w:bCs/>
                <w:i/>
                <w:sz w:val="20"/>
                <w:szCs w:val="20"/>
                <w:lang w:val="en-GB"/>
              </w:rPr>
            </w:pPr>
          </w:p>
        </w:tc>
      </w:tr>
      <w:tr w:rsidR="004A11CA" w:rsidRPr="00BE26A9" w14:paraId="27146F90"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center"/>
            <w:hideMark/>
          </w:tcPr>
          <w:p w14:paraId="2C1A839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East London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036E48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24E95952" w14:textId="77777777" w:rsidR="004A11CA" w:rsidRPr="00BE26A9" w:rsidRDefault="004A11CA" w:rsidP="00DE0914">
            <w:pPr>
              <w:jc w:val="both"/>
              <w:rPr>
                <w:rFonts w:ascii="Segoe UI" w:hAnsi="Segoe UI" w:cs="Segoe UI"/>
                <w:b/>
                <w:bCs/>
                <w:i/>
                <w:sz w:val="20"/>
                <w:szCs w:val="20"/>
                <w:lang w:val="en-GB"/>
              </w:rPr>
            </w:pPr>
          </w:p>
        </w:tc>
      </w:tr>
      <w:tr w:rsidR="004A11CA" w:rsidRPr="00BE26A9" w14:paraId="1F2DC57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608B9C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East Midlands Ambulance Service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CD138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01727637" w14:textId="77777777" w:rsidR="004A11CA" w:rsidRPr="00BE26A9" w:rsidRDefault="004A11CA" w:rsidP="00DE0914">
            <w:pPr>
              <w:jc w:val="both"/>
              <w:rPr>
                <w:rFonts w:ascii="Segoe UI" w:hAnsi="Segoe UI" w:cs="Segoe UI"/>
                <w:b/>
                <w:bCs/>
                <w:i/>
                <w:sz w:val="20"/>
                <w:szCs w:val="20"/>
                <w:lang w:val="en-GB"/>
              </w:rPr>
            </w:pPr>
          </w:p>
        </w:tc>
      </w:tr>
      <w:tr w:rsidR="004A11CA" w:rsidRPr="00BE26A9" w14:paraId="51F9EA6C"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hideMark/>
          </w:tcPr>
          <w:p w14:paraId="39FE3E6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East Suffolk &amp; North East Essex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9ABD8C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00A84208" w14:textId="77777777" w:rsidR="004A11CA" w:rsidRPr="00BE26A9" w:rsidRDefault="004A11CA" w:rsidP="00DE0914">
            <w:pPr>
              <w:jc w:val="both"/>
              <w:rPr>
                <w:rFonts w:ascii="Segoe UI" w:hAnsi="Segoe UI" w:cs="Segoe UI"/>
                <w:b/>
                <w:bCs/>
                <w:i/>
                <w:sz w:val="20"/>
                <w:szCs w:val="20"/>
                <w:lang w:val="en-GB"/>
              </w:rPr>
            </w:pPr>
          </w:p>
        </w:tc>
      </w:tr>
      <w:tr w:rsidR="004A11CA" w:rsidRPr="00BE26A9" w14:paraId="6421F16C"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hideMark/>
          </w:tcPr>
          <w:p w14:paraId="7BA30FF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East Sussex Healthcare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9A78CA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BCAF4E5" w14:textId="77777777" w:rsidR="004A11CA" w:rsidRPr="00BE26A9" w:rsidRDefault="004A11CA" w:rsidP="00DE0914">
            <w:pPr>
              <w:jc w:val="both"/>
              <w:rPr>
                <w:rFonts w:ascii="Segoe UI" w:hAnsi="Segoe UI" w:cs="Segoe UI"/>
                <w:b/>
                <w:bCs/>
                <w:i/>
                <w:sz w:val="20"/>
                <w:szCs w:val="20"/>
                <w:lang w:val="en-GB"/>
              </w:rPr>
            </w:pPr>
          </w:p>
        </w:tc>
      </w:tr>
      <w:tr w:rsidR="004A11CA" w:rsidRPr="00BE26A9" w14:paraId="08355302"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center"/>
            <w:hideMark/>
          </w:tcPr>
          <w:p w14:paraId="05379C5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Epsom and St Helier University Hospitals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1769DB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7E8D279B" w14:textId="77777777" w:rsidR="004A11CA" w:rsidRPr="00BE26A9" w:rsidRDefault="004A11CA" w:rsidP="00DE0914">
            <w:pPr>
              <w:jc w:val="both"/>
              <w:rPr>
                <w:rFonts w:ascii="Segoe UI" w:hAnsi="Segoe UI" w:cs="Segoe UI"/>
                <w:b/>
                <w:bCs/>
                <w:i/>
                <w:sz w:val="20"/>
                <w:szCs w:val="20"/>
                <w:lang w:val="en-GB"/>
              </w:rPr>
            </w:pPr>
          </w:p>
        </w:tc>
      </w:tr>
      <w:tr w:rsidR="004A11CA" w:rsidRPr="00BE26A9" w14:paraId="24742302"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bottom"/>
            <w:hideMark/>
          </w:tcPr>
          <w:p w14:paraId="00BE243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Essex Partnership University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97FCCB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56DE2D13" w14:textId="77777777" w:rsidR="004A11CA" w:rsidRPr="00BE26A9" w:rsidRDefault="004A11CA" w:rsidP="00DE0914">
            <w:pPr>
              <w:jc w:val="both"/>
              <w:rPr>
                <w:rFonts w:ascii="Segoe UI" w:hAnsi="Segoe UI" w:cs="Segoe UI"/>
                <w:b/>
                <w:bCs/>
                <w:i/>
                <w:sz w:val="20"/>
                <w:szCs w:val="20"/>
                <w:lang w:val="en-GB"/>
              </w:rPr>
            </w:pPr>
          </w:p>
        </w:tc>
      </w:tr>
      <w:tr w:rsidR="009A61EA" w:rsidRPr="00BE26A9" w14:paraId="02FA66CA"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center"/>
            <w:hideMark/>
          </w:tcPr>
          <w:p w14:paraId="166FD181"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Frimley Health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C50A2B"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2</w:t>
            </w:r>
          </w:p>
        </w:tc>
        <w:tc>
          <w:tcPr>
            <w:tcW w:w="3441" w:type="dxa"/>
            <w:tcBorders>
              <w:top w:val="nil"/>
              <w:left w:val="nil"/>
              <w:bottom w:val="nil"/>
              <w:right w:val="nil"/>
            </w:tcBorders>
            <w:noWrap/>
            <w:vAlign w:val="bottom"/>
            <w:hideMark/>
          </w:tcPr>
          <w:p w14:paraId="5423F853"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0693D0FB"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bottom"/>
            <w:hideMark/>
          </w:tcPr>
          <w:p w14:paraId="5B4616AB"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Gateshead Health NHS Foundation Trust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AE07C4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010DB98C" w14:textId="77777777" w:rsidR="004A11CA" w:rsidRPr="00BE26A9" w:rsidRDefault="004A11CA" w:rsidP="00DE0914">
            <w:pPr>
              <w:jc w:val="both"/>
              <w:rPr>
                <w:rFonts w:ascii="Segoe UI" w:hAnsi="Segoe UI" w:cs="Segoe UI"/>
                <w:b/>
                <w:bCs/>
                <w:i/>
                <w:sz w:val="20"/>
                <w:szCs w:val="20"/>
                <w:lang w:val="en-GB"/>
              </w:rPr>
            </w:pPr>
          </w:p>
        </w:tc>
      </w:tr>
      <w:tr w:rsidR="004A11CA" w:rsidRPr="00BE26A9" w14:paraId="65AF6223" w14:textId="77777777" w:rsidTr="00AA4E52">
        <w:trPr>
          <w:trHeight w:val="375"/>
        </w:trPr>
        <w:tc>
          <w:tcPr>
            <w:tcW w:w="6379" w:type="dxa"/>
            <w:tcBorders>
              <w:top w:val="single" w:sz="8" w:space="0" w:color="auto"/>
              <w:left w:val="single" w:sz="8" w:space="0" w:color="auto"/>
              <w:bottom w:val="nil"/>
              <w:right w:val="nil"/>
            </w:tcBorders>
            <w:shd w:val="clear" w:color="000000" w:fill="FFFFFF"/>
            <w:noWrap/>
            <w:vAlign w:val="center"/>
            <w:hideMark/>
          </w:tcPr>
          <w:p w14:paraId="6FC4EB99"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George Eliot Hospital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08F3DA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423E28C8" w14:textId="77777777" w:rsidR="004A11CA" w:rsidRPr="00BE26A9" w:rsidRDefault="004A11CA" w:rsidP="00DE0914">
            <w:pPr>
              <w:jc w:val="both"/>
              <w:rPr>
                <w:rFonts w:ascii="Segoe UI" w:hAnsi="Segoe UI" w:cs="Segoe UI"/>
                <w:b/>
                <w:bCs/>
                <w:i/>
                <w:sz w:val="20"/>
                <w:szCs w:val="20"/>
                <w:lang w:val="en-GB"/>
              </w:rPr>
            </w:pPr>
          </w:p>
        </w:tc>
      </w:tr>
      <w:tr w:rsidR="009A61EA" w:rsidRPr="00BE26A9" w14:paraId="4D5C1905"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454BE9F"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Gloucestershire Health and 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218E70"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2</w:t>
            </w:r>
          </w:p>
        </w:tc>
        <w:tc>
          <w:tcPr>
            <w:tcW w:w="3441" w:type="dxa"/>
            <w:tcBorders>
              <w:top w:val="nil"/>
              <w:left w:val="nil"/>
              <w:bottom w:val="nil"/>
              <w:right w:val="nil"/>
            </w:tcBorders>
            <w:noWrap/>
            <w:vAlign w:val="bottom"/>
            <w:hideMark/>
          </w:tcPr>
          <w:p w14:paraId="2C622CC4"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61D865AC"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138A909"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Gloucestershire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5B99E6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CFEB0FB" w14:textId="77777777" w:rsidR="004A11CA" w:rsidRPr="00BE26A9" w:rsidRDefault="004A11CA" w:rsidP="00DE0914">
            <w:pPr>
              <w:jc w:val="both"/>
              <w:rPr>
                <w:rFonts w:ascii="Segoe UI" w:hAnsi="Segoe UI" w:cs="Segoe UI"/>
                <w:b/>
                <w:bCs/>
                <w:i/>
                <w:sz w:val="20"/>
                <w:szCs w:val="20"/>
                <w:lang w:val="en-GB"/>
              </w:rPr>
            </w:pPr>
          </w:p>
        </w:tc>
      </w:tr>
      <w:tr w:rsidR="004A11CA" w:rsidRPr="00BE26A9" w14:paraId="0FE4AFF5"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5C1652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lastRenderedPageBreak/>
              <w:t>Great Ormond Street Hospital for Children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536C8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6784B11" w14:textId="77777777" w:rsidR="004A11CA" w:rsidRPr="00BE26A9" w:rsidRDefault="004A11CA" w:rsidP="00DE0914">
            <w:pPr>
              <w:jc w:val="both"/>
              <w:rPr>
                <w:rFonts w:ascii="Segoe UI" w:hAnsi="Segoe UI" w:cs="Segoe UI"/>
                <w:b/>
                <w:bCs/>
                <w:i/>
                <w:sz w:val="20"/>
                <w:szCs w:val="20"/>
                <w:lang w:val="en-GB"/>
              </w:rPr>
            </w:pPr>
          </w:p>
        </w:tc>
      </w:tr>
      <w:tr w:rsidR="004A11CA" w:rsidRPr="00BE26A9" w14:paraId="629E76D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33F093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Great Western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452750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5A615248" w14:textId="77777777" w:rsidR="004A11CA" w:rsidRPr="00BE26A9" w:rsidRDefault="004A11CA" w:rsidP="00DE0914">
            <w:pPr>
              <w:jc w:val="both"/>
              <w:rPr>
                <w:rFonts w:ascii="Segoe UI" w:hAnsi="Segoe UI" w:cs="Segoe UI"/>
                <w:b/>
                <w:bCs/>
                <w:i/>
                <w:sz w:val="20"/>
                <w:szCs w:val="20"/>
                <w:lang w:val="en-GB"/>
              </w:rPr>
            </w:pPr>
          </w:p>
        </w:tc>
      </w:tr>
      <w:tr w:rsidR="004A11CA" w:rsidRPr="00BE26A9" w14:paraId="1773DA4C"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7441D20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Greater Manchester Mental Health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C23FC3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2B8E9195" w14:textId="77777777" w:rsidR="004A11CA" w:rsidRPr="00BE26A9" w:rsidRDefault="004A11CA" w:rsidP="00DE0914">
            <w:pPr>
              <w:jc w:val="both"/>
              <w:rPr>
                <w:rFonts w:ascii="Segoe UI" w:hAnsi="Segoe UI" w:cs="Segoe UI"/>
                <w:b/>
                <w:bCs/>
                <w:i/>
                <w:sz w:val="20"/>
                <w:szCs w:val="20"/>
                <w:lang w:val="en-GB"/>
              </w:rPr>
            </w:pPr>
          </w:p>
        </w:tc>
      </w:tr>
      <w:tr w:rsidR="004A11CA" w:rsidRPr="00BE26A9" w14:paraId="425C48D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28A4EE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Guy’s and St Thomas’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02D89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B3B709E" w14:textId="77777777" w:rsidR="004A11CA" w:rsidRPr="00BE26A9" w:rsidRDefault="004A11CA" w:rsidP="00DE0914">
            <w:pPr>
              <w:jc w:val="both"/>
              <w:rPr>
                <w:rFonts w:ascii="Segoe UI" w:hAnsi="Segoe UI" w:cs="Segoe UI"/>
                <w:b/>
                <w:bCs/>
                <w:i/>
                <w:sz w:val="20"/>
                <w:szCs w:val="20"/>
                <w:lang w:val="en-GB"/>
              </w:rPr>
            </w:pPr>
          </w:p>
        </w:tc>
      </w:tr>
      <w:tr w:rsidR="004A11CA" w:rsidRPr="00BE26A9" w14:paraId="3B9CA63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963727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Hampshire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2A2913"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17769772" w14:textId="77777777" w:rsidR="004A11CA" w:rsidRPr="00BE26A9" w:rsidRDefault="004A11CA" w:rsidP="00DE0914">
            <w:pPr>
              <w:jc w:val="both"/>
              <w:rPr>
                <w:rFonts w:ascii="Segoe UI" w:hAnsi="Segoe UI" w:cs="Segoe UI"/>
                <w:b/>
                <w:bCs/>
                <w:i/>
                <w:sz w:val="20"/>
                <w:szCs w:val="20"/>
                <w:lang w:val="en-GB"/>
              </w:rPr>
            </w:pPr>
          </w:p>
        </w:tc>
      </w:tr>
      <w:tr w:rsidR="004A11CA" w:rsidRPr="00BE26A9" w14:paraId="6D20EC4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3A14F7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Harrogate and District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73618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0B704558" w14:textId="77777777" w:rsidR="004A11CA" w:rsidRPr="00BE26A9" w:rsidRDefault="004A11CA" w:rsidP="00DE0914">
            <w:pPr>
              <w:jc w:val="both"/>
              <w:rPr>
                <w:rFonts w:ascii="Segoe UI" w:hAnsi="Segoe UI" w:cs="Segoe UI"/>
                <w:b/>
                <w:bCs/>
                <w:i/>
                <w:sz w:val="20"/>
                <w:szCs w:val="20"/>
                <w:lang w:val="en-GB"/>
              </w:rPr>
            </w:pPr>
          </w:p>
        </w:tc>
      </w:tr>
      <w:tr w:rsidR="004A11CA" w:rsidRPr="00BE26A9" w14:paraId="0DA0747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2315392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Hertfordshire Community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3F8E6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2145CB99" w14:textId="77777777" w:rsidR="004A11CA" w:rsidRPr="00BE26A9" w:rsidRDefault="004A11CA" w:rsidP="00DE0914">
            <w:pPr>
              <w:jc w:val="both"/>
              <w:rPr>
                <w:rFonts w:ascii="Segoe UI" w:hAnsi="Segoe UI" w:cs="Segoe UI"/>
                <w:b/>
                <w:bCs/>
                <w:i/>
                <w:sz w:val="20"/>
                <w:szCs w:val="20"/>
                <w:lang w:val="en-GB"/>
              </w:rPr>
            </w:pPr>
          </w:p>
        </w:tc>
      </w:tr>
      <w:tr w:rsidR="004A11CA" w:rsidRPr="00BE26A9" w14:paraId="3C69BF3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5F9FDC54"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Hertfordshire Partnership University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D4751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7B9C760D" w14:textId="77777777" w:rsidR="004A11CA" w:rsidRPr="00BE26A9" w:rsidRDefault="004A11CA" w:rsidP="00DE0914">
            <w:pPr>
              <w:jc w:val="both"/>
              <w:rPr>
                <w:rFonts w:ascii="Segoe UI" w:hAnsi="Segoe UI" w:cs="Segoe UI"/>
                <w:b/>
                <w:bCs/>
                <w:i/>
                <w:sz w:val="20"/>
                <w:szCs w:val="20"/>
                <w:lang w:val="en-GB"/>
              </w:rPr>
            </w:pPr>
          </w:p>
        </w:tc>
      </w:tr>
      <w:tr w:rsidR="004A11CA" w:rsidRPr="00BE26A9" w14:paraId="38ED004F"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FDA845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Homerton University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14D1A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62BAF244" w14:textId="77777777" w:rsidR="004A11CA" w:rsidRPr="00BE26A9" w:rsidRDefault="004A11CA" w:rsidP="00DE0914">
            <w:pPr>
              <w:jc w:val="both"/>
              <w:rPr>
                <w:rFonts w:ascii="Segoe UI" w:hAnsi="Segoe UI" w:cs="Segoe UI"/>
                <w:b/>
                <w:bCs/>
                <w:i/>
                <w:sz w:val="20"/>
                <w:szCs w:val="20"/>
                <w:lang w:val="en-GB"/>
              </w:rPr>
            </w:pPr>
          </w:p>
        </w:tc>
      </w:tr>
      <w:tr w:rsidR="004A11CA" w:rsidRPr="00BE26A9" w14:paraId="5FB5B5DA"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center"/>
            <w:hideMark/>
          </w:tcPr>
          <w:p w14:paraId="773195D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Hounslow and Richmond Community Healthcare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44F1DD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2A38CA4D" w14:textId="77777777" w:rsidR="004A11CA" w:rsidRPr="00BE26A9" w:rsidRDefault="004A11CA" w:rsidP="00DE0914">
            <w:pPr>
              <w:jc w:val="both"/>
              <w:rPr>
                <w:rFonts w:ascii="Segoe UI" w:hAnsi="Segoe UI" w:cs="Segoe UI"/>
                <w:b/>
                <w:bCs/>
                <w:i/>
                <w:sz w:val="20"/>
                <w:szCs w:val="20"/>
                <w:lang w:val="en-GB"/>
              </w:rPr>
            </w:pPr>
          </w:p>
        </w:tc>
      </w:tr>
      <w:tr w:rsidR="004A11CA" w:rsidRPr="00BE26A9" w14:paraId="047E4BEB"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bottom"/>
            <w:hideMark/>
          </w:tcPr>
          <w:p w14:paraId="590E49C8"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Hull University Teaching Hospitals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431527A"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4335DD79" w14:textId="77777777" w:rsidR="004A11CA" w:rsidRPr="00BE26A9" w:rsidRDefault="004A11CA" w:rsidP="00DE0914">
            <w:pPr>
              <w:jc w:val="both"/>
              <w:rPr>
                <w:rFonts w:ascii="Segoe UI" w:hAnsi="Segoe UI" w:cs="Segoe UI"/>
                <w:b/>
                <w:bCs/>
                <w:i/>
                <w:sz w:val="20"/>
                <w:szCs w:val="20"/>
                <w:lang w:val="en-GB"/>
              </w:rPr>
            </w:pPr>
          </w:p>
        </w:tc>
      </w:tr>
      <w:tr w:rsidR="004A11CA" w:rsidRPr="00BE26A9" w14:paraId="2E48794D"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bottom"/>
            <w:hideMark/>
          </w:tcPr>
          <w:p w14:paraId="7C332B7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Humber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21878A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0FD9B6DA" w14:textId="77777777" w:rsidR="004A11CA" w:rsidRPr="00BE26A9" w:rsidRDefault="004A11CA" w:rsidP="00DE0914">
            <w:pPr>
              <w:jc w:val="both"/>
              <w:rPr>
                <w:rFonts w:ascii="Segoe UI" w:hAnsi="Segoe UI" w:cs="Segoe UI"/>
                <w:b/>
                <w:bCs/>
                <w:i/>
                <w:sz w:val="20"/>
                <w:szCs w:val="20"/>
                <w:lang w:val="en-GB"/>
              </w:rPr>
            </w:pPr>
          </w:p>
        </w:tc>
      </w:tr>
      <w:tr w:rsidR="004A11CA" w:rsidRPr="00BE26A9" w14:paraId="74E56F83"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center"/>
            <w:hideMark/>
          </w:tcPr>
          <w:p w14:paraId="2D6249F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Imperial College Healthcare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BCCED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1C57F1D6" w14:textId="77777777" w:rsidR="004A11CA" w:rsidRPr="00BE26A9" w:rsidRDefault="004A11CA" w:rsidP="00DE0914">
            <w:pPr>
              <w:jc w:val="both"/>
              <w:rPr>
                <w:rFonts w:ascii="Segoe UI" w:hAnsi="Segoe UI" w:cs="Segoe UI"/>
                <w:b/>
                <w:bCs/>
                <w:i/>
                <w:sz w:val="20"/>
                <w:szCs w:val="20"/>
                <w:lang w:val="en-GB"/>
              </w:rPr>
            </w:pPr>
          </w:p>
        </w:tc>
      </w:tr>
      <w:tr w:rsidR="001E37C2" w:rsidRPr="00BE26A9" w14:paraId="04905197"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center"/>
            <w:hideMark/>
          </w:tcPr>
          <w:p w14:paraId="20F3ED74"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Isle of Wight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8E92E2B"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4</w:t>
            </w:r>
          </w:p>
        </w:tc>
        <w:tc>
          <w:tcPr>
            <w:tcW w:w="3441" w:type="dxa"/>
            <w:tcBorders>
              <w:top w:val="nil"/>
              <w:left w:val="nil"/>
              <w:bottom w:val="nil"/>
              <w:right w:val="nil"/>
            </w:tcBorders>
            <w:noWrap/>
            <w:vAlign w:val="bottom"/>
            <w:hideMark/>
          </w:tcPr>
          <w:p w14:paraId="349CF5D9"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7E1274BF"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2F96B379"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James Paget University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36FE37A"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367693D7" w14:textId="77777777" w:rsidR="004A11CA" w:rsidRPr="00BE26A9" w:rsidRDefault="004A11CA" w:rsidP="00DE0914">
            <w:pPr>
              <w:jc w:val="both"/>
              <w:rPr>
                <w:rFonts w:ascii="Segoe UI" w:hAnsi="Segoe UI" w:cs="Segoe UI"/>
                <w:b/>
                <w:bCs/>
                <w:i/>
                <w:sz w:val="20"/>
                <w:szCs w:val="20"/>
                <w:lang w:val="en-GB"/>
              </w:rPr>
            </w:pPr>
          </w:p>
        </w:tc>
      </w:tr>
      <w:tr w:rsidR="004A11CA" w:rsidRPr="00BE26A9" w14:paraId="2CB02163"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515B4D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Kent and Medway NHS and Social Care Partnership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CC7032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09D0DCB7" w14:textId="77777777" w:rsidR="004A11CA" w:rsidRPr="00BE26A9" w:rsidRDefault="004A11CA" w:rsidP="00DE0914">
            <w:pPr>
              <w:jc w:val="both"/>
              <w:rPr>
                <w:rFonts w:ascii="Segoe UI" w:hAnsi="Segoe UI" w:cs="Segoe UI"/>
                <w:b/>
                <w:bCs/>
                <w:i/>
                <w:sz w:val="20"/>
                <w:szCs w:val="20"/>
                <w:lang w:val="en-GB"/>
              </w:rPr>
            </w:pPr>
          </w:p>
        </w:tc>
      </w:tr>
      <w:tr w:rsidR="004A11CA" w:rsidRPr="00BE26A9" w14:paraId="49B1201F"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center"/>
            <w:hideMark/>
          </w:tcPr>
          <w:p w14:paraId="7BFDA2A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Kent Community Health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C571DF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45257974" w14:textId="77777777" w:rsidR="004A11CA" w:rsidRPr="00BE26A9" w:rsidRDefault="004A11CA" w:rsidP="00DE0914">
            <w:pPr>
              <w:jc w:val="both"/>
              <w:rPr>
                <w:rFonts w:ascii="Segoe UI" w:hAnsi="Segoe UI" w:cs="Segoe UI"/>
                <w:b/>
                <w:bCs/>
                <w:i/>
                <w:sz w:val="20"/>
                <w:szCs w:val="20"/>
                <w:lang w:val="en-GB"/>
              </w:rPr>
            </w:pPr>
          </w:p>
        </w:tc>
      </w:tr>
      <w:tr w:rsidR="004A11CA" w:rsidRPr="00BE26A9" w14:paraId="6634FE9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B2A1BF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Kettering General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97F3F8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71B5CAE1" w14:textId="77777777" w:rsidR="004A11CA" w:rsidRPr="00BE26A9" w:rsidRDefault="004A11CA" w:rsidP="00DE0914">
            <w:pPr>
              <w:jc w:val="both"/>
              <w:rPr>
                <w:rFonts w:ascii="Segoe UI" w:hAnsi="Segoe UI" w:cs="Segoe UI"/>
                <w:b/>
                <w:bCs/>
                <w:i/>
                <w:sz w:val="20"/>
                <w:szCs w:val="20"/>
                <w:lang w:val="en-GB"/>
              </w:rPr>
            </w:pPr>
          </w:p>
        </w:tc>
      </w:tr>
      <w:tr w:rsidR="004A11CA" w:rsidRPr="00BE26A9" w14:paraId="5104022C"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center"/>
            <w:hideMark/>
          </w:tcPr>
          <w:p w14:paraId="1A17D394"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King’s College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1C9DC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27DC7F15" w14:textId="77777777" w:rsidR="004A11CA" w:rsidRPr="00BE26A9" w:rsidRDefault="004A11CA" w:rsidP="00DE0914">
            <w:pPr>
              <w:jc w:val="both"/>
              <w:rPr>
                <w:rFonts w:ascii="Segoe UI" w:hAnsi="Segoe UI" w:cs="Segoe UI"/>
                <w:b/>
                <w:bCs/>
                <w:i/>
                <w:sz w:val="20"/>
                <w:szCs w:val="20"/>
                <w:lang w:val="en-GB"/>
              </w:rPr>
            </w:pPr>
          </w:p>
        </w:tc>
      </w:tr>
      <w:tr w:rsidR="004A11CA" w:rsidRPr="00BE26A9" w14:paraId="10C822A2"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center"/>
            <w:hideMark/>
          </w:tcPr>
          <w:p w14:paraId="21D43F0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Kingston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81EE3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219CA08E" w14:textId="77777777" w:rsidR="004A11CA" w:rsidRPr="00BE26A9" w:rsidRDefault="004A11CA" w:rsidP="00DE0914">
            <w:pPr>
              <w:jc w:val="both"/>
              <w:rPr>
                <w:rFonts w:ascii="Segoe UI" w:hAnsi="Segoe UI" w:cs="Segoe UI"/>
                <w:b/>
                <w:bCs/>
                <w:i/>
                <w:sz w:val="20"/>
                <w:szCs w:val="20"/>
                <w:lang w:val="en-GB"/>
              </w:rPr>
            </w:pPr>
          </w:p>
        </w:tc>
      </w:tr>
      <w:tr w:rsidR="004A11CA" w:rsidRPr="00BE26A9" w14:paraId="5E0ACF07"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hideMark/>
          </w:tcPr>
          <w:p w14:paraId="68E5596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Lancashire and South Cumbria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1A4636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5A85E764" w14:textId="77777777" w:rsidR="004A11CA" w:rsidRPr="00BE26A9" w:rsidRDefault="004A11CA" w:rsidP="00DE0914">
            <w:pPr>
              <w:jc w:val="both"/>
              <w:rPr>
                <w:rFonts w:ascii="Segoe UI" w:hAnsi="Segoe UI" w:cs="Segoe UI"/>
                <w:b/>
                <w:bCs/>
                <w:i/>
                <w:sz w:val="20"/>
                <w:szCs w:val="20"/>
                <w:lang w:val="en-GB"/>
              </w:rPr>
            </w:pPr>
          </w:p>
        </w:tc>
      </w:tr>
      <w:tr w:rsidR="004A11CA" w:rsidRPr="00BE26A9" w14:paraId="47EFF31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5FB5285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Lancashire Teaching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3DA7C69"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2FE38EF4" w14:textId="77777777" w:rsidR="004A11CA" w:rsidRPr="00BE26A9" w:rsidRDefault="004A11CA" w:rsidP="00DE0914">
            <w:pPr>
              <w:jc w:val="both"/>
              <w:rPr>
                <w:rFonts w:ascii="Segoe UI" w:hAnsi="Segoe UI" w:cs="Segoe UI"/>
                <w:b/>
                <w:bCs/>
                <w:i/>
                <w:sz w:val="20"/>
                <w:szCs w:val="20"/>
                <w:lang w:val="en-GB"/>
              </w:rPr>
            </w:pPr>
          </w:p>
        </w:tc>
      </w:tr>
      <w:tr w:rsidR="004A11CA" w:rsidRPr="00BE26A9" w14:paraId="1DDF9911" w14:textId="77777777" w:rsidTr="00AA4E52">
        <w:trPr>
          <w:trHeight w:val="375"/>
        </w:trPr>
        <w:tc>
          <w:tcPr>
            <w:tcW w:w="6379" w:type="dxa"/>
            <w:tcBorders>
              <w:top w:val="single" w:sz="8" w:space="0" w:color="auto"/>
              <w:left w:val="single" w:sz="8" w:space="0" w:color="auto"/>
              <w:bottom w:val="single" w:sz="8" w:space="0" w:color="auto"/>
              <w:right w:val="nil"/>
            </w:tcBorders>
            <w:shd w:val="clear" w:color="000000" w:fill="FFFFFF"/>
            <w:noWrap/>
            <w:vAlign w:val="bottom"/>
            <w:hideMark/>
          </w:tcPr>
          <w:p w14:paraId="5B4CB78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Leeds and York Partnership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28B20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194241B6" w14:textId="77777777" w:rsidR="004A11CA" w:rsidRPr="00BE26A9" w:rsidRDefault="004A11CA" w:rsidP="00DE0914">
            <w:pPr>
              <w:jc w:val="both"/>
              <w:rPr>
                <w:rFonts w:ascii="Segoe UI" w:hAnsi="Segoe UI" w:cs="Segoe UI"/>
                <w:b/>
                <w:bCs/>
                <w:i/>
                <w:sz w:val="20"/>
                <w:szCs w:val="20"/>
                <w:lang w:val="en-GB"/>
              </w:rPr>
            </w:pPr>
          </w:p>
        </w:tc>
      </w:tr>
      <w:tr w:rsidR="004A11CA" w:rsidRPr="00BE26A9" w14:paraId="33312BF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5FFF2A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Leeds Community Healthcare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0BA89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5504343" w14:textId="77777777" w:rsidR="004A11CA" w:rsidRPr="00BE26A9" w:rsidRDefault="004A11CA" w:rsidP="00DE0914">
            <w:pPr>
              <w:jc w:val="both"/>
              <w:rPr>
                <w:rFonts w:ascii="Segoe UI" w:hAnsi="Segoe UI" w:cs="Segoe UI"/>
                <w:b/>
                <w:bCs/>
                <w:i/>
                <w:sz w:val="20"/>
                <w:szCs w:val="20"/>
                <w:lang w:val="en-GB"/>
              </w:rPr>
            </w:pPr>
          </w:p>
        </w:tc>
      </w:tr>
      <w:tr w:rsidR="004A11CA" w:rsidRPr="00BE26A9" w14:paraId="458A64F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0709FA4"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Leeds Teaching Hospitals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BA9022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1DC5BA57" w14:textId="77777777" w:rsidR="004A11CA" w:rsidRPr="00BE26A9" w:rsidRDefault="004A11CA" w:rsidP="00DE0914">
            <w:pPr>
              <w:jc w:val="both"/>
              <w:rPr>
                <w:rFonts w:ascii="Segoe UI" w:hAnsi="Segoe UI" w:cs="Segoe UI"/>
                <w:b/>
                <w:bCs/>
                <w:i/>
                <w:sz w:val="20"/>
                <w:szCs w:val="20"/>
                <w:lang w:val="en-GB"/>
              </w:rPr>
            </w:pPr>
          </w:p>
        </w:tc>
      </w:tr>
      <w:tr w:rsidR="004A11CA" w:rsidRPr="00BE26A9" w14:paraId="00A5F99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69500489"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Leicestershire Partnership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CAED7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2D03AA38" w14:textId="77777777" w:rsidR="004A11CA" w:rsidRPr="00BE26A9" w:rsidRDefault="004A11CA" w:rsidP="00DE0914">
            <w:pPr>
              <w:jc w:val="both"/>
              <w:rPr>
                <w:rFonts w:ascii="Segoe UI" w:hAnsi="Segoe UI" w:cs="Segoe UI"/>
                <w:b/>
                <w:bCs/>
                <w:i/>
                <w:sz w:val="20"/>
                <w:szCs w:val="20"/>
                <w:lang w:val="en-GB"/>
              </w:rPr>
            </w:pPr>
          </w:p>
        </w:tc>
      </w:tr>
      <w:tr w:rsidR="004A11CA" w:rsidRPr="00BE26A9" w14:paraId="31C0E18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64E82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Lewisham and Greenwich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C29FE6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42116E4A" w14:textId="77777777" w:rsidR="004A11CA" w:rsidRPr="00BE26A9" w:rsidRDefault="004A11CA" w:rsidP="00DE0914">
            <w:pPr>
              <w:jc w:val="both"/>
              <w:rPr>
                <w:rFonts w:ascii="Segoe UI" w:hAnsi="Segoe UI" w:cs="Segoe UI"/>
                <w:b/>
                <w:bCs/>
                <w:i/>
                <w:sz w:val="20"/>
                <w:szCs w:val="20"/>
                <w:lang w:val="en-GB"/>
              </w:rPr>
            </w:pPr>
          </w:p>
        </w:tc>
      </w:tr>
      <w:tr w:rsidR="004A11CA" w:rsidRPr="00BE26A9" w14:paraId="1DEB0E4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99C1CD"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Lincolnshire Community Health Services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8ACBEAC"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761BA738" w14:textId="77777777" w:rsidR="004A11CA" w:rsidRPr="00BE26A9" w:rsidRDefault="004A11CA" w:rsidP="00DE0914">
            <w:pPr>
              <w:jc w:val="both"/>
              <w:rPr>
                <w:rFonts w:ascii="Segoe UI" w:hAnsi="Segoe UI" w:cs="Segoe UI"/>
                <w:b/>
                <w:bCs/>
                <w:i/>
                <w:sz w:val="20"/>
                <w:szCs w:val="20"/>
                <w:lang w:val="en-GB"/>
              </w:rPr>
            </w:pPr>
          </w:p>
        </w:tc>
      </w:tr>
      <w:tr w:rsidR="004A11CA" w:rsidRPr="00BE26A9" w14:paraId="0DE7A72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D8F61E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Lincolnshire Partnership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0AAD56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14C969AC" w14:textId="77777777" w:rsidR="004A11CA" w:rsidRPr="00BE26A9" w:rsidRDefault="004A11CA" w:rsidP="00DE0914">
            <w:pPr>
              <w:jc w:val="both"/>
              <w:rPr>
                <w:rFonts w:ascii="Segoe UI" w:hAnsi="Segoe UI" w:cs="Segoe UI"/>
                <w:b/>
                <w:bCs/>
                <w:i/>
                <w:sz w:val="20"/>
                <w:szCs w:val="20"/>
                <w:lang w:val="en-GB"/>
              </w:rPr>
            </w:pPr>
          </w:p>
        </w:tc>
      </w:tr>
      <w:tr w:rsidR="004A11CA" w:rsidRPr="00BE26A9" w14:paraId="679DC2C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0B0366F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Liverpool Heart and Chest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C91101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0423AC83" w14:textId="77777777" w:rsidR="004A11CA" w:rsidRPr="00BE26A9" w:rsidRDefault="004A11CA" w:rsidP="00DE0914">
            <w:pPr>
              <w:jc w:val="both"/>
              <w:rPr>
                <w:rFonts w:ascii="Segoe UI" w:hAnsi="Segoe UI" w:cs="Segoe UI"/>
                <w:b/>
                <w:bCs/>
                <w:i/>
                <w:sz w:val="20"/>
                <w:szCs w:val="20"/>
                <w:lang w:val="en-GB"/>
              </w:rPr>
            </w:pPr>
          </w:p>
        </w:tc>
      </w:tr>
      <w:tr w:rsidR="004A11CA" w:rsidRPr="00BE26A9" w14:paraId="07E9251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2A45438D"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Liverpool University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E3D3F1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4EAAC234" w14:textId="77777777" w:rsidR="004A11CA" w:rsidRPr="00BE26A9" w:rsidRDefault="004A11CA" w:rsidP="00DE0914">
            <w:pPr>
              <w:jc w:val="both"/>
              <w:rPr>
                <w:rFonts w:ascii="Segoe UI" w:hAnsi="Segoe UI" w:cs="Segoe UI"/>
                <w:b/>
                <w:bCs/>
                <w:i/>
                <w:sz w:val="20"/>
                <w:szCs w:val="20"/>
                <w:lang w:val="en-GB"/>
              </w:rPr>
            </w:pPr>
          </w:p>
        </w:tc>
      </w:tr>
      <w:tr w:rsidR="004A11CA" w:rsidRPr="00BE26A9" w14:paraId="514B24BB"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1641129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Liverpool Women’s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73E56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4E348E7D" w14:textId="77777777" w:rsidR="004A11CA" w:rsidRPr="00BE26A9" w:rsidRDefault="004A11CA" w:rsidP="00DE0914">
            <w:pPr>
              <w:jc w:val="both"/>
              <w:rPr>
                <w:rFonts w:ascii="Segoe UI" w:hAnsi="Segoe UI" w:cs="Segoe UI"/>
                <w:b/>
                <w:bCs/>
                <w:i/>
                <w:sz w:val="20"/>
                <w:szCs w:val="20"/>
                <w:lang w:val="en-GB"/>
              </w:rPr>
            </w:pPr>
          </w:p>
        </w:tc>
      </w:tr>
      <w:tr w:rsidR="004A11CA" w:rsidRPr="00BE26A9" w14:paraId="04702CD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ACCF32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lastRenderedPageBreak/>
              <w:t>London Ambulance Service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399C5A3"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2D3FD236" w14:textId="77777777" w:rsidR="004A11CA" w:rsidRPr="00BE26A9" w:rsidRDefault="004A11CA" w:rsidP="00DE0914">
            <w:pPr>
              <w:jc w:val="both"/>
              <w:rPr>
                <w:rFonts w:ascii="Segoe UI" w:hAnsi="Segoe UI" w:cs="Segoe UI"/>
                <w:b/>
                <w:bCs/>
                <w:i/>
                <w:sz w:val="20"/>
                <w:szCs w:val="20"/>
                <w:lang w:val="en-GB"/>
              </w:rPr>
            </w:pPr>
          </w:p>
        </w:tc>
      </w:tr>
      <w:tr w:rsidR="004A11CA" w:rsidRPr="00BE26A9" w14:paraId="7C7CDF43"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75426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London North West University Healthcare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380F40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151FB559" w14:textId="77777777" w:rsidR="004A11CA" w:rsidRPr="00BE26A9" w:rsidRDefault="004A11CA" w:rsidP="00DE0914">
            <w:pPr>
              <w:jc w:val="both"/>
              <w:rPr>
                <w:rFonts w:ascii="Segoe UI" w:hAnsi="Segoe UI" w:cs="Segoe UI"/>
                <w:b/>
                <w:bCs/>
                <w:i/>
                <w:sz w:val="20"/>
                <w:szCs w:val="20"/>
                <w:lang w:val="en-GB"/>
              </w:rPr>
            </w:pPr>
          </w:p>
        </w:tc>
      </w:tr>
      <w:tr w:rsidR="004A11CA" w:rsidRPr="00BE26A9" w14:paraId="20FB4053"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D8DF59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Maidstone and Tunbridge Wells NHS Trust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A1288A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241050DF" w14:textId="77777777" w:rsidR="004A11CA" w:rsidRPr="00BE26A9" w:rsidRDefault="004A11CA" w:rsidP="00DE0914">
            <w:pPr>
              <w:jc w:val="both"/>
              <w:rPr>
                <w:rFonts w:ascii="Segoe UI" w:hAnsi="Segoe UI" w:cs="Segoe UI"/>
                <w:b/>
                <w:bCs/>
                <w:i/>
                <w:sz w:val="20"/>
                <w:szCs w:val="20"/>
                <w:lang w:val="en-GB"/>
              </w:rPr>
            </w:pPr>
          </w:p>
        </w:tc>
      </w:tr>
      <w:tr w:rsidR="004A11CA" w:rsidRPr="00BE26A9" w14:paraId="0CC1C793"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61DF644D"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Manchester University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217C7F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75605C4C" w14:textId="77777777" w:rsidR="004A11CA" w:rsidRPr="00BE26A9" w:rsidRDefault="004A11CA" w:rsidP="00DE0914">
            <w:pPr>
              <w:jc w:val="both"/>
              <w:rPr>
                <w:rFonts w:ascii="Segoe UI" w:hAnsi="Segoe UI" w:cs="Segoe UI"/>
                <w:b/>
                <w:bCs/>
                <w:i/>
                <w:sz w:val="20"/>
                <w:szCs w:val="20"/>
                <w:lang w:val="en-GB"/>
              </w:rPr>
            </w:pPr>
          </w:p>
        </w:tc>
      </w:tr>
      <w:tr w:rsidR="004A11CA" w:rsidRPr="00BE26A9" w14:paraId="115B78A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111FE8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Medway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A5EA71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0C3CBE41" w14:textId="77777777" w:rsidR="004A11CA" w:rsidRPr="00BE26A9" w:rsidRDefault="004A11CA" w:rsidP="00DE0914">
            <w:pPr>
              <w:jc w:val="both"/>
              <w:rPr>
                <w:rFonts w:ascii="Segoe UI" w:hAnsi="Segoe UI" w:cs="Segoe UI"/>
                <w:b/>
                <w:bCs/>
                <w:i/>
                <w:sz w:val="20"/>
                <w:szCs w:val="20"/>
                <w:lang w:val="en-GB"/>
              </w:rPr>
            </w:pPr>
          </w:p>
        </w:tc>
      </w:tr>
      <w:tr w:rsidR="004A11CA" w:rsidRPr="00BE26A9" w14:paraId="372D787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7D2F6C5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Mersey 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5D83B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191F33E" w14:textId="77777777" w:rsidR="004A11CA" w:rsidRPr="00BE26A9" w:rsidRDefault="004A11CA" w:rsidP="00DE0914">
            <w:pPr>
              <w:jc w:val="both"/>
              <w:rPr>
                <w:rFonts w:ascii="Segoe UI" w:hAnsi="Segoe UI" w:cs="Segoe UI"/>
                <w:b/>
                <w:bCs/>
                <w:i/>
                <w:sz w:val="20"/>
                <w:szCs w:val="20"/>
                <w:lang w:val="en-GB"/>
              </w:rPr>
            </w:pPr>
          </w:p>
        </w:tc>
      </w:tr>
      <w:tr w:rsidR="004A11CA" w:rsidRPr="00BE26A9" w14:paraId="4CAE9A4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673A9D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Mid and South Essex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E46E4C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00C2CFE8" w14:textId="77777777" w:rsidR="004A11CA" w:rsidRPr="00BE26A9" w:rsidRDefault="004A11CA" w:rsidP="00DE0914">
            <w:pPr>
              <w:jc w:val="both"/>
              <w:rPr>
                <w:rFonts w:ascii="Segoe UI" w:hAnsi="Segoe UI" w:cs="Segoe UI"/>
                <w:b/>
                <w:bCs/>
                <w:i/>
                <w:sz w:val="20"/>
                <w:szCs w:val="20"/>
                <w:lang w:val="en-GB"/>
              </w:rPr>
            </w:pPr>
          </w:p>
        </w:tc>
      </w:tr>
      <w:tr w:rsidR="004A11CA" w:rsidRPr="00BE26A9" w14:paraId="20BDF940"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61614299"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Mid-Cheshire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B44E4B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D0700FE" w14:textId="77777777" w:rsidR="004A11CA" w:rsidRPr="00BE26A9" w:rsidRDefault="004A11CA" w:rsidP="00DE0914">
            <w:pPr>
              <w:jc w:val="both"/>
              <w:rPr>
                <w:rFonts w:ascii="Segoe UI" w:hAnsi="Segoe UI" w:cs="Segoe UI"/>
                <w:b/>
                <w:bCs/>
                <w:i/>
                <w:sz w:val="20"/>
                <w:szCs w:val="20"/>
                <w:lang w:val="en-GB"/>
              </w:rPr>
            </w:pPr>
          </w:p>
        </w:tc>
      </w:tr>
      <w:tr w:rsidR="004A11CA" w:rsidRPr="00BE26A9" w14:paraId="099C0BE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30FD21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Midlands Partnership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FB549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4E7BF20" w14:textId="77777777" w:rsidR="004A11CA" w:rsidRPr="00BE26A9" w:rsidRDefault="004A11CA" w:rsidP="00DE0914">
            <w:pPr>
              <w:jc w:val="both"/>
              <w:rPr>
                <w:rFonts w:ascii="Segoe UI" w:hAnsi="Segoe UI" w:cs="Segoe UI"/>
                <w:b/>
                <w:bCs/>
                <w:i/>
                <w:sz w:val="20"/>
                <w:szCs w:val="20"/>
                <w:lang w:val="en-GB"/>
              </w:rPr>
            </w:pPr>
          </w:p>
        </w:tc>
      </w:tr>
      <w:tr w:rsidR="004A11CA" w:rsidRPr="00BE26A9" w14:paraId="5C01BAD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4281D46B"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Milton Keynes University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9BEE07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7AB71085" w14:textId="77777777" w:rsidR="004A11CA" w:rsidRPr="00BE26A9" w:rsidRDefault="004A11CA" w:rsidP="00DE0914">
            <w:pPr>
              <w:jc w:val="both"/>
              <w:rPr>
                <w:rFonts w:ascii="Segoe UI" w:hAnsi="Segoe UI" w:cs="Segoe UI"/>
                <w:b/>
                <w:bCs/>
                <w:i/>
                <w:sz w:val="20"/>
                <w:szCs w:val="20"/>
                <w:lang w:val="en-GB"/>
              </w:rPr>
            </w:pPr>
          </w:p>
        </w:tc>
      </w:tr>
      <w:tr w:rsidR="004A11CA" w:rsidRPr="00BE26A9" w14:paraId="3E57C3A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969EC7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Moorfields Eye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FA1CF6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7D9E560A" w14:textId="77777777" w:rsidR="004A11CA" w:rsidRPr="00BE26A9" w:rsidRDefault="004A11CA" w:rsidP="00DE0914">
            <w:pPr>
              <w:jc w:val="both"/>
              <w:rPr>
                <w:rFonts w:ascii="Segoe UI" w:hAnsi="Segoe UI" w:cs="Segoe UI"/>
                <w:b/>
                <w:bCs/>
                <w:i/>
                <w:sz w:val="20"/>
                <w:szCs w:val="20"/>
                <w:lang w:val="en-GB"/>
              </w:rPr>
            </w:pPr>
          </w:p>
        </w:tc>
      </w:tr>
      <w:tr w:rsidR="004A11CA" w:rsidRPr="00BE26A9" w14:paraId="1165537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7FAC267"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Newcastle upon Tyne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00BB3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091BFA7D" w14:textId="77777777" w:rsidR="004A11CA" w:rsidRPr="00BE26A9" w:rsidRDefault="004A11CA" w:rsidP="00DE0914">
            <w:pPr>
              <w:jc w:val="both"/>
              <w:rPr>
                <w:rFonts w:ascii="Segoe UI" w:hAnsi="Segoe UI" w:cs="Segoe UI"/>
                <w:b/>
                <w:bCs/>
                <w:i/>
                <w:sz w:val="20"/>
                <w:szCs w:val="20"/>
                <w:lang w:val="en-GB"/>
              </w:rPr>
            </w:pPr>
          </w:p>
        </w:tc>
      </w:tr>
      <w:tr w:rsidR="004A11CA" w:rsidRPr="00BE26A9" w14:paraId="52CD207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773FF61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Norfolk &amp; Norwich University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BCFAAF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18DF8A66" w14:textId="77777777" w:rsidR="004A11CA" w:rsidRPr="00BE26A9" w:rsidRDefault="004A11CA" w:rsidP="00DE0914">
            <w:pPr>
              <w:jc w:val="both"/>
              <w:rPr>
                <w:rFonts w:ascii="Segoe UI" w:hAnsi="Segoe UI" w:cs="Segoe UI"/>
                <w:b/>
                <w:bCs/>
                <w:i/>
                <w:sz w:val="20"/>
                <w:szCs w:val="20"/>
                <w:lang w:val="en-GB"/>
              </w:rPr>
            </w:pPr>
          </w:p>
        </w:tc>
      </w:tr>
      <w:tr w:rsidR="004A11CA" w:rsidRPr="00BE26A9" w14:paraId="4268D37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2263D5B8"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Norfolk &amp; Suffolk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B0AAEC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13E13988" w14:textId="77777777" w:rsidR="004A11CA" w:rsidRPr="00BE26A9" w:rsidRDefault="004A11CA" w:rsidP="00DE0914">
            <w:pPr>
              <w:jc w:val="both"/>
              <w:rPr>
                <w:rFonts w:ascii="Segoe UI" w:hAnsi="Segoe UI" w:cs="Segoe UI"/>
                <w:b/>
                <w:bCs/>
                <w:i/>
                <w:sz w:val="20"/>
                <w:szCs w:val="20"/>
                <w:lang w:val="en-GB"/>
              </w:rPr>
            </w:pPr>
          </w:p>
        </w:tc>
      </w:tr>
      <w:tr w:rsidR="004A11CA" w:rsidRPr="00BE26A9" w14:paraId="2EC6BD70"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4A85A438"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Norfolk Community Health &amp; Care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3F9DB5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235FD6F8" w14:textId="77777777" w:rsidR="004A11CA" w:rsidRPr="00BE26A9" w:rsidRDefault="004A11CA" w:rsidP="00DE0914">
            <w:pPr>
              <w:jc w:val="both"/>
              <w:rPr>
                <w:rFonts w:ascii="Segoe UI" w:hAnsi="Segoe UI" w:cs="Segoe UI"/>
                <w:b/>
                <w:bCs/>
                <w:i/>
                <w:sz w:val="20"/>
                <w:szCs w:val="20"/>
                <w:lang w:val="en-GB"/>
              </w:rPr>
            </w:pPr>
          </w:p>
        </w:tc>
      </w:tr>
      <w:tr w:rsidR="004A11CA" w:rsidRPr="00BE26A9" w14:paraId="584D51A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95E474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 Bristol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E0731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4DABF11A" w14:textId="77777777" w:rsidR="004A11CA" w:rsidRPr="00BE26A9" w:rsidRDefault="004A11CA" w:rsidP="00DE0914">
            <w:pPr>
              <w:jc w:val="both"/>
              <w:rPr>
                <w:rFonts w:ascii="Segoe UI" w:hAnsi="Segoe UI" w:cs="Segoe UI"/>
                <w:b/>
                <w:bCs/>
                <w:i/>
                <w:sz w:val="20"/>
                <w:szCs w:val="20"/>
                <w:lang w:val="en-GB"/>
              </w:rPr>
            </w:pPr>
          </w:p>
        </w:tc>
      </w:tr>
      <w:tr w:rsidR="004A11CA" w:rsidRPr="00BE26A9" w14:paraId="33FD87DD"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94354E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 Cumbria Integrated 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71C1F5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2CEA4FA0" w14:textId="77777777" w:rsidR="004A11CA" w:rsidRPr="00BE26A9" w:rsidRDefault="004A11CA" w:rsidP="00DE0914">
            <w:pPr>
              <w:jc w:val="both"/>
              <w:rPr>
                <w:rFonts w:ascii="Segoe UI" w:hAnsi="Segoe UI" w:cs="Segoe UI"/>
                <w:b/>
                <w:bCs/>
                <w:i/>
                <w:sz w:val="20"/>
                <w:szCs w:val="20"/>
                <w:lang w:val="en-GB"/>
              </w:rPr>
            </w:pPr>
          </w:p>
        </w:tc>
      </w:tr>
      <w:tr w:rsidR="004A11CA" w:rsidRPr="00BE26A9" w14:paraId="6586F7C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05201D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 East Ambulance Service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51DD68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4BA98DB" w14:textId="77777777" w:rsidR="004A11CA" w:rsidRPr="00BE26A9" w:rsidRDefault="004A11CA" w:rsidP="00DE0914">
            <w:pPr>
              <w:jc w:val="both"/>
              <w:rPr>
                <w:rFonts w:ascii="Segoe UI" w:hAnsi="Segoe UI" w:cs="Segoe UI"/>
                <w:b/>
                <w:bCs/>
                <w:i/>
                <w:sz w:val="20"/>
                <w:szCs w:val="20"/>
                <w:lang w:val="en-GB"/>
              </w:rPr>
            </w:pPr>
          </w:p>
        </w:tc>
      </w:tr>
      <w:tr w:rsidR="004A11CA" w:rsidRPr="00BE26A9" w14:paraId="0396D35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5DC6E8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 East London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89E83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99E93BE" w14:textId="77777777" w:rsidR="004A11CA" w:rsidRPr="00BE26A9" w:rsidRDefault="004A11CA" w:rsidP="00DE0914">
            <w:pPr>
              <w:jc w:val="both"/>
              <w:rPr>
                <w:rFonts w:ascii="Segoe UI" w:hAnsi="Segoe UI" w:cs="Segoe UI"/>
                <w:b/>
                <w:bCs/>
                <w:i/>
                <w:sz w:val="20"/>
                <w:szCs w:val="20"/>
                <w:lang w:val="en-GB"/>
              </w:rPr>
            </w:pPr>
          </w:p>
        </w:tc>
      </w:tr>
      <w:tr w:rsidR="004A11CA" w:rsidRPr="00BE26A9" w14:paraId="62E80095"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C3678F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Northern Care Alliance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0CC473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17D509DC" w14:textId="77777777" w:rsidR="004A11CA" w:rsidRPr="00BE26A9" w:rsidRDefault="004A11CA" w:rsidP="00DE0914">
            <w:pPr>
              <w:jc w:val="both"/>
              <w:rPr>
                <w:rFonts w:ascii="Segoe UI" w:hAnsi="Segoe UI" w:cs="Segoe UI"/>
                <w:b/>
                <w:bCs/>
                <w:i/>
                <w:sz w:val="20"/>
                <w:szCs w:val="20"/>
                <w:lang w:val="en-GB"/>
              </w:rPr>
            </w:pPr>
          </w:p>
        </w:tc>
      </w:tr>
      <w:tr w:rsidR="004A11CA" w:rsidRPr="00BE26A9" w14:paraId="18E1338C"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96B2EC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 Middlesex University Hospital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EEF35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2CFA4977" w14:textId="77777777" w:rsidR="004A11CA" w:rsidRPr="00BE26A9" w:rsidRDefault="004A11CA" w:rsidP="00DE0914">
            <w:pPr>
              <w:jc w:val="both"/>
              <w:rPr>
                <w:rFonts w:ascii="Segoe UI" w:hAnsi="Segoe UI" w:cs="Segoe UI"/>
                <w:b/>
                <w:bCs/>
                <w:i/>
                <w:sz w:val="20"/>
                <w:szCs w:val="20"/>
                <w:lang w:val="en-GB"/>
              </w:rPr>
            </w:pPr>
          </w:p>
        </w:tc>
      </w:tr>
      <w:tr w:rsidR="004A11CA" w:rsidRPr="00BE26A9" w14:paraId="18FD2BD0"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83491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 Staffordshire Combined Healthcare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98D3C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F011E88" w14:textId="77777777" w:rsidR="004A11CA" w:rsidRPr="00BE26A9" w:rsidRDefault="004A11CA" w:rsidP="00DE0914">
            <w:pPr>
              <w:jc w:val="both"/>
              <w:rPr>
                <w:rFonts w:ascii="Segoe UI" w:hAnsi="Segoe UI" w:cs="Segoe UI"/>
                <w:b/>
                <w:bCs/>
                <w:i/>
                <w:sz w:val="20"/>
                <w:szCs w:val="20"/>
                <w:lang w:val="en-GB"/>
              </w:rPr>
            </w:pPr>
          </w:p>
        </w:tc>
      </w:tr>
      <w:tr w:rsidR="004A11CA" w:rsidRPr="00BE26A9" w14:paraId="35536B2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3868D5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 Tees and Hartlepool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BE87CE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10D466C" w14:textId="77777777" w:rsidR="004A11CA" w:rsidRPr="00BE26A9" w:rsidRDefault="004A11CA" w:rsidP="00DE0914">
            <w:pPr>
              <w:jc w:val="both"/>
              <w:rPr>
                <w:rFonts w:ascii="Segoe UI" w:hAnsi="Segoe UI" w:cs="Segoe UI"/>
                <w:b/>
                <w:bCs/>
                <w:i/>
                <w:sz w:val="20"/>
                <w:szCs w:val="20"/>
                <w:lang w:val="en-GB"/>
              </w:rPr>
            </w:pPr>
          </w:p>
        </w:tc>
      </w:tr>
      <w:tr w:rsidR="004A11CA" w:rsidRPr="00BE26A9" w14:paraId="545B668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C42DA2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 West Ambulance Service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BB74D2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121896BC" w14:textId="77777777" w:rsidR="004A11CA" w:rsidRPr="00BE26A9" w:rsidRDefault="004A11CA" w:rsidP="00DE0914">
            <w:pPr>
              <w:jc w:val="both"/>
              <w:rPr>
                <w:rFonts w:ascii="Segoe UI" w:hAnsi="Segoe UI" w:cs="Segoe UI"/>
                <w:b/>
                <w:bCs/>
                <w:i/>
                <w:sz w:val="20"/>
                <w:szCs w:val="20"/>
                <w:lang w:val="en-GB"/>
              </w:rPr>
            </w:pPr>
          </w:p>
        </w:tc>
      </w:tr>
      <w:tr w:rsidR="004A11CA" w:rsidRPr="00BE26A9" w14:paraId="74E8F584"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51799778"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 West Anglia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0B4C08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714B6830" w14:textId="77777777" w:rsidR="004A11CA" w:rsidRPr="00BE26A9" w:rsidRDefault="004A11CA" w:rsidP="00DE0914">
            <w:pPr>
              <w:jc w:val="both"/>
              <w:rPr>
                <w:rFonts w:ascii="Segoe UI" w:hAnsi="Segoe UI" w:cs="Segoe UI"/>
                <w:b/>
                <w:bCs/>
                <w:i/>
                <w:sz w:val="20"/>
                <w:szCs w:val="20"/>
                <w:lang w:val="en-GB"/>
              </w:rPr>
            </w:pPr>
          </w:p>
        </w:tc>
      </w:tr>
      <w:tr w:rsidR="004A11CA" w:rsidRPr="00BE26A9" w14:paraId="37313E2F"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81FC15D"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Northampton General Hospital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49E2BA"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5E8BE085" w14:textId="77777777" w:rsidR="004A11CA" w:rsidRPr="00BE26A9" w:rsidRDefault="004A11CA" w:rsidP="00DE0914">
            <w:pPr>
              <w:jc w:val="both"/>
              <w:rPr>
                <w:rFonts w:ascii="Segoe UI" w:hAnsi="Segoe UI" w:cs="Segoe UI"/>
                <w:b/>
                <w:bCs/>
                <w:i/>
                <w:sz w:val="20"/>
                <w:szCs w:val="20"/>
                <w:lang w:val="en-GB"/>
              </w:rPr>
            </w:pPr>
          </w:p>
        </w:tc>
      </w:tr>
      <w:tr w:rsidR="00D04BD1" w:rsidRPr="00BE26A9" w14:paraId="6C5865B5"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72B722E"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Northamptonshire Healthcare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8C83822"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2</w:t>
            </w:r>
          </w:p>
        </w:tc>
        <w:tc>
          <w:tcPr>
            <w:tcW w:w="3441" w:type="dxa"/>
            <w:tcBorders>
              <w:top w:val="nil"/>
              <w:left w:val="nil"/>
              <w:bottom w:val="nil"/>
              <w:right w:val="nil"/>
            </w:tcBorders>
            <w:noWrap/>
            <w:vAlign w:val="bottom"/>
            <w:hideMark/>
          </w:tcPr>
          <w:p w14:paraId="141E6013"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1D1B5AF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642C26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Northern Devon Healthcare NHS Trust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A2971D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43011F52" w14:textId="77777777" w:rsidR="004A11CA" w:rsidRPr="00BE26A9" w:rsidRDefault="004A11CA" w:rsidP="00DE0914">
            <w:pPr>
              <w:jc w:val="both"/>
              <w:rPr>
                <w:rFonts w:ascii="Segoe UI" w:hAnsi="Segoe UI" w:cs="Segoe UI"/>
                <w:b/>
                <w:bCs/>
                <w:i/>
                <w:sz w:val="20"/>
                <w:szCs w:val="20"/>
                <w:lang w:val="en-GB"/>
              </w:rPr>
            </w:pPr>
          </w:p>
        </w:tc>
      </w:tr>
      <w:tr w:rsidR="004A11CA" w:rsidRPr="00BE26A9" w14:paraId="1C9AA194"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D7C945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Northern Lincolnshire and Goole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F53775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7016251C" w14:textId="77777777" w:rsidR="004A11CA" w:rsidRPr="00BE26A9" w:rsidRDefault="004A11CA" w:rsidP="00DE0914">
            <w:pPr>
              <w:jc w:val="both"/>
              <w:rPr>
                <w:rFonts w:ascii="Segoe UI" w:hAnsi="Segoe UI" w:cs="Segoe UI"/>
                <w:b/>
                <w:bCs/>
                <w:i/>
                <w:sz w:val="20"/>
                <w:szCs w:val="20"/>
                <w:lang w:val="en-GB"/>
              </w:rPr>
            </w:pPr>
          </w:p>
        </w:tc>
      </w:tr>
      <w:tr w:rsidR="004A11CA" w:rsidRPr="00BE26A9" w14:paraId="328D2F2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3356EB9"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Northumbria Healthcare NHS Foundation Trust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3E5A5B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7C1451A5" w14:textId="77777777" w:rsidR="004A11CA" w:rsidRPr="00BE26A9" w:rsidRDefault="004A11CA" w:rsidP="00DE0914">
            <w:pPr>
              <w:jc w:val="both"/>
              <w:rPr>
                <w:rFonts w:ascii="Segoe UI" w:hAnsi="Segoe UI" w:cs="Segoe UI"/>
                <w:b/>
                <w:bCs/>
                <w:i/>
                <w:sz w:val="20"/>
                <w:szCs w:val="20"/>
                <w:lang w:val="en-GB"/>
              </w:rPr>
            </w:pPr>
          </w:p>
        </w:tc>
      </w:tr>
      <w:tr w:rsidR="004A11CA" w:rsidRPr="00BE26A9" w14:paraId="6B498B8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D571A6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Nottingham University Hospitals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19D9BF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567540F3" w14:textId="77777777" w:rsidR="004A11CA" w:rsidRPr="00BE26A9" w:rsidRDefault="004A11CA" w:rsidP="00DE0914">
            <w:pPr>
              <w:jc w:val="both"/>
              <w:rPr>
                <w:rFonts w:ascii="Segoe UI" w:hAnsi="Segoe UI" w:cs="Segoe UI"/>
                <w:b/>
                <w:bCs/>
                <w:i/>
                <w:sz w:val="20"/>
                <w:szCs w:val="20"/>
                <w:lang w:val="en-GB"/>
              </w:rPr>
            </w:pPr>
          </w:p>
        </w:tc>
      </w:tr>
      <w:tr w:rsidR="004A11CA" w:rsidRPr="00BE26A9" w14:paraId="2CBDD07C"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F7AD7C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Nottinghamshire Healthcare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6B461A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71142434" w14:textId="77777777" w:rsidR="004A11CA" w:rsidRPr="00BE26A9" w:rsidRDefault="004A11CA" w:rsidP="00DE0914">
            <w:pPr>
              <w:jc w:val="both"/>
              <w:rPr>
                <w:rFonts w:ascii="Segoe UI" w:hAnsi="Segoe UI" w:cs="Segoe UI"/>
                <w:b/>
                <w:bCs/>
                <w:i/>
                <w:sz w:val="20"/>
                <w:szCs w:val="20"/>
                <w:lang w:val="en-GB"/>
              </w:rPr>
            </w:pPr>
          </w:p>
        </w:tc>
      </w:tr>
      <w:tr w:rsidR="006E769B" w:rsidRPr="00BE26A9" w14:paraId="2E960C5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F3E69D"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lastRenderedPageBreak/>
              <w:t xml:space="preserve">Oxford Health NHS Foundation Trust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FE2C60B"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2</w:t>
            </w:r>
          </w:p>
        </w:tc>
        <w:tc>
          <w:tcPr>
            <w:tcW w:w="3441" w:type="dxa"/>
            <w:tcBorders>
              <w:top w:val="nil"/>
              <w:left w:val="nil"/>
              <w:bottom w:val="nil"/>
              <w:right w:val="nil"/>
            </w:tcBorders>
            <w:noWrap/>
            <w:vAlign w:val="bottom"/>
            <w:hideMark/>
          </w:tcPr>
          <w:p w14:paraId="09D43F88" w14:textId="77777777" w:rsidR="004A11CA" w:rsidRPr="00BE26A9" w:rsidRDefault="004A11CA" w:rsidP="00DE0914">
            <w:pPr>
              <w:jc w:val="both"/>
              <w:rPr>
                <w:rFonts w:ascii="Segoe UI" w:hAnsi="Segoe UI" w:cs="Segoe UI"/>
                <w:b/>
                <w:bCs/>
                <w:i/>
                <w:color w:val="FF0000"/>
                <w:sz w:val="20"/>
                <w:szCs w:val="20"/>
                <w:lang w:val="en-GB"/>
              </w:rPr>
            </w:pPr>
          </w:p>
        </w:tc>
      </w:tr>
      <w:tr w:rsidR="006E769B" w:rsidRPr="00BE26A9" w14:paraId="2E4547F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642778"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Oxford University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64AF379"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3</w:t>
            </w:r>
          </w:p>
        </w:tc>
        <w:tc>
          <w:tcPr>
            <w:tcW w:w="3441" w:type="dxa"/>
            <w:tcBorders>
              <w:top w:val="nil"/>
              <w:left w:val="nil"/>
              <w:bottom w:val="nil"/>
              <w:right w:val="nil"/>
            </w:tcBorders>
            <w:noWrap/>
            <w:vAlign w:val="bottom"/>
            <w:hideMark/>
          </w:tcPr>
          <w:p w14:paraId="546B2A5E"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4A25685D"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2E5C2B1" w14:textId="77777777" w:rsidR="004A11CA" w:rsidRPr="00BE26A9" w:rsidRDefault="004A11CA" w:rsidP="00DE0914">
            <w:pPr>
              <w:jc w:val="both"/>
              <w:rPr>
                <w:rFonts w:ascii="Segoe UI" w:hAnsi="Segoe UI" w:cs="Segoe UI"/>
                <w:i/>
                <w:sz w:val="20"/>
                <w:szCs w:val="20"/>
                <w:lang w:val="en-GB"/>
              </w:rPr>
            </w:pPr>
            <w:proofErr w:type="spellStart"/>
            <w:r w:rsidRPr="00BE26A9">
              <w:rPr>
                <w:rFonts w:ascii="Segoe UI" w:hAnsi="Segoe UI" w:cs="Segoe UI"/>
                <w:i/>
                <w:sz w:val="20"/>
                <w:szCs w:val="20"/>
                <w:lang w:val="en-GB"/>
              </w:rPr>
              <w:t>Oxleas</w:t>
            </w:r>
            <w:proofErr w:type="spellEnd"/>
            <w:r w:rsidRPr="00BE26A9">
              <w:rPr>
                <w:rFonts w:ascii="Segoe UI" w:hAnsi="Segoe UI" w:cs="Segoe UI"/>
                <w:i/>
                <w:sz w:val="20"/>
                <w:szCs w:val="20"/>
                <w:lang w:val="en-GB"/>
              </w:rPr>
              <w:t xml:space="preserv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36AC77C"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2273A8F4" w14:textId="77777777" w:rsidR="004A11CA" w:rsidRPr="00BE26A9" w:rsidRDefault="004A11CA" w:rsidP="00DE0914">
            <w:pPr>
              <w:jc w:val="both"/>
              <w:rPr>
                <w:rFonts w:ascii="Segoe UI" w:hAnsi="Segoe UI" w:cs="Segoe UI"/>
                <w:b/>
                <w:bCs/>
                <w:i/>
                <w:sz w:val="20"/>
                <w:szCs w:val="20"/>
                <w:lang w:val="en-GB"/>
              </w:rPr>
            </w:pPr>
          </w:p>
        </w:tc>
      </w:tr>
      <w:tr w:rsidR="004A11CA" w:rsidRPr="00BE26A9" w14:paraId="5004AF4D"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18219BD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Pennine 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C63673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C7B44A0" w14:textId="77777777" w:rsidR="004A11CA" w:rsidRPr="00BE26A9" w:rsidRDefault="004A11CA" w:rsidP="00DE0914">
            <w:pPr>
              <w:jc w:val="both"/>
              <w:rPr>
                <w:rFonts w:ascii="Segoe UI" w:hAnsi="Segoe UI" w:cs="Segoe UI"/>
                <w:b/>
                <w:bCs/>
                <w:i/>
                <w:sz w:val="20"/>
                <w:szCs w:val="20"/>
                <w:lang w:val="en-GB"/>
              </w:rPr>
            </w:pPr>
          </w:p>
        </w:tc>
      </w:tr>
      <w:tr w:rsidR="004A11CA" w:rsidRPr="00BE26A9" w14:paraId="00F55D2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C5FC8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Portsmouth Hospitals University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C74D16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589255E0" w14:textId="77777777" w:rsidR="004A11CA" w:rsidRPr="00BE26A9" w:rsidRDefault="004A11CA" w:rsidP="00DE0914">
            <w:pPr>
              <w:jc w:val="both"/>
              <w:rPr>
                <w:rFonts w:ascii="Segoe UI" w:hAnsi="Segoe UI" w:cs="Segoe UI"/>
                <w:b/>
                <w:bCs/>
                <w:i/>
                <w:sz w:val="20"/>
                <w:szCs w:val="20"/>
                <w:lang w:val="en-GB"/>
              </w:rPr>
            </w:pPr>
          </w:p>
        </w:tc>
      </w:tr>
      <w:tr w:rsidR="004A11CA" w:rsidRPr="00BE26A9" w14:paraId="4057964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60034E6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Princess Alexandra Hospital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9E47A5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4D3689F7" w14:textId="77777777" w:rsidR="004A11CA" w:rsidRPr="00BE26A9" w:rsidRDefault="004A11CA" w:rsidP="00DE0914">
            <w:pPr>
              <w:jc w:val="both"/>
              <w:rPr>
                <w:rFonts w:ascii="Segoe UI" w:hAnsi="Segoe UI" w:cs="Segoe UI"/>
                <w:b/>
                <w:bCs/>
                <w:i/>
                <w:sz w:val="20"/>
                <w:szCs w:val="20"/>
                <w:lang w:val="en-GB"/>
              </w:rPr>
            </w:pPr>
          </w:p>
        </w:tc>
      </w:tr>
      <w:tr w:rsidR="004A11CA" w:rsidRPr="00BE26A9" w14:paraId="7681AD3F"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7B2D21EB"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Queen Elizabeth Hospital Kings Lynn NHS Foundation Trust</w:t>
            </w:r>
          </w:p>
        </w:tc>
        <w:tc>
          <w:tcPr>
            <w:tcW w:w="1843" w:type="dxa"/>
            <w:tcBorders>
              <w:top w:val="single" w:sz="8" w:space="0" w:color="auto"/>
              <w:left w:val="single" w:sz="8" w:space="0" w:color="auto"/>
              <w:bottom w:val="nil"/>
              <w:right w:val="single" w:sz="8" w:space="0" w:color="auto"/>
            </w:tcBorders>
            <w:shd w:val="clear" w:color="000000" w:fill="FFFFFF"/>
            <w:noWrap/>
            <w:vAlign w:val="center"/>
            <w:hideMark/>
          </w:tcPr>
          <w:p w14:paraId="0D7B257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48581746" w14:textId="77777777" w:rsidR="004A11CA" w:rsidRPr="00BE26A9" w:rsidRDefault="004A11CA" w:rsidP="00DE0914">
            <w:pPr>
              <w:jc w:val="both"/>
              <w:rPr>
                <w:rFonts w:ascii="Segoe UI" w:hAnsi="Segoe UI" w:cs="Segoe UI"/>
                <w:b/>
                <w:bCs/>
                <w:i/>
                <w:sz w:val="20"/>
                <w:szCs w:val="20"/>
                <w:lang w:val="en-GB"/>
              </w:rPr>
            </w:pPr>
          </w:p>
        </w:tc>
      </w:tr>
      <w:tr w:rsidR="004A11CA" w:rsidRPr="00BE26A9" w14:paraId="243EA833"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67E03B67"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Queen Victoria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053BF7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47E4813C" w14:textId="77777777" w:rsidR="004A11CA" w:rsidRPr="00BE26A9" w:rsidRDefault="004A11CA" w:rsidP="00DE0914">
            <w:pPr>
              <w:jc w:val="both"/>
              <w:rPr>
                <w:rFonts w:ascii="Segoe UI" w:hAnsi="Segoe UI" w:cs="Segoe UI"/>
                <w:b/>
                <w:bCs/>
                <w:i/>
                <w:sz w:val="20"/>
                <w:szCs w:val="20"/>
                <w:lang w:val="en-GB"/>
              </w:rPr>
            </w:pPr>
          </w:p>
        </w:tc>
      </w:tr>
      <w:tr w:rsidR="004A11CA" w:rsidRPr="00BE26A9" w14:paraId="53C7B585" w14:textId="77777777" w:rsidTr="00AA4E52">
        <w:trPr>
          <w:trHeight w:val="375"/>
        </w:trPr>
        <w:tc>
          <w:tcPr>
            <w:tcW w:w="6379" w:type="dxa"/>
            <w:tcBorders>
              <w:top w:val="single" w:sz="8" w:space="0" w:color="auto"/>
              <w:left w:val="single" w:sz="8" w:space="0" w:color="auto"/>
              <w:bottom w:val="nil"/>
              <w:right w:val="single" w:sz="8" w:space="0" w:color="auto"/>
            </w:tcBorders>
            <w:shd w:val="clear" w:color="000000" w:fill="FFFFFF"/>
            <w:noWrap/>
            <w:vAlign w:val="center"/>
            <w:hideMark/>
          </w:tcPr>
          <w:p w14:paraId="12C7785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Robert Jones and Agnes Hunt Orthopaedic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9610E0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B63191F" w14:textId="77777777" w:rsidR="004A11CA" w:rsidRPr="00BE26A9" w:rsidRDefault="004A11CA" w:rsidP="00DE0914">
            <w:pPr>
              <w:jc w:val="both"/>
              <w:rPr>
                <w:rFonts w:ascii="Segoe UI" w:hAnsi="Segoe UI" w:cs="Segoe UI"/>
                <w:b/>
                <w:bCs/>
                <w:i/>
                <w:sz w:val="20"/>
                <w:szCs w:val="20"/>
                <w:lang w:val="en-GB"/>
              </w:rPr>
            </w:pPr>
          </w:p>
        </w:tc>
      </w:tr>
      <w:tr w:rsidR="004A11CA" w:rsidRPr="00BE26A9" w14:paraId="629E34B3"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F8B8184"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Rotherham, </w:t>
            </w:r>
            <w:proofErr w:type="gramStart"/>
            <w:r w:rsidRPr="00BE26A9">
              <w:rPr>
                <w:rFonts w:ascii="Segoe UI" w:hAnsi="Segoe UI" w:cs="Segoe UI"/>
                <w:i/>
                <w:sz w:val="20"/>
                <w:szCs w:val="20"/>
                <w:lang w:val="en-GB"/>
              </w:rPr>
              <w:t>Doncaster</w:t>
            </w:r>
            <w:proofErr w:type="gramEnd"/>
            <w:r w:rsidRPr="00BE26A9">
              <w:rPr>
                <w:rFonts w:ascii="Segoe UI" w:hAnsi="Segoe UI" w:cs="Segoe UI"/>
                <w:i/>
                <w:sz w:val="20"/>
                <w:szCs w:val="20"/>
                <w:lang w:val="en-GB"/>
              </w:rPr>
              <w:t xml:space="preserve"> and South Humber NHS Foundation Trust</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14:paraId="15F4626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5B6F946E" w14:textId="77777777" w:rsidR="004A11CA" w:rsidRPr="00BE26A9" w:rsidRDefault="004A11CA" w:rsidP="00DE0914">
            <w:pPr>
              <w:jc w:val="both"/>
              <w:rPr>
                <w:rFonts w:ascii="Segoe UI" w:hAnsi="Segoe UI" w:cs="Segoe UI"/>
                <w:b/>
                <w:bCs/>
                <w:i/>
                <w:sz w:val="20"/>
                <w:szCs w:val="20"/>
                <w:lang w:val="en-GB"/>
              </w:rPr>
            </w:pPr>
          </w:p>
        </w:tc>
      </w:tr>
      <w:tr w:rsidR="004A11CA" w:rsidRPr="00BE26A9" w14:paraId="6376DF8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A5890B7"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Royal Berkshire NHS Foundation Trust</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14:paraId="62B4A69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7675D66" w14:textId="77777777" w:rsidR="004A11CA" w:rsidRPr="00BE26A9" w:rsidRDefault="004A11CA" w:rsidP="00DE0914">
            <w:pPr>
              <w:jc w:val="both"/>
              <w:rPr>
                <w:rFonts w:ascii="Segoe UI" w:hAnsi="Segoe UI" w:cs="Segoe UI"/>
                <w:b/>
                <w:bCs/>
                <w:i/>
                <w:sz w:val="20"/>
                <w:szCs w:val="20"/>
                <w:lang w:val="en-GB"/>
              </w:rPr>
            </w:pPr>
          </w:p>
        </w:tc>
      </w:tr>
      <w:tr w:rsidR="004A11CA" w:rsidRPr="00BE26A9" w14:paraId="4EC937C5"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26A373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Royal Cornwall Hospitals NHS Trust</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14:paraId="1FD494B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395A0D9E" w14:textId="77777777" w:rsidR="004A11CA" w:rsidRPr="00BE26A9" w:rsidRDefault="004A11CA" w:rsidP="00DE0914">
            <w:pPr>
              <w:jc w:val="both"/>
              <w:rPr>
                <w:rFonts w:ascii="Segoe UI" w:hAnsi="Segoe UI" w:cs="Segoe UI"/>
                <w:b/>
                <w:bCs/>
                <w:i/>
                <w:sz w:val="20"/>
                <w:szCs w:val="20"/>
                <w:lang w:val="en-GB"/>
              </w:rPr>
            </w:pPr>
          </w:p>
        </w:tc>
      </w:tr>
      <w:tr w:rsidR="004A11CA" w:rsidRPr="00BE26A9" w14:paraId="5C9B3ACD" w14:textId="77777777" w:rsidTr="00AA4E52">
        <w:trPr>
          <w:trHeight w:val="375"/>
        </w:trPr>
        <w:tc>
          <w:tcPr>
            <w:tcW w:w="6379" w:type="dxa"/>
            <w:tcBorders>
              <w:top w:val="nil"/>
              <w:left w:val="single" w:sz="8" w:space="0" w:color="auto"/>
              <w:bottom w:val="single" w:sz="8" w:space="0" w:color="auto"/>
              <w:right w:val="single" w:sz="8" w:space="0" w:color="auto"/>
            </w:tcBorders>
            <w:shd w:val="clear" w:color="000000" w:fill="FFFFFF"/>
            <w:noWrap/>
            <w:vAlign w:val="center"/>
            <w:hideMark/>
          </w:tcPr>
          <w:p w14:paraId="186D647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Royal Devon and Exeter NHS Foundation Trust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7B3482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73E2BDE0" w14:textId="77777777" w:rsidR="004A11CA" w:rsidRPr="00BE26A9" w:rsidRDefault="004A11CA" w:rsidP="00DE0914">
            <w:pPr>
              <w:jc w:val="both"/>
              <w:rPr>
                <w:rFonts w:ascii="Segoe UI" w:hAnsi="Segoe UI" w:cs="Segoe UI"/>
                <w:b/>
                <w:bCs/>
                <w:i/>
                <w:sz w:val="20"/>
                <w:szCs w:val="20"/>
                <w:lang w:val="en-GB"/>
              </w:rPr>
            </w:pPr>
          </w:p>
        </w:tc>
      </w:tr>
      <w:tr w:rsidR="004A11CA" w:rsidRPr="00BE26A9" w14:paraId="469BD40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A2BB13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Royal Free London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939CC7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0966C4E2" w14:textId="77777777" w:rsidR="004A11CA" w:rsidRPr="00BE26A9" w:rsidRDefault="004A11CA" w:rsidP="00DE0914">
            <w:pPr>
              <w:jc w:val="both"/>
              <w:rPr>
                <w:rFonts w:ascii="Segoe UI" w:hAnsi="Segoe UI" w:cs="Segoe UI"/>
                <w:b/>
                <w:bCs/>
                <w:i/>
                <w:sz w:val="20"/>
                <w:szCs w:val="20"/>
                <w:lang w:val="en-GB"/>
              </w:rPr>
            </w:pPr>
          </w:p>
        </w:tc>
      </w:tr>
      <w:tr w:rsidR="004A11CA" w:rsidRPr="00BE26A9" w14:paraId="4DC186B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322577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Royal National Orthopaedic Hospital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782C6FA"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2F182EA0" w14:textId="77777777" w:rsidR="004A11CA" w:rsidRPr="00BE26A9" w:rsidRDefault="004A11CA" w:rsidP="00DE0914">
            <w:pPr>
              <w:jc w:val="both"/>
              <w:rPr>
                <w:rFonts w:ascii="Segoe UI" w:hAnsi="Segoe UI" w:cs="Segoe UI"/>
                <w:b/>
                <w:bCs/>
                <w:i/>
                <w:sz w:val="20"/>
                <w:szCs w:val="20"/>
                <w:lang w:val="en-GB"/>
              </w:rPr>
            </w:pPr>
          </w:p>
        </w:tc>
      </w:tr>
      <w:tr w:rsidR="004A11CA" w:rsidRPr="00BE26A9" w14:paraId="3F34257C"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145AFFF7"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Royal Papworth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21A7183"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4B816CB4" w14:textId="77777777" w:rsidR="004A11CA" w:rsidRPr="00BE26A9" w:rsidRDefault="004A11CA" w:rsidP="00DE0914">
            <w:pPr>
              <w:jc w:val="both"/>
              <w:rPr>
                <w:rFonts w:ascii="Segoe UI" w:hAnsi="Segoe UI" w:cs="Segoe UI"/>
                <w:b/>
                <w:bCs/>
                <w:i/>
                <w:sz w:val="20"/>
                <w:szCs w:val="20"/>
                <w:lang w:val="en-GB"/>
              </w:rPr>
            </w:pPr>
          </w:p>
        </w:tc>
      </w:tr>
      <w:tr w:rsidR="004A11CA" w:rsidRPr="00BE26A9" w14:paraId="5DF385B5"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4E8EECB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Royal Surrey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C1B630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21B2A869" w14:textId="77777777" w:rsidR="004A11CA" w:rsidRPr="00BE26A9" w:rsidRDefault="004A11CA" w:rsidP="00DE0914">
            <w:pPr>
              <w:jc w:val="both"/>
              <w:rPr>
                <w:rFonts w:ascii="Segoe UI" w:hAnsi="Segoe UI" w:cs="Segoe UI"/>
                <w:b/>
                <w:bCs/>
                <w:i/>
                <w:sz w:val="20"/>
                <w:szCs w:val="20"/>
                <w:lang w:val="en-GB"/>
              </w:rPr>
            </w:pPr>
          </w:p>
        </w:tc>
      </w:tr>
      <w:tr w:rsidR="004A11CA" w:rsidRPr="00BE26A9" w14:paraId="52B819E0"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25D481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Royal United Hospitals Bath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FA49F29"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597AAFD3" w14:textId="77777777" w:rsidR="004A11CA" w:rsidRPr="00BE26A9" w:rsidRDefault="004A11CA" w:rsidP="00DE0914">
            <w:pPr>
              <w:jc w:val="both"/>
              <w:rPr>
                <w:rFonts w:ascii="Segoe UI" w:hAnsi="Segoe UI" w:cs="Segoe UI"/>
                <w:b/>
                <w:bCs/>
                <w:i/>
                <w:sz w:val="20"/>
                <w:szCs w:val="20"/>
                <w:lang w:val="en-GB"/>
              </w:rPr>
            </w:pPr>
          </w:p>
        </w:tc>
      </w:tr>
      <w:tr w:rsidR="004A11CA" w:rsidRPr="00BE26A9" w14:paraId="2C99C94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BC5999D"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Salisbury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A303C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16D60C12" w14:textId="77777777" w:rsidR="004A11CA" w:rsidRPr="00BE26A9" w:rsidRDefault="004A11CA" w:rsidP="00DE0914">
            <w:pPr>
              <w:jc w:val="both"/>
              <w:rPr>
                <w:rFonts w:ascii="Segoe UI" w:hAnsi="Segoe UI" w:cs="Segoe UI"/>
                <w:b/>
                <w:bCs/>
                <w:i/>
                <w:sz w:val="20"/>
                <w:szCs w:val="20"/>
                <w:lang w:val="en-GB"/>
              </w:rPr>
            </w:pPr>
          </w:p>
        </w:tc>
      </w:tr>
      <w:tr w:rsidR="004A11CA" w:rsidRPr="00BE26A9" w14:paraId="0C5CEAD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2CBB89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Sandwell and West Birmingham Hospitals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C74F56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2DF78959" w14:textId="77777777" w:rsidR="004A11CA" w:rsidRPr="00BE26A9" w:rsidRDefault="004A11CA" w:rsidP="00DE0914">
            <w:pPr>
              <w:jc w:val="both"/>
              <w:rPr>
                <w:rFonts w:ascii="Segoe UI" w:hAnsi="Segoe UI" w:cs="Segoe UI"/>
                <w:b/>
                <w:bCs/>
                <w:i/>
                <w:sz w:val="20"/>
                <w:szCs w:val="20"/>
                <w:lang w:val="en-GB"/>
              </w:rPr>
            </w:pPr>
          </w:p>
        </w:tc>
      </w:tr>
      <w:tr w:rsidR="004A11CA" w:rsidRPr="00BE26A9" w14:paraId="67A912B3"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3A9BC8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Sheffield Children’s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1B17383"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0FA9297B" w14:textId="77777777" w:rsidR="004A11CA" w:rsidRPr="00BE26A9" w:rsidRDefault="004A11CA" w:rsidP="00DE0914">
            <w:pPr>
              <w:jc w:val="both"/>
              <w:rPr>
                <w:rFonts w:ascii="Segoe UI" w:hAnsi="Segoe UI" w:cs="Segoe UI"/>
                <w:b/>
                <w:bCs/>
                <w:i/>
                <w:sz w:val="20"/>
                <w:szCs w:val="20"/>
                <w:lang w:val="en-GB"/>
              </w:rPr>
            </w:pPr>
          </w:p>
        </w:tc>
      </w:tr>
      <w:tr w:rsidR="004A11CA" w:rsidRPr="00BE26A9" w14:paraId="061A6340"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C3F44A7"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Sheffield Health and Social 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2399C8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7736A30F" w14:textId="77777777" w:rsidR="004A11CA" w:rsidRPr="00BE26A9" w:rsidRDefault="004A11CA" w:rsidP="00DE0914">
            <w:pPr>
              <w:jc w:val="both"/>
              <w:rPr>
                <w:rFonts w:ascii="Segoe UI" w:hAnsi="Segoe UI" w:cs="Segoe UI"/>
                <w:b/>
                <w:bCs/>
                <w:i/>
                <w:sz w:val="20"/>
                <w:szCs w:val="20"/>
                <w:lang w:val="en-GB"/>
              </w:rPr>
            </w:pPr>
          </w:p>
        </w:tc>
      </w:tr>
      <w:tr w:rsidR="004A11CA" w:rsidRPr="00BE26A9" w14:paraId="5522F7EB"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D5E4EE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Sheffield Teaching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06377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178B46AC" w14:textId="77777777" w:rsidR="004A11CA" w:rsidRPr="00BE26A9" w:rsidRDefault="004A11CA" w:rsidP="00DE0914">
            <w:pPr>
              <w:jc w:val="both"/>
              <w:rPr>
                <w:rFonts w:ascii="Segoe UI" w:hAnsi="Segoe UI" w:cs="Segoe UI"/>
                <w:b/>
                <w:bCs/>
                <w:i/>
                <w:sz w:val="20"/>
                <w:szCs w:val="20"/>
                <w:lang w:val="en-GB"/>
              </w:rPr>
            </w:pPr>
          </w:p>
        </w:tc>
      </w:tr>
      <w:tr w:rsidR="004A11CA" w:rsidRPr="00BE26A9" w14:paraId="3ABADA2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98DDE7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Sherwood Forest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9D65B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3B54AE98" w14:textId="77777777" w:rsidR="004A11CA" w:rsidRPr="00BE26A9" w:rsidRDefault="004A11CA" w:rsidP="00DE0914">
            <w:pPr>
              <w:jc w:val="both"/>
              <w:rPr>
                <w:rFonts w:ascii="Segoe UI" w:hAnsi="Segoe UI" w:cs="Segoe UI"/>
                <w:b/>
                <w:bCs/>
                <w:i/>
                <w:sz w:val="20"/>
                <w:szCs w:val="20"/>
                <w:lang w:val="en-GB"/>
              </w:rPr>
            </w:pPr>
          </w:p>
        </w:tc>
      </w:tr>
      <w:tr w:rsidR="004A11CA" w:rsidRPr="00BE26A9" w14:paraId="20876913"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D4F06D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Shrewsbury and Telford Hospital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BC5702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706CFF34" w14:textId="77777777" w:rsidR="004A11CA" w:rsidRPr="00BE26A9" w:rsidRDefault="004A11CA" w:rsidP="00DE0914">
            <w:pPr>
              <w:jc w:val="both"/>
              <w:rPr>
                <w:rFonts w:ascii="Segoe UI" w:hAnsi="Segoe UI" w:cs="Segoe UI"/>
                <w:b/>
                <w:bCs/>
                <w:i/>
                <w:sz w:val="20"/>
                <w:szCs w:val="20"/>
                <w:lang w:val="en-GB"/>
              </w:rPr>
            </w:pPr>
          </w:p>
        </w:tc>
      </w:tr>
      <w:tr w:rsidR="004A11CA" w:rsidRPr="00BE26A9" w14:paraId="7F187A9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5D6C90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Shropshire Community Health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BEBFF0C"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7A4247C" w14:textId="77777777" w:rsidR="004A11CA" w:rsidRPr="00BE26A9" w:rsidRDefault="004A11CA" w:rsidP="00DE0914">
            <w:pPr>
              <w:jc w:val="both"/>
              <w:rPr>
                <w:rFonts w:ascii="Segoe UI" w:hAnsi="Segoe UI" w:cs="Segoe UI"/>
                <w:b/>
                <w:bCs/>
                <w:i/>
                <w:sz w:val="20"/>
                <w:szCs w:val="20"/>
                <w:lang w:val="en-GB"/>
              </w:rPr>
            </w:pPr>
          </w:p>
        </w:tc>
      </w:tr>
      <w:tr w:rsidR="00710FEF" w:rsidRPr="00BE26A9" w14:paraId="6469871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922FE7D"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 xml:space="preserve">Solent NHS Trust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E89FE50"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2</w:t>
            </w:r>
          </w:p>
        </w:tc>
        <w:tc>
          <w:tcPr>
            <w:tcW w:w="3441" w:type="dxa"/>
            <w:tcBorders>
              <w:top w:val="nil"/>
              <w:left w:val="nil"/>
              <w:bottom w:val="nil"/>
              <w:right w:val="nil"/>
            </w:tcBorders>
            <w:noWrap/>
            <w:vAlign w:val="bottom"/>
            <w:hideMark/>
          </w:tcPr>
          <w:p w14:paraId="0EEE3B67"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00DE688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F70E27D"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Somerset NHS Foundation Trust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8AD9A6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709DFDF" w14:textId="77777777" w:rsidR="004A11CA" w:rsidRPr="00BE26A9" w:rsidRDefault="004A11CA" w:rsidP="00DE0914">
            <w:pPr>
              <w:jc w:val="both"/>
              <w:rPr>
                <w:rFonts w:ascii="Segoe UI" w:hAnsi="Segoe UI" w:cs="Segoe UI"/>
                <w:b/>
                <w:bCs/>
                <w:i/>
                <w:sz w:val="20"/>
                <w:szCs w:val="20"/>
                <w:lang w:val="en-GB"/>
              </w:rPr>
            </w:pPr>
          </w:p>
        </w:tc>
      </w:tr>
      <w:tr w:rsidR="004A11CA" w:rsidRPr="00BE26A9" w14:paraId="68A20682"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F5C8F7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South Central Ambulance Service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CF9415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114D96E2" w14:textId="77777777" w:rsidR="004A11CA" w:rsidRPr="00BE26A9" w:rsidRDefault="004A11CA" w:rsidP="00DE0914">
            <w:pPr>
              <w:jc w:val="both"/>
              <w:rPr>
                <w:rFonts w:ascii="Segoe UI" w:hAnsi="Segoe UI" w:cs="Segoe UI"/>
                <w:b/>
                <w:bCs/>
                <w:i/>
                <w:sz w:val="20"/>
                <w:szCs w:val="20"/>
                <w:lang w:val="en-GB"/>
              </w:rPr>
            </w:pPr>
          </w:p>
        </w:tc>
      </w:tr>
      <w:tr w:rsidR="004A11CA" w:rsidRPr="00BE26A9" w14:paraId="3B61C6E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AE0A21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South East Coast Ambulance Service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6B6FF4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356D40F5" w14:textId="77777777" w:rsidR="004A11CA" w:rsidRPr="00BE26A9" w:rsidRDefault="004A11CA" w:rsidP="00DE0914">
            <w:pPr>
              <w:jc w:val="both"/>
              <w:rPr>
                <w:rFonts w:ascii="Segoe UI" w:hAnsi="Segoe UI" w:cs="Segoe UI"/>
                <w:b/>
                <w:bCs/>
                <w:i/>
                <w:sz w:val="20"/>
                <w:szCs w:val="20"/>
                <w:lang w:val="en-GB"/>
              </w:rPr>
            </w:pPr>
          </w:p>
        </w:tc>
      </w:tr>
      <w:tr w:rsidR="00710FEF" w:rsidRPr="00BE26A9" w14:paraId="4BA6D30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1177158"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South London And Maudsley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B63FB02"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2</w:t>
            </w:r>
          </w:p>
        </w:tc>
        <w:tc>
          <w:tcPr>
            <w:tcW w:w="3441" w:type="dxa"/>
            <w:tcBorders>
              <w:top w:val="nil"/>
              <w:left w:val="nil"/>
              <w:bottom w:val="nil"/>
              <w:right w:val="nil"/>
            </w:tcBorders>
            <w:noWrap/>
            <w:vAlign w:val="bottom"/>
            <w:hideMark/>
          </w:tcPr>
          <w:p w14:paraId="75A164D9"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738720B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9FB0A5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South Tees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EC9629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5ED6DA72" w14:textId="77777777" w:rsidR="004A11CA" w:rsidRPr="00BE26A9" w:rsidRDefault="004A11CA" w:rsidP="00DE0914">
            <w:pPr>
              <w:jc w:val="both"/>
              <w:rPr>
                <w:rFonts w:ascii="Segoe UI" w:hAnsi="Segoe UI" w:cs="Segoe UI"/>
                <w:b/>
                <w:bCs/>
                <w:i/>
                <w:sz w:val="20"/>
                <w:szCs w:val="20"/>
                <w:lang w:val="en-GB"/>
              </w:rPr>
            </w:pPr>
          </w:p>
        </w:tc>
      </w:tr>
      <w:tr w:rsidR="004A11CA" w:rsidRPr="00BE26A9" w14:paraId="70882212"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1FF6D3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lastRenderedPageBreak/>
              <w:t>South Tyneside and Sunderland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F0CC0B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074B5853" w14:textId="77777777" w:rsidR="004A11CA" w:rsidRPr="00BE26A9" w:rsidRDefault="004A11CA" w:rsidP="00DE0914">
            <w:pPr>
              <w:jc w:val="both"/>
              <w:rPr>
                <w:rFonts w:ascii="Segoe UI" w:hAnsi="Segoe UI" w:cs="Segoe UI"/>
                <w:b/>
                <w:bCs/>
                <w:i/>
                <w:sz w:val="20"/>
                <w:szCs w:val="20"/>
                <w:lang w:val="en-GB"/>
              </w:rPr>
            </w:pPr>
          </w:p>
        </w:tc>
      </w:tr>
      <w:tr w:rsidR="004A11CA" w:rsidRPr="00BE26A9" w14:paraId="5938FE0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18FF60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South Warwickshire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DEADE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4BC17F2F" w14:textId="77777777" w:rsidR="004A11CA" w:rsidRPr="00BE26A9" w:rsidRDefault="004A11CA" w:rsidP="00DE0914">
            <w:pPr>
              <w:jc w:val="both"/>
              <w:rPr>
                <w:rFonts w:ascii="Segoe UI" w:hAnsi="Segoe UI" w:cs="Segoe UI"/>
                <w:b/>
                <w:bCs/>
                <w:i/>
                <w:sz w:val="20"/>
                <w:szCs w:val="20"/>
                <w:lang w:val="en-GB"/>
              </w:rPr>
            </w:pPr>
          </w:p>
        </w:tc>
      </w:tr>
      <w:tr w:rsidR="004A11CA" w:rsidRPr="00BE26A9" w14:paraId="6166BDE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75FEB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South Western Ambulance Service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BBAEC09"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CFDD87A" w14:textId="77777777" w:rsidR="004A11CA" w:rsidRPr="00BE26A9" w:rsidRDefault="004A11CA" w:rsidP="00DE0914">
            <w:pPr>
              <w:jc w:val="both"/>
              <w:rPr>
                <w:rFonts w:ascii="Segoe UI" w:hAnsi="Segoe UI" w:cs="Segoe UI"/>
                <w:b/>
                <w:bCs/>
                <w:i/>
                <w:sz w:val="20"/>
                <w:szCs w:val="20"/>
                <w:lang w:val="en-GB"/>
              </w:rPr>
            </w:pPr>
          </w:p>
        </w:tc>
      </w:tr>
      <w:tr w:rsidR="00FD1F38" w:rsidRPr="00BE26A9" w14:paraId="786FF42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900AE1"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South West London and St George’s Mental Health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FE29E9"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1</w:t>
            </w:r>
          </w:p>
        </w:tc>
        <w:tc>
          <w:tcPr>
            <w:tcW w:w="3441" w:type="dxa"/>
            <w:tcBorders>
              <w:top w:val="nil"/>
              <w:left w:val="nil"/>
              <w:bottom w:val="nil"/>
              <w:right w:val="nil"/>
            </w:tcBorders>
            <w:noWrap/>
            <w:vAlign w:val="bottom"/>
            <w:hideMark/>
          </w:tcPr>
          <w:p w14:paraId="069AB720"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2446C78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9F7735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South West Yorkshire Partnership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510700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02A58E0A" w14:textId="77777777" w:rsidR="004A11CA" w:rsidRPr="00BE26A9" w:rsidRDefault="004A11CA" w:rsidP="00DE0914">
            <w:pPr>
              <w:jc w:val="both"/>
              <w:rPr>
                <w:rFonts w:ascii="Segoe UI" w:hAnsi="Segoe UI" w:cs="Segoe UI"/>
                <w:b/>
                <w:bCs/>
                <w:i/>
                <w:sz w:val="20"/>
                <w:szCs w:val="20"/>
                <w:lang w:val="en-GB"/>
              </w:rPr>
            </w:pPr>
          </w:p>
        </w:tc>
      </w:tr>
      <w:tr w:rsidR="00FD1F38" w:rsidRPr="00BE26A9" w14:paraId="3DC8143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A61AB90"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 xml:space="preserve">Southern Health NHS Foundation Trust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FF8729"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3</w:t>
            </w:r>
          </w:p>
        </w:tc>
        <w:tc>
          <w:tcPr>
            <w:tcW w:w="3441" w:type="dxa"/>
            <w:tcBorders>
              <w:top w:val="nil"/>
              <w:left w:val="nil"/>
              <w:bottom w:val="nil"/>
              <w:right w:val="nil"/>
            </w:tcBorders>
            <w:noWrap/>
            <w:vAlign w:val="bottom"/>
            <w:hideMark/>
          </w:tcPr>
          <w:p w14:paraId="28F0ED30"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613E74B2"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3FBD6524"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Southport and Ormskirk Hospital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FDDEF0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0275D98" w14:textId="77777777" w:rsidR="004A11CA" w:rsidRPr="00BE26A9" w:rsidRDefault="004A11CA" w:rsidP="00DE0914">
            <w:pPr>
              <w:jc w:val="both"/>
              <w:rPr>
                <w:rFonts w:ascii="Segoe UI" w:hAnsi="Segoe UI" w:cs="Segoe UI"/>
                <w:b/>
                <w:bCs/>
                <w:i/>
                <w:sz w:val="20"/>
                <w:szCs w:val="20"/>
                <w:lang w:val="en-GB"/>
              </w:rPr>
            </w:pPr>
          </w:p>
        </w:tc>
      </w:tr>
      <w:tr w:rsidR="004A11CA" w:rsidRPr="00BE26A9" w14:paraId="7F8C645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40FC0C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St George’s University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B62A22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71F282AF" w14:textId="77777777" w:rsidR="004A11CA" w:rsidRPr="00BE26A9" w:rsidRDefault="004A11CA" w:rsidP="00DE0914">
            <w:pPr>
              <w:jc w:val="both"/>
              <w:rPr>
                <w:rFonts w:ascii="Segoe UI" w:hAnsi="Segoe UI" w:cs="Segoe UI"/>
                <w:b/>
                <w:bCs/>
                <w:i/>
                <w:sz w:val="20"/>
                <w:szCs w:val="20"/>
                <w:lang w:val="en-GB"/>
              </w:rPr>
            </w:pPr>
          </w:p>
        </w:tc>
      </w:tr>
      <w:tr w:rsidR="004A11CA" w:rsidRPr="00BE26A9" w14:paraId="6519513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47F245A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St Helens and Knowsley Teaching Hospitals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468099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1644B67B" w14:textId="77777777" w:rsidR="004A11CA" w:rsidRPr="00BE26A9" w:rsidRDefault="004A11CA" w:rsidP="00DE0914">
            <w:pPr>
              <w:jc w:val="both"/>
              <w:rPr>
                <w:rFonts w:ascii="Segoe UI" w:hAnsi="Segoe UI" w:cs="Segoe UI"/>
                <w:b/>
                <w:bCs/>
                <w:i/>
                <w:sz w:val="20"/>
                <w:szCs w:val="20"/>
                <w:lang w:val="en-GB"/>
              </w:rPr>
            </w:pPr>
          </w:p>
        </w:tc>
      </w:tr>
      <w:tr w:rsidR="004A11CA" w:rsidRPr="00BE26A9" w14:paraId="2BA1FF4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174E991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Stockport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538123"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478DF2A2" w14:textId="77777777" w:rsidR="004A11CA" w:rsidRPr="00BE26A9" w:rsidRDefault="004A11CA" w:rsidP="00DE0914">
            <w:pPr>
              <w:jc w:val="both"/>
              <w:rPr>
                <w:rFonts w:ascii="Segoe UI" w:hAnsi="Segoe UI" w:cs="Segoe UI"/>
                <w:b/>
                <w:bCs/>
                <w:i/>
                <w:sz w:val="20"/>
                <w:szCs w:val="20"/>
                <w:lang w:val="en-GB"/>
              </w:rPr>
            </w:pPr>
          </w:p>
        </w:tc>
      </w:tr>
      <w:tr w:rsidR="004A11CA" w:rsidRPr="00BE26A9" w14:paraId="490C6B9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00CC0DA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Surrey and Borders Partnership NHS Foundation Trust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F33BF7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F451A3C" w14:textId="77777777" w:rsidR="004A11CA" w:rsidRPr="00BE26A9" w:rsidRDefault="004A11CA" w:rsidP="00DE0914">
            <w:pPr>
              <w:jc w:val="both"/>
              <w:rPr>
                <w:rFonts w:ascii="Segoe UI" w:hAnsi="Segoe UI" w:cs="Segoe UI"/>
                <w:b/>
                <w:bCs/>
                <w:i/>
                <w:sz w:val="20"/>
                <w:szCs w:val="20"/>
                <w:lang w:val="en-GB"/>
              </w:rPr>
            </w:pPr>
          </w:p>
        </w:tc>
      </w:tr>
      <w:tr w:rsidR="004A11CA" w:rsidRPr="00BE26A9" w14:paraId="05C2BFA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7C895959"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Surrey and Sussex Hospital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C359A1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F64B6B9" w14:textId="77777777" w:rsidR="004A11CA" w:rsidRPr="00BE26A9" w:rsidRDefault="004A11CA" w:rsidP="00DE0914">
            <w:pPr>
              <w:jc w:val="both"/>
              <w:rPr>
                <w:rFonts w:ascii="Segoe UI" w:hAnsi="Segoe UI" w:cs="Segoe UI"/>
                <w:b/>
                <w:bCs/>
                <w:i/>
                <w:sz w:val="20"/>
                <w:szCs w:val="20"/>
                <w:lang w:val="en-GB"/>
              </w:rPr>
            </w:pPr>
          </w:p>
        </w:tc>
      </w:tr>
      <w:tr w:rsidR="00FD1F38" w:rsidRPr="00BE26A9" w14:paraId="041F5AEF"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1B3F71F7"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Sussex Community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C03D3B7"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1</w:t>
            </w:r>
          </w:p>
        </w:tc>
        <w:tc>
          <w:tcPr>
            <w:tcW w:w="3441" w:type="dxa"/>
            <w:tcBorders>
              <w:top w:val="nil"/>
              <w:left w:val="nil"/>
              <w:bottom w:val="nil"/>
              <w:right w:val="nil"/>
            </w:tcBorders>
            <w:noWrap/>
            <w:vAlign w:val="bottom"/>
            <w:hideMark/>
          </w:tcPr>
          <w:p w14:paraId="69DDFC27" w14:textId="77777777" w:rsidR="004A11CA" w:rsidRPr="00BE26A9" w:rsidRDefault="004A11CA" w:rsidP="00DE0914">
            <w:pPr>
              <w:jc w:val="both"/>
              <w:rPr>
                <w:rFonts w:ascii="Segoe UI" w:hAnsi="Segoe UI" w:cs="Segoe UI"/>
                <w:b/>
                <w:bCs/>
                <w:i/>
                <w:color w:val="FF0000"/>
                <w:sz w:val="20"/>
                <w:szCs w:val="20"/>
                <w:lang w:val="en-GB"/>
              </w:rPr>
            </w:pPr>
          </w:p>
        </w:tc>
      </w:tr>
      <w:tr w:rsidR="00FD1F38" w:rsidRPr="00BE26A9" w14:paraId="7F8D78C2"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41F0327B"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t xml:space="preserve">Sussex Partnership NHS FT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6CD603E"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2</w:t>
            </w:r>
          </w:p>
        </w:tc>
        <w:tc>
          <w:tcPr>
            <w:tcW w:w="3441" w:type="dxa"/>
            <w:tcBorders>
              <w:top w:val="nil"/>
              <w:left w:val="nil"/>
              <w:bottom w:val="nil"/>
              <w:right w:val="nil"/>
            </w:tcBorders>
            <w:noWrap/>
            <w:vAlign w:val="bottom"/>
            <w:hideMark/>
          </w:tcPr>
          <w:p w14:paraId="7FF1EFE7" w14:textId="77777777" w:rsidR="004A11CA" w:rsidRPr="00BE26A9" w:rsidRDefault="004A11CA" w:rsidP="00DE0914">
            <w:pPr>
              <w:jc w:val="both"/>
              <w:rPr>
                <w:rFonts w:ascii="Segoe UI" w:hAnsi="Segoe UI" w:cs="Segoe UI"/>
                <w:b/>
                <w:bCs/>
                <w:i/>
                <w:color w:val="FF0000"/>
                <w:sz w:val="20"/>
                <w:szCs w:val="20"/>
                <w:lang w:val="en-GB"/>
              </w:rPr>
            </w:pPr>
          </w:p>
        </w:tc>
      </w:tr>
      <w:tr w:rsidR="004A11CA" w:rsidRPr="00BE26A9" w14:paraId="5C5C8B9B"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715EB6D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Tameside and Glossop Integrated 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98520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38EE7B9" w14:textId="77777777" w:rsidR="004A11CA" w:rsidRPr="00BE26A9" w:rsidRDefault="004A11CA" w:rsidP="00DE0914">
            <w:pPr>
              <w:jc w:val="both"/>
              <w:rPr>
                <w:rFonts w:ascii="Segoe UI" w:hAnsi="Segoe UI" w:cs="Segoe UI"/>
                <w:b/>
                <w:bCs/>
                <w:i/>
                <w:sz w:val="20"/>
                <w:szCs w:val="20"/>
                <w:lang w:val="en-GB"/>
              </w:rPr>
            </w:pPr>
          </w:p>
        </w:tc>
      </w:tr>
      <w:tr w:rsidR="004A11CA" w:rsidRPr="00BE26A9" w14:paraId="55C6504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64AC9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Tavistock and Portman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23F3E8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2F4DC689" w14:textId="77777777" w:rsidR="004A11CA" w:rsidRPr="00BE26A9" w:rsidRDefault="004A11CA" w:rsidP="00DE0914">
            <w:pPr>
              <w:jc w:val="both"/>
              <w:rPr>
                <w:rFonts w:ascii="Segoe UI" w:hAnsi="Segoe UI" w:cs="Segoe UI"/>
                <w:b/>
                <w:bCs/>
                <w:i/>
                <w:sz w:val="20"/>
                <w:szCs w:val="20"/>
                <w:lang w:val="en-GB"/>
              </w:rPr>
            </w:pPr>
          </w:p>
        </w:tc>
      </w:tr>
      <w:tr w:rsidR="004A11CA" w:rsidRPr="00BE26A9" w14:paraId="0E6AA362"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402C42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Tees, </w:t>
            </w:r>
            <w:proofErr w:type="spellStart"/>
            <w:r w:rsidRPr="00BE26A9">
              <w:rPr>
                <w:rFonts w:ascii="Segoe UI" w:hAnsi="Segoe UI" w:cs="Segoe UI"/>
                <w:i/>
                <w:sz w:val="20"/>
                <w:szCs w:val="20"/>
                <w:lang w:val="en-GB"/>
              </w:rPr>
              <w:t>Esk</w:t>
            </w:r>
            <w:proofErr w:type="spellEnd"/>
            <w:r w:rsidRPr="00BE26A9">
              <w:rPr>
                <w:rFonts w:ascii="Segoe UI" w:hAnsi="Segoe UI" w:cs="Segoe UI"/>
                <w:i/>
                <w:sz w:val="20"/>
                <w:szCs w:val="20"/>
                <w:lang w:val="en-GB"/>
              </w:rPr>
              <w:t xml:space="preserve"> and Wear Valleys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92CF35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7C817B78" w14:textId="77777777" w:rsidR="004A11CA" w:rsidRPr="00BE26A9" w:rsidRDefault="004A11CA" w:rsidP="00DE0914">
            <w:pPr>
              <w:jc w:val="both"/>
              <w:rPr>
                <w:rFonts w:ascii="Segoe UI" w:hAnsi="Segoe UI" w:cs="Segoe UI"/>
                <w:b/>
                <w:bCs/>
                <w:i/>
                <w:sz w:val="20"/>
                <w:szCs w:val="20"/>
                <w:lang w:val="en-GB"/>
              </w:rPr>
            </w:pPr>
          </w:p>
        </w:tc>
      </w:tr>
      <w:tr w:rsidR="004A11CA" w:rsidRPr="00BE26A9" w14:paraId="1F6E89B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2C0A929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The Christie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A64FD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0352ED84" w14:textId="77777777" w:rsidR="004A11CA" w:rsidRPr="00BE26A9" w:rsidRDefault="004A11CA" w:rsidP="00DE0914">
            <w:pPr>
              <w:jc w:val="both"/>
              <w:rPr>
                <w:rFonts w:ascii="Segoe UI" w:hAnsi="Segoe UI" w:cs="Segoe UI"/>
                <w:b/>
                <w:bCs/>
                <w:i/>
                <w:sz w:val="20"/>
                <w:szCs w:val="20"/>
                <w:lang w:val="en-GB"/>
              </w:rPr>
            </w:pPr>
          </w:p>
        </w:tc>
      </w:tr>
      <w:tr w:rsidR="004A11CA" w:rsidRPr="00BE26A9" w14:paraId="66AF4D1D"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EA6042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The Dudley Group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1F93DE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01C7BD21" w14:textId="77777777" w:rsidR="004A11CA" w:rsidRPr="00BE26A9" w:rsidRDefault="004A11CA" w:rsidP="00DE0914">
            <w:pPr>
              <w:jc w:val="both"/>
              <w:rPr>
                <w:rFonts w:ascii="Segoe UI" w:hAnsi="Segoe UI" w:cs="Segoe UI"/>
                <w:b/>
                <w:bCs/>
                <w:i/>
                <w:sz w:val="20"/>
                <w:szCs w:val="20"/>
                <w:lang w:val="en-GB"/>
              </w:rPr>
            </w:pPr>
          </w:p>
        </w:tc>
      </w:tr>
      <w:tr w:rsidR="004A11CA" w:rsidRPr="00BE26A9" w14:paraId="778CD674"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E2E3F3B"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The Hillingdon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F3CA84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551090B8" w14:textId="77777777" w:rsidR="004A11CA" w:rsidRPr="00BE26A9" w:rsidRDefault="004A11CA" w:rsidP="00DE0914">
            <w:pPr>
              <w:jc w:val="both"/>
              <w:rPr>
                <w:rFonts w:ascii="Segoe UI" w:hAnsi="Segoe UI" w:cs="Segoe UI"/>
                <w:b/>
                <w:bCs/>
                <w:i/>
                <w:sz w:val="20"/>
                <w:szCs w:val="20"/>
                <w:lang w:val="en-GB"/>
              </w:rPr>
            </w:pPr>
          </w:p>
        </w:tc>
      </w:tr>
      <w:tr w:rsidR="004A11CA" w:rsidRPr="00BE26A9" w14:paraId="7435DD3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10C2AC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The Mid Yorkshire Hospitals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AD12FD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46242896" w14:textId="77777777" w:rsidR="004A11CA" w:rsidRPr="00BE26A9" w:rsidRDefault="004A11CA" w:rsidP="00DE0914">
            <w:pPr>
              <w:jc w:val="both"/>
              <w:rPr>
                <w:rFonts w:ascii="Segoe UI" w:hAnsi="Segoe UI" w:cs="Segoe UI"/>
                <w:b/>
                <w:bCs/>
                <w:i/>
                <w:sz w:val="20"/>
                <w:szCs w:val="20"/>
                <w:lang w:val="en-GB"/>
              </w:rPr>
            </w:pPr>
          </w:p>
        </w:tc>
      </w:tr>
      <w:tr w:rsidR="004A11CA" w:rsidRPr="00BE26A9" w14:paraId="052A4F4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174F90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The Rotherham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F81437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6D05736F" w14:textId="77777777" w:rsidR="004A11CA" w:rsidRPr="00BE26A9" w:rsidRDefault="004A11CA" w:rsidP="00DE0914">
            <w:pPr>
              <w:jc w:val="both"/>
              <w:rPr>
                <w:rFonts w:ascii="Segoe UI" w:hAnsi="Segoe UI" w:cs="Segoe UI"/>
                <w:b/>
                <w:bCs/>
                <w:i/>
                <w:sz w:val="20"/>
                <w:szCs w:val="20"/>
                <w:lang w:val="en-GB"/>
              </w:rPr>
            </w:pPr>
          </w:p>
        </w:tc>
      </w:tr>
      <w:tr w:rsidR="004A11CA" w:rsidRPr="00BE26A9" w14:paraId="782FA3F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3311F0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The Royal Marsden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E812D0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4CA88629" w14:textId="77777777" w:rsidR="004A11CA" w:rsidRPr="00BE26A9" w:rsidRDefault="004A11CA" w:rsidP="00DE0914">
            <w:pPr>
              <w:jc w:val="both"/>
              <w:rPr>
                <w:rFonts w:ascii="Segoe UI" w:hAnsi="Segoe UI" w:cs="Segoe UI"/>
                <w:b/>
                <w:bCs/>
                <w:i/>
                <w:sz w:val="20"/>
                <w:szCs w:val="20"/>
                <w:lang w:val="en-GB"/>
              </w:rPr>
            </w:pPr>
          </w:p>
        </w:tc>
      </w:tr>
      <w:tr w:rsidR="004A11CA" w:rsidRPr="00BE26A9" w14:paraId="6A03F3E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6B22919"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The Royal Orthopaedic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BDF935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1B24B36C" w14:textId="77777777" w:rsidR="004A11CA" w:rsidRPr="00BE26A9" w:rsidRDefault="004A11CA" w:rsidP="00DE0914">
            <w:pPr>
              <w:jc w:val="both"/>
              <w:rPr>
                <w:rFonts w:ascii="Segoe UI" w:hAnsi="Segoe UI" w:cs="Segoe UI"/>
                <w:b/>
                <w:bCs/>
                <w:i/>
                <w:sz w:val="20"/>
                <w:szCs w:val="20"/>
                <w:lang w:val="en-GB"/>
              </w:rPr>
            </w:pPr>
          </w:p>
        </w:tc>
      </w:tr>
      <w:tr w:rsidR="004A11CA" w:rsidRPr="00BE26A9" w14:paraId="67C0C07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4B0AB34"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The Royal Wolverhampton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8A4ABE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606397BB" w14:textId="77777777" w:rsidR="004A11CA" w:rsidRPr="00BE26A9" w:rsidRDefault="004A11CA" w:rsidP="00DE0914">
            <w:pPr>
              <w:jc w:val="both"/>
              <w:rPr>
                <w:rFonts w:ascii="Segoe UI" w:hAnsi="Segoe UI" w:cs="Segoe UI"/>
                <w:b/>
                <w:bCs/>
                <w:i/>
                <w:sz w:val="20"/>
                <w:szCs w:val="20"/>
                <w:lang w:val="en-GB"/>
              </w:rPr>
            </w:pPr>
          </w:p>
        </w:tc>
      </w:tr>
      <w:tr w:rsidR="004A11CA" w:rsidRPr="00BE26A9" w14:paraId="23526464"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68A485C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The Walton Centre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AACD00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22B560E1" w14:textId="77777777" w:rsidR="004A11CA" w:rsidRPr="00BE26A9" w:rsidRDefault="004A11CA" w:rsidP="00DE0914">
            <w:pPr>
              <w:jc w:val="both"/>
              <w:rPr>
                <w:rFonts w:ascii="Segoe UI" w:hAnsi="Segoe UI" w:cs="Segoe UI"/>
                <w:b/>
                <w:bCs/>
                <w:i/>
                <w:sz w:val="20"/>
                <w:szCs w:val="20"/>
                <w:lang w:val="en-GB"/>
              </w:rPr>
            </w:pPr>
          </w:p>
        </w:tc>
      </w:tr>
      <w:tr w:rsidR="004A11CA" w:rsidRPr="00BE26A9" w14:paraId="70418395"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AE2233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Torbay and South Devon NHS Foundation Trust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06D315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3809EFCE" w14:textId="77777777" w:rsidR="004A11CA" w:rsidRPr="00BE26A9" w:rsidRDefault="004A11CA" w:rsidP="00DE0914">
            <w:pPr>
              <w:jc w:val="both"/>
              <w:rPr>
                <w:rFonts w:ascii="Segoe UI" w:hAnsi="Segoe UI" w:cs="Segoe UI"/>
                <w:b/>
                <w:bCs/>
                <w:i/>
                <w:sz w:val="20"/>
                <w:szCs w:val="20"/>
                <w:lang w:val="en-GB"/>
              </w:rPr>
            </w:pPr>
          </w:p>
        </w:tc>
      </w:tr>
      <w:tr w:rsidR="004A11CA" w:rsidRPr="00BE26A9" w14:paraId="39DBEA04"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C61CB7D"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United Lincolnshire Hospitals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EC844A9"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13FF07D3" w14:textId="77777777" w:rsidR="004A11CA" w:rsidRPr="00BE26A9" w:rsidRDefault="004A11CA" w:rsidP="00DE0914">
            <w:pPr>
              <w:jc w:val="both"/>
              <w:rPr>
                <w:rFonts w:ascii="Segoe UI" w:hAnsi="Segoe UI" w:cs="Segoe UI"/>
                <w:b/>
                <w:bCs/>
                <w:i/>
                <w:sz w:val="20"/>
                <w:szCs w:val="20"/>
                <w:lang w:val="en-GB"/>
              </w:rPr>
            </w:pPr>
          </w:p>
        </w:tc>
      </w:tr>
      <w:tr w:rsidR="004A11CA" w:rsidRPr="00BE26A9" w14:paraId="137CD11C"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4AD766B"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University College London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A4ADFA"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1B3381F" w14:textId="77777777" w:rsidR="004A11CA" w:rsidRPr="00BE26A9" w:rsidRDefault="004A11CA" w:rsidP="00DE0914">
            <w:pPr>
              <w:jc w:val="both"/>
              <w:rPr>
                <w:rFonts w:ascii="Segoe UI" w:hAnsi="Segoe UI" w:cs="Segoe UI"/>
                <w:b/>
                <w:bCs/>
                <w:i/>
                <w:sz w:val="20"/>
                <w:szCs w:val="20"/>
                <w:lang w:val="en-GB"/>
              </w:rPr>
            </w:pPr>
          </w:p>
        </w:tc>
      </w:tr>
      <w:tr w:rsidR="004A11CA" w:rsidRPr="00BE26A9" w14:paraId="11C8136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66EDC77"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University Hospital Southampton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60C8B09"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3A3EAEE3" w14:textId="77777777" w:rsidR="004A11CA" w:rsidRPr="00BE26A9" w:rsidRDefault="004A11CA" w:rsidP="00DE0914">
            <w:pPr>
              <w:jc w:val="both"/>
              <w:rPr>
                <w:rFonts w:ascii="Segoe UI" w:hAnsi="Segoe UI" w:cs="Segoe UI"/>
                <w:b/>
                <w:bCs/>
                <w:i/>
                <w:sz w:val="20"/>
                <w:szCs w:val="20"/>
                <w:lang w:val="en-GB"/>
              </w:rPr>
            </w:pPr>
          </w:p>
        </w:tc>
      </w:tr>
      <w:tr w:rsidR="004A11CA" w:rsidRPr="00BE26A9" w14:paraId="560E2BF3"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39D478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University Hospitals Birmingham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3CF1D6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3BA8CEB1" w14:textId="77777777" w:rsidR="004A11CA" w:rsidRPr="00BE26A9" w:rsidRDefault="004A11CA" w:rsidP="00DE0914">
            <w:pPr>
              <w:jc w:val="both"/>
              <w:rPr>
                <w:rFonts w:ascii="Segoe UI" w:hAnsi="Segoe UI" w:cs="Segoe UI"/>
                <w:b/>
                <w:bCs/>
                <w:i/>
                <w:sz w:val="20"/>
                <w:szCs w:val="20"/>
                <w:lang w:val="en-GB"/>
              </w:rPr>
            </w:pPr>
          </w:p>
        </w:tc>
      </w:tr>
      <w:tr w:rsidR="004A11CA" w:rsidRPr="00BE26A9" w14:paraId="4AC773C6"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8B8E65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University Hospitals Bristol and Weston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869620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2DE1CECE" w14:textId="77777777" w:rsidR="004A11CA" w:rsidRPr="00BE26A9" w:rsidRDefault="004A11CA" w:rsidP="00DE0914">
            <w:pPr>
              <w:jc w:val="both"/>
              <w:rPr>
                <w:rFonts w:ascii="Segoe UI" w:hAnsi="Segoe UI" w:cs="Segoe UI"/>
                <w:b/>
                <w:bCs/>
                <w:i/>
                <w:sz w:val="20"/>
                <w:szCs w:val="20"/>
                <w:lang w:val="en-GB"/>
              </w:rPr>
            </w:pPr>
          </w:p>
        </w:tc>
      </w:tr>
      <w:tr w:rsidR="004A11CA" w:rsidRPr="00BE26A9" w14:paraId="10395F7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0B162F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lastRenderedPageBreak/>
              <w:t>University Hospitals Coventry and Warwickshire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02DCCF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481CB430" w14:textId="77777777" w:rsidR="004A11CA" w:rsidRPr="00BE26A9" w:rsidRDefault="004A11CA" w:rsidP="00DE0914">
            <w:pPr>
              <w:jc w:val="both"/>
              <w:rPr>
                <w:rFonts w:ascii="Segoe UI" w:hAnsi="Segoe UI" w:cs="Segoe UI"/>
                <w:b/>
                <w:bCs/>
                <w:i/>
                <w:sz w:val="20"/>
                <w:szCs w:val="20"/>
                <w:lang w:val="en-GB"/>
              </w:rPr>
            </w:pPr>
          </w:p>
        </w:tc>
      </w:tr>
      <w:tr w:rsidR="004A11CA" w:rsidRPr="00BE26A9" w14:paraId="38CC35E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41043C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University Hospitals Dorset NHS Foundation Trust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F040FB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59DAC534" w14:textId="77777777" w:rsidR="004A11CA" w:rsidRPr="00BE26A9" w:rsidRDefault="004A11CA" w:rsidP="00DE0914">
            <w:pPr>
              <w:jc w:val="both"/>
              <w:rPr>
                <w:rFonts w:ascii="Segoe UI" w:hAnsi="Segoe UI" w:cs="Segoe UI"/>
                <w:b/>
                <w:bCs/>
                <w:i/>
                <w:sz w:val="20"/>
                <w:szCs w:val="20"/>
                <w:lang w:val="en-GB"/>
              </w:rPr>
            </w:pPr>
          </w:p>
        </w:tc>
      </w:tr>
      <w:tr w:rsidR="004A11CA" w:rsidRPr="00BE26A9" w14:paraId="52CC181A"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3BD85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University Hospitals of Derby and Burton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BE79F7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0FDE00A9" w14:textId="77777777" w:rsidR="004A11CA" w:rsidRPr="00BE26A9" w:rsidRDefault="004A11CA" w:rsidP="00DE0914">
            <w:pPr>
              <w:jc w:val="both"/>
              <w:rPr>
                <w:rFonts w:ascii="Segoe UI" w:hAnsi="Segoe UI" w:cs="Segoe UI"/>
                <w:b/>
                <w:bCs/>
                <w:i/>
                <w:sz w:val="20"/>
                <w:szCs w:val="20"/>
                <w:lang w:val="en-GB"/>
              </w:rPr>
            </w:pPr>
          </w:p>
        </w:tc>
      </w:tr>
      <w:tr w:rsidR="004A11CA" w:rsidRPr="00BE26A9" w14:paraId="778E027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7AC58CE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University Hospitals of Leicester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7BCB7D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6DE4A4AA" w14:textId="77777777" w:rsidR="004A11CA" w:rsidRPr="00BE26A9" w:rsidRDefault="004A11CA" w:rsidP="00DE0914">
            <w:pPr>
              <w:jc w:val="both"/>
              <w:rPr>
                <w:rFonts w:ascii="Segoe UI" w:hAnsi="Segoe UI" w:cs="Segoe UI"/>
                <w:b/>
                <w:bCs/>
                <w:i/>
                <w:sz w:val="20"/>
                <w:szCs w:val="20"/>
                <w:lang w:val="en-GB"/>
              </w:rPr>
            </w:pPr>
          </w:p>
        </w:tc>
      </w:tr>
      <w:tr w:rsidR="004A11CA" w:rsidRPr="00BE26A9" w14:paraId="2B6A0160"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1E029BF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University Hospitals of Morecambe Bay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26979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14917609" w14:textId="77777777" w:rsidR="004A11CA" w:rsidRPr="00BE26A9" w:rsidRDefault="004A11CA" w:rsidP="00DE0914">
            <w:pPr>
              <w:jc w:val="both"/>
              <w:rPr>
                <w:rFonts w:ascii="Segoe UI" w:hAnsi="Segoe UI" w:cs="Segoe UI"/>
                <w:b/>
                <w:bCs/>
                <w:i/>
                <w:sz w:val="20"/>
                <w:szCs w:val="20"/>
                <w:lang w:val="en-GB"/>
              </w:rPr>
            </w:pPr>
          </w:p>
        </w:tc>
      </w:tr>
      <w:tr w:rsidR="004A11CA" w:rsidRPr="00BE26A9" w14:paraId="205DDF12"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CC38C0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University Hospitals of North Midlands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4DECAD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4217A691" w14:textId="77777777" w:rsidR="004A11CA" w:rsidRPr="00BE26A9" w:rsidRDefault="004A11CA" w:rsidP="00DE0914">
            <w:pPr>
              <w:jc w:val="both"/>
              <w:rPr>
                <w:rFonts w:ascii="Segoe UI" w:hAnsi="Segoe UI" w:cs="Segoe UI"/>
                <w:b/>
                <w:bCs/>
                <w:i/>
                <w:sz w:val="20"/>
                <w:szCs w:val="20"/>
                <w:lang w:val="en-GB"/>
              </w:rPr>
            </w:pPr>
          </w:p>
        </w:tc>
      </w:tr>
      <w:tr w:rsidR="004A11CA" w:rsidRPr="00BE26A9" w14:paraId="14B6A57E"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C43799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University Hospitals Plymouth NHS Trust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39BD38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c>
          <w:tcPr>
            <w:tcW w:w="3441" w:type="dxa"/>
            <w:tcBorders>
              <w:top w:val="nil"/>
              <w:left w:val="nil"/>
              <w:bottom w:val="nil"/>
              <w:right w:val="nil"/>
            </w:tcBorders>
            <w:noWrap/>
            <w:vAlign w:val="bottom"/>
            <w:hideMark/>
          </w:tcPr>
          <w:p w14:paraId="1C0F5EDB" w14:textId="77777777" w:rsidR="004A11CA" w:rsidRPr="00BE26A9" w:rsidRDefault="004A11CA" w:rsidP="00DE0914">
            <w:pPr>
              <w:jc w:val="both"/>
              <w:rPr>
                <w:rFonts w:ascii="Segoe UI" w:hAnsi="Segoe UI" w:cs="Segoe UI"/>
                <w:b/>
                <w:bCs/>
                <w:i/>
                <w:sz w:val="20"/>
                <w:szCs w:val="20"/>
                <w:lang w:val="en-GB"/>
              </w:rPr>
            </w:pPr>
          </w:p>
        </w:tc>
      </w:tr>
      <w:tr w:rsidR="004A11CA" w:rsidRPr="00BE26A9" w14:paraId="5B684EBD"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F7938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University Hospitals Sussex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DE2E00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3B96BC5" w14:textId="77777777" w:rsidR="004A11CA" w:rsidRPr="00BE26A9" w:rsidRDefault="004A11CA" w:rsidP="00DE0914">
            <w:pPr>
              <w:jc w:val="both"/>
              <w:rPr>
                <w:rFonts w:ascii="Segoe UI" w:hAnsi="Segoe UI" w:cs="Segoe UI"/>
                <w:b/>
                <w:bCs/>
                <w:i/>
                <w:sz w:val="20"/>
                <w:szCs w:val="20"/>
                <w:lang w:val="en-GB"/>
              </w:rPr>
            </w:pPr>
          </w:p>
        </w:tc>
      </w:tr>
      <w:tr w:rsidR="004A11CA" w:rsidRPr="00BE26A9" w14:paraId="1782800C"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BA1914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Walsall Healthcare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04E80B3"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2EABFFD6" w14:textId="77777777" w:rsidR="004A11CA" w:rsidRPr="00BE26A9" w:rsidRDefault="004A11CA" w:rsidP="00DE0914">
            <w:pPr>
              <w:jc w:val="both"/>
              <w:rPr>
                <w:rFonts w:ascii="Segoe UI" w:hAnsi="Segoe UI" w:cs="Segoe UI"/>
                <w:b/>
                <w:bCs/>
                <w:i/>
                <w:sz w:val="20"/>
                <w:szCs w:val="20"/>
                <w:lang w:val="en-GB"/>
              </w:rPr>
            </w:pPr>
          </w:p>
        </w:tc>
      </w:tr>
      <w:tr w:rsidR="004A11CA" w:rsidRPr="00BE26A9" w14:paraId="688573C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047714E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Warrington and Halton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69421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4C18A52C" w14:textId="77777777" w:rsidR="004A11CA" w:rsidRPr="00BE26A9" w:rsidRDefault="004A11CA" w:rsidP="00DE0914">
            <w:pPr>
              <w:jc w:val="both"/>
              <w:rPr>
                <w:rFonts w:ascii="Segoe UI" w:hAnsi="Segoe UI" w:cs="Segoe UI"/>
                <w:b/>
                <w:bCs/>
                <w:i/>
                <w:sz w:val="20"/>
                <w:szCs w:val="20"/>
                <w:lang w:val="en-GB"/>
              </w:rPr>
            </w:pPr>
          </w:p>
        </w:tc>
      </w:tr>
      <w:tr w:rsidR="004A11CA" w:rsidRPr="00BE26A9" w14:paraId="05DB035B"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62B6AD18"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West Hertfordshire Hospitals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51B66D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5744CF8C" w14:textId="77777777" w:rsidR="004A11CA" w:rsidRPr="00BE26A9" w:rsidRDefault="004A11CA" w:rsidP="00DE0914">
            <w:pPr>
              <w:jc w:val="both"/>
              <w:rPr>
                <w:rFonts w:ascii="Segoe UI" w:hAnsi="Segoe UI" w:cs="Segoe UI"/>
                <w:b/>
                <w:bCs/>
                <w:i/>
                <w:sz w:val="20"/>
                <w:szCs w:val="20"/>
                <w:lang w:val="en-GB"/>
              </w:rPr>
            </w:pPr>
          </w:p>
        </w:tc>
      </w:tr>
      <w:tr w:rsidR="004A11CA" w:rsidRPr="00BE26A9" w14:paraId="1FADD16F"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E1C773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West London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15C1C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0EB70E57" w14:textId="77777777" w:rsidR="004A11CA" w:rsidRPr="00BE26A9" w:rsidRDefault="004A11CA" w:rsidP="00DE0914">
            <w:pPr>
              <w:jc w:val="both"/>
              <w:rPr>
                <w:rFonts w:ascii="Segoe UI" w:hAnsi="Segoe UI" w:cs="Segoe UI"/>
                <w:b/>
                <w:bCs/>
                <w:i/>
                <w:sz w:val="20"/>
                <w:szCs w:val="20"/>
                <w:lang w:val="en-GB"/>
              </w:rPr>
            </w:pPr>
          </w:p>
        </w:tc>
      </w:tr>
      <w:tr w:rsidR="004A11CA" w:rsidRPr="00BE26A9" w14:paraId="407893E0"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A48612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West Midlands Ambulance Service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C3AFC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F3ADE8C" w14:textId="77777777" w:rsidR="004A11CA" w:rsidRPr="00BE26A9" w:rsidRDefault="004A11CA" w:rsidP="00DE0914">
            <w:pPr>
              <w:jc w:val="both"/>
              <w:rPr>
                <w:rFonts w:ascii="Segoe UI" w:hAnsi="Segoe UI" w:cs="Segoe UI"/>
                <w:b/>
                <w:bCs/>
                <w:i/>
                <w:sz w:val="20"/>
                <w:szCs w:val="20"/>
                <w:lang w:val="en-GB"/>
              </w:rPr>
            </w:pPr>
          </w:p>
        </w:tc>
      </w:tr>
      <w:tr w:rsidR="004A11CA" w:rsidRPr="00BE26A9" w14:paraId="6A5B3BC2"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6CCDCB5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West Suffolk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DFDE58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005C2745" w14:textId="77777777" w:rsidR="004A11CA" w:rsidRPr="00BE26A9" w:rsidRDefault="004A11CA" w:rsidP="00DE0914">
            <w:pPr>
              <w:jc w:val="both"/>
              <w:rPr>
                <w:rFonts w:ascii="Segoe UI" w:hAnsi="Segoe UI" w:cs="Segoe UI"/>
                <w:b/>
                <w:bCs/>
                <w:i/>
                <w:sz w:val="20"/>
                <w:szCs w:val="20"/>
                <w:lang w:val="en-GB"/>
              </w:rPr>
            </w:pPr>
          </w:p>
        </w:tc>
      </w:tr>
      <w:tr w:rsidR="004A11CA" w:rsidRPr="00BE26A9" w14:paraId="012B30D1"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9107C6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Whittington Health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8829953"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540C750" w14:textId="77777777" w:rsidR="004A11CA" w:rsidRPr="00BE26A9" w:rsidRDefault="004A11CA" w:rsidP="00DE0914">
            <w:pPr>
              <w:jc w:val="both"/>
              <w:rPr>
                <w:rFonts w:ascii="Segoe UI" w:hAnsi="Segoe UI" w:cs="Segoe UI"/>
                <w:b/>
                <w:bCs/>
                <w:i/>
                <w:sz w:val="20"/>
                <w:szCs w:val="20"/>
                <w:lang w:val="en-GB"/>
              </w:rPr>
            </w:pPr>
          </w:p>
        </w:tc>
      </w:tr>
      <w:tr w:rsidR="004A11CA" w:rsidRPr="00BE26A9" w14:paraId="705103CD"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70FC72D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Wirral Community Health and Care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CF067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6438C100" w14:textId="77777777" w:rsidR="004A11CA" w:rsidRPr="00BE26A9" w:rsidRDefault="004A11CA" w:rsidP="00DE0914">
            <w:pPr>
              <w:jc w:val="both"/>
              <w:rPr>
                <w:rFonts w:ascii="Segoe UI" w:hAnsi="Segoe UI" w:cs="Segoe UI"/>
                <w:b/>
                <w:bCs/>
                <w:i/>
                <w:sz w:val="20"/>
                <w:szCs w:val="20"/>
                <w:lang w:val="en-GB"/>
              </w:rPr>
            </w:pPr>
          </w:p>
        </w:tc>
      </w:tr>
      <w:tr w:rsidR="004A11CA" w:rsidRPr="00BE26A9" w14:paraId="3D1929D3"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6F0BB167"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Wirral University Teaching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A1A5D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0A6418D4" w14:textId="77777777" w:rsidR="004A11CA" w:rsidRPr="00BE26A9" w:rsidRDefault="004A11CA" w:rsidP="00DE0914">
            <w:pPr>
              <w:jc w:val="both"/>
              <w:rPr>
                <w:rFonts w:ascii="Segoe UI" w:hAnsi="Segoe UI" w:cs="Segoe UI"/>
                <w:b/>
                <w:bCs/>
                <w:i/>
                <w:sz w:val="20"/>
                <w:szCs w:val="20"/>
                <w:lang w:val="en-GB"/>
              </w:rPr>
            </w:pPr>
          </w:p>
        </w:tc>
      </w:tr>
      <w:tr w:rsidR="004A11CA" w:rsidRPr="00BE26A9" w14:paraId="753CB7B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9664EF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Worcestershire Acute Hospitals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4EFD589"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6FDFBC03" w14:textId="77777777" w:rsidR="004A11CA" w:rsidRPr="00BE26A9" w:rsidRDefault="004A11CA" w:rsidP="00DE0914">
            <w:pPr>
              <w:jc w:val="both"/>
              <w:rPr>
                <w:rFonts w:ascii="Segoe UI" w:hAnsi="Segoe UI" w:cs="Segoe UI"/>
                <w:b/>
                <w:bCs/>
                <w:i/>
                <w:sz w:val="20"/>
                <w:szCs w:val="20"/>
                <w:lang w:val="en-GB"/>
              </w:rPr>
            </w:pPr>
          </w:p>
        </w:tc>
      </w:tr>
      <w:tr w:rsidR="004A11CA" w:rsidRPr="00BE26A9" w14:paraId="362DB9F5"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5611F2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Worcestershire Health and Care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9F4169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c>
          <w:tcPr>
            <w:tcW w:w="3441" w:type="dxa"/>
            <w:tcBorders>
              <w:top w:val="nil"/>
              <w:left w:val="nil"/>
              <w:bottom w:val="nil"/>
              <w:right w:val="nil"/>
            </w:tcBorders>
            <w:noWrap/>
            <w:vAlign w:val="bottom"/>
            <w:hideMark/>
          </w:tcPr>
          <w:p w14:paraId="54149F3D" w14:textId="77777777" w:rsidR="004A11CA" w:rsidRPr="00BE26A9" w:rsidRDefault="004A11CA" w:rsidP="00DE0914">
            <w:pPr>
              <w:jc w:val="both"/>
              <w:rPr>
                <w:rFonts w:ascii="Segoe UI" w:hAnsi="Segoe UI" w:cs="Segoe UI"/>
                <w:b/>
                <w:bCs/>
                <w:i/>
                <w:sz w:val="20"/>
                <w:szCs w:val="20"/>
                <w:lang w:val="en-GB"/>
              </w:rPr>
            </w:pPr>
          </w:p>
        </w:tc>
      </w:tr>
      <w:tr w:rsidR="004A11CA" w:rsidRPr="00BE26A9" w14:paraId="7546CB02"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hideMark/>
          </w:tcPr>
          <w:p w14:paraId="1343BAD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Wrightington, Wigan and Leigh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863342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00D48D8B" w14:textId="77777777" w:rsidR="004A11CA" w:rsidRPr="00BE26A9" w:rsidRDefault="004A11CA" w:rsidP="00DE0914">
            <w:pPr>
              <w:jc w:val="both"/>
              <w:rPr>
                <w:rFonts w:ascii="Segoe UI" w:hAnsi="Segoe UI" w:cs="Segoe UI"/>
                <w:b/>
                <w:bCs/>
                <w:i/>
                <w:sz w:val="20"/>
                <w:szCs w:val="20"/>
                <w:lang w:val="en-GB"/>
              </w:rPr>
            </w:pPr>
          </w:p>
        </w:tc>
      </w:tr>
      <w:tr w:rsidR="004A11CA" w:rsidRPr="00BE26A9" w14:paraId="18E87798"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7E710CD"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Wye Valley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67C5E4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5C392FB7" w14:textId="77777777" w:rsidR="004A11CA" w:rsidRPr="00BE26A9" w:rsidRDefault="004A11CA" w:rsidP="00DE0914">
            <w:pPr>
              <w:jc w:val="both"/>
              <w:rPr>
                <w:rFonts w:ascii="Segoe UI" w:hAnsi="Segoe UI" w:cs="Segoe UI"/>
                <w:b/>
                <w:bCs/>
                <w:i/>
                <w:sz w:val="20"/>
                <w:szCs w:val="20"/>
                <w:lang w:val="en-GB"/>
              </w:rPr>
            </w:pPr>
          </w:p>
        </w:tc>
      </w:tr>
      <w:tr w:rsidR="004A11CA" w:rsidRPr="00BE26A9" w14:paraId="6B0919B7"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40BC37"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Yeovil District Hospital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381541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c>
          <w:tcPr>
            <w:tcW w:w="3441" w:type="dxa"/>
            <w:tcBorders>
              <w:top w:val="nil"/>
              <w:left w:val="nil"/>
              <w:bottom w:val="nil"/>
              <w:right w:val="nil"/>
            </w:tcBorders>
            <w:noWrap/>
            <w:vAlign w:val="bottom"/>
            <w:hideMark/>
          </w:tcPr>
          <w:p w14:paraId="03839C20" w14:textId="77777777" w:rsidR="004A11CA" w:rsidRPr="00BE26A9" w:rsidRDefault="004A11CA" w:rsidP="00DE0914">
            <w:pPr>
              <w:jc w:val="both"/>
              <w:rPr>
                <w:rFonts w:ascii="Segoe UI" w:hAnsi="Segoe UI" w:cs="Segoe UI"/>
                <w:b/>
                <w:bCs/>
                <w:i/>
                <w:sz w:val="20"/>
                <w:szCs w:val="20"/>
                <w:lang w:val="en-GB"/>
              </w:rPr>
            </w:pPr>
          </w:p>
        </w:tc>
      </w:tr>
      <w:tr w:rsidR="004A11CA" w:rsidRPr="00BE26A9" w14:paraId="6E319B19"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72C741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York and Scarborough Teaching Hospitals NHS Foundation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F6F9FC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585273CE" w14:textId="77777777" w:rsidR="004A11CA" w:rsidRPr="00BE26A9" w:rsidRDefault="004A11CA" w:rsidP="00DE0914">
            <w:pPr>
              <w:jc w:val="both"/>
              <w:rPr>
                <w:rFonts w:ascii="Segoe UI" w:hAnsi="Segoe UI" w:cs="Segoe UI"/>
                <w:b/>
                <w:bCs/>
                <w:i/>
                <w:sz w:val="20"/>
                <w:szCs w:val="20"/>
                <w:lang w:val="en-GB"/>
              </w:rPr>
            </w:pPr>
          </w:p>
        </w:tc>
      </w:tr>
      <w:tr w:rsidR="004A11CA" w:rsidRPr="00BE26A9" w14:paraId="7F301C9F" w14:textId="77777777" w:rsidTr="00AA4E52">
        <w:trPr>
          <w:trHeight w:val="375"/>
        </w:trPr>
        <w:tc>
          <w:tcPr>
            <w:tcW w:w="637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17F231"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Yorkshire Ambulance Service NHS Trust</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1B2E8B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c>
          <w:tcPr>
            <w:tcW w:w="3441" w:type="dxa"/>
            <w:tcBorders>
              <w:top w:val="nil"/>
              <w:left w:val="nil"/>
              <w:bottom w:val="nil"/>
              <w:right w:val="nil"/>
            </w:tcBorders>
            <w:noWrap/>
            <w:vAlign w:val="bottom"/>
            <w:hideMark/>
          </w:tcPr>
          <w:p w14:paraId="37958C32" w14:textId="77777777" w:rsidR="004A11CA" w:rsidRPr="00BE26A9" w:rsidRDefault="004A11CA" w:rsidP="00DE0914">
            <w:pPr>
              <w:jc w:val="both"/>
              <w:rPr>
                <w:rFonts w:ascii="Segoe UI" w:hAnsi="Segoe UI" w:cs="Segoe UI"/>
                <w:b/>
                <w:bCs/>
                <w:i/>
                <w:sz w:val="20"/>
                <w:szCs w:val="20"/>
                <w:lang w:val="en-GB"/>
              </w:rPr>
            </w:pPr>
          </w:p>
        </w:tc>
      </w:tr>
    </w:tbl>
    <w:p w14:paraId="73C70462" w14:textId="77777777" w:rsidR="004A11CA" w:rsidRPr="00BE26A9" w:rsidRDefault="004A11CA" w:rsidP="004A11CA">
      <w:pPr>
        <w:jc w:val="both"/>
        <w:rPr>
          <w:rFonts w:ascii="Segoe UI" w:hAnsi="Segoe UI" w:cs="Segoe UI"/>
          <w:i/>
          <w:sz w:val="20"/>
          <w:szCs w:val="20"/>
          <w:highlight w:val="green"/>
        </w:rPr>
      </w:pPr>
    </w:p>
    <w:tbl>
      <w:tblPr>
        <w:tblW w:w="8200" w:type="dxa"/>
        <w:tblCellMar>
          <w:top w:w="15" w:type="dxa"/>
          <w:bottom w:w="15" w:type="dxa"/>
        </w:tblCellMar>
        <w:tblLook w:val="04A0" w:firstRow="1" w:lastRow="0" w:firstColumn="1" w:lastColumn="0" w:noHBand="0" w:noVBand="1"/>
      </w:tblPr>
      <w:tblGrid>
        <w:gridCol w:w="6360"/>
        <w:gridCol w:w="1840"/>
      </w:tblGrid>
      <w:tr w:rsidR="004A11CA" w:rsidRPr="00BE26A9" w14:paraId="3CC4630A" w14:textId="77777777" w:rsidTr="00DE0914">
        <w:trPr>
          <w:trHeight w:val="375"/>
        </w:trPr>
        <w:tc>
          <w:tcPr>
            <w:tcW w:w="6360" w:type="dxa"/>
            <w:tcBorders>
              <w:top w:val="nil"/>
              <w:left w:val="nil"/>
              <w:bottom w:val="nil"/>
              <w:right w:val="nil"/>
            </w:tcBorders>
            <w:noWrap/>
            <w:vAlign w:val="bottom"/>
            <w:hideMark/>
          </w:tcPr>
          <w:p w14:paraId="350010EC"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NHS ICS Segmentation</w:t>
            </w:r>
          </w:p>
        </w:tc>
        <w:tc>
          <w:tcPr>
            <w:tcW w:w="1840" w:type="dxa"/>
            <w:tcBorders>
              <w:top w:val="nil"/>
              <w:left w:val="nil"/>
              <w:bottom w:val="nil"/>
              <w:right w:val="nil"/>
            </w:tcBorders>
            <w:noWrap/>
            <w:vAlign w:val="bottom"/>
            <w:hideMark/>
          </w:tcPr>
          <w:p w14:paraId="5E96082C" w14:textId="77777777" w:rsidR="004A11CA" w:rsidRPr="00BE26A9" w:rsidRDefault="004A11CA" w:rsidP="00DE0914">
            <w:pPr>
              <w:jc w:val="both"/>
              <w:rPr>
                <w:rFonts w:ascii="Segoe UI" w:hAnsi="Segoe UI" w:cs="Segoe UI"/>
                <w:b/>
                <w:bCs/>
                <w:i/>
                <w:sz w:val="20"/>
                <w:szCs w:val="20"/>
                <w:lang w:val="en-GB"/>
              </w:rPr>
            </w:pPr>
          </w:p>
        </w:tc>
      </w:tr>
      <w:tr w:rsidR="004A11CA" w:rsidRPr="00BE26A9" w14:paraId="6EC35DA9" w14:textId="77777777" w:rsidTr="00DE0914">
        <w:trPr>
          <w:trHeight w:val="420"/>
        </w:trPr>
        <w:tc>
          <w:tcPr>
            <w:tcW w:w="6360" w:type="dxa"/>
            <w:tcBorders>
              <w:top w:val="single" w:sz="8" w:space="0" w:color="auto"/>
              <w:left w:val="single" w:sz="8" w:space="0" w:color="auto"/>
              <w:bottom w:val="nil"/>
              <w:right w:val="single" w:sz="8" w:space="0" w:color="auto"/>
            </w:tcBorders>
            <w:shd w:val="clear" w:color="000000" w:fill="BDD7EE"/>
            <w:noWrap/>
            <w:vAlign w:val="center"/>
            <w:hideMark/>
          </w:tcPr>
          <w:p w14:paraId="5518556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ICS</w:t>
            </w:r>
          </w:p>
        </w:tc>
        <w:tc>
          <w:tcPr>
            <w:tcW w:w="1840" w:type="dxa"/>
            <w:tcBorders>
              <w:top w:val="single" w:sz="8" w:space="0" w:color="auto"/>
              <w:left w:val="nil"/>
              <w:bottom w:val="single" w:sz="8" w:space="0" w:color="auto"/>
              <w:right w:val="single" w:sz="8" w:space="0" w:color="auto"/>
            </w:tcBorders>
            <w:shd w:val="clear" w:color="000000" w:fill="70AD47"/>
            <w:vAlign w:val="center"/>
            <w:hideMark/>
          </w:tcPr>
          <w:p w14:paraId="2191BB1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SOF Segmentation</w:t>
            </w:r>
          </w:p>
        </w:tc>
      </w:tr>
      <w:tr w:rsidR="004A11CA" w:rsidRPr="00BE26A9" w14:paraId="15985098"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7ED0358"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Bath and North East Somerset, </w:t>
            </w:r>
            <w:proofErr w:type="gramStart"/>
            <w:r w:rsidRPr="00BE26A9">
              <w:rPr>
                <w:rFonts w:ascii="Segoe UI" w:hAnsi="Segoe UI" w:cs="Segoe UI"/>
                <w:i/>
                <w:sz w:val="20"/>
                <w:szCs w:val="20"/>
                <w:lang w:val="en-GB"/>
              </w:rPr>
              <w:t>Swindon</w:t>
            </w:r>
            <w:proofErr w:type="gramEnd"/>
            <w:r w:rsidRPr="00BE26A9">
              <w:rPr>
                <w:rFonts w:ascii="Segoe UI" w:hAnsi="Segoe UI" w:cs="Segoe UI"/>
                <w:i/>
                <w:sz w:val="20"/>
                <w:szCs w:val="20"/>
                <w:lang w:val="en-GB"/>
              </w:rPr>
              <w:t xml:space="preserve"> and Wiltshire</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AA636FD"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6C8165EA"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F58920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Bedfordshire, </w:t>
            </w:r>
            <w:proofErr w:type="gramStart"/>
            <w:r w:rsidRPr="00BE26A9">
              <w:rPr>
                <w:rFonts w:ascii="Segoe UI" w:hAnsi="Segoe UI" w:cs="Segoe UI"/>
                <w:i/>
                <w:sz w:val="20"/>
                <w:szCs w:val="20"/>
                <w:lang w:val="en-GB"/>
              </w:rPr>
              <w:t>Luton</w:t>
            </w:r>
            <w:proofErr w:type="gramEnd"/>
            <w:r w:rsidRPr="00BE26A9">
              <w:rPr>
                <w:rFonts w:ascii="Segoe UI" w:hAnsi="Segoe UI" w:cs="Segoe UI"/>
                <w:i/>
                <w:sz w:val="20"/>
                <w:szCs w:val="20"/>
                <w:lang w:val="en-GB"/>
              </w:rPr>
              <w:t xml:space="preserve"> and Milton Keynes</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3E753A9"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4656705E"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2FB4F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Birmingham and Solihull</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03D9A5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7073D54B"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D21968B"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Bristol, North </w:t>
            </w:r>
            <w:proofErr w:type="gramStart"/>
            <w:r w:rsidRPr="00BE26A9">
              <w:rPr>
                <w:rFonts w:ascii="Segoe UI" w:hAnsi="Segoe UI" w:cs="Segoe UI"/>
                <w:i/>
                <w:sz w:val="20"/>
                <w:szCs w:val="20"/>
                <w:lang w:val="en-GB"/>
              </w:rPr>
              <w:t>Somerset</w:t>
            </w:r>
            <w:proofErr w:type="gramEnd"/>
            <w:r w:rsidRPr="00BE26A9">
              <w:rPr>
                <w:rFonts w:ascii="Segoe UI" w:hAnsi="Segoe UI" w:cs="Segoe UI"/>
                <w:i/>
                <w:sz w:val="20"/>
                <w:szCs w:val="20"/>
                <w:lang w:val="en-GB"/>
              </w:rPr>
              <w:t xml:space="preserve"> and South Gloucestershire</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C994EE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AA4E52" w:rsidRPr="00BE26A9" w14:paraId="3FA1AFC2" w14:textId="77777777" w:rsidTr="00DE0914">
        <w:trPr>
          <w:trHeight w:val="750"/>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6CA89FF" w14:textId="77777777" w:rsidR="004A11CA" w:rsidRPr="00BE26A9" w:rsidRDefault="004A11CA" w:rsidP="00DE0914">
            <w:pPr>
              <w:jc w:val="both"/>
              <w:rPr>
                <w:rFonts w:ascii="Segoe UI" w:hAnsi="Segoe UI" w:cs="Segoe UI"/>
                <w:i/>
                <w:color w:val="FF0000"/>
                <w:sz w:val="20"/>
                <w:szCs w:val="20"/>
                <w:lang w:val="en-GB"/>
              </w:rPr>
            </w:pPr>
            <w:r w:rsidRPr="00BE26A9">
              <w:rPr>
                <w:rFonts w:ascii="Segoe UI" w:hAnsi="Segoe UI" w:cs="Segoe UI"/>
                <w:i/>
                <w:color w:val="FF0000"/>
                <w:sz w:val="20"/>
                <w:szCs w:val="20"/>
                <w:lang w:val="en-GB"/>
              </w:rPr>
              <w:lastRenderedPageBreak/>
              <w:t xml:space="preserve">Buckinghamshire, </w:t>
            </w:r>
            <w:proofErr w:type="gramStart"/>
            <w:r w:rsidRPr="00BE26A9">
              <w:rPr>
                <w:rFonts w:ascii="Segoe UI" w:hAnsi="Segoe UI" w:cs="Segoe UI"/>
                <w:i/>
                <w:color w:val="FF0000"/>
                <w:sz w:val="20"/>
                <w:szCs w:val="20"/>
                <w:lang w:val="en-GB"/>
              </w:rPr>
              <w:t>Oxfordshire</w:t>
            </w:r>
            <w:proofErr w:type="gramEnd"/>
            <w:r w:rsidRPr="00BE26A9">
              <w:rPr>
                <w:rFonts w:ascii="Segoe UI" w:hAnsi="Segoe UI" w:cs="Segoe UI"/>
                <w:i/>
                <w:color w:val="FF0000"/>
                <w:sz w:val="20"/>
                <w:szCs w:val="20"/>
                <w:lang w:val="en-GB"/>
              </w:rPr>
              <w:t xml:space="preserve"> and Berkshire West (BOB)</w:t>
            </w:r>
          </w:p>
        </w:tc>
        <w:tc>
          <w:tcPr>
            <w:tcW w:w="18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31CB6E8" w14:textId="77777777" w:rsidR="004A11CA" w:rsidRPr="00BE26A9" w:rsidRDefault="004A11CA" w:rsidP="00DE0914">
            <w:pPr>
              <w:jc w:val="both"/>
              <w:rPr>
                <w:rFonts w:ascii="Segoe UI" w:hAnsi="Segoe UI" w:cs="Segoe UI"/>
                <w:b/>
                <w:bCs/>
                <w:i/>
                <w:color w:val="FF0000"/>
                <w:sz w:val="20"/>
                <w:szCs w:val="20"/>
                <w:lang w:val="en-GB"/>
              </w:rPr>
            </w:pPr>
            <w:r w:rsidRPr="00BE26A9">
              <w:rPr>
                <w:rFonts w:ascii="Segoe UI" w:hAnsi="Segoe UI" w:cs="Segoe UI"/>
                <w:b/>
                <w:bCs/>
                <w:i/>
                <w:color w:val="FF0000"/>
                <w:sz w:val="20"/>
                <w:szCs w:val="20"/>
                <w:lang w:val="en-GB"/>
              </w:rPr>
              <w:t>3</w:t>
            </w:r>
          </w:p>
        </w:tc>
      </w:tr>
      <w:tr w:rsidR="004A11CA" w:rsidRPr="00BE26A9" w14:paraId="50AB6EC0"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8E0784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Cambridgeshire and Peterborough</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72E44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r>
      <w:tr w:rsidR="004A11CA" w:rsidRPr="00BE26A9" w14:paraId="6732BDC9"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BC48D1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Cheshire and Merseyside Health and Care Partnership</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E66C22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3EB3CD5F"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0A7B8A4"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Cornwall and the Isles of Scilly</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D631F4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0C61D13D"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2DA828B"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Coventry and Warwickshire</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3CEB77B"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3FD61253"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FA4C5B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Derbyshire</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F40B11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28AF5C99"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289CDA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Devon</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BA233F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r>
      <w:tr w:rsidR="004A11CA" w:rsidRPr="00BE26A9" w14:paraId="4953881B"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A802E5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Dorset</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27E10B3"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400D1A5A"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4994EE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Frimley Health and Care</w:t>
            </w:r>
          </w:p>
        </w:tc>
        <w:tc>
          <w:tcPr>
            <w:tcW w:w="18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87588C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1</w:t>
            </w:r>
          </w:p>
        </w:tc>
      </w:tr>
      <w:tr w:rsidR="004A11CA" w:rsidRPr="00BE26A9" w14:paraId="0FED3119"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1B8C34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Gloucestershire</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828CA7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02D9EC64"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981401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Greater Manchester Health and Social Care Partnership</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E8441B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61AEBBD0"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D4E62C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Hampshire and the Isle of Wight</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3319F0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12062C66"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7680677"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Herefordshire and Worcestershire</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CCA5EC"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7D5BD8CF"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1E1FA7B"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Hertfordshire and West Essex</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55307B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2CEB7639"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7997B87"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Humber, Coast &amp; Vale</w:t>
            </w:r>
          </w:p>
        </w:tc>
        <w:tc>
          <w:tcPr>
            <w:tcW w:w="18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24CD79"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3CD3D770"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023255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Kent and Medway</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F5BB8F8"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3E3D731A"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5FCB94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Lancashire and South Cumbria</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B5BDD1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1D83A952"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6758BA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 xml:space="preserve">Leicester, </w:t>
            </w:r>
            <w:proofErr w:type="gramStart"/>
            <w:r w:rsidRPr="00BE26A9">
              <w:rPr>
                <w:rFonts w:ascii="Segoe UI" w:hAnsi="Segoe UI" w:cs="Segoe UI"/>
                <w:i/>
                <w:sz w:val="20"/>
                <w:szCs w:val="20"/>
                <w:lang w:val="en-GB"/>
              </w:rPr>
              <w:t>Leicestershire</w:t>
            </w:r>
            <w:proofErr w:type="gramEnd"/>
            <w:r w:rsidRPr="00BE26A9">
              <w:rPr>
                <w:rFonts w:ascii="Segoe UI" w:hAnsi="Segoe UI" w:cs="Segoe UI"/>
                <w:i/>
                <w:sz w:val="20"/>
                <w:szCs w:val="20"/>
                <w:lang w:val="en-GB"/>
              </w:rPr>
              <w:t xml:space="preserve"> and Rutland</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67C66E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506E1DBE"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F0371B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Lincolnshire</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22DC1BC"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r>
      <w:tr w:rsidR="004A11CA" w:rsidRPr="00BE26A9" w14:paraId="2029B4B0"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B77D0B3" w14:textId="200854B2"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Mid and South Essex</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E8E323A"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0A79DBB2"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B0580B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Norfolk and Waveney</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D275F2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r>
      <w:tr w:rsidR="004A11CA" w:rsidRPr="00BE26A9" w14:paraId="714A6304"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FEDF98D"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 Central London</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78B97C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098B6D89"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C5735C"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 East &amp; North Cumbria</w:t>
            </w:r>
          </w:p>
        </w:tc>
        <w:tc>
          <w:tcPr>
            <w:tcW w:w="18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AE7614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597E101E"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4F5CF9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 East London</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52A0E94"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75DD8320"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43D2C4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 West London</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9D7C64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3C24A074"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DFC68D2"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Northamptonshire</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74E266A"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0F44E328"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42C43DA"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Nottinghamshire</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133E780"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5CF34880"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0CB3E36"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Shropshire, Telford &amp; Wrekin</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01E7ECC"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4</w:t>
            </w:r>
          </w:p>
        </w:tc>
      </w:tr>
      <w:tr w:rsidR="004A11CA" w:rsidRPr="00BE26A9" w14:paraId="15F65A88"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31420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Somerset</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8BEACC3"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2D65E7E0"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6FBD4E5"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South East London</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6232597"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4CCFEBBC"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97D43E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South West London</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5A3ED3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309F64C1"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F93713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lastRenderedPageBreak/>
              <w:t>South Yorkshire and Bassetlaw</w:t>
            </w:r>
          </w:p>
        </w:tc>
        <w:tc>
          <w:tcPr>
            <w:tcW w:w="18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66A8C91"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40305E58"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DE8FDED"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Staffordshire and Stoke on Trent</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E6267A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1FAA6CE4"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AA03189"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Suffolk and North East Essex</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E9906E6"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35A63E7E"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820174E"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Surrey Heartlands Health and Care Partnership</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22AF92F"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356F22F5"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5B82703"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Sussex</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4BD839E"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r w:rsidR="004A11CA" w:rsidRPr="00BE26A9" w14:paraId="49073791"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39CF3B0"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The Black Country and West Birmingham</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3D62E2"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3</w:t>
            </w:r>
          </w:p>
        </w:tc>
      </w:tr>
      <w:tr w:rsidR="004A11CA" w:rsidRPr="00BE26A9" w14:paraId="480AD5EF" w14:textId="77777777" w:rsidTr="00DE0914">
        <w:trPr>
          <w:trHeight w:val="375"/>
        </w:trPr>
        <w:tc>
          <w:tcPr>
            <w:tcW w:w="6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4EB89BF" w14:textId="77777777" w:rsidR="004A11CA" w:rsidRPr="00BE26A9" w:rsidRDefault="004A11CA" w:rsidP="00DE0914">
            <w:pPr>
              <w:jc w:val="both"/>
              <w:rPr>
                <w:rFonts w:ascii="Segoe UI" w:hAnsi="Segoe UI" w:cs="Segoe UI"/>
                <w:i/>
                <w:sz w:val="20"/>
                <w:szCs w:val="20"/>
                <w:lang w:val="en-GB"/>
              </w:rPr>
            </w:pPr>
            <w:r w:rsidRPr="00BE26A9">
              <w:rPr>
                <w:rFonts w:ascii="Segoe UI" w:hAnsi="Segoe UI" w:cs="Segoe UI"/>
                <w:i/>
                <w:sz w:val="20"/>
                <w:szCs w:val="20"/>
                <w:lang w:val="en-GB"/>
              </w:rPr>
              <w:t>West Yorkshire and Harrogate</w:t>
            </w:r>
          </w:p>
        </w:tc>
        <w:tc>
          <w:tcPr>
            <w:tcW w:w="18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B103695" w14:textId="77777777" w:rsidR="004A11CA" w:rsidRPr="00BE26A9" w:rsidRDefault="004A11CA" w:rsidP="00DE0914">
            <w:pPr>
              <w:jc w:val="both"/>
              <w:rPr>
                <w:rFonts w:ascii="Segoe UI" w:hAnsi="Segoe UI" w:cs="Segoe UI"/>
                <w:b/>
                <w:bCs/>
                <w:i/>
                <w:sz w:val="20"/>
                <w:szCs w:val="20"/>
                <w:lang w:val="en-GB"/>
              </w:rPr>
            </w:pPr>
            <w:r w:rsidRPr="00BE26A9">
              <w:rPr>
                <w:rFonts w:ascii="Segoe UI" w:hAnsi="Segoe UI" w:cs="Segoe UI"/>
                <w:b/>
                <w:bCs/>
                <w:i/>
                <w:sz w:val="20"/>
                <w:szCs w:val="20"/>
                <w:lang w:val="en-GB"/>
              </w:rPr>
              <w:t>2</w:t>
            </w:r>
          </w:p>
        </w:tc>
      </w:tr>
    </w:tbl>
    <w:p w14:paraId="7D0C3D0B" w14:textId="77777777" w:rsidR="00AB51E9" w:rsidRDefault="00AB51E9"/>
    <w:sectPr w:rsidR="00AB51E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2F846" w14:textId="77777777" w:rsidR="00E721EF" w:rsidRDefault="00E721EF" w:rsidP="004A11CA">
      <w:r>
        <w:separator/>
      </w:r>
    </w:p>
  </w:endnote>
  <w:endnote w:type="continuationSeparator" w:id="0">
    <w:p w14:paraId="47407FC3" w14:textId="77777777" w:rsidR="00E721EF" w:rsidRDefault="00E721EF" w:rsidP="004A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804469"/>
      <w:docPartObj>
        <w:docPartGallery w:val="Page Numbers (Bottom of Page)"/>
        <w:docPartUnique/>
      </w:docPartObj>
    </w:sdtPr>
    <w:sdtEndPr>
      <w:rPr>
        <w:color w:val="7F7F7F" w:themeColor="background1" w:themeShade="7F"/>
        <w:spacing w:val="60"/>
      </w:rPr>
    </w:sdtEndPr>
    <w:sdtContent>
      <w:p w14:paraId="1B5527C3" w14:textId="23B0FA2C" w:rsidR="008E705C" w:rsidRDefault="008E705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45306B5" w14:textId="77777777" w:rsidR="008E705C" w:rsidRDefault="008E7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24291" w14:textId="77777777" w:rsidR="00E721EF" w:rsidRDefault="00E721EF" w:rsidP="004A11CA">
      <w:r>
        <w:separator/>
      </w:r>
    </w:p>
  </w:footnote>
  <w:footnote w:type="continuationSeparator" w:id="0">
    <w:p w14:paraId="0948C8DD" w14:textId="77777777" w:rsidR="00E721EF" w:rsidRDefault="00E721EF" w:rsidP="004A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EE95F" w14:textId="687B6C00" w:rsidR="004A11CA" w:rsidRPr="004A11CA" w:rsidRDefault="004A11CA" w:rsidP="004A11CA">
    <w:pPr>
      <w:pStyle w:val="Header"/>
      <w:jc w:val="center"/>
      <w:rPr>
        <w:rFonts w:ascii="Segoe UI" w:hAnsi="Segoe UI" w:cs="Segoe UI"/>
        <w:b/>
        <w:bCs/>
        <w:i/>
        <w:iCs/>
      </w:rPr>
    </w:pPr>
    <w:r w:rsidRPr="004A11CA">
      <w:rPr>
        <w:rFonts w:ascii="Segoe UI" w:hAnsi="Segoe UI" w:cs="Segoe UI"/>
        <w:b/>
        <w:bCs/>
        <w:i/>
        <w:iCs/>
      </w:rPr>
      <w:t>PUBLIC – NOT TO BE REMOVE UNTIL END OF BOARD MEETING</w:t>
    </w:r>
  </w:p>
  <w:p w14:paraId="1E470BF7" w14:textId="77777777" w:rsidR="004A11CA" w:rsidRDefault="004A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B0463"/>
    <w:multiLevelType w:val="multilevel"/>
    <w:tmpl w:val="F8EA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831AE"/>
    <w:multiLevelType w:val="hybridMultilevel"/>
    <w:tmpl w:val="57D4D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357BDD"/>
    <w:multiLevelType w:val="multilevel"/>
    <w:tmpl w:val="1D14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250725BA"/>
    <w:multiLevelType w:val="multilevel"/>
    <w:tmpl w:val="2ED4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6256A"/>
    <w:multiLevelType w:val="multilevel"/>
    <w:tmpl w:val="2B48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333A4"/>
    <w:multiLevelType w:val="multilevel"/>
    <w:tmpl w:val="B2D2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414BC"/>
    <w:multiLevelType w:val="multilevel"/>
    <w:tmpl w:val="407C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63913"/>
    <w:multiLevelType w:val="hybridMultilevel"/>
    <w:tmpl w:val="B928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3" w15:restartNumberingAfterBreak="0">
    <w:nsid w:val="5F3D7FEE"/>
    <w:multiLevelType w:val="multilevel"/>
    <w:tmpl w:val="4E44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7D6889"/>
    <w:multiLevelType w:val="multilevel"/>
    <w:tmpl w:val="34B4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112640"/>
    <w:multiLevelType w:val="hybridMultilevel"/>
    <w:tmpl w:val="42F6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1"/>
  </w:num>
  <w:num w:numId="5">
    <w:abstractNumId w:val="12"/>
  </w:num>
  <w:num w:numId="6">
    <w:abstractNumId w:val="4"/>
  </w:num>
  <w:num w:numId="7">
    <w:abstractNumId w:val="14"/>
  </w:num>
  <w:num w:numId="8">
    <w:abstractNumId w:val="2"/>
  </w:num>
  <w:num w:numId="9">
    <w:abstractNumId w:val="15"/>
  </w:num>
  <w:num w:numId="10">
    <w:abstractNumId w:val="17"/>
  </w:num>
  <w:num w:numId="11">
    <w:abstractNumId w:val="0"/>
  </w:num>
  <w:num w:numId="12">
    <w:abstractNumId w:val="5"/>
  </w:num>
  <w:num w:numId="13">
    <w:abstractNumId w:val="6"/>
  </w:num>
  <w:num w:numId="14">
    <w:abstractNumId w:val="13"/>
  </w:num>
  <w:num w:numId="15">
    <w:abstractNumId w:val="8"/>
  </w:num>
  <w:num w:numId="16">
    <w:abstractNumId w:val="3"/>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CA"/>
    <w:rsid w:val="00023B36"/>
    <w:rsid w:val="00030C5F"/>
    <w:rsid w:val="00092559"/>
    <w:rsid w:val="000E6E09"/>
    <w:rsid w:val="000F7910"/>
    <w:rsid w:val="0014008C"/>
    <w:rsid w:val="0014257B"/>
    <w:rsid w:val="0018017E"/>
    <w:rsid w:val="001D251A"/>
    <w:rsid w:val="001E37C2"/>
    <w:rsid w:val="001F6EF4"/>
    <w:rsid w:val="00216000"/>
    <w:rsid w:val="00262B7A"/>
    <w:rsid w:val="002846D2"/>
    <w:rsid w:val="002C5536"/>
    <w:rsid w:val="002D572D"/>
    <w:rsid w:val="00336423"/>
    <w:rsid w:val="003742D5"/>
    <w:rsid w:val="00380B84"/>
    <w:rsid w:val="003D1715"/>
    <w:rsid w:val="003F5F1E"/>
    <w:rsid w:val="00402A7B"/>
    <w:rsid w:val="004074D7"/>
    <w:rsid w:val="0044240B"/>
    <w:rsid w:val="00461F54"/>
    <w:rsid w:val="00471765"/>
    <w:rsid w:val="004A11CA"/>
    <w:rsid w:val="004B28D3"/>
    <w:rsid w:val="00564B8C"/>
    <w:rsid w:val="00564D8A"/>
    <w:rsid w:val="006A0D10"/>
    <w:rsid w:val="006A434E"/>
    <w:rsid w:val="006E769B"/>
    <w:rsid w:val="006F249A"/>
    <w:rsid w:val="00710FEF"/>
    <w:rsid w:val="00771C22"/>
    <w:rsid w:val="00821896"/>
    <w:rsid w:val="008543FD"/>
    <w:rsid w:val="00860D75"/>
    <w:rsid w:val="00860ED7"/>
    <w:rsid w:val="008E705C"/>
    <w:rsid w:val="00900349"/>
    <w:rsid w:val="00965BFC"/>
    <w:rsid w:val="0097097E"/>
    <w:rsid w:val="009828FE"/>
    <w:rsid w:val="009849A3"/>
    <w:rsid w:val="009A61EA"/>
    <w:rsid w:val="00A07AC3"/>
    <w:rsid w:val="00A52B23"/>
    <w:rsid w:val="00AA4E52"/>
    <w:rsid w:val="00AB51E9"/>
    <w:rsid w:val="00AF35D6"/>
    <w:rsid w:val="00B159CE"/>
    <w:rsid w:val="00B33DAD"/>
    <w:rsid w:val="00BE26A9"/>
    <w:rsid w:val="00BF422C"/>
    <w:rsid w:val="00C22E7D"/>
    <w:rsid w:val="00D04BD1"/>
    <w:rsid w:val="00D35EAA"/>
    <w:rsid w:val="00D6133C"/>
    <w:rsid w:val="00D61913"/>
    <w:rsid w:val="00D74317"/>
    <w:rsid w:val="00D853C5"/>
    <w:rsid w:val="00E00681"/>
    <w:rsid w:val="00E510F7"/>
    <w:rsid w:val="00E65935"/>
    <w:rsid w:val="00E721EF"/>
    <w:rsid w:val="00E95F9C"/>
    <w:rsid w:val="00EA2E2D"/>
    <w:rsid w:val="00EF44A4"/>
    <w:rsid w:val="00F234DC"/>
    <w:rsid w:val="00F24B7B"/>
    <w:rsid w:val="00F46E11"/>
    <w:rsid w:val="00FD1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61C6"/>
  <w15:chartTrackingRefBased/>
  <w15:docId w15:val="{3988BA40-03FD-4380-97A1-0EDE4E36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C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A11C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1CA"/>
    <w:rPr>
      <w:rFonts w:ascii="Arial" w:eastAsia="Times New Roman" w:hAnsi="Arial" w:cs="Times New Roman"/>
      <w:b/>
      <w:sz w:val="20"/>
      <w:szCs w:val="20"/>
      <w:u w:val="single"/>
    </w:rPr>
  </w:style>
  <w:style w:type="paragraph" w:styleId="BodyText">
    <w:name w:val="Body Text"/>
    <w:basedOn w:val="Normal"/>
    <w:link w:val="BodyTextChar"/>
    <w:rsid w:val="004A11CA"/>
    <w:pPr>
      <w:jc w:val="center"/>
    </w:pPr>
    <w:rPr>
      <w:rFonts w:ascii="Arial" w:hAnsi="Arial" w:cs="Arial"/>
      <w:b/>
    </w:rPr>
  </w:style>
  <w:style w:type="character" w:customStyle="1" w:styleId="BodyTextChar">
    <w:name w:val="Body Text Char"/>
    <w:basedOn w:val="DefaultParagraphFont"/>
    <w:link w:val="BodyText"/>
    <w:rsid w:val="004A11CA"/>
    <w:rPr>
      <w:rFonts w:ascii="Arial" w:eastAsia="Times New Roman" w:hAnsi="Arial" w:cs="Arial"/>
      <w:b/>
      <w:sz w:val="24"/>
      <w:szCs w:val="24"/>
      <w:lang w:val="en-US"/>
    </w:rPr>
  </w:style>
  <w:style w:type="paragraph" w:styleId="Header">
    <w:name w:val="header"/>
    <w:basedOn w:val="Normal"/>
    <w:link w:val="HeaderChar"/>
    <w:uiPriority w:val="99"/>
    <w:rsid w:val="004A11CA"/>
    <w:pPr>
      <w:tabs>
        <w:tab w:val="center" w:pos="4513"/>
        <w:tab w:val="right" w:pos="9026"/>
      </w:tabs>
    </w:pPr>
  </w:style>
  <w:style w:type="character" w:customStyle="1" w:styleId="HeaderChar">
    <w:name w:val="Header Char"/>
    <w:basedOn w:val="DefaultParagraphFont"/>
    <w:link w:val="Header"/>
    <w:uiPriority w:val="99"/>
    <w:rsid w:val="004A11C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4A11CA"/>
    <w:pPr>
      <w:tabs>
        <w:tab w:val="center" w:pos="4513"/>
        <w:tab w:val="right" w:pos="9026"/>
      </w:tabs>
    </w:pPr>
  </w:style>
  <w:style w:type="character" w:customStyle="1" w:styleId="FooterChar">
    <w:name w:val="Footer Char"/>
    <w:basedOn w:val="DefaultParagraphFont"/>
    <w:link w:val="Footer"/>
    <w:uiPriority w:val="99"/>
    <w:rsid w:val="004A11C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A11CA"/>
    <w:pPr>
      <w:ind w:left="720"/>
    </w:pPr>
  </w:style>
  <w:style w:type="paragraph" w:styleId="BalloonText">
    <w:name w:val="Balloon Text"/>
    <w:basedOn w:val="Normal"/>
    <w:link w:val="BalloonTextChar"/>
    <w:rsid w:val="004A11CA"/>
    <w:rPr>
      <w:rFonts w:ascii="Tahoma" w:hAnsi="Tahoma" w:cs="Tahoma"/>
      <w:sz w:val="16"/>
      <w:szCs w:val="16"/>
    </w:rPr>
  </w:style>
  <w:style w:type="character" w:customStyle="1" w:styleId="BalloonTextChar">
    <w:name w:val="Balloon Text Char"/>
    <w:basedOn w:val="DefaultParagraphFont"/>
    <w:link w:val="BalloonText"/>
    <w:rsid w:val="004A11CA"/>
    <w:rPr>
      <w:rFonts w:ascii="Tahoma" w:eastAsia="Times New Roman" w:hAnsi="Tahoma" w:cs="Tahoma"/>
      <w:sz w:val="16"/>
      <w:szCs w:val="16"/>
      <w:lang w:val="en-US"/>
    </w:rPr>
  </w:style>
  <w:style w:type="character" w:styleId="Hyperlink">
    <w:name w:val="Hyperlink"/>
    <w:basedOn w:val="DefaultParagraphFont"/>
    <w:rsid w:val="004A11CA"/>
    <w:rPr>
      <w:color w:val="0563C1" w:themeColor="hyperlink"/>
      <w:u w:val="single"/>
    </w:rPr>
  </w:style>
  <w:style w:type="character" w:styleId="FollowedHyperlink">
    <w:name w:val="FollowedHyperlink"/>
    <w:basedOn w:val="DefaultParagraphFont"/>
    <w:semiHidden/>
    <w:unhideWhenUsed/>
    <w:rsid w:val="004A11CA"/>
    <w:rPr>
      <w:color w:val="954F72" w:themeColor="followedHyperlink"/>
      <w:u w:val="single"/>
    </w:rPr>
  </w:style>
  <w:style w:type="paragraph" w:customStyle="1" w:styleId="Default">
    <w:name w:val="Default"/>
    <w:rsid w:val="004A11C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rmalWeb">
    <w:name w:val="Normal (Web)"/>
    <w:basedOn w:val="Normal"/>
    <w:semiHidden/>
    <w:unhideWhenUsed/>
    <w:rsid w:val="004A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13</Pages>
  <Words>3745</Words>
  <Characters>20191</Characters>
  <Application>Microsoft Office Word</Application>
  <DocSecurity>0</DocSecurity>
  <Lines>877</Lines>
  <Paragraphs>427</Paragraphs>
  <ScaleCrop>false</ScaleCrop>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Susan (RNU) Oxford Health</dc:creator>
  <cp:keywords/>
  <dc:description/>
  <cp:lastModifiedBy>Smith Hannah (RNU) Oxford Health</cp:lastModifiedBy>
  <cp:revision>71</cp:revision>
  <dcterms:created xsi:type="dcterms:W3CDTF">2021-11-27T15:48:00Z</dcterms:created>
  <dcterms:modified xsi:type="dcterms:W3CDTF">2021-11-28T21:53:00Z</dcterms:modified>
</cp:coreProperties>
</file>