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AB29" w14:textId="2BE3D84B" w:rsidR="00E82291" w:rsidRDefault="00E82291" w:rsidP="005F7FFC">
      <w:pPr>
        <w:pStyle w:val="Heading1"/>
        <w:jc w:val="center"/>
        <w:rPr>
          <w:rFonts w:ascii="Segoe UI" w:hAnsi="Segoe UI" w:cs="Segoe UI"/>
          <w:sz w:val="22"/>
          <w:szCs w:val="22"/>
          <w:u w:val="none"/>
        </w:rPr>
      </w:pPr>
    </w:p>
    <w:p w14:paraId="1B3F13E7" w14:textId="13C89B89" w:rsidR="00E82291" w:rsidRDefault="00E82291" w:rsidP="005F7FFC">
      <w:pPr>
        <w:pStyle w:val="Heading1"/>
        <w:jc w:val="center"/>
        <w:rPr>
          <w:rFonts w:ascii="Segoe UI" w:hAnsi="Segoe UI" w:cs="Segoe UI"/>
          <w:sz w:val="22"/>
          <w:szCs w:val="22"/>
          <w:u w:val="none"/>
        </w:rPr>
      </w:pPr>
      <w:bookmarkStart w:id="0" w:name="_Hlk56665041"/>
      <w:bookmarkEnd w:id="0"/>
    </w:p>
    <w:p w14:paraId="0E043354" w14:textId="5B150935" w:rsidR="005F7FFC" w:rsidRPr="00642417" w:rsidRDefault="005F7FFC" w:rsidP="005F7FFC">
      <w:pPr>
        <w:pStyle w:val="Heading1"/>
        <w:jc w:val="center"/>
        <w:rPr>
          <w:rFonts w:cs="Arial"/>
          <w:sz w:val="24"/>
          <w:szCs w:val="24"/>
          <w:u w:val="none"/>
        </w:rPr>
      </w:pPr>
      <w:r w:rsidRPr="00642417">
        <w:rPr>
          <w:rFonts w:cs="Arial"/>
          <w:sz w:val="24"/>
          <w:szCs w:val="24"/>
          <w:u w:val="none"/>
        </w:rPr>
        <w:t xml:space="preserve">Report to the Meeting of the </w:t>
      </w:r>
    </w:p>
    <w:p w14:paraId="5231C35B" w14:textId="40CD6C84" w:rsidR="005F7FFC" w:rsidRPr="00642417" w:rsidRDefault="005F7FFC" w:rsidP="005F7FFC">
      <w:pPr>
        <w:pStyle w:val="Heading1"/>
        <w:jc w:val="center"/>
        <w:rPr>
          <w:rFonts w:cs="Arial"/>
          <w:sz w:val="24"/>
          <w:szCs w:val="24"/>
          <w:u w:val="none"/>
        </w:rPr>
      </w:pPr>
      <w:r w:rsidRPr="00642417">
        <w:rPr>
          <w:rFonts w:cs="Arial"/>
          <w:sz w:val="24"/>
          <w:szCs w:val="24"/>
          <w:u w:val="none"/>
        </w:rPr>
        <w:t xml:space="preserve">Oxford Health NHS Foundation Trust </w:t>
      </w:r>
    </w:p>
    <w:p w14:paraId="7893ACD9" w14:textId="4556EF0B" w:rsidR="00BE363B" w:rsidRPr="00642417" w:rsidRDefault="00BE363B" w:rsidP="00BE36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Chair of Governors (</w:t>
      </w:r>
      <w:proofErr w:type="spellStart"/>
      <w:r>
        <w:rPr>
          <w:rFonts w:ascii="Arial" w:hAnsi="Arial" w:cs="Arial"/>
          <w:b/>
          <w:sz w:val="24"/>
          <w:szCs w:val="24"/>
        </w:rPr>
        <w:t>CoG</w:t>
      </w:r>
      <w:proofErr w:type="spellEnd"/>
      <w:r>
        <w:rPr>
          <w:rFonts w:ascii="Arial" w:hAnsi="Arial" w:cs="Arial"/>
          <w:b/>
          <w:sz w:val="24"/>
          <w:szCs w:val="24"/>
        </w:rPr>
        <w:t>) Meeting 25 March 2021</w:t>
      </w:r>
    </w:p>
    <w:p w14:paraId="23AFE234" w14:textId="6BE599D1" w:rsidR="005F7FFC" w:rsidRPr="00642417" w:rsidRDefault="005F7FFC" w:rsidP="005F7F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85BBA9" w14:textId="5EED7C94" w:rsidR="005F7FFC" w:rsidRPr="00642417" w:rsidRDefault="00DA406B" w:rsidP="005F7F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B49C" wp14:editId="7C54BE47">
                <wp:simplePos x="0" y="0"/>
                <wp:positionH relativeFrom="column">
                  <wp:posOffset>4486275</wp:posOffset>
                </wp:positionH>
                <wp:positionV relativeFrom="paragraph">
                  <wp:posOffset>137795</wp:posOffset>
                </wp:positionV>
                <wp:extent cx="1666875" cy="542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9D3E" w14:textId="4F8BD161" w:rsidR="00DA406B" w:rsidRDefault="00DA406B" w:rsidP="00DA406B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RR/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App_COG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03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/2021</w:t>
                            </w:r>
                          </w:p>
                          <w:p w14:paraId="3CC21AEE" w14:textId="23894CC4" w:rsidR="00DA406B" w:rsidRPr="00FA3993" w:rsidRDefault="00DA406B" w:rsidP="00DA406B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(Agenda item: 1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7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B49C" id="Rectangle 5" o:spid="_x0000_s1026" style="position:absolute;left:0;text-align:left;margin-left:353.25pt;margin-top:10.85pt;width:13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PKGgIAADcEAAAOAAAAZHJzL2Uyb0RvYy54bWysU9uO0zAQfUfiHyy/07QVLd1o09WqSxHS&#10;AisWPmDqOImFb4zdJuXrGTttWS7iAeEHa8aeOT5zZnx9MxjNDhKDcrbis8mUM2mFq5VtK/750/bF&#10;irMQwdagnZUVP8rAb9bPn133vpRz1zldS2QEYkPZ+4p3MfqyKILopIEwcV5aumwcGojkYlvUCD2h&#10;G13Mp9Nl0TusPTohQ6DTu/GSrzN+00gRPzRNkJHpihO3mHfM+y7txfoayhbBd0qcaMA/sDCgLD16&#10;gbqDCGyP6jcoowS64Jo4Ec4UrmmUkLkGqmY2/aWaxw68zLWQOMFfZAr/D1a8PzwgU3XFF5xZMNSi&#10;jyQa2FZLtkjy9D6UFPXoHzAVGPy9E18Cs27TUZS8RXR9J6EmUrMUX/yUkJxAqWzXv3M1ocM+uqzU&#10;0KBJgKQBG3JDjpeGyCEyQYez5XK5ekXMBN0tXs6v5plSAeU522OIb6QzLBkVR+Ke0eFwH2JiA+U5&#10;JLN3WtVbpXV2sN1tNLID0HBs88oFUJFPw7RlfcWvFvT23yGmef0JwqhIU66VqfjqEgRlku21rfMM&#10;RlB6tImyticdk3RjC+KwG07d2Ln6SIqiG6eZfh8ZncNvnPU0yRUPX/eAkjP91lJX0tifDTwbu7MB&#10;VlBqxSNno7mJ4/fYe1RtR8izXLZ1t9S5RmVRU1dHFieeNJ1Z69NPSuP/1M9RP/77+jsAAAD//wMA&#10;UEsDBBQABgAIAAAAIQBdSnQO4QAAAAoBAAAPAAAAZHJzL2Rvd25yZXYueG1sTI9BS8NAEIXvgv9h&#10;GcGb3W2wiY3ZFBF6USw1FvG4TaZJNDsbsts09dc7nvQ4zMd738tWk+3EiINvHWmYzxQIpNJVLdUa&#10;dm/rmzsQPhiqTOcINZzRwyq/vMhMWrkTveJYhFpwCPnUaGhC6FMpfdmgNX7meiT+HdxgTeBzqGU1&#10;mBOH205GSsXSmpa4oTE9PjZYfhVHy723/edu87RZv5y/30e/ff4oFgen9fXV9HAPIuAU/mD41Wd1&#10;yNlp745UedFpSFS8YFRDNE9AMLCMlzxuz6RKIpB5Jv9PyH8AAAD//wMAUEsBAi0AFAAGAAgAAAAh&#10;ALaDOJL+AAAA4QEAABMAAAAAAAAAAAAAAAAAAAAAAFtDb250ZW50X1R5cGVzXS54bWxQSwECLQAU&#10;AAYACAAAACEAOP0h/9YAAACUAQAACwAAAAAAAAAAAAAAAAAvAQAAX3JlbHMvLnJlbHNQSwECLQAU&#10;AAYACAAAACEAcJuDyhoCAAA3BAAADgAAAAAAAAAAAAAAAAAuAgAAZHJzL2Uyb0RvYy54bWxQSwEC&#10;LQAUAAYACAAAACEAXUp0DuEAAAAKAQAADwAAAAAAAAAAAAAAAAB0BAAAZHJzL2Rvd25yZXYueG1s&#10;UEsFBgAAAAAEAAQA8wAAAIIFAAAAAA==&#10;">
                <v:textbox inset="0,0,0,0">
                  <w:txbxContent>
                    <w:p w14:paraId="26699D3E" w14:textId="4F8BD161" w:rsidR="00DA406B" w:rsidRDefault="00DA406B" w:rsidP="00DA406B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RR/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</w:rPr>
                        <w:t>App_COG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03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/2021</w:t>
                      </w:r>
                    </w:p>
                    <w:p w14:paraId="3CC21AEE" w14:textId="23894CC4" w:rsidR="00DA406B" w:rsidRPr="00FA3993" w:rsidRDefault="00DA406B" w:rsidP="00DA406B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(Agenda item: 1</w:t>
                      </w:r>
                      <w:r>
                        <w:rPr>
                          <w:rFonts w:ascii="Segoe UI" w:hAnsi="Segoe UI" w:cs="Segoe UI"/>
                        </w:rPr>
                        <w:t>7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1415">
        <w:rPr>
          <w:rFonts w:ascii="Arial" w:hAnsi="Arial" w:cs="Arial"/>
          <w:b/>
          <w:sz w:val="24"/>
          <w:szCs w:val="24"/>
        </w:rPr>
        <w:t xml:space="preserve">Quarterly </w:t>
      </w:r>
      <w:r w:rsidR="005F7FFC" w:rsidRPr="00642417">
        <w:rPr>
          <w:rFonts w:ascii="Arial" w:hAnsi="Arial" w:cs="Arial"/>
          <w:b/>
          <w:sz w:val="24"/>
          <w:szCs w:val="24"/>
        </w:rPr>
        <w:t xml:space="preserve">Performance Report </w:t>
      </w:r>
    </w:p>
    <w:p w14:paraId="7E7D02E8" w14:textId="4DB7E953" w:rsidR="005F7FFC" w:rsidRDefault="00D81415" w:rsidP="005F7F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Quarter 3 2020/21</w:t>
      </w:r>
    </w:p>
    <w:p w14:paraId="1CE5672F" w14:textId="177D0820" w:rsidR="005F7FFC" w:rsidRPr="00642417" w:rsidRDefault="005F7FFC" w:rsidP="005F7F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B434F1" w14:textId="77777777" w:rsidR="005F7FFC" w:rsidRPr="00642417" w:rsidRDefault="005F7FFC" w:rsidP="005F7F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2417">
        <w:rPr>
          <w:rFonts w:ascii="Arial" w:hAnsi="Arial" w:cs="Arial"/>
          <w:b/>
          <w:sz w:val="24"/>
          <w:szCs w:val="24"/>
          <w:u w:val="single"/>
        </w:rPr>
        <w:t>FOR: INFORMATION</w:t>
      </w:r>
    </w:p>
    <w:p w14:paraId="475FC43D" w14:textId="77777777" w:rsidR="005F7FFC" w:rsidRPr="00642417" w:rsidRDefault="005F7FFC" w:rsidP="005F7F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AED22D" w14:textId="235A69CC" w:rsidR="005F7FFC" w:rsidRPr="00435AC9" w:rsidRDefault="005F7FFC" w:rsidP="005F7F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t>Introduction</w:t>
      </w:r>
    </w:p>
    <w:p w14:paraId="5E997812" w14:textId="77777777" w:rsidR="00F21276" w:rsidRPr="00435AC9" w:rsidRDefault="00F21276" w:rsidP="005F7F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FE5386" w14:textId="43CF01D5" w:rsidR="00EA360E" w:rsidRPr="00435AC9" w:rsidRDefault="005F7FFC" w:rsidP="005F7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AC9">
        <w:rPr>
          <w:rFonts w:ascii="Arial" w:hAnsi="Arial" w:cs="Arial"/>
          <w:sz w:val="24"/>
          <w:szCs w:val="24"/>
        </w:rPr>
        <w:t xml:space="preserve">This report summarises the Trust’s performance for </w:t>
      </w:r>
      <w:r w:rsidR="00BE363B">
        <w:rPr>
          <w:rFonts w:ascii="Arial" w:hAnsi="Arial" w:cs="Arial"/>
          <w:sz w:val="24"/>
          <w:szCs w:val="24"/>
        </w:rPr>
        <w:t>Quarter 3</w:t>
      </w:r>
      <w:r w:rsidRPr="00435AC9">
        <w:rPr>
          <w:rFonts w:ascii="Arial" w:hAnsi="Arial" w:cs="Arial"/>
          <w:sz w:val="24"/>
          <w:szCs w:val="24"/>
        </w:rPr>
        <w:t xml:space="preserve"> 2020</w:t>
      </w:r>
      <w:r w:rsidR="00BE363B">
        <w:rPr>
          <w:rFonts w:ascii="Arial" w:hAnsi="Arial" w:cs="Arial"/>
          <w:sz w:val="24"/>
          <w:szCs w:val="24"/>
        </w:rPr>
        <w:t>/21</w:t>
      </w:r>
      <w:r w:rsidR="00EA360E" w:rsidRPr="00435AC9">
        <w:rPr>
          <w:rFonts w:ascii="Arial" w:hAnsi="Arial" w:cs="Arial"/>
          <w:sz w:val="24"/>
          <w:szCs w:val="24"/>
        </w:rPr>
        <w:t xml:space="preserve"> for the following areas:</w:t>
      </w:r>
      <w:r w:rsidRPr="00435AC9">
        <w:rPr>
          <w:rFonts w:ascii="Arial" w:hAnsi="Arial" w:cs="Arial"/>
          <w:sz w:val="24"/>
          <w:szCs w:val="24"/>
        </w:rPr>
        <w:t xml:space="preserve">  </w:t>
      </w:r>
    </w:p>
    <w:p w14:paraId="111C8997" w14:textId="77777777" w:rsidR="00EA360E" w:rsidRPr="00435AC9" w:rsidRDefault="00EA360E" w:rsidP="00EA360E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E30E77D" w14:textId="34D18982" w:rsidR="00EA360E" w:rsidRPr="00435AC9" w:rsidRDefault="00EA360E" w:rsidP="00EA36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t>Section 1:</w:t>
      </w:r>
      <w:r w:rsidRPr="00435AC9">
        <w:rPr>
          <w:rFonts w:ascii="Arial" w:hAnsi="Arial" w:cs="Arial"/>
          <w:b/>
          <w:bCs/>
          <w:sz w:val="24"/>
          <w:szCs w:val="24"/>
        </w:rPr>
        <w:tab/>
        <w:t>C</w:t>
      </w:r>
      <w:r w:rsidR="00CB0EAB" w:rsidRPr="00435AC9">
        <w:rPr>
          <w:rFonts w:ascii="Arial" w:hAnsi="Arial" w:cs="Arial"/>
          <w:b/>
          <w:bCs/>
          <w:sz w:val="24"/>
          <w:szCs w:val="24"/>
        </w:rPr>
        <w:t>OVID</w:t>
      </w:r>
      <w:r w:rsidRPr="00435AC9">
        <w:rPr>
          <w:rFonts w:ascii="Arial" w:hAnsi="Arial" w:cs="Arial"/>
          <w:b/>
          <w:bCs/>
          <w:sz w:val="24"/>
          <w:szCs w:val="24"/>
        </w:rPr>
        <w:t>-19 headlines</w:t>
      </w:r>
    </w:p>
    <w:p w14:paraId="6595023D" w14:textId="77777777" w:rsidR="00CB0EAB" w:rsidRPr="00435AC9" w:rsidRDefault="00CB0EAB" w:rsidP="00EA36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DB06E" w14:textId="25AA1F24" w:rsidR="00EA360E" w:rsidRPr="00435AC9" w:rsidRDefault="00EA360E" w:rsidP="00EA36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t>Section 2:</w:t>
      </w:r>
      <w:r w:rsidRPr="00435AC9">
        <w:rPr>
          <w:rFonts w:ascii="Arial" w:hAnsi="Arial" w:cs="Arial"/>
          <w:b/>
          <w:bCs/>
          <w:sz w:val="24"/>
          <w:szCs w:val="24"/>
        </w:rPr>
        <w:tab/>
        <w:t>Compliance against statutory and national indicators</w:t>
      </w:r>
    </w:p>
    <w:p w14:paraId="34D635EB" w14:textId="1D7A786B" w:rsidR="00EA360E" w:rsidRPr="00435AC9" w:rsidRDefault="00DC6E0B" w:rsidP="00CB0EAB">
      <w:pPr>
        <w:pStyle w:val="ListParagraph"/>
        <w:numPr>
          <w:ilvl w:val="0"/>
          <w:numId w:val="14"/>
        </w:num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435AC9">
        <w:rPr>
          <w:rFonts w:ascii="Arial" w:hAnsi="Arial" w:cs="Arial"/>
          <w:sz w:val="24"/>
          <w:szCs w:val="24"/>
        </w:rPr>
        <w:t xml:space="preserve">NHS </w:t>
      </w:r>
      <w:r w:rsidR="00EA360E" w:rsidRPr="00435AC9">
        <w:rPr>
          <w:rFonts w:ascii="Arial" w:hAnsi="Arial" w:cs="Arial"/>
          <w:sz w:val="24"/>
          <w:szCs w:val="24"/>
        </w:rPr>
        <w:t>Oversight Framework</w:t>
      </w:r>
      <w:r w:rsidR="00CB0EAB" w:rsidRPr="00435AC9">
        <w:rPr>
          <w:rFonts w:ascii="Arial" w:hAnsi="Arial" w:cs="Arial"/>
          <w:sz w:val="24"/>
          <w:szCs w:val="24"/>
        </w:rPr>
        <w:t xml:space="preserve"> (</w:t>
      </w:r>
      <w:r w:rsidRPr="00435AC9">
        <w:rPr>
          <w:rFonts w:ascii="Arial" w:hAnsi="Arial" w:cs="Arial"/>
          <w:sz w:val="24"/>
          <w:szCs w:val="24"/>
        </w:rPr>
        <w:t>includes Long Term Plan metrics)</w:t>
      </w:r>
    </w:p>
    <w:p w14:paraId="785C07FD" w14:textId="77777777" w:rsidR="00CB0EAB" w:rsidRPr="00435AC9" w:rsidRDefault="00CB0EAB" w:rsidP="00CB0EAB">
      <w:pPr>
        <w:pStyle w:val="ListParagraph"/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14:paraId="3077BF77" w14:textId="3EAB6917" w:rsidR="00EA360E" w:rsidRPr="00435AC9" w:rsidRDefault="00EA360E" w:rsidP="00EA36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t>Section 3:</w:t>
      </w:r>
      <w:r w:rsidRPr="00435AC9">
        <w:rPr>
          <w:rFonts w:ascii="Arial" w:hAnsi="Arial" w:cs="Arial"/>
          <w:b/>
          <w:bCs/>
          <w:sz w:val="24"/>
          <w:szCs w:val="24"/>
        </w:rPr>
        <w:tab/>
        <w:t xml:space="preserve">Operational patient activity and demand </w:t>
      </w:r>
    </w:p>
    <w:p w14:paraId="3B44E7E8" w14:textId="6B9FFB18" w:rsidR="00BD419E" w:rsidRPr="00BD419E" w:rsidRDefault="00EA360E" w:rsidP="00BD419E">
      <w:pPr>
        <w:pStyle w:val="ListParagraph"/>
        <w:numPr>
          <w:ilvl w:val="2"/>
          <w:numId w:val="18"/>
        </w:num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435AC9">
        <w:rPr>
          <w:rFonts w:ascii="Arial" w:hAnsi="Arial" w:cs="Arial"/>
          <w:sz w:val="24"/>
          <w:szCs w:val="24"/>
        </w:rPr>
        <w:t>Trust</w:t>
      </w:r>
      <w:r w:rsidR="00CB0EAB" w:rsidRPr="00435AC9">
        <w:rPr>
          <w:rFonts w:ascii="Arial" w:hAnsi="Arial" w:cs="Arial"/>
          <w:sz w:val="24"/>
          <w:szCs w:val="24"/>
        </w:rPr>
        <w:t>-</w:t>
      </w:r>
      <w:r w:rsidRPr="00435AC9">
        <w:rPr>
          <w:rFonts w:ascii="Arial" w:hAnsi="Arial" w:cs="Arial"/>
          <w:sz w:val="24"/>
          <w:szCs w:val="24"/>
        </w:rPr>
        <w:t>wide headlines</w:t>
      </w:r>
      <w:r w:rsidR="00BD419E">
        <w:rPr>
          <w:rFonts w:ascii="Arial" w:hAnsi="Arial" w:cs="Arial"/>
          <w:sz w:val="24"/>
          <w:szCs w:val="24"/>
        </w:rPr>
        <w:t xml:space="preserve"> and </w:t>
      </w:r>
      <w:r w:rsidR="00BB1972">
        <w:rPr>
          <w:rFonts w:ascii="Arial" w:hAnsi="Arial" w:cs="Arial"/>
          <w:sz w:val="24"/>
          <w:szCs w:val="24"/>
        </w:rPr>
        <w:t xml:space="preserve">noteworthy </w:t>
      </w:r>
      <w:r w:rsidR="00BD419E">
        <w:rPr>
          <w:rFonts w:ascii="Arial" w:hAnsi="Arial" w:cs="Arial"/>
          <w:sz w:val="24"/>
          <w:szCs w:val="24"/>
        </w:rPr>
        <w:t>exceptions</w:t>
      </w:r>
    </w:p>
    <w:p w14:paraId="43409277" w14:textId="12D190F0" w:rsidR="00EA360E" w:rsidRPr="00435AC9" w:rsidRDefault="00EA360E" w:rsidP="00CB0EAB">
      <w:pPr>
        <w:pStyle w:val="ListParagraph"/>
        <w:numPr>
          <w:ilvl w:val="2"/>
          <w:numId w:val="18"/>
        </w:num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435AC9">
        <w:rPr>
          <w:rFonts w:ascii="Arial" w:hAnsi="Arial" w:cs="Arial"/>
          <w:sz w:val="24"/>
          <w:szCs w:val="24"/>
        </w:rPr>
        <w:t>Directorate headlines</w:t>
      </w:r>
    </w:p>
    <w:p w14:paraId="0CB1FEDD" w14:textId="77777777" w:rsidR="00CB0EAB" w:rsidRPr="00435AC9" w:rsidRDefault="00CB0EAB" w:rsidP="00CB0EAB">
      <w:pPr>
        <w:pStyle w:val="ListParagraph"/>
        <w:spacing w:after="0" w:line="240" w:lineRule="auto"/>
        <w:ind w:left="1843"/>
        <w:rPr>
          <w:rFonts w:ascii="Arial" w:hAnsi="Arial" w:cs="Arial"/>
          <w:sz w:val="24"/>
          <w:szCs w:val="24"/>
        </w:rPr>
      </w:pPr>
    </w:p>
    <w:p w14:paraId="54466BD5" w14:textId="3EE5AC97" w:rsidR="00EA360E" w:rsidRPr="00AD001A" w:rsidRDefault="00EA360E" w:rsidP="0E88C2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E88C2C5">
        <w:rPr>
          <w:rFonts w:ascii="Arial" w:hAnsi="Arial" w:cs="Arial"/>
          <w:sz w:val="24"/>
          <w:szCs w:val="24"/>
        </w:rPr>
        <w:t xml:space="preserve"> </w:t>
      </w:r>
    </w:p>
    <w:p w14:paraId="597FE1BC" w14:textId="1A5961C5" w:rsidR="009E3895" w:rsidRPr="00AD001A" w:rsidRDefault="00BB162B" w:rsidP="003B4BC4">
      <w:pPr>
        <w:jc w:val="both"/>
        <w:rPr>
          <w:rFonts w:ascii="Arial" w:hAnsi="Arial" w:cs="Arial"/>
        </w:rPr>
      </w:pPr>
      <w:r w:rsidRPr="00AD001A">
        <w:rPr>
          <w:rFonts w:ascii="Arial" w:hAnsi="Arial" w:cs="Arial"/>
          <w:sz w:val="24"/>
          <w:szCs w:val="24"/>
        </w:rPr>
        <w:t xml:space="preserve">As with the first wave of Covid the Trust has agreed to suspend </w:t>
      </w:r>
      <w:r w:rsidR="0061649D">
        <w:rPr>
          <w:rFonts w:ascii="Arial" w:hAnsi="Arial" w:cs="Arial"/>
          <w:sz w:val="24"/>
          <w:szCs w:val="24"/>
        </w:rPr>
        <w:t>all non-essential reporting</w:t>
      </w:r>
      <w:r w:rsidRPr="00AD001A">
        <w:rPr>
          <w:rFonts w:ascii="Arial" w:hAnsi="Arial" w:cs="Arial"/>
          <w:sz w:val="24"/>
          <w:szCs w:val="24"/>
        </w:rPr>
        <w:t xml:space="preserve"> activities to </w:t>
      </w:r>
      <w:r w:rsidR="0061649D">
        <w:rPr>
          <w:rFonts w:ascii="Arial" w:hAnsi="Arial" w:cs="Arial"/>
          <w:sz w:val="24"/>
          <w:szCs w:val="24"/>
        </w:rPr>
        <w:t>reduce the pressure on operational teams</w:t>
      </w:r>
      <w:r w:rsidRPr="00AD001A">
        <w:rPr>
          <w:rFonts w:ascii="Arial" w:hAnsi="Arial" w:cs="Arial"/>
          <w:sz w:val="24"/>
          <w:szCs w:val="24"/>
        </w:rPr>
        <w:t>.</w:t>
      </w:r>
      <w:r w:rsidR="005D094A">
        <w:rPr>
          <w:rFonts w:ascii="Arial" w:hAnsi="Arial" w:cs="Arial"/>
          <w:sz w:val="24"/>
          <w:szCs w:val="24"/>
        </w:rPr>
        <w:t xml:space="preserve">  </w:t>
      </w:r>
      <w:r w:rsidR="009E3895" w:rsidRPr="003B4BC4">
        <w:rPr>
          <w:rStyle w:val="normaltextrun"/>
          <w:rFonts w:ascii="Arial" w:hAnsi="Arial" w:cs="Arial"/>
          <w:sz w:val="24"/>
          <w:szCs w:val="24"/>
        </w:rPr>
        <w:t>All routine reporting has been suspended, unless Nationally mandated or identified as still being essential for operational purposes</w:t>
      </w:r>
      <w:r w:rsidR="009E3895" w:rsidRPr="00AD001A">
        <w:rPr>
          <w:rStyle w:val="normaltextrun"/>
          <w:rFonts w:ascii="Arial" w:hAnsi="Arial" w:cs="Arial"/>
        </w:rPr>
        <w:t xml:space="preserve">.  </w:t>
      </w:r>
      <w:r w:rsidR="005D428B" w:rsidRPr="00AD001A">
        <w:rPr>
          <w:rStyle w:val="normaltextrun"/>
          <w:rFonts w:ascii="Arial" w:hAnsi="Arial" w:cs="Arial"/>
        </w:rPr>
        <w:t xml:space="preserve"> </w:t>
      </w:r>
    </w:p>
    <w:p w14:paraId="1A03D7F8" w14:textId="77777777" w:rsidR="009E3895" w:rsidRPr="00AD001A" w:rsidRDefault="009E3895" w:rsidP="009E38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01A">
        <w:rPr>
          <w:rStyle w:val="eop"/>
          <w:rFonts w:ascii="Arial" w:hAnsi="Arial" w:cs="Arial"/>
        </w:rPr>
        <w:t> </w:t>
      </w:r>
    </w:p>
    <w:p w14:paraId="537D825C" w14:textId="74DC73E0" w:rsidR="009E3895" w:rsidRPr="00AD001A" w:rsidRDefault="009E3895" w:rsidP="009E389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D001A">
        <w:rPr>
          <w:rStyle w:val="normaltextrun"/>
          <w:rFonts w:ascii="Arial" w:hAnsi="Arial" w:cs="Arial"/>
        </w:rPr>
        <w:t>In order to provide assurance</w:t>
      </w:r>
      <w:r w:rsidR="007E6E3F">
        <w:rPr>
          <w:rStyle w:val="normaltextrun"/>
          <w:rFonts w:ascii="Arial" w:hAnsi="Arial" w:cs="Arial"/>
        </w:rPr>
        <w:t xml:space="preserve"> during the COVID-19 incident</w:t>
      </w:r>
      <w:r w:rsidRPr="00AD001A">
        <w:rPr>
          <w:rStyle w:val="normaltextrun"/>
          <w:rFonts w:ascii="Arial" w:hAnsi="Arial" w:cs="Arial"/>
        </w:rPr>
        <w:t>, </w:t>
      </w:r>
      <w:r w:rsidR="005D428B" w:rsidRPr="00AD001A">
        <w:rPr>
          <w:rStyle w:val="normaltextrun"/>
          <w:rFonts w:ascii="Arial" w:hAnsi="Arial" w:cs="Arial"/>
        </w:rPr>
        <w:t xml:space="preserve">the </w:t>
      </w:r>
      <w:r w:rsidRPr="00AD001A">
        <w:rPr>
          <w:rStyle w:val="normaltextrun"/>
          <w:rFonts w:ascii="Arial" w:hAnsi="Arial" w:cs="Arial"/>
        </w:rPr>
        <w:t>Patient Activity and Demand (PAD)</w:t>
      </w:r>
      <w:r w:rsidR="007E6E3F">
        <w:rPr>
          <w:rStyle w:val="normaltextrun"/>
          <w:rFonts w:ascii="Arial" w:hAnsi="Arial" w:cs="Arial"/>
        </w:rPr>
        <w:t xml:space="preserve"> application on TOBI</w:t>
      </w:r>
      <w:r w:rsidRPr="00AD001A">
        <w:rPr>
          <w:rStyle w:val="normaltextrun"/>
          <w:rFonts w:ascii="Arial" w:hAnsi="Arial" w:cs="Arial"/>
        </w:rPr>
        <w:t> </w:t>
      </w:r>
      <w:r w:rsidR="006E1771" w:rsidRPr="00AD001A">
        <w:rPr>
          <w:rStyle w:val="normaltextrun"/>
          <w:rFonts w:ascii="Arial" w:hAnsi="Arial" w:cs="Arial"/>
        </w:rPr>
        <w:t xml:space="preserve">continues to be available to provide </w:t>
      </w:r>
      <w:r w:rsidRPr="00AD001A">
        <w:rPr>
          <w:rStyle w:val="normaltextrun"/>
          <w:rFonts w:ascii="Arial" w:hAnsi="Arial" w:cs="Arial"/>
        </w:rPr>
        <w:t>24/7 access </w:t>
      </w:r>
      <w:r w:rsidR="00661AF8">
        <w:rPr>
          <w:rStyle w:val="normaltextrun"/>
          <w:rFonts w:ascii="Arial" w:hAnsi="Arial" w:cs="Arial"/>
        </w:rPr>
        <w:t xml:space="preserve">to operational </w:t>
      </w:r>
      <w:r w:rsidRPr="00AD001A">
        <w:rPr>
          <w:rStyle w:val="normaltextrun"/>
          <w:rFonts w:ascii="Arial" w:hAnsi="Arial" w:cs="Arial"/>
        </w:rPr>
        <w:t>intelligence</w:t>
      </w:r>
      <w:r w:rsidR="00661AF8">
        <w:rPr>
          <w:rStyle w:val="normaltextrun"/>
          <w:rFonts w:ascii="Arial" w:hAnsi="Arial" w:cs="Arial"/>
        </w:rPr>
        <w:t>.</w:t>
      </w:r>
      <w:r w:rsidRPr="00AD001A">
        <w:rPr>
          <w:rStyle w:val="eop"/>
          <w:rFonts w:ascii="Arial" w:hAnsi="Arial" w:cs="Arial"/>
        </w:rPr>
        <w:t> </w:t>
      </w:r>
      <w:r w:rsidRPr="00AD001A">
        <w:rPr>
          <w:rStyle w:val="normaltextrun"/>
          <w:rFonts w:ascii="Arial" w:hAnsi="Arial" w:cs="Arial"/>
        </w:rPr>
        <w:t>In addition, </w:t>
      </w:r>
      <w:r w:rsidR="006E1771" w:rsidRPr="00AD001A">
        <w:rPr>
          <w:rStyle w:val="normaltextrun"/>
          <w:rFonts w:ascii="Arial" w:hAnsi="Arial" w:cs="Arial"/>
        </w:rPr>
        <w:t xml:space="preserve">the </w:t>
      </w:r>
      <w:r w:rsidRPr="00AD001A">
        <w:rPr>
          <w:rStyle w:val="normaltextrun"/>
          <w:rFonts w:ascii="Arial" w:hAnsi="Arial" w:cs="Arial"/>
        </w:rPr>
        <w:t xml:space="preserve">COVID-19 app </w:t>
      </w:r>
      <w:r w:rsidR="006E1771" w:rsidRPr="00AD001A">
        <w:rPr>
          <w:rStyle w:val="normaltextrun"/>
          <w:rFonts w:ascii="Arial" w:hAnsi="Arial" w:cs="Arial"/>
        </w:rPr>
        <w:t>enables services and the executive team to</w:t>
      </w:r>
      <w:r w:rsidRPr="00AD001A">
        <w:rPr>
          <w:rStyle w:val="normaltextrun"/>
          <w:rFonts w:ascii="Arial" w:hAnsi="Arial" w:cs="Arial"/>
        </w:rPr>
        <w:t xml:space="preserve"> </w:t>
      </w:r>
      <w:r w:rsidR="00B72B8A">
        <w:rPr>
          <w:rStyle w:val="normaltextrun"/>
          <w:rFonts w:ascii="Arial" w:hAnsi="Arial" w:cs="Arial"/>
        </w:rPr>
        <w:t>manage effectively, the ongoing response to COVID</w:t>
      </w:r>
      <w:r w:rsidRPr="00AD001A">
        <w:rPr>
          <w:rStyle w:val="normaltextrun"/>
          <w:rFonts w:ascii="Arial" w:hAnsi="Arial" w:cs="Arial"/>
        </w:rPr>
        <w:t>.</w:t>
      </w:r>
      <w:r w:rsidRPr="00AD001A">
        <w:rPr>
          <w:rStyle w:val="eop"/>
          <w:rFonts w:ascii="Arial" w:hAnsi="Arial" w:cs="Arial"/>
        </w:rPr>
        <w:t> </w:t>
      </w:r>
    </w:p>
    <w:p w14:paraId="10FEEF06" w14:textId="77777777" w:rsidR="009E3895" w:rsidRPr="00AD001A" w:rsidRDefault="009E3895" w:rsidP="009E38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028EFB" w14:textId="4285D7A2" w:rsidR="00EA360E" w:rsidRPr="00B004E6" w:rsidRDefault="00EA360E">
      <w:pPr>
        <w:rPr>
          <w:rFonts w:ascii="Segoe UI" w:hAnsi="Segoe UI" w:cs="Segoe UI"/>
        </w:rPr>
      </w:pPr>
      <w:r w:rsidRPr="00B004E6">
        <w:rPr>
          <w:rFonts w:ascii="Segoe UI" w:hAnsi="Segoe UI" w:cs="Segoe UI"/>
        </w:rPr>
        <w:br w:type="page"/>
      </w:r>
    </w:p>
    <w:p w14:paraId="5F2B9F00" w14:textId="59521F56" w:rsidR="00EA360E" w:rsidRPr="00435AC9" w:rsidRDefault="00B004E6" w:rsidP="00CB0EA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lastRenderedPageBreak/>
        <w:t>SECTION</w:t>
      </w:r>
      <w:r w:rsidR="00EA360E" w:rsidRPr="00435AC9">
        <w:rPr>
          <w:rFonts w:ascii="Arial" w:hAnsi="Arial" w:cs="Arial"/>
          <w:b/>
          <w:bCs/>
          <w:sz w:val="24"/>
          <w:szCs w:val="24"/>
        </w:rPr>
        <w:t xml:space="preserve"> 1</w:t>
      </w:r>
      <w:r w:rsidR="00E82291" w:rsidRPr="00435AC9">
        <w:rPr>
          <w:rFonts w:ascii="Arial" w:hAnsi="Arial" w:cs="Arial"/>
          <w:b/>
          <w:bCs/>
          <w:sz w:val="24"/>
          <w:szCs w:val="24"/>
        </w:rPr>
        <w:t>:</w:t>
      </w:r>
      <w:r w:rsidR="00EA360E" w:rsidRPr="00435AC9">
        <w:rPr>
          <w:rFonts w:ascii="Arial" w:hAnsi="Arial" w:cs="Arial"/>
          <w:b/>
          <w:bCs/>
          <w:sz w:val="24"/>
          <w:szCs w:val="24"/>
        </w:rPr>
        <w:t xml:space="preserve"> COVID-19 HEADLINES</w:t>
      </w:r>
    </w:p>
    <w:p w14:paraId="68121A5C" w14:textId="77777777" w:rsidR="00EA360E" w:rsidRPr="00435AC9" w:rsidRDefault="00EA360E" w:rsidP="00CB0EA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B9DAFC" w14:textId="152B8165" w:rsidR="00E40902" w:rsidRDefault="00B52B1D" w:rsidP="67EC9EB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AD001A">
        <w:rPr>
          <w:rFonts w:ascii="Arial" w:hAnsi="Arial" w:cs="Arial"/>
          <w:noProof/>
          <w:sz w:val="24"/>
          <w:szCs w:val="24"/>
        </w:rPr>
        <w:t xml:space="preserve">There was an increase in the number of COVID19 positive patients in mid November and then again in </w:t>
      </w:r>
      <w:r w:rsidR="00533E1A" w:rsidRPr="00AD001A">
        <w:rPr>
          <w:rFonts w:ascii="Arial" w:hAnsi="Arial" w:cs="Arial"/>
          <w:noProof/>
          <w:sz w:val="24"/>
          <w:szCs w:val="24"/>
        </w:rPr>
        <w:t xml:space="preserve">mid December as shown </w:t>
      </w:r>
      <w:r w:rsidR="00450AFB">
        <w:rPr>
          <w:rFonts w:ascii="Arial" w:hAnsi="Arial" w:cs="Arial"/>
          <w:noProof/>
          <w:sz w:val="24"/>
          <w:szCs w:val="24"/>
        </w:rPr>
        <w:t xml:space="preserve">in the diagram </w:t>
      </w:r>
      <w:r w:rsidR="00533E1A" w:rsidRPr="00AD001A">
        <w:rPr>
          <w:rFonts w:ascii="Arial" w:hAnsi="Arial" w:cs="Arial"/>
          <w:noProof/>
          <w:sz w:val="24"/>
          <w:szCs w:val="24"/>
        </w:rPr>
        <w:t>below</w:t>
      </w:r>
      <w:r w:rsidR="00450AFB">
        <w:rPr>
          <w:rFonts w:ascii="Arial" w:hAnsi="Arial" w:cs="Arial"/>
          <w:noProof/>
          <w:sz w:val="24"/>
          <w:szCs w:val="24"/>
        </w:rPr>
        <w:t xml:space="preserve">.  </w:t>
      </w:r>
      <w:r w:rsidR="00F65E4C">
        <w:rPr>
          <w:rFonts w:ascii="Arial" w:hAnsi="Arial" w:cs="Arial"/>
          <w:noProof/>
          <w:sz w:val="24"/>
          <w:szCs w:val="24"/>
        </w:rPr>
        <w:t xml:space="preserve">The Trust has so far responded to three waves of COVID, with the latest infection rates </w:t>
      </w:r>
      <w:r w:rsidR="006746C4">
        <w:rPr>
          <w:rFonts w:ascii="Arial" w:hAnsi="Arial" w:cs="Arial"/>
          <w:noProof/>
          <w:sz w:val="24"/>
          <w:szCs w:val="24"/>
        </w:rPr>
        <w:t xml:space="preserve">higher than was originally seen in the first wave.  </w:t>
      </w:r>
    </w:p>
    <w:p w14:paraId="1016DBE2" w14:textId="57FE15C9" w:rsidR="00450AFB" w:rsidRDefault="00450AFB" w:rsidP="67EC9EB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996B20F" w14:textId="77777777" w:rsidR="00450AFB" w:rsidRPr="00AD001A" w:rsidRDefault="00450AFB" w:rsidP="67EC9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4944B" w14:textId="05CF1687" w:rsidR="00900129" w:rsidRDefault="00900129" w:rsidP="67EC9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9FDC8E" wp14:editId="237A4538">
            <wp:extent cx="6118858" cy="23266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58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A276" w14:textId="77777777" w:rsidR="00900129" w:rsidRDefault="00900129" w:rsidP="67EC9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932F8" w14:textId="1F9722CB" w:rsidR="005F7FFC" w:rsidRPr="007B6019" w:rsidRDefault="00DC6E0B" w:rsidP="67EC9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7EC9EB3">
        <w:rPr>
          <w:rFonts w:ascii="Arial" w:hAnsi="Arial" w:cs="Arial"/>
          <w:sz w:val="24"/>
          <w:szCs w:val="24"/>
        </w:rPr>
        <w:t xml:space="preserve">At </w:t>
      </w:r>
      <w:r w:rsidR="00BD419E" w:rsidRPr="67EC9EB3">
        <w:rPr>
          <w:rFonts w:ascii="Arial" w:hAnsi="Arial" w:cs="Arial"/>
          <w:sz w:val="24"/>
          <w:szCs w:val="24"/>
        </w:rPr>
        <w:t xml:space="preserve">the end of </w:t>
      </w:r>
      <w:r w:rsidR="5E58EF82" w:rsidRPr="67EC9EB3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5F7FFC" w:rsidRPr="67EC9EB3">
        <w:rPr>
          <w:rFonts w:ascii="Arial" w:hAnsi="Arial" w:cs="Arial"/>
          <w:sz w:val="24"/>
          <w:szCs w:val="24"/>
        </w:rPr>
        <w:t xml:space="preserve">there </w:t>
      </w:r>
      <w:r w:rsidR="7B47FE5B" w:rsidRPr="67EC9EB3">
        <w:rPr>
          <w:rFonts w:ascii="Arial" w:hAnsi="Arial" w:cs="Arial"/>
          <w:sz w:val="24"/>
          <w:szCs w:val="24"/>
        </w:rPr>
        <w:t>were</w:t>
      </w:r>
      <w:r w:rsidR="005F7FFC" w:rsidRPr="67EC9EB3">
        <w:rPr>
          <w:rFonts w:ascii="Arial" w:hAnsi="Arial" w:cs="Arial"/>
          <w:sz w:val="24"/>
          <w:szCs w:val="24"/>
        </w:rPr>
        <w:t xml:space="preserve"> </w:t>
      </w:r>
      <w:r w:rsidR="4461A290" w:rsidRPr="67EC9EB3">
        <w:rPr>
          <w:rFonts w:ascii="Arial" w:hAnsi="Arial" w:cs="Arial"/>
          <w:b/>
          <w:bCs/>
          <w:sz w:val="24"/>
          <w:szCs w:val="24"/>
        </w:rPr>
        <w:t>48</w:t>
      </w:r>
      <w:r w:rsidR="005F7FFC" w:rsidRPr="67EC9EB3">
        <w:rPr>
          <w:rFonts w:ascii="Arial" w:hAnsi="Arial" w:cs="Arial"/>
          <w:b/>
          <w:bCs/>
          <w:sz w:val="24"/>
          <w:szCs w:val="24"/>
        </w:rPr>
        <w:t xml:space="preserve"> </w:t>
      </w:r>
      <w:r w:rsidR="005F7FFC" w:rsidRPr="67EC9EB3">
        <w:rPr>
          <w:rFonts w:ascii="Arial" w:hAnsi="Arial" w:cs="Arial"/>
          <w:sz w:val="24"/>
          <w:szCs w:val="24"/>
        </w:rPr>
        <w:t>patients reported as COVID19 on the inpatient wards</w:t>
      </w:r>
      <w:r w:rsidR="008460B6" w:rsidRPr="67EC9EB3">
        <w:rPr>
          <w:rFonts w:ascii="Arial" w:hAnsi="Arial" w:cs="Arial"/>
          <w:sz w:val="24"/>
          <w:szCs w:val="24"/>
        </w:rPr>
        <w:t>.</w:t>
      </w:r>
      <w:r w:rsidR="00A05ED0" w:rsidRPr="67EC9EB3">
        <w:rPr>
          <w:rFonts w:ascii="Arial" w:hAnsi="Arial" w:cs="Arial"/>
          <w:sz w:val="24"/>
          <w:szCs w:val="24"/>
        </w:rPr>
        <w:t xml:space="preserve"> </w:t>
      </w:r>
      <w:r w:rsidR="00661336">
        <w:rPr>
          <w:rFonts w:ascii="Arial" w:hAnsi="Arial" w:cs="Arial"/>
          <w:sz w:val="24"/>
          <w:szCs w:val="24"/>
        </w:rPr>
        <w:t xml:space="preserve">On the </w:t>
      </w:r>
      <w:r w:rsidR="0089334D">
        <w:rPr>
          <w:rFonts w:ascii="Arial" w:hAnsi="Arial" w:cs="Arial"/>
          <w:sz w:val="24"/>
          <w:szCs w:val="24"/>
        </w:rPr>
        <w:t>5 March</w:t>
      </w:r>
      <w:r w:rsidR="00F21FD8">
        <w:rPr>
          <w:rFonts w:ascii="Arial" w:hAnsi="Arial" w:cs="Arial"/>
          <w:sz w:val="24"/>
          <w:szCs w:val="24"/>
        </w:rPr>
        <w:t xml:space="preserve"> </w:t>
      </w:r>
      <w:r w:rsidR="31199F80" w:rsidRPr="67EC9EB3">
        <w:rPr>
          <w:rFonts w:ascii="Arial" w:hAnsi="Arial" w:cs="Arial"/>
          <w:sz w:val="24"/>
          <w:szCs w:val="24"/>
        </w:rPr>
        <w:t xml:space="preserve">2021 </w:t>
      </w:r>
      <w:r w:rsidR="0089334D">
        <w:rPr>
          <w:rFonts w:ascii="Arial" w:hAnsi="Arial" w:cs="Arial"/>
          <w:sz w:val="24"/>
          <w:szCs w:val="24"/>
        </w:rPr>
        <w:t xml:space="preserve">(time of report production) </w:t>
      </w:r>
      <w:r w:rsidR="00A05ED0" w:rsidRPr="67EC9EB3">
        <w:rPr>
          <w:rFonts w:ascii="Arial" w:hAnsi="Arial" w:cs="Arial"/>
          <w:sz w:val="24"/>
          <w:szCs w:val="24"/>
        </w:rPr>
        <w:t xml:space="preserve">this </w:t>
      </w:r>
      <w:r w:rsidR="0089334D">
        <w:rPr>
          <w:rFonts w:ascii="Arial" w:hAnsi="Arial" w:cs="Arial"/>
          <w:sz w:val="24"/>
          <w:szCs w:val="24"/>
        </w:rPr>
        <w:t>had decreased</w:t>
      </w:r>
      <w:r w:rsidR="00C221D0">
        <w:rPr>
          <w:rFonts w:ascii="Arial" w:hAnsi="Arial" w:cs="Arial"/>
          <w:sz w:val="24"/>
          <w:szCs w:val="24"/>
        </w:rPr>
        <w:t xml:space="preserve"> to </w:t>
      </w:r>
      <w:r w:rsidR="005D5369">
        <w:rPr>
          <w:rFonts w:ascii="Arial" w:hAnsi="Arial" w:cs="Arial"/>
          <w:b/>
          <w:bCs/>
          <w:sz w:val="24"/>
          <w:szCs w:val="24"/>
        </w:rPr>
        <w:t xml:space="preserve">5 </w:t>
      </w:r>
      <w:r w:rsidR="005D5369" w:rsidRPr="005D5369">
        <w:rPr>
          <w:rFonts w:ascii="Arial" w:hAnsi="Arial" w:cs="Arial"/>
          <w:sz w:val="24"/>
          <w:szCs w:val="24"/>
        </w:rPr>
        <w:t>(1 confirmed by infection and Prevention Control team as still infectious)</w:t>
      </w:r>
    </w:p>
    <w:p w14:paraId="2576D24D" w14:textId="77777777" w:rsidR="00BD3446" w:rsidRPr="007B6019" w:rsidRDefault="00BD3446" w:rsidP="67EC9EB3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1020"/>
        <w:gridCol w:w="5310"/>
        <w:gridCol w:w="1041"/>
        <w:gridCol w:w="1200"/>
        <w:gridCol w:w="1062"/>
      </w:tblGrid>
      <w:tr w:rsidR="00BD3446" w:rsidRPr="007B6019" w14:paraId="4DD10642" w14:textId="29010072" w:rsidTr="67EC9EB3">
        <w:tc>
          <w:tcPr>
            <w:tcW w:w="1020" w:type="dxa"/>
            <w:shd w:val="clear" w:color="auto" w:fill="D9E2F3" w:themeFill="accent1" w:themeFillTint="33"/>
          </w:tcPr>
          <w:p w14:paraId="5090E8C2" w14:textId="77777777" w:rsidR="00BD3446" w:rsidRPr="007B6019" w:rsidRDefault="00BD3446" w:rsidP="67EC9E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14:paraId="09A5DF5E" w14:textId="77777777" w:rsidR="00BD3446" w:rsidRPr="007B6019" w:rsidRDefault="00BD3446" w:rsidP="67EC9E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041" w:type="dxa"/>
            <w:shd w:val="clear" w:color="auto" w:fill="D9E2F3" w:themeFill="accent1" w:themeFillTint="33"/>
          </w:tcPr>
          <w:p w14:paraId="3B76BDB7" w14:textId="5EEE2A09" w:rsidR="00BD3446" w:rsidRPr="007B6019" w:rsidRDefault="00BD3446" w:rsidP="67EC9E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="00BD419E" w:rsidRPr="67EC9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end </w:t>
            </w:r>
            <w:r w:rsidR="6AFE036F"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5558E188" w14:textId="4DCDE41B" w:rsidR="00BD3446" w:rsidRPr="007B6019" w:rsidRDefault="00BD3446" w:rsidP="67EC9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 from end </w:t>
            </w:r>
            <w:r w:rsidR="5189DF39" w:rsidRPr="67EC9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62" w:type="dxa"/>
            <w:shd w:val="clear" w:color="auto" w:fill="D9E2F3" w:themeFill="accent1" w:themeFillTint="33"/>
          </w:tcPr>
          <w:p w14:paraId="5132EA2A" w14:textId="5A9746D8" w:rsidR="00BD419E" w:rsidRPr="007B6019" w:rsidRDefault="00BD419E" w:rsidP="67EC9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at </w:t>
            </w:r>
            <w:r w:rsidR="007B63D9">
              <w:rPr>
                <w:rFonts w:ascii="Arial" w:hAnsi="Arial" w:cs="Arial"/>
                <w:b/>
                <w:bCs/>
                <w:sz w:val="20"/>
                <w:szCs w:val="20"/>
              </w:rPr>
              <w:t>5 March</w:t>
            </w:r>
          </w:p>
        </w:tc>
      </w:tr>
      <w:tr w:rsidR="00045F1F" w:rsidRPr="007B6019" w14:paraId="23D1D349" w14:textId="7E8BF243" w:rsidTr="67EC9EB3">
        <w:tc>
          <w:tcPr>
            <w:tcW w:w="1020" w:type="dxa"/>
            <w:vMerge w:val="restart"/>
          </w:tcPr>
          <w:p w14:paraId="66E9E25F" w14:textId="77777777" w:rsidR="00045F1F" w:rsidRPr="007B6019" w:rsidRDefault="00045F1F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Patients</w:t>
            </w:r>
          </w:p>
        </w:tc>
        <w:tc>
          <w:tcPr>
            <w:tcW w:w="5310" w:type="dxa"/>
          </w:tcPr>
          <w:p w14:paraId="15DEE2C0" w14:textId="278098CD" w:rsidR="00045F1F" w:rsidRPr="007B6019" w:rsidRDefault="00045F1F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 xml:space="preserve">Cumulative number of inpatients confirmed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COVID-19 positive</w:t>
            </w:r>
            <w:r w:rsidRPr="67EC9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14:paraId="22ADA523" w14:textId="09901AF3" w:rsidR="00045F1F" w:rsidRPr="007B6019" w:rsidRDefault="00045F1F" w:rsidP="67EC9E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200" w:type="dxa"/>
            <w:shd w:val="clear" w:color="auto" w:fill="FF0000"/>
          </w:tcPr>
          <w:p w14:paraId="7AA4EAD4" w14:textId="44BA265D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+64</w:t>
            </w:r>
          </w:p>
        </w:tc>
        <w:tc>
          <w:tcPr>
            <w:tcW w:w="1062" w:type="dxa"/>
            <w:shd w:val="clear" w:color="auto" w:fill="FFFFFF" w:themeFill="background1"/>
          </w:tcPr>
          <w:p w14:paraId="5CB172DE" w14:textId="33A5D0B8" w:rsidR="00045F1F" w:rsidRPr="007B6019" w:rsidRDefault="005D5369" w:rsidP="67EC9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5F1F" w:rsidRPr="007B6019" w14:paraId="2551D595" w14:textId="1AB0A7DC" w:rsidTr="67EC9EB3">
        <w:tc>
          <w:tcPr>
            <w:tcW w:w="1020" w:type="dxa"/>
            <w:vMerge/>
          </w:tcPr>
          <w:p w14:paraId="43A34C32" w14:textId="77777777" w:rsidR="00045F1F" w:rsidRPr="007B6019" w:rsidRDefault="00045F1F" w:rsidP="00CB0E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1" w:name="_Hlk38456287"/>
          </w:p>
        </w:tc>
        <w:tc>
          <w:tcPr>
            <w:tcW w:w="5310" w:type="dxa"/>
          </w:tcPr>
          <w:p w14:paraId="53105057" w14:textId="59DDA7F0" w:rsidR="00045F1F" w:rsidRPr="007B6019" w:rsidRDefault="00045F1F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 xml:space="preserve">Cumulative number of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COVID-19 deaths</w:t>
            </w:r>
            <w:r w:rsidRPr="67EC9EB3">
              <w:rPr>
                <w:rFonts w:ascii="Arial" w:hAnsi="Arial" w:cs="Arial"/>
                <w:sz w:val="20"/>
                <w:szCs w:val="20"/>
              </w:rPr>
              <w:t xml:space="preserve"> in our inpatient settings</w:t>
            </w:r>
          </w:p>
        </w:tc>
        <w:tc>
          <w:tcPr>
            <w:tcW w:w="1041" w:type="dxa"/>
          </w:tcPr>
          <w:p w14:paraId="33E6EDD3" w14:textId="77777777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shd w:val="clear" w:color="auto" w:fill="92D050"/>
          </w:tcPr>
          <w:p w14:paraId="3D3E97C9" w14:textId="77777777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No change</w:t>
            </w:r>
          </w:p>
        </w:tc>
        <w:tc>
          <w:tcPr>
            <w:tcW w:w="1062" w:type="dxa"/>
            <w:shd w:val="clear" w:color="auto" w:fill="FFFFFF" w:themeFill="background1"/>
          </w:tcPr>
          <w:p w14:paraId="144DA3ED" w14:textId="25280443" w:rsidR="00045F1F" w:rsidRPr="007B6019" w:rsidRDefault="007F77B7" w:rsidP="67EC9E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52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1"/>
      <w:tr w:rsidR="00045F1F" w:rsidRPr="007B6019" w14:paraId="0E259761" w14:textId="45F70A94" w:rsidTr="67EC9EB3">
        <w:tc>
          <w:tcPr>
            <w:tcW w:w="1020" w:type="dxa"/>
            <w:vMerge/>
          </w:tcPr>
          <w:p w14:paraId="126FFBB0" w14:textId="77777777" w:rsidR="00045F1F" w:rsidRPr="007B6019" w:rsidRDefault="00045F1F" w:rsidP="00CB0E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10" w:type="dxa"/>
          </w:tcPr>
          <w:p w14:paraId="3110C609" w14:textId="6DCDAB74" w:rsidR="00045F1F" w:rsidRPr="007B6019" w:rsidRDefault="00045F1F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 xml:space="preserve">Cumulative number of community patients confirmed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COVID-19 positive</w:t>
            </w:r>
            <w:r w:rsidRPr="67EC9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</w:tcPr>
          <w:p w14:paraId="6B8A0349" w14:textId="703ACA4A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200" w:type="dxa"/>
            <w:shd w:val="clear" w:color="auto" w:fill="FF0000"/>
          </w:tcPr>
          <w:p w14:paraId="28ACF451" w14:textId="7B22D19A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+87</w:t>
            </w:r>
          </w:p>
        </w:tc>
        <w:tc>
          <w:tcPr>
            <w:tcW w:w="1062" w:type="dxa"/>
            <w:shd w:val="clear" w:color="auto" w:fill="FFFFFF" w:themeFill="background1"/>
          </w:tcPr>
          <w:p w14:paraId="3A3094EE" w14:textId="6AF75748" w:rsidR="00045F1F" w:rsidRPr="007B6019" w:rsidRDefault="00E767F6" w:rsidP="67EC9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</w:t>
            </w:r>
          </w:p>
        </w:tc>
      </w:tr>
      <w:tr w:rsidR="00045F1F" w:rsidRPr="007B6019" w14:paraId="3C3CA0FD" w14:textId="23465D29" w:rsidTr="67EC9EB3">
        <w:tc>
          <w:tcPr>
            <w:tcW w:w="1020" w:type="dxa"/>
            <w:vMerge/>
          </w:tcPr>
          <w:p w14:paraId="4AA8A01D" w14:textId="77777777" w:rsidR="00045F1F" w:rsidRPr="007B6019" w:rsidRDefault="00045F1F" w:rsidP="00CB0E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10" w:type="dxa"/>
          </w:tcPr>
          <w:p w14:paraId="7AB09A04" w14:textId="76E09FB5" w:rsidR="00045F1F" w:rsidRPr="007B6019" w:rsidRDefault="00045F1F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vulnerable</w:t>
            </w:r>
            <w:r w:rsidRPr="67EC9EB3">
              <w:rPr>
                <w:rFonts w:ascii="Arial" w:hAnsi="Arial" w:cs="Arial"/>
                <w:sz w:val="20"/>
                <w:szCs w:val="20"/>
              </w:rPr>
              <w:t xml:space="preserve"> community patients (as identified by Trust clinicians)</w:t>
            </w:r>
          </w:p>
        </w:tc>
        <w:tc>
          <w:tcPr>
            <w:tcW w:w="1041" w:type="dxa"/>
          </w:tcPr>
          <w:p w14:paraId="6411946C" w14:textId="713FEDCE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3387</w:t>
            </w:r>
          </w:p>
        </w:tc>
        <w:tc>
          <w:tcPr>
            <w:tcW w:w="1200" w:type="dxa"/>
            <w:shd w:val="clear" w:color="auto" w:fill="92D050"/>
          </w:tcPr>
          <w:p w14:paraId="1177CE93" w14:textId="6498DEFC" w:rsidR="00045F1F" w:rsidRPr="007B6019" w:rsidRDefault="00045F1F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-147</w:t>
            </w:r>
          </w:p>
        </w:tc>
        <w:tc>
          <w:tcPr>
            <w:tcW w:w="1062" w:type="dxa"/>
            <w:shd w:val="clear" w:color="auto" w:fill="FFFFFF" w:themeFill="background1"/>
          </w:tcPr>
          <w:p w14:paraId="1D8C0C2C" w14:textId="4BDEA3EE" w:rsidR="00045F1F" w:rsidRPr="007B6019" w:rsidRDefault="00D607DA" w:rsidP="67EC9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</w:t>
            </w:r>
          </w:p>
        </w:tc>
      </w:tr>
      <w:tr w:rsidR="00BD3446" w:rsidRPr="007B6019" w14:paraId="3477732A" w14:textId="5E549D93" w:rsidTr="00644DF1">
        <w:trPr>
          <w:trHeight w:val="300"/>
        </w:trPr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14:paraId="059C602B" w14:textId="77777777" w:rsidR="00BD3446" w:rsidRPr="007B6019" w:rsidRDefault="00BD3446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5310" w:type="dxa"/>
          </w:tcPr>
          <w:p w14:paraId="443B7578" w14:textId="183BB2E2" w:rsidR="00BD3446" w:rsidRPr="007B6019" w:rsidRDefault="00BD3446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 xml:space="preserve">Number of staff impacted by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COVID19 </w:t>
            </w:r>
            <w:r w:rsidRPr="67EC9EB3">
              <w:rPr>
                <w:rFonts w:ascii="Arial" w:hAnsi="Arial" w:cs="Arial"/>
                <w:sz w:val="20"/>
                <w:szCs w:val="20"/>
              </w:rPr>
              <w:t>and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 working</w:t>
            </w:r>
          </w:p>
        </w:tc>
        <w:tc>
          <w:tcPr>
            <w:tcW w:w="1041" w:type="dxa"/>
          </w:tcPr>
          <w:p w14:paraId="38164E1E" w14:textId="3BD508C5" w:rsidR="00BD3446" w:rsidRPr="007B6019" w:rsidRDefault="46C0D5D8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200" w:type="dxa"/>
            <w:shd w:val="clear" w:color="auto" w:fill="FF0000"/>
          </w:tcPr>
          <w:p w14:paraId="4ABFA05A" w14:textId="0FEF0598" w:rsidR="00BD3446" w:rsidRPr="007B6019" w:rsidRDefault="580A0FA1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+</w:t>
            </w:r>
            <w:r w:rsidR="19169EAA" w:rsidRPr="67EC9EB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62" w:type="dxa"/>
            <w:shd w:val="clear" w:color="auto" w:fill="FFFFFF" w:themeFill="background1"/>
          </w:tcPr>
          <w:p w14:paraId="7FFDB61E" w14:textId="080B6F9D" w:rsidR="00333BBC" w:rsidRPr="007B6019" w:rsidRDefault="008E1871" w:rsidP="67EC9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BD3446" w:rsidRPr="00B004E6" w14:paraId="2E8EBEF2" w14:textId="6A573E5E" w:rsidTr="00644DF1"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0C5C1850" w14:textId="77777777" w:rsidR="00BD3446" w:rsidRPr="007B6019" w:rsidRDefault="00BD3446" w:rsidP="00CB0E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310" w:type="dxa"/>
          </w:tcPr>
          <w:p w14:paraId="353ADF16" w14:textId="77777777" w:rsidR="00BD3446" w:rsidRPr="007B6019" w:rsidRDefault="00BD3446" w:rsidP="67EC9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 xml:space="preserve">Number of staff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self-isolating</w:t>
            </w:r>
            <w:r w:rsidRPr="67EC9E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67EC9EB3">
              <w:rPr>
                <w:rFonts w:ascii="Arial" w:hAnsi="Arial" w:cs="Arial"/>
                <w:b/>
                <w:bCs/>
                <w:sz w:val="20"/>
                <w:szCs w:val="20"/>
              </w:rPr>
              <w:t>working from home</w:t>
            </w:r>
          </w:p>
        </w:tc>
        <w:tc>
          <w:tcPr>
            <w:tcW w:w="1041" w:type="dxa"/>
          </w:tcPr>
          <w:p w14:paraId="2E8D0EE8" w14:textId="77899CDA" w:rsidR="00BD3446" w:rsidRPr="007B6019" w:rsidRDefault="44441CD6" w:rsidP="67EC9EB3">
            <w:pPr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FF0000"/>
          </w:tcPr>
          <w:p w14:paraId="09C800F7" w14:textId="6BF5DF26" w:rsidR="44441CD6" w:rsidRDefault="44441CD6" w:rsidP="67EC9EB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7EC9EB3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1062" w:type="dxa"/>
            <w:shd w:val="clear" w:color="auto" w:fill="FFFFFF" w:themeFill="background1"/>
          </w:tcPr>
          <w:p w14:paraId="01BF8A49" w14:textId="39C581F9" w:rsidR="00C25403" w:rsidRDefault="008E1871" w:rsidP="00CB0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C0B53DE" w14:textId="11F63023" w:rsidR="005F7FFC" w:rsidRDefault="005F7FFC" w:rsidP="67EC9E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A17633" w14:textId="77777777" w:rsidR="00644DF1" w:rsidRDefault="00644DF1" w:rsidP="67EC9E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84A6DF" w14:textId="4D8FD92C" w:rsidR="00D51D0B" w:rsidRPr="00D51D0B" w:rsidRDefault="00D51D0B" w:rsidP="00DD42C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Vaccination Update</w:t>
      </w:r>
    </w:p>
    <w:p w14:paraId="27C90966" w14:textId="77777777" w:rsidR="00D51D0B" w:rsidRDefault="00D51D0B" w:rsidP="00DD4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55030" w14:textId="32AFAFDE" w:rsidR="00DD42C6" w:rsidRPr="007B6019" w:rsidRDefault="009659F0" w:rsidP="00DD4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A4E67EF">
        <w:rPr>
          <w:rFonts w:ascii="Arial" w:hAnsi="Arial" w:cs="Arial"/>
          <w:sz w:val="24"/>
          <w:szCs w:val="24"/>
        </w:rPr>
        <w:t>A</w:t>
      </w:r>
      <w:r w:rsidR="00766549">
        <w:rPr>
          <w:rFonts w:ascii="Arial" w:hAnsi="Arial" w:cs="Arial"/>
          <w:sz w:val="24"/>
          <w:szCs w:val="24"/>
        </w:rPr>
        <w:t>t the time of writing (5 March), a</w:t>
      </w:r>
      <w:r w:rsidRPr="3A4E67EF">
        <w:rPr>
          <w:rFonts w:ascii="Arial" w:hAnsi="Arial" w:cs="Arial"/>
          <w:sz w:val="24"/>
          <w:szCs w:val="24"/>
        </w:rPr>
        <w:t xml:space="preserve"> total of </w:t>
      </w:r>
      <w:r w:rsidR="00766549">
        <w:rPr>
          <w:rFonts w:ascii="Arial" w:hAnsi="Arial" w:cs="Arial"/>
          <w:b/>
          <w:bCs/>
          <w:sz w:val="24"/>
          <w:szCs w:val="24"/>
        </w:rPr>
        <w:t xml:space="preserve">5056 staff </w:t>
      </w:r>
      <w:r w:rsidR="00050512">
        <w:rPr>
          <w:rFonts w:ascii="Arial" w:hAnsi="Arial" w:cs="Arial"/>
          <w:b/>
          <w:bCs/>
          <w:sz w:val="24"/>
          <w:szCs w:val="24"/>
        </w:rPr>
        <w:t xml:space="preserve">(72.8%) </w:t>
      </w:r>
      <w:r w:rsidR="00766549" w:rsidRPr="00766549">
        <w:rPr>
          <w:rFonts w:ascii="Arial" w:hAnsi="Arial" w:cs="Arial"/>
          <w:sz w:val="24"/>
          <w:szCs w:val="24"/>
        </w:rPr>
        <w:t>h</w:t>
      </w:r>
      <w:r w:rsidRPr="3A4E67EF">
        <w:rPr>
          <w:rFonts w:ascii="Arial" w:hAnsi="Arial" w:cs="Arial"/>
          <w:sz w:val="24"/>
          <w:szCs w:val="24"/>
        </w:rPr>
        <w:t xml:space="preserve">ave </w:t>
      </w:r>
      <w:r w:rsidR="00766549">
        <w:rPr>
          <w:rFonts w:ascii="Arial" w:hAnsi="Arial" w:cs="Arial"/>
          <w:sz w:val="24"/>
          <w:szCs w:val="24"/>
        </w:rPr>
        <w:t>r</w:t>
      </w:r>
      <w:r w:rsidRPr="3A4E67EF">
        <w:rPr>
          <w:rFonts w:ascii="Arial" w:hAnsi="Arial" w:cs="Arial"/>
          <w:sz w:val="24"/>
          <w:szCs w:val="24"/>
        </w:rPr>
        <w:t xml:space="preserve">eceived </w:t>
      </w:r>
      <w:r w:rsidR="00766549">
        <w:rPr>
          <w:rFonts w:ascii="Arial" w:hAnsi="Arial" w:cs="Arial"/>
          <w:sz w:val="24"/>
          <w:szCs w:val="24"/>
        </w:rPr>
        <w:t xml:space="preserve">their dose 1 </w:t>
      </w:r>
      <w:r w:rsidRPr="3A4E67EF">
        <w:rPr>
          <w:rFonts w:ascii="Arial" w:hAnsi="Arial" w:cs="Arial"/>
          <w:sz w:val="24"/>
          <w:szCs w:val="24"/>
        </w:rPr>
        <w:t>vaccination</w:t>
      </w:r>
      <w:r w:rsidR="00766549">
        <w:rPr>
          <w:rFonts w:ascii="Arial" w:hAnsi="Arial" w:cs="Arial"/>
          <w:sz w:val="24"/>
          <w:szCs w:val="24"/>
        </w:rPr>
        <w:t xml:space="preserve"> of which </w:t>
      </w:r>
      <w:r w:rsidR="00877B30">
        <w:rPr>
          <w:rFonts w:ascii="Arial" w:hAnsi="Arial" w:cs="Arial"/>
          <w:sz w:val="24"/>
          <w:szCs w:val="24"/>
        </w:rPr>
        <w:t xml:space="preserve">3662 were front line staff.  </w:t>
      </w:r>
      <w:r w:rsidR="00133E61">
        <w:rPr>
          <w:rFonts w:ascii="Arial" w:hAnsi="Arial" w:cs="Arial"/>
          <w:sz w:val="24"/>
          <w:szCs w:val="24"/>
        </w:rPr>
        <w:t xml:space="preserve">So far </w:t>
      </w:r>
      <w:r w:rsidR="004F21E6">
        <w:rPr>
          <w:rFonts w:ascii="Arial" w:hAnsi="Arial" w:cs="Arial"/>
          <w:sz w:val="24"/>
          <w:szCs w:val="24"/>
        </w:rPr>
        <w:t xml:space="preserve">130 </w:t>
      </w:r>
      <w:r w:rsidR="00C36999">
        <w:rPr>
          <w:rFonts w:ascii="Arial" w:hAnsi="Arial" w:cs="Arial"/>
          <w:sz w:val="24"/>
          <w:szCs w:val="24"/>
        </w:rPr>
        <w:t>(2.6%) staff</w:t>
      </w:r>
      <w:r w:rsidR="004F21E6">
        <w:rPr>
          <w:rFonts w:ascii="Arial" w:hAnsi="Arial" w:cs="Arial"/>
          <w:sz w:val="24"/>
          <w:szCs w:val="24"/>
        </w:rPr>
        <w:t xml:space="preserve"> </w:t>
      </w:r>
      <w:r w:rsidR="008A3B0C">
        <w:rPr>
          <w:rFonts w:ascii="Arial" w:hAnsi="Arial" w:cs="Arial"/>
          <w:sz w:val="24"/>
          <w:szCs w:val="24"/>
        </w:rPr>
        <w:t>have opted out</w:t>
      </w:r>
      <w:r w:rsidR="00C36999">
        <w:rPr>
          <w:rFonts w:ascii="Arial" w:hAnsi="Arial" w:cs="Arial"/>
          <w:sz w:val="24"/>
          <w:szCs w:val="24"/>
        </w:rPr>
        <w:t xml:space="preserve"> for a variety of reasons such as</w:t>
      </w:r>
      <w:r w:rsidR="00D07C66">
        <w:rPr>
          <w:rFonts w:ascii="Arial" w:hAnsi="Arial" w:cs="Arial"/>
          <w:sz w:val="24"/>
          <w:szCs w:val="24"/>
        </w:rPr>
        <w:t xml:space="preserve"> already vaccinated, medical condition, pregnancy related, travel and patient choice.</w:t>
      </w:r>
    </w:p>
    <w:p w14:paraId="5DC33F1F" w14:textId="26596480" w:rsidR="00D251EF" w:rsidRDefault="00D251EF" w:rsidP="67EC9E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714CFA" w14:textId="6BA301C9" w:rsidR="00D251EF" w:rsidRDefault="00D251EF" w:rsidP="67EC9E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3C825B" w14:textId="77777777" w:rsidR="00D07C66" w:rsidRDefault="00D07C66" w:rsidP="00D07C66">
      <w:pPr>
        <w:rPr>
          <w:rFonts w:ascii="Segoe UI" w:hAnsi="Segoe UI" w:cs="Segoe UI"/>
          <w:sz w:val="21"/>
          <w:szCs w:val="21"/>
          <w:lang w:eastAsia="en-GB"/>
        </w:rPr>
      </w:pPr>
    </w:p>
    <w:p w14:paraId="67887C98" w14:textId="72C4D4BE" w:rsidR="00533E1A" w:rsidRDefault="00533E1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422822D" w14:textId="77777777" w:rsidR="00D251EF" w:rsidRDefault="00D251EF" w:rsidP="67EC9E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9B3C14" w14:textId="77777777" w:rsidR="00D251EF" w:rsidRPr="00BD419E" w:rsidRDefault="00D251EF" w:rsidP="67EC9E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0EE3C0" w14:textId="3E8900E8" w:rsidR="00B004E6" w:rsidRPr="00435AC9" w:rsidRDefault="00B004E6" w:rsidP="00CB0EAB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67EC9EB3">
        <w:rPr>
          <w:rFonts w:ascii="Arial" w:hAnsi="Arial" w:cs="Arial"/>
          <w:b/>
          <w:bCs/>
          <w:sz w:val="24"/>
          <w:szCs w:val="24"/>
        </w:rPr>
        <w:t>SECTION 2</w:t>
      </w:r>
      <w:r w:rsidR="00E82291" w:rsidRPr="67EC9EB3">
        <w:rPr>
          <w:rFonts w:ascii="Arial" w:hAnsi="Arial" w:cs="Arial"/>
          <w:b/>
          <w:bCs/>
          <w:sz w:val="24"/>
          <w:szCs w:val="24"/>
        </w:rPr>
        <w:t>:</w:t>
      </w:r>
      <w:r w:rsidRPr="67EC9EB3">
        <w:rPr>
          <w:rFonts w:ascii="Arial" w:hAnsi="Arial" w:cs="Arial"/>
          <w:b/>
          <w:bCs/>
          <w:sz w:val="24"/>
          <w:szCs w:val="24"/>
        </w:rPr>
        <w:t xml:space="preserve"> COMPLIANCE AGAINST STATUTORY AND NATIONAL INDICATORS</w:t>
      </w:r>
    </w:p>
    <w:p w14:paraId="4F0D3B6A" w14:textId="666CC81C" w:rsidR="00B004E6" w:rsidRPr="00435AC9" w:rsidRDefault="00B004E6" w:rsidP="00CB0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5BE59" w14:textId="1AD61735" w:rsidR="00B004E6" w:rsidRPr="00C71037" w:rsidRDefault="00E82AA6" w:rsidP="00CB0E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1037">
        <w:rPr>
          <w:rFonts w:ascii="Arial" w:hAnsi="Arial" w:cs="Arial"/>
          <w:b/>
          <w:bCs/>
          <w:sz w:val="24"/>
          <w:szCs w:val="24"/>
        </w:rPr>
        <w:t xml:space="preserve">2.1 </w:t>
      </w:r>
      <w:r w:rsidR="00DC6E0B" w:rsidRPr="00C71037">
        <w:rPr>
          <w:rFonts w:ascii="Arial" w:hAnsi="Arial" w:cs="Arial"/>
          <w:b/>
          <w:bCs/>
          <w:sz w:val="24"/>
          <w:szCs w:val="24"/>
        </w:rPr>
        <w:t xml:space="preserve">National </w:t>
      </w:r>
      <w:r w:rsidR="00B004E6" w:rsidRPr="00C71037">
        <w:rPr>
          <w:rFonts w:ascii="Arial" w:hAnsi="Arial" w:cs="Arial"/>
          <w:b/>
          <w:bCs/>
          <w:sz w:val="24"/>
          <w:szCs w:val="24"/>
        </w:rPr>
        <w:t>Oversight Framework</w:t>
      </w:r>
      <w:r w:rsidRPr="00C71037">
        <w:rPr>
          <w:rFonts w:ascii="Arial" w:hAnsi="Arial" w:cs="Arial"/>
          <w:b/>
          <w:bCs/>
          <w:sz w:val="24"/>
          <w:szCs w:val="24"/>
        </w:rPr>
        <w:t xml:space="preserve"> (</w:t>
      </w:r>
      <w:r w:rsidR="00DC6E0B" w:rsidRPr="00C71037">
        <w:rPr>
          <w:rFonts w:ascii="Arial" w:hAnsi="Arial" w:cs="Arial"/>
          <w:b/>
          <w:bCs/>
          <w:sz w:val="24"/>
          <w:szCs w:val="24"/>
        </w:rPr>
        <w:t>NO</w:t>
      </w:r>
      <w:r w:rsidRPr="00C71037">
        <w:rPr>
          <w:rFonts w:ascii="Arial" w:hAnsi="Arial" w:cs="Arial"/>
          <w:b/>
          <w:bCs/>
          <w:sz w:val="24"/>
          <w:szCs w:val="24"/>
        </w:rPr>
        <w:t>F)</w:t>
      </w:r>
    </w:p>
    <w:p w14:paraId="22451204" w14:textId="77777777" w:rsidR="00FE3DBB" w:rsidRPr="00C71037" w:rsidRDefault="00FE3DBB" w:rsidP="00CB0E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884612" w14:textId="1C9F51F2" w:rsidR="00DC6E0B" w:rsidRPr="00C71037" w:rsidRDefault="00DC6E0B" w:rsidP="00DC6E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  <w:r w:rsidRPr="00C71037">
        <w:rPr>
          <w:rFonts w:ascii="Arial" w:hAnsi="Arial" w:cs="Arial"/>
          <w:sz w:val="24"/>
          <w:szCs w:val="24"/>
          <w:lang w:eastAsia="en-US"/>
        </w:rPr>
        <w:t>The NHS Oversight Framework replaced the provider </w:t>
      </w:r>
      <w:hyperlink r:id="rId11" w:history="1">
        <w:r w:rsidRPr="00C71037">
          <w:rPr>
            <w:rFonts w:ascii="Arial" w:hAnsi="Arial" w:cs="Arial"/>
            <w:sz w:val="24"/>
            <w:szCs w:val="24"/>
            <w:lang w:eastAsia="en-US"/>
          </w:rPr>
          <w:t>Single Oversight Framework</w:t>
        </w:r>
      </w:hyperlink>
      <w:r w:rsidRPr="00C71037">
        <w:rPr>
          <w:rFonts w:ascii="Arial" w:hAnsi="Arial" w:cs="Arial"/>
          <w:sz w:val="24"/>
          <w:szCs w:val="24"/>
          <w:lang w:eastAsia="en-US"/>
        </w:rPr>
        <w:t> and the clinical commissioning group (CCG) </w:t>
      </w:r>
      <w:hyperlink r:id="rId12" w:tgtFrame="_blank" w:history="1">
        <w:r w:rsidRPr="00C71037">
          <w:rPr>
            <w:rFonts w:ascii="Arial" w:hAnsi="Arial" w:cs="Arial"/>
            <w:sz w:val="24"/>
            <w:szCs w:val="24"/>
            <w:lang w:eastAsia="en-US"/>
          </w:rPr>
          <w:t>Improvement and Assessment Framework (IAF)</w:t>
        </w:r>
      </w:hyperlink>
      <w:r w:rsidR="00B30ADC" w:rsidRPr="00C71037">
        <w:rPr>
          <w:rFonts w:ascii="Arial" w:hAnsi="Arial" w:cs="Arial"/>
          <w:sz w:val="24"/>
          <w:szCs w:val="24"/>
          <w:lang w:eastAsia="en-US"/>
        </w:rPr>
        <w:t xml:space="preserve"> in 2019/20</w:t>
      </w:r>
      <w:r w:rsidRPr="00C71037">
        <w:rPr>
          <w:rFonts w:ascii="Arial" w:hAnsi="Arial" w:cs="Arial"/>
          <w:sz w:val="24"/>
          <w:szCs w:val="24"/>
          <w:lang w:eastAsia="en-US"/>
        </w:rPr>
        <w:t xml:space="preserve"> and informs assessment of providers.  It is intended as a focal point for joint work, support and dialogue between NHS England and NHS Improvement, CCGs, providers and sustainability and transformation partnerships, and integrated care systems.</w:t>
      </w:r>
    </w:p>
    <w:p w14:paraId="57660509" w14:textId="77777777" w:rsidR="00DC6E0B" w:rsidRPr="00C71037" w:rsidRDefault="00DC6E0B" w:rsidP="00DC6E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eastAsia="en-US"/>
        </w:rPr>
      </w:pPr>
    </w:p>
    <w:p w14:paraId="49AD2640" w14:textId="6947A85F" w:rsidR="00B004E6" w:rsidRPr="00C71037" w:rsidRDefault="00DC6E0B" w:rsidP="00CB0E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037">
        <w:rPr>
          <w:rFonts w:ascii="Arial" w:hAnsi="Arial" w:cs="Arial"/>
          <w:sz w:val="24"/>
          <w:szCs w:val="24"/>
        </w:rPr>
        <w:t>The</w:t>
      </w:r>
      <w:r w:rsidR="00B004E6" w:rsidRPr="00C71037">
        <w:rPr>
          <w:rFonts w:ascii="Arial" w:hAnsi="Arial" w:cs="Arial"/>
          <w:sz w:val="24"/>
          <w:szCs w:val="24"/>
        </w:rPr>
        <w:t xml:space="preserve"> table below shows the Trust’s performance against the </w:t>
      </w:r>
      <w:r w:rsidRPr="00C71037">
        <w:rPr>
          <w:rFonts w:ascii="Arial" w:hAnsi="Arial" w:cs="Arial"/>
          <w:sz w:val="24"/>
          <w:szCs w:val="24"/>
        </w:rPr>
        <w:t>NHS</w:t>
      </w:r>
      <w:r w:rsidR="00B004E6" w:rsidRPr="00C71037">
        <w:rPr>
          <w:rFonts w:ascii="Arial" w:hAnsi="Arial" w:cs="Arial"/>
          <w:sz w:val="24"/>
          <w:szCs w:val="24"/>
        </w:rPr>
        <w:t xml:space="preserve"> Oversight Framework.  </w:t>
      </w:r>
      <w:r w:rsidR="00E82AA6" w:rsidRPr="00C71037">
        <w:rPr>
          <w:rFonts w:ascii="Arial" w:hAnsi="Arial" w:cs="Arial"/>
          <w:sz w:val="24"/>
          <w:szCs w:val="24"/>
        </w:rPr>
        <w:t xml:space="preserve">Supporting narrative is provided where the Trust is non-compliant. </w:t>
      </w:r>
      <w:r w:rsidR="00FE3DBB" w:rsidRPr="00C71037">
        <w:rPr>
          <w:rFonts w:ascii="Arial" w:hAnsi="Arial" w:cs="Arial"/>
          <w:sz w:val="24"/>
          <w:szCs w:val="24"/>
        </w:rPr>
        <w:t xml:space="preserve">  </w:t>
      </w:r>
      <w:r w:rsidR="00E82AA6" w:rsidRPr="00C71037">
        <w:rPr>
          <w:rFonts w:ascii="Arial" w:hAnsi="Arial" w:cs="Arial"/>
          <w:sz w:val="24"/>
          <w:szCs w:val="24"/>
        </w:rPr>
        <w:t>Overall, t</w:t>
      </w:r>
      <w:r w:rsidR="00B004E6" w:rsidRPr="00C71037">
        <w:rPr>
          <w:rFonts w:ascii="Arial" w:hAnsi="Arial" w:cs="Arial"/>
          <w:sz w:val="24"/>
          <w:szCs w:val="24"/>
        </w:rPr>
        <w:t>he Trust continues to perform well</w:t>
      </w:r>
      <w:r w:rsidR="00E82AA6" w:rsidRPr="00C71037">
        <w:rPr>
          <w:rFonts w:ascii="Arial" w:hAnsi="Arial" w:cs="Arial"/>
          <w:sz w:val="24"/>
          <w:szCs w:val="24"/>
        </w:rPr>
        <w:t xml:space="preserve"> </w:t>
      </w:r>
      <w:r w:rsidR="00B004E6" w:rsidRPr="00C71037">
        <w:rPr>
          <w:rFonts w:ascii="Arial" w:hAnsi="Arial" w:cs="Arial"/>
          <w:sz w:val="24"/>
          <w:szCs w:val="24"/>
        </w:rPr>
        <w:t xml:space="preserve">against the national targets set by NHS England.  OAPs are currently not meeting the national targets, please </w:t>
      </w:r>
      <w:r w:rsidR="00E82AA6" w:rsidRPr="00C71037">
        <w:rPr>
          <w:rFonts w:ascii="Arial" w:hAnsi="Arial" w:cs="Arial"/>
          <w:sz w:val="24"/>
          <w:szCs w:val="24"/>
        </w:rPr>
        <w:t>see supporting narrative below</w:t>
      </w:r>
      <w:r w:rsidR="00B004E6" w:rsidRPr="00C71037">
        <w:rPr>
          <w:rFonts w:ascii="Arial" w:hAnsi="Arial" w:cs="Arial"/>
          <w:sz w:val="24"/>
          <w:szCs w:val="24"/>
        </w:rPr>
        <w:t>.</w:t>
      </w:r>
    </w:p>
    <w:p w14:paraId="7D1333DA" w14:textId="64B92F40" w:rsidR="00C71037" w:rsidRPr="00C71037" w:rsidRDefault="00C71037" w:rsidP="00CB0E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68A3C" w14:textId="5A25A2DD" w:rsidR="00C71037" w:rsidRPr="00C71037" w:rsidRDefault="00C71037" w:rsidP="00CB0E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037">
        <w:rPr>
          <w:noProof/>
        </w:rPr>
        <w:drawing>
          <wp:inline distT="0" distB="0" distL="0" distR="0" wp14:anchorId="22175C19" wp14:editId="586B95BA">
            <wp:extent cx="6302995" cy="20574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41" cy="207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E28F8" w14:textId="77777777" w:rsidR="00C71037" w:rsidRPr="00C71037" w:rsidRDefault="00C71037" w:rsidP="00CB0EA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E7CBA39" w14:textId="77777777" w:rsidR="00C84D71" w:rsidRPr="006315C6" w:rsidRDefault="00DC6E0B" w:rsidP="00CB0E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15C6">
        <w:rPr>
          <w:rFonts w:ascii="Arial" w:hAnsi="Arial" w:cs="Arial"/>
          <w:b/>
          <w:bCs/>
          <w:sz w:val="24"/>
          <w:szCs w:val="24"/>
        </w:rPr>
        <w:t>NHS</w:t>
      </w:r>
      <w:r w:rsidR="00E82AA6" w:rsidRPr="006315C6">
        <w:rPr>
          <w:rFonts w:ascii="Arial" w:hAnsi="Arial" w:cs="Arial"/>
          <w:b/>
          <w:bCs/>
          <w:sz w:val="24"/>
          <w:szCs w:val="24"/>
        </w:rPr>
        <w:t xml:space="preserve"> Oversight Framework (SOF) - </w:t>
      </w:r>
      <w:r w:rsidR="00B004E6" w:rsidRPr="006315C6">
        <w:rPr>
          <w:rFonts w:ascii="Arial" w:hAnsi="Arial" w:cs="Arial"/>
          <w:b/>
          <w:bCs/>
          <w:sz w:val="24"/>
          <w:szCs w:val="24"/>
        </w:rPr>
        <w:t>areas of non</w:t>
      </w:r>
      <w:r w:rsidR="00B30ADC" w:rsidRPr="006315C6">
        <w:rPr>
          <w:rFonts w:ascii="Arial" w:hAnsi="Arial" w:cs="Arial"/>
          <w:b/>
          <w:bCs/>
          <w:sz w:val="24"/>
          <w:szCs w:val="24"/>
        </w:rPr>
        <w:t>-</w:t>
      </w:r>
      <w:r w:rsidR="00B004E6" w:rsidRPr="006315C6">
        <w:rPr>
          <w:rFonts w:ascii="Arial" w:hAnsi="Arial" w:cs="Arial"/>
          <w:b/>
          <w:bCs/>
          <w:sz w:val="24"/>
          <w:szCs w:val="24"/>
        </w:rPr>
        <w:t xml:space="preserve">compliance </w:t>
      </w:r>
    </w:p>
    <w:p w14:paraId="17D11705" w14:textId="4B6CD7F5" w:rsidR="00B004E6" w:rsidRPr="006315C6" w:rsidRDefault="00B004E6" w:rsidP="00CB0EA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B2F7B98" w14:textId="77777777" w:rsidR="00DC6E0B" w:rsidRPr="006315C6" w:rsidRDefault="00B004E6" w:rsidP="00CB0EA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51768851"/>
      <w:r w:rsidRPr="006315C6">
        <w:rPr>
          <w:rFonts w:ascii="Arial" w:hAnsi="Arial" w:cs="Arial"/>
          <w:b/>
          <w:bCs/>
          <w:sz w:val="24"/>
          <w:szCs w:val="24"/>
        </w:rPr>
        <w:t xml:space="preserve">Out of Area Placements (OAPs): </w:t>
      </w:r>
    </w:p>
    <w:p w14:paraId="4B8974CC" w14:textId="46AEEFC7" w:rsidR="00701BDB" w:rsidRPr="006315C6" w:rsidRDefault="00DC6E0B" w:rsidP="00DC6E0B">
      <w:pPr>
        <w:rPr>
          <w:rFonts w:ascii="Arial" w:hAnsi="Arial" w:cs="Arial"/>
          <w:sz w:val="24"/>
          <w:szCs w:val="24"/>
        </w:rPr>
      </w:pPr>
      <w:r w:rsidRPr="006315C6">
        <w:rPr>
          <w:rFonts w:ascii="Arial" w:hAnsi="Arial" w:cs="Arial"/>
          <w:sz w:val="24"/>
          <w:szCs w:val="24"/>
        </w:rPr>
        <w:t>The Trust did not achieve the OAPs trajectory in Q</w:t>
      </w:r>
      <w:r w:rsidR="0050748D" w:rsidRPr="006315C6">
        <w:rPr>
          <w:rFonts w:ascii="Arial" w:hAnsi="Arial" w:cs="Arial"/>
          <w:sz w:val="24"/>
          <w:szCs w:val="24"/>
        </w:rPr>
        <w:t>3</w:t>
      </w:r>
      <w:r w:rsidRPr="006315C6">
        <w:rPr>
          <w:rFonts w:ascii="Arial" w:hAnsi="Arial" w:cs="Arial"/>
          <w:sz w:val="24"/>
          <w:szCs w:val="24"/>
        </w:rPr>
        <w:t xml:space="preserve">.  This </w:t>
      </w:r>
      <w:r w:rsidR="00C24930" w:rsidRPr="006315C6">
        <w:rPr>
          <w:rFonts w:ascii="Arial" w:hAnsi="Arial" w:cs="Arial"/>
          <w:sz w:val="24"/>
          <w:szCs w:val="24"/>
        </w:rPr>
        <w:t xml:space="preserve">was </w:t>
      </w:r>
      <w:r w:rsidR="00A90B2E" w:rsidRPr="006315C6">
        <w:rPr>
          <w:rFonts w:ascii="Arial" w:hAnsi="Arial" w:cs="Arial"/>
          <w:sz w:val="24"/>
          <w:szCs w:val="24"/>
        </w:rPr>
        <w:t xml:space="preserve">primarily due to the changes in bed capacity as a result of Infection Prevention Control (IPC) guidance.  </w:t>
      </w:r>
      <w:r w:rsidR="00992C34">
        <w:rPr>
          <w:rFonts w:ascii="Arial" w:hAnsi="Arial" w:cs="Arial"/>
          <w:sz w:val="24"/>
          <w:szCs w:val="24"/>
        </w:rPr>
        <w:t>T</w:t>
      </w:r>
      <w:r w:rsidR="00DC1C93" w:rsidRPr="006315C6">
        <w:rPr>
          <w:rFonts w:ascii="Arial" w:hAnsi="Arial" w:cs="Arial"/>
          <w:sz w:val="24"/>
          <w:szCs w:val="24"/>
        </w:rPr>
        <w:t xml:space="preserve">he Trust </w:t>
      </w:r>
      <w:r w:rsidR="00992C34">
        <w:rPr>
          <w:rFonts w:ascii="Arial" w:hAnsi="Arial" w:cs="Arial"/>
          <w:sz w:val="24"/>
          <w:szCs w:val="24"/>
        </w:rPr>
        <w:t xml:space="preserve">continues to </w:t>
      </w:r>
      <w:r w:rsidR="00DC1C93" w:rsidRPr="006315C6">
        <w:rPr>
          <w:rFonts w:ascii="Arial" w:hAnsi="Arial" w:cs="Arial"/>
          <w:sz w:val="24"/>
          <w:szCs w:val="24"/>
        </w:rPr>
        <w:t xml:space="preserve">operate with </w:t>
      </w:r>
      <w:r w:rsidR="00DC1C93" w:rsidRPr="006315C6">
        <w:rPr>
          <w:rFonts w:ascii="Arial" w:hAnsi="Arial" w:cs="Arial"/>
          <w:b/>
          <w:bCs/>
          <w:sz w:val="24"/>
          <w:szCs w:val="24"/>
        </w:rPr>
        <w:t>up to 15% less capacity</w:t>
      </w:r>
      <w:r w:rsidR="00DC1C93" w:rsidRPr="006315C6">
        <w:rPr>
          <w:rFonts w:ascii="Arial" w:hAnsi="Arial" w:cs="Arial"/>
          <w:sz w:val="24"/>
          <w:szCs w:val="24"/>
        </w:rPr>
        <w:t xml:space="preserve"> </w:t>
      </w:r>
      <w:r w:rsidRPr="006315C6">
        <w:rPr>
          <w:rFonts w:ascii="Arial" w:hAnsi="Arial" w:cs="Arial"/>
          <w:sz w:val="24"/>
          <w:szCs w:val="24"/>
        </w:rPr>
        <w:t xml:space="preserve">in the Adult and Older Adult Mental Health wards </w:t>
      </w:r>
      <w:r w:rsidR="693E1B21" w:rsidRPr="006315C6">
        <w:rPr>
          <w:rFonts w:ascii="Arial" w:hAnsi="Arial" w:cs="Arial"/>
          <w:sz w:val="24"/>
          <w:szCs w:val="24"/>
        </w:rPr>
        <w:t>which</w:t>
      </w:r>
      <w:r w:rsidRPr="006315C6">
        <w:rPr>
          <w:rFonts w:ascii="Arial" w:hAnsi="Arial" w:cs="Arial"/>
          <w:sz w:val="24"/>
          <w:szCs w:val="24"/>
        </w:rPr>
        <w:t xml:space="preserve"> is in line with Royal College guidance.   The interim closure of beds has resulted in additional Out of Area placements which the Trust has mitigated by purchasing a block contract of 10 beds with a private provider, Elysium.</w:t>
      </w:r>
      <w:r w:rsidR="005B4239" w:rsidRPr="006315C6">
        <w:rPr>
          <w:rFonts w:ascii="Arial" w:hAnsi="Arial" w:cs="Arial"/>
          <w:sz w:val="24"/>
          <w:szCs w:val="24"/>
        </w:rPr>
        <w:t xml:space="preserve">  </w:t>
      </w:r>
      <w:r w:rsidR="007268FB">
        <w:rPr>
          <w:rFonts w:ascii="Arial" w:hAnsi="Arial" w:cs="Arial"/>
          <w:sz w:val="24"/>
          <w:szCs w:val="24"/>
        </w:rPr>
        <w:t>Work is currently underway to review the status and potential alternatives for those patients in long term placements.</w:t>
      </w:r>
      <w:r w:rsidR="008D11FA">
        <w:rPr>
          <w:rFonts w:ascii="Arial" w:hAnsi="Arial" w:cs="Arial"/>
          <w:sz w:val="24"/>
          <w:szCs w:val="24"/>
        </w:rPr>
        <w:t xml:space="preserve">  The tables below provide the details (excluding PICU)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61"/>
        <w:gridCol w:w="3491"/>
        <w:gridCol w:w="2576"/>
      </w:tblGrid>
      <w:tr w:rsidR="003A3F48" w14:paraId="6DF09702" w14:textId="77777777" w:rsidTr="0E88C2C5">
        <w:tc>
          <w:tcPr>
            <w:tcW w:w="3561" w:type="dxa"/>
          </w:tcPr>
          <w:p w14:paraId="4D3AEEDA" w14:textId="77777777" w:rsidR="00BC3A41" w:rsidRDefault="7F4C8C2C" w:rsidP="5E710552">
            <w:r>
              <w:rPr>
                <w:noProof/>
              </w:rPr>
              <w:drawing>
                <wp:inline distT="0" distB="0" distL="0" distR="0" wp14:anchorId="32502E5A" wp14:editId="4BD5D342">
                  <wp:extent cx="2124075" cy="695325"/>
                  <wp:effectExtent l="0" t="0" r="0" b="0"/>
                  <wp:docPr id="333376883" name="Picture 333376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37688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10CE">
              <w:rPr>
                <w:noProof/>
              </w:rPr>
              <w:drawing>
                <wp:inline distT="0" distB="0" distL="0" distR="0" wp14:anchorId="57DDA179" wp14:editId="11499D4C">
                  <wp:extent cx="1181100" cy="649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EE9E4" w14:textId="7A6F96D8" w:rsidR="00BC3A41" w:rsidRPr="00FB70F0" w:rsidRDefault="00BC3A41" w:rsidP="5E710552"/>
        </w:tc>
        <w:tc>
          <w:tcPr>
            <w:tcW w:w="3491" w:type="dxa"/>
          </w:tcPr>
          <w:p w14:paraId="26DF8CF9" w14:textId="0E4F780D" w:rsidR="00BC3A41" w:rsidRPr="00FB70F0" w:rsidRDefault="00596720" w:rsidP="00DC6E0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984281D" wp14:editId="64112E98">
                  <wp:extent cx="1923713" cy="660400"/>
                  <wp:effectExtent l="0" t="0" r="63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713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14:paraId="692FE853" w14:textId="4F435E68" w:rsidR="00BC3A41" w:rsidRDefault="00BC3A41" w:rsidP="00DC6E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7863B6FD" w14:textId="3221BED2" w:rsidR="004421BC" w:rsidRDefault="004421BC" w:rsidP="00B30ADC">
      <w:pPr>
        <w:spacing w:after="0" w:line="240" w:lineRule="auto"/>
        <w:ind w:left="-709" w:right="-733"/>
        <w:jc w:val="both"/>
        <w:rPr>
          <w:rFonts w:ascii="Segoe UI" w:hAnsi="Segoe UI" w:cs="Segoe UI"/>
          <w:b/>
          <w:bCs/>
        </w:rPr>
      </w:pPr>
    </w:p>
    <w:p w14:paraId="53A25A3A" w14:textId="77777777" w:rsidR="00940B79" w:rsidRDefault="00940B79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708ED22B" w14:textId="77777777" w:rsidR="004421BC" w:rsidRDefault="004421BC" w:rsidP="00B30ADC">
      <w:pPr>
        <w:spacing w:after="0" w:line="240" w:lineRule="auto"/>
        <w:ind w:left="-709" w:right="-733"/>
        <w:jc w:val="both"/>
        <w:rPr>
          <w:rFonts w:ascii="Segoe UI" w:hAnsi="Segoe UI" w:cs="Segoe UI"/>
          <w:b/>
          <w:bCs/>
        </w:rPr>
      </w:pPr>
    </w:p>
    <w:p w14:paraId="5C575635" w14:textId="589BF67B" w:rsidR="00671490" w:rsidRPr="00435AC9" w:rsidRDefault="00671490" w:rsidP="00B30ADC">
      <w:pPr>
        <w:spacing w:after="0" w:line="240" w:lineRule="auto"/>
        <w:ind w:left="-567" w:right="-733"/>
        <w:jc w:val="both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t>SECTION 3</w:t>
      </w:r>
      <w:r w:rsidR="00E82AA6" w:rsidRPr="00435AC9">
        <w:rPr>
          <w:rFonts w:ascii="Arial" w:hAnsi="Arial" w:cs="Arial"/>
          <w:b/>
          <w:bCs/>
          <w:sz w:val="24"/>
          <w:szCs w:val="24"/>
        </w:rPr>
        <w:t>:</w:t>
      </w:r>
      <w:r w:rsidRPr="00435AC9">
        <w:rPr>
          <w:rFonts w:ascii="Arial" w:hAnsi="Arial" w:cs="Arial"/>
          <w:b/>
          <w:bCs/>
          <w:sz w:val="24"/>
          <w:szCs w:val="24"/>
        </w:rPr>
        <w:t xml:space="preserve"> OPERATIONAL PATIENT ACTIVITY AND DEMAND</w:t>
      </w:r>
    </w:p>
    <w:p w14:paraId="732EE9EC" w14:textId="69D0ED6E" w:rsidR="00671490" w:rsidRPr="00435AC9" w:rsidRDefault="00671490" w:rsidP="00B30ADC">
      <w:pPr>
        <w:spacing w:after="0" w:line="240" w:lineRule="auto"/>
        <w:ind w:right="-733"/>
        <w:jc w:val="both"/>
        <w:rPr>
          <w:rFonts w:ascii="Arial" w:hAnsi="Arial" w:cs="Arial"/>
          <w:b/>
          <w:bCs/>
          <w:sz w:val="24"/>
          <w:szCs w:val="24"/>
        </w:rPr>
      </w:pPr>
    </w:p>
    <w:p w14:paraId="0F3187FB" w14:textId="1D872BF3" w:rsidR="00671490" w:rsidRPr="00435AC9" w:rsidRDefault="00E82AA6" w:rsidP="00B30ADC">
      <w:pPr>
        <w:spacing w:after="0" w:line="240" w:lineRule="auto"/>
        <w:ind w:left="-567" w:right="-733"/>
        <w:jc w:val="both"/>
        <w:rPr>
          <w:rFonts w:ascii="Arial" w:hAnsi="Arial" w:cs="Arial"/>
          <w:b/>
          <w:bCs/>
          <w:sz w:val="24"/>
          <w:szCs w:val="24"/>
        </w:rPr>
      </w:pPr>
      <w:r w:rsidRPr="00435AC9">
        <w:rPr>
          <w:rFonts w:ascii="Arial" w:hAnsi="Arial" w:cs="Arial"/>
          <w:b/>
          <w:bCs/>
          <w:sz w:val="24"/>
          <w:szCs w:val="24"/>
        </w:rPr>
        <w:t>3.1 Trust-wide headlines</w:t>
      </w:r>
    </w:p>
    <w:p w14:paraId="65ADBCE7" w14:textId="5534C987" w:rsidR="00E82AA6" w:rsidRPr="00435AC9" w:rsidRDefault="00E82AA6" w:rsidP="006714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582"/>
        <w:gridCol w:w="4866"/>
        <w:gridCol w:w="4184"/>
      </w:tblGrid>
      <w:tr w:rsidR="00050ACC" w:rsidRPr="00E82AA6" w14:paraId="0B98BC0E" w14:textId="77777777" w:rsidTr="0E88C2C5">
        <w:tc>
          <w:tcPr>
            <w:tcW w:w="1590" w:type="dxa"/>
          </w:tcPr>
          <w:p w14:paraId="214EDB88" w14:textId="09C916E8" w:rsidR="00E82AA6" w:rsidRPr="00BD419E" w:rsidRDefault="00E82AA6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Currency</w:t>
            </w:r>
          </w:p>
        </w:tc>
        <w:tc>
          <w:tcPr>
            <w:tcW w:w="4423" w:type="dxa"/>
          </w:tcPr>
          <w:p w14:paraId="6948A202" w14:textId="3A6CDCB4" w:rsidR="00E82AA6" w:rsidRPr="00BD419E" w:rsidRDefault="00E82AA6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Graph</w:t>
            </w:r>
          </w:p>
        </w:tc>
        <w:tc>
          <w:tcPr>
            <w:tcW w:w="4619" w:type="dxa"/>
          </w:tcPr>
          <w:p w14:paraId="227C0A02" w14:textId="20CDEEA8" w:rsidR="00E82AA6" w:rsidRPr="00BD419E" w:rsidRDefault="00E82AA6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</w:p>
        </w:tc>
      </w:tr>
      <w:tr w:rsidR="00E82AA6" w:rsidRPr="00E82AA6" w14:paraId="656C50DA" w14:textId="77777777" w:rsidTr="0E88C2C5">
        <w:tc>
          <w:tcPr>
            <w:tcW w:w="10632" w:type="dxa"/>
            <w:gridSpan w:val="3"/>
            <w:shd w:val="clear" w:color="auto" w:fill="D9E2F3" w:themeFill="accent1" w:themeFillTint="33"/>
          </w:tcPr>
          <w:p w14:paraId="3FB387C4" w14:textId="39FEE530" w:rsidR="00E82AA6" w:rsidRPr="00BD419E" w:rsidRDefault="00E82AA6" w:rsidP="00E82A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Community Services</w:t>
            </w:r>
            <w:r w:rsidR="00B35953" w:rsidRPr="00BD419E">
              <w:rPr>
                <w:rFonts w:ascii="Arial" w:hAnsi="Arial" w:cs="Arial"/>
                <w:b/>
                <w:sz w:val="20"/>
                <w:szCs w:val="20"/>
              </w:rPr>
              <w:t xml:space="preserve"> (Mental Health and Physical Health)</w:t>
            </w:r>
          </w:p>
        </w:tc>
      </w:tr>
      <w:tr w:rsidR="00050ACC" w:rsidRPr="00E82AA6" w14:paraId="307BA532" w14:textId="77777777" w:rsidTr="0E88C2C5">
        <w:tc>
          <w:tcPr>
            <w:tcW w:w="1590" w:type="dxa"/>
          </w:tcPr>
          <w:p w14:paraId="7D7329F1" w14:textId="272A0F16" w:rsidR="00E82AA6" w:rsidRPr="00BD419E" w:rsidRDefault="00E82AA6" w:rsidP="001B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1B2E07" w:rsidRPr="00BD419E">
              <w:rPr>
                <w:rFonts w:ascii="Arial" w:hAnsi="Arial" w:cs="Arial"/>
                <w:b/>
                <w:sz w:val="20"/>
                <w:szCs w:val="20"/>
              </w:rPr>
              <w:t xml:space="preserve">ceived referrals </w:t>
            </w:r>
          </w:p>
        </w:tc>
        <w:tc>
          <w:tcPr>
            <w:tcW w:w="4423" w:type="dxa"/>
          </w:tcPr>
          <w:p w14:paraId="461CFFFB" w14:textId="3FF866F2" w:rsidR="00FE3DBB" w:rsidRPr="00BD419E" w:rsidRDefault="00050ACC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9237AB" wp14:editId="1DF96444">
                  <wp:extent cx="2953002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002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14:paraId="2E45AF85" w14:textId="54DD801A" w:rsidR="00E82AA6" w:rsidRPr="00BD419E" w:rsidRDefault="003D69CD" w:rsidP="00FE3DBB">
            <w:pPr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>Overall; r</w:t>
            </w:r>
            <w:r w:rsidR="00E82AA6" w:rsidRPr="00BD419E">
              <w:rPr>
                <w:rFonts w:ascii="Arial" w:hAnsi="Arial" w:cs="Arial"/>
                <w:sz w:val="20"/>
                <w:szCs w:val="20"/>
              </w:rPr>
              <w:t>eferral levels</w:t>
            </w:r>
            <w:r w:rsidR="000F6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F76">
              <w:rPr>
                <w:rFonts w:ascii="Arial" w:hAnsi="Arial" w:cs="Arial"/>
                <w:sz w:val="20"/>
                <w:szCs w:val="20"/>
              </w:rPr>
              <w:t xml:space="preserve">are still </w:t>
            </w:r>
            <w:r w:rsidR="00E82AA6" w:rsidRPr="00BD419E">
              <w:rPr>
                <w:rFonts w:ascii="Arial" w:hAnsi="Arial" w:cs="Arial"/>
                <w:b/>
                <w:sz w:val="20"/>
                <w:szCs w:val="20"/>
              </w:rPr>
              <w:t>comparable to last year</w:t>
            </w:r>
            <w:r w:rsidR="00E82AA6" w:rsidRPr="00BD419E">
              <w:rPr>
                <w:rFonts w:ascii="Arial" w:hAnsi="Arial" w:cs="Arial"/>
                <w:sz w:val="20"/>
                <w:szCs w:val="20"/>
              </w:rPr>
              <w:t xml:space="preserve">, albeit </w:t>
            </w:r>
            <w:r w:rsidR="00E82AA6" w:rsidRPr="00746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above </w:t>
            </w:r>
            <w:r w:rsidR="00B35953" w:rsidRPr="00746DFE">
              <w:rPr>
                <w:rFonts w:ascii="Arial" w:hAnsi="Arial" w:cs="Arial"/>
                <w:b/>
                <w:bCs/>
                <w:sz w:val="20"/>
                <w:szCs w:val="20"/>
              </w:rPr>
              <w:t>the 3</w:t>
            </w:r>
            <w:r w:rsidR="00A06B79" w:rsidRPr="00746DF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35953" w:rsidRPr="00746DFE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r w:rsidR="00B35953" w:rsidRPr="00BD419E"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="00B35953" w:rsidRPr="00B543A3">
              <w:rPr>
                <w:rFonts w:ascii="Arial" w:hAnsi="Arial" w:cs="Arial"/>
                <w:sz w:val="20"/>
                <w:szCs w:val="20"/>
              </w:rPr>
              <w:t>.</w:t>
            </w:r>
            <w:r w:rsidR="00D87B3D" w:rsidRPr="00B543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ABA">
              <w:rPr>
                <w:rFonts w:ascii="Arial" w:hAnsi="Arial" w:cs="Arial"/>
                <w:sz w:val="20"/>
                <w:szCs w:val="20"/>
              </w:rPr>
              <w:t xml:space="preserve"> The levels of referrals in Q3 were </w:t>
            </w:r>
            <w:r w:rsidR="00E37ABA" w:rsidRPr="006B3CD1">
              <w:rPr>
                <w:rFonts w:ascii="Arial" w:hAnsi="Arial" w:cs="Arial"/>
                <w:b/>
                <w:bCs/>
                <w:sz w:val="20"/>
                <w:szCs w:val="20"/>
              </w:rPr>
              <w:t>higher</w:t>
            </w:r>
            <w:r w:rsidR="00E37ABA">
              <w:rPr>
                <w:rFonts w:ascii="Arial" w:hAnsi="Arial" w:cs="Arial"/>
                <w:sz w:val="20"/>
                <w:szCs w:val="20"/>
              </w:rPr>
              <w:t xml:space="preserve"> than those at the same time in previous years by </w:t>
            </w:r>
            <w:r w:rsidR="00E37ABA" w:rsidRPr="006B3CD1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E37AB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37ABA" w:rsidRPr="006B3CD1">
              <w:rPr>
                <w:rFonts w:ascii="Arial" w:hAnsi="Arial" w:cs="Arial"/>
                <w:b/>
                <w:bCs/>
                <w:sz w:val="20"/>
                <w:szCs w:val="20"/>
              </w:rPr>
              <w:t>%.</w:t>
            </w:r>
          </w:p>
          <w:p w14:paraId="027D8B98" w14:textId="4A90978E" w:rsidR="005119A3" w:rsidRPr="00BD419E" w:rsidRDefault="005119A3" w:rsidP="00FE3D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51CB8" w14:textId="4DCC7051" w:rsidR="005119A3" w:rsidRPr="00515C2D" w:rsidRDefault="78DC1870" w:rsidP="004845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42544CC">
              <w:rPr>
                <w:rFonts w:ascii="Arial" w:hAnsi="Arial" w:cs="Arial"/>
                <w:i/>
                <w:iCs/>
                <w:sz w:val="20"/>
                <w:szCs w:val="20"/>
              </w:rPr>
              <w:t>NB – Although overall referral volumes have returned to comparable levels, the number of operational staff available has been reduced due to COVID factors.</w:t>
            </w:r>
          </w:p>
        </w:tc>
      </w:tr>
      <w:tr w:rsidR="00050ACC" w:rsidRPr="00E82AA6" w14:paraId="17F6DD45" w14:textId="77777777" w:rsidTr="0E88C2C5">
        <w:tc>
          <w:tcPr>
            <w:tcW w:w="1590" w:type="dxa"/>
          </w:tcPr>
          <w:p w14:paraId="127D4DA7" w14:textId="7D723093" w:rsidR="00E82AA6" w:rsidRPr="00BD419E" w:rsidRDefault="00E82AA6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B2E07" w:rsidRPr="00BD419E">
              <w:rPr>
                <w:rFonts w:ascii="Arial" w:hAnsi="Arial" w:cs="Arial"/>
                <w:b/>
                <w:sz w:val="20"/>
                <w:szCs w:val="20"/>
              </w:rPr>
              <w:t>ttended a</w:t>
            </w:r>
            <w:r w:rsidRPr="00BD419E">
              <w:rPr>
                <w:rFonts w:ascii="Arial" w:hAnsi="Arial" w:cs="Arial"/>
                <w:b/>
                <w:sz w:val="20"/>
                <w:szCs w:val="20"/>
              </w:rPr>
              <w:t>ppointments</w:t>
            </w:r>
          </w:p>
        </w:tc>
        <w:tc>
          <w:tcPr>
            <w:tcW w:w="4423" w:type="dxa"/>
          </w:tcPr>
          <w:p w14:paraId="6C18B504" w14:textId="4DBC1CBB" w:rsidR="00B35953" w:rsidRPr="00BD419E" w:rsidRDefault="00910A89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A70494" wp14:editId="56D4986C">
                  <wp:extent cx="2952750" cy="117919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  <w:shd w:val="clear" w:color="auto" w:fill="auto"/>
          </w:tcPr>
          <w:p w14:paraId="4FC9D837" w14:textId="4792FC8D" w:rsidR="00E82AA6" w:rsidRPr="00FE606D" w:rsidRDefault="000D54FF" w:rsidP="00FE3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Despite Covid t</w:t>
            </w:r>
            <w:r w:rsidR="00B35953" w:rsidRPr="00FE606D">
              <w:rPr>
                <w:rFonts w:ascii="Arial" w:hAnsi="Arial" w:cs="Arial"/>
                <w:sz w:val="20"/>
                <w:szCs w:val="20"/>
              </w:rPr>
              <w:t xml:space="preserve">he levels of attended appointments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1176D7" w:rsidRPr="00FE606D">
              <w:rPr>
                <w:rFonts w:ascii="Arial" w:hAnsi="Arial" w:cs="Arial"/>
                <w:sz w:val="20"/>
                <w:szCs w:val="20"/>
              </w:rPr>
              <w:t xml:space="preserve"> still above</w:t>
            </w:r>
            <w:r w:rsidR="00C07CF4">
              <w:rPr>
                <w:rFonts w:ascii="Arial" w:hAnsi="Arial" w:cs="Arial"/>
                <w:sz w:val="20"/>
                <w:szCs w:val="20"/>
              </w:rPr>
              <w:t xml:space="preserve"> activity recorded in</w:t>
            </w:r>
            <w:r w:rsidR="001176D7" w:rsidRPr="00FE606D">
              <w:rPr>
                <w:rFonts w:ascii="Arial" w:hAnsi="Arial" w:cs="Arial"/>
                <w:sz w:val="20"/>
                <w:szCs w:val="20"/>
              </w:rPr>
              <w:t xml:space="preserve"> previous </w:t>
            </w:r>
            <w:r w:rsidR="00C07CF4">
              <w:rPr>
                <w:rFonts w:ascii="Arial" w:hAnsi="Arial" w:cs="Arial"/>
                <w:sz w:val="20"/>
                <w:szCs w:val="20"/>
              </w:rPr>
              <w:t>years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86097">
              <w:rPr>
                <w:rFonts w:ascii="Arial" w:hAnsi="Arial" w:cs="Arial"/>
                <w:sz w:val="20"/>
                <w:szCs w:val="20"/>
              </w:rPr>
              <w:t xml:space="preserve">The levels of activity in </w:t>
            </w:r>
            <w:r w:rsidR="006B3CD1">
              <w:rPr>
                <w:rFonts w:ascii="Arial" w:hAnsi="Arial" w:cs="Arial"/>
                <w:sz w:val="20"/>
                <w:szCs w:val="20"/>
              </w:rPr>
              <w:t>Q3</w:t>
            </w:r>
            <w:r w:rsidR="00286097"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="00286097" w:rsidRPr="006B3CD1">
              <w:rPr>
                <w:rFonts w:ascii="Arial" w:hAnsi="Arial" w:cs="Arial"/>
                <w:b/>
                <w:bCs/>
                <w:sz w:val="20"/>
                <w:szCs w:val="20"/>
              </w:rPr>
              <w:t>higher</w:t>
            </w:r>
            <w:r w:rsidR="00286097">
              <w:rPr>
                <w:rFonts w:ascii="Arial" w:hAnsi="Arial" w:cs="Arial"/>
                <w:sz w:val="20"/>
                <w:szCs w:val="20"/>
              </w:rPr>
              <w:t xml:space="preserve"> than</w:t>
            </w:r>
            <w:r w:rsidR="006F0DBA">
              <w:rPr>
                <w:rFonts w:ascii="Arial" w:hAnsi="Arial" w:cs="Arial"/>
                <w:sz w:val="20"/>
                <w:szCs w:val="20"/>
              </w:rPr>
              <w:t xml:space="preserve"> those</w:t>
            </w:r>
            <w:r w:rsidR="00286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0DBA">
              <w:rPr>
                <w:rFonts w:ascii="Arial" w:hAnsi="Arial" w:cs="Arial"/>
                <w:sz w:val="20"/>
                <w:szCs w:val="20"/>
              </w:rPr>
              <w:t>at the same time in previous years</w:t>
            </w:r>
            <w:r w:rsidR="006B3CD1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6B3CD1" w:rsidRPr="006B3CD1">
              <w:rPr>
                <w:rFonts w:ascii="Arial" w:hAnsi="Arial" w:cs="Arial"/>
                <w:b/>
                <w:bCs/>
                <w:sz w:val="20"/>
                <w:szCs w:val="20"/>
              </w:rPr>
              <w:t>7.9%</w:t>
            </w:r>
            <w:r w:rsidR="00007C89" w:rsidRPr="006B3C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AE540E2" w14:textId="2AAEF895" w:rsidR="004845D4" w:rsidRPr="00FB5386" w:rsidRDefault="004845D4" w:rsidP="00FE3D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0ACC" w:rsidRPr="00E82AA6" w14:paraId="0E6A33C0" w14:textId="77777777" w:rsidTr="0E88C2C5">
        <w:tc>
          <w:tcPr>
            <w:tcW w:w="1590" w:type="dxa"/>
          </w:tcPr>
          <w:p w14:paraId="67AF7C88" w14:textId="5A729000" w:rsidR="00E82291" w:rsidRPr="00BD419E" w:rsidRDefault="00E82291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Digital appointments</w:t>
            </w:r>
          </w:p>
          <w:p w14:paraId="65079677" w14:textId="77777777" w:rsidR="00E82291" w:rsidRPr="00BD419E" w:rsidRDefault="00E82291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F4E35" w14:textId="77777777" w:rsidR="00E82291" w:rsidRPr="00BD419E" w:rsidRDefault="00E82291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84437" w14:textId="77777777" w:rsidR="00E82291" w:rsidRPr="00BD419E" w:rsidRDefault="00E82291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06968" w14:textId="40D83579" w:rsidR="00E82291" w:rsidRPr="00BD419E" w:rsidRDefault="00E82291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3" w:type="dxa"/>
          </w:tcPr>
          <w:p w14:paraId="5728A028" w14:textId="1F4A6DBC" w:rsidR="00E82291" w:rsidRPr="00BD419E" w:rsidRDefault="00E309ED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60933A" wp14:editId="03DCBA2F">
                  <wp:extent cx="2952750" cy="121221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14:paraId="4C951598" w14:textId="762DC136" w:rsidR="00E82291" w:rsidRPr="00BD419E" w:rsidRDefault="00547721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 xml:space="preserve">Digital consultations have increased significantly </w:t>
            </w:r>
            <w:r w:rsidR="004633FB" w:rsidRPr="00BD419E">
              <w:rPr>
                <w:rFonts w:ascii="Arial" w:hAnsi="Arial" w:cs="Arial"/>
                <w:sz w:val="20"/>
                <w:szCs w:val="20"/>
              </w:rPr>
              <w:t>in 2020/21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.  In </w:t>
            </w:r>
            <w:r w:rsidR="000D7AAA">
              <w:rPr>
                <w:rFonts w:ascii="Arial" w:hAnsi="Arial" w:cs="Arial"/>
                <w:sz w:val="20"/>
                <w:szCs w:val="20"/>
              </w:rPr>
              <w:t>Q3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 the Trust delivered </w:t>
            </w:r>
            <w:r w:rsidR="00BB78CA">
              <w:rPr>
                <w:rFonts w:ascii="Arial" w:hAnsi="Arial" w:cs="Arial"/>
                <w:sz w:val="20"/>
                <w:szCs w:val="20"/>
              </w:rPr>
              <w:t>35,633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 digital appointments compar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d to </w:t>
            </w:r>
            <w:r w:rsidR="006A7BDE">
              <w:rPr>
                <w:rFonts w:ascii="Arial" w:hAnsi="Arial" w:cs="Arial"/>
                <w:sz w:val="20"/>
                <w:szCs w:val="20"/>
              </w:rPr>
              <w:t>1315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6A7BDE">
              <w:rPr>
                <w:rFonts w:ascii="Arial" w:hAnsi="Arial" w:cs="Arial"/>
                <w:sz w:val="20"/>
                <w:szCs w:val="20"/>
              </w:rPr>
              <w:t>Q3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 last year.  </w:t>
            </w:r>
            <w:r w:rsidR="006931BC" w:rsidRPr="00BD419E">
              <w:rPr>
                <w:rFonts w:ascii="Arial" w:hAnsi="Arial" w:cs="Arial"/>
                <w:sz w:val="20"/>
                <w:szCs w:val="20"/>
              </w:rPr>
              <w:t xml:space="preserve">This is a </w:t>
            </w:r>
            <w:r w:rsidR="002A10D8">
              <w:rPr>
                <w:rFonts w:ascii="Arial" w:hAnsi="Arial" w:cs="Arial"/>
                <w:b/>
                <w:sz w:val="20"/>
                <w:szCs w:val="20"/>
              </w:rPr>
              <w:t>2600</w:t>
            </w:r>
            <w:r w:rsidR="00543A9E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="006931BC" w:rsidRPr="00BD419E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="009702C6" w:rsidRPr="00BD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A9E">
              <w:rPr>
                <w:rFonts w:ascii="Arial" w:hAnsi="Arial" w:cs="Arial"/>
                <w:b/>
                <w:sz w:val="20"/>
                <w:szCs w:val="20"/>
              </w:rPr>
              <w:t xml:space="preserve">comparing last </w:t>
            </w:r>
            <w:r w:rsidR="007E46F0">
              <w:rPr>
                <w:rFonts w:ascii="Arial" w:hAnsi="Arial" w:cs="Arial"/>
                <w:b/>
                <w:sz w:val="20"/>
                <w:szCs w:val="20"/>
              </w:rPr>
              <w:t>Q3</w:t>
            </w:r>
            <w:r w:rsidR="00543A9E">
              <w:rPr>
                <w:rFonts w:ascii="Arial" w:hAnsi="Arial" w:cs="Arial"/>
                <w:b/>
                <w:sz w:val="20"/>
                <w:szCs w:val="20"/>
              </w:rPr>
              <w:t xml:space="preserve"> to this.</w:t>
            </w:r>
            <w:r w:rsidR="006931BC" w:rsidRPr="00BD41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0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2AA6" w:rsidRPr="00E82AA6" w14:paraId="7E8F2DE6" w14:textId="77777777" w:rsidTr="0E88C2C5">
        <w:tc>
          <w:tcPr>
            <w:tcW w:w="10632" w:type="dxa"/>
            <w:gridSpan w:val="3"/>
            <w:shd w:val="clear" w:color="auto" w:fill="D9E2F3" w:themeFill="accent1" w:themeFillTint="33"/>
          </w:tcPr>
          <w:p w14:paraId="2D61087B" w14:textId="5CEA034A" w:rsidR="00E82AA6" w:rsidRPr="00BD419E" w:rsidRDefault="003A3F48" w:rsidP="00D3282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br w:type="page"/>
            </w:r>
            <w:r w:rsidR="00E82AA6" w:rsidRPr="00BD419E">
              <w:rPr>
                <w:rFonts w:ascii="Arial" w:hAnsi="Arial" w:cs="Arial"/>
                <w:b/>
                <w:sz w:val="20"/>
                <w:szCs w:val="20"/>
              </w:rPr>
              <w:t>Inpatient Services</w:t>
            </w:r>
          </w:p>
        </w:tc>
      </w:tr>
      <w:tr w:rsidR="00E309DB" w:rsidRPr="00E309DB" w14:paraId="4D7023C7" w14:textId="77777777" w:rsidTr="0E88C2C5">
        <w:tc>
          <w:tcPr>
            <w:tcW w:w="1590" w:type="dxa"/>
          </w:tcPr>
          <w:p w14:paraId="560D5313" w14:textId="38859775" w:rsidR="00E82AA6" w:rsidRPr="00E309DB" w:rsidRDefault="00E82AA6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9DB">
              <w:rPr>
                <w:rFonts w:ascii="Arial" w:hAnsi="Arial" w:cs="Arial"/>
                <w:b/>
                <w:sz w:val="20"/>
                <w:szCs w:val="20"/>
              </w:rPr>
              <w:t>Admissions</w:t>
            </w:r>
          </w:p>
        </w:tc>
        <w:tc>
          <w:tcPr>
            <w:tcW w:w="4423" w:type="dxa"/>
          </w:tcPr>
          <w:p w14:paraId="5838E594" w14:textId="4AF48E2A" w:rsidR="00E82AA6" w:rsidRPr="00E309DB" w:rsidRDefault="007F0BB2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FEB315" wp14:editId="198F3D48">
                  <wp:extent cx="2943225" cy="1400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14:paraId="19CC4B44" w14:textId="79F9CFD4" w:rsidR="00E82AA6" w:rsidRPr="00E309DB" w:rsidRDefault="00EB1DEA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9DB">
              <w:rPr>
                <w:rFonts w:ascii="Arial" w:hAnsi="Arial" w:cs="Arial"/>
                <w:sz w:val="20"/>
                <w:szCs w:val="20"/>
              </w:rPr>
              <w:t xml:space="preserve">Admissions increased in December and were in line with previous years.  This is </w:t>
            </w:r>
            <w:r w:rsidR="002851AC">
              <w:rPr>
                <w:rFonts w:ascii="Arial" w:hAnsi="Arial" w:cs="Arial"/>
                <w:sz w:val="20"/>
                <w:szCs w:val="20"/>
              </w:rPr>
              <w:t>due</w:t>
            </w:r>
            <w:r w:rsidRPr="00E309D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B34BE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E309DB">
              <w:rPr>
                <w:rFonts w:ascii="Arial" w:hAnsi="Arial" w:cs="Arial"/>
                <w:sz w:val="20"/>
                <w:szCs w:val="20"/>
              </w:rPr>
              <w:t xml:space="preserve">increase in community beds to support the system.  MH admissions remain below normal levels due to </w:t>
            </w:r>
            <w:r w:rsidR="00640FDC">
              <w:rPr>
                <w:rFonts w:ascii="Arial" w:hAnsi="Arial" w:cs="Arial"/>
                <w:sz w:val="20"/>
                <w:szCs w:val="20"/>
              </w:rPr>
              <w:t xml:space="preserve">reduction in </w:t>
            </w:r>
            <w:r w:rsidR="00A06B79" w:rsidRPr="00E309DB">
              <w:rPr>
                <w:rFonts w:ascii="Arial" w:hAnsi="Arial" w:cs="Arial"/>
                <w:sz w:val="20"/>
                <w:szCs w:val="20"/>
              </w:rPr>
              <w:t>beds in operation</w:t>
            </w:r>
            <w:r w:rsidR="00507006" w:rsidRPr="00E309DB">
              <w:rPr>
                <w:rFonts w:ascii="Arial" w:hAnsi="Arial" w:cs="Arial"/>
                <w:sz w:val="20"/>
                <w:szCs w:val="20"/>
              </w:rPr>
              <w:t xml:space="preserve"> to comply with IPC measures.</w:t>
            </w:r>
          </w:p>
        </w:tc>
      </w:tr>
      <w:tr w:rsidR="00E309DB" w:rsidRPr="00E309DB" w14:paraId="0657E2AD" w14:textId="77777777" w:rsidTr="0E88C2C5">
        <w:tc>
          <w:tcPr>
            <w:tcW w:w="1590" w:type="dxa"/>
          </w:tcPr>
          <w:p w14:paraId="61B6F32A" w14:textId="13589E17" w:rsidR="00E82AA6" w:rsidRPr="00E309DB" w:rsidRDefault="00E82AA6" w:rsidP="00BD4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9DB">
              <w:rPr>
                <w:rFonts w:ascii="Arial" w:hAnsi="Arial" w:cs="Arial"/>
                <w:b/>
                <w:sz w:val="20"/>
                <w:szCs w:val="20"/>
              </w:rPr>
              <w:t xml:space="preserve">Length of stay </w:t>
            </w:r>
          </w:p>
        </w:tc>
        <w:tc>
          <w:tcPr>
            <w:tcW w:w="4423" w:type="dxa"/>
          </w:tcPr>
          <w:p w14:paraId="2BE9B856" w14:textId="45670AB2" w:rsidR="00B04C53" w:rsidRPr="00E309DB" w:rsidRDefault="00E309DB" w:rsidP="00671490">
            <w:pPr>
              <w:ind w:left="-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122C2D" wp14:editId="42F2DC56">
                  <wp:extent cx="2914650" cy="1285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B69ED" w14:textId="43EE66C7" w:rsidR="00B04C53" w:rsidRPr="00E309DB" w:rsidRDefault="00B04C53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9" w:type="dxa"/>
          </w:tcPr>
          <w:p w14:paraId="5F3B7081" w14:textId="1A94C072" w:rsidR="00E82AA6" w:rsidRPr="00E309DB" w:rsidRDefault="00B04C53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9DB">
              <w:rPr>
                <w:rFonts w:ascii="Arial" w:hAnsi="Arial" w:cs="Arial"/>
                <w:sz w:val="20"/>
                <w:szCs w:val="20"/>
              </w:rPr>
              <w:t xml:space="preserve">Length of stay (excluding delays and leave) </w:t>
            </w:r>
            <w:r w:rsidR="00D107A6">
              <w:rPr>
                <w:rFonts w:ascii="Arial" w:hAnsi="Arial" w:cs="Arial"/>
                <w:sz w:val="20"/>
                <w:szCs w:val="20"/>
              </w:rPr>
              <w:t>was lower than in previous years</w:t>
            </w:r>
            <w:r w:rsidR="3AD3DD6A" w:rsidRPr="00E309DB">
              <w:rPr>
                <w:rFonts w:ascii="Arial" w:hAnsi="Arial" w:cs="Arial"/>
                <w:sz w:val="20"/>
                <w:szCs w:val="20"/>
              </w:rPr>
              <w:t>.</w:t>
            </w:r>
            <w:r w:rsidR="00D107A6">
              <w:rPr>
                <w:rFonts w:ascii="Arial" w:hAnsi="Arial" w:cs="Arial"/>
                <w:sz w:val="20"/>
                <w:szCs w:val="20"/>
              </w:rPr>
              <w:t xml:space="preserve">  However,</w:t>
            </w:r>
            <w:r w:rsidR="3AD3DD6A" w:rsidRPr="00E309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7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309DB">
              <w:rPr>
                <w:rFonts w:ascii="Arial" w:hAnsi="Arial" w:cs="Arial"/>
                <w:sz w:val="20"/>
                <w:szCs w:val="20"/>
              </w:rPr>
              <w:t>length of stay</w:t>
            </w:r>
            <w:r w:rsidR="00D107A6">
              <w:rPr>
                <w:rFonts w:ascii="Arial" w:hAnsi="Arial" w:cs="Arial"/>
                <w:sz w:val="20"/>
                <w:szCs w:val="20"/>
              </w:rPr>
              <w:t xml:space="preserve"> in December</w:t>
            </w:r>
            <w:r w:rsidRPr="00E309DB">
              <w:rPr>
                <w:rFonts w:ascii="Arial" w:hAnsi="Arial" w:cs="Arial"/>
                <w:sz w:val="20"/>
                <w:szCs w:val="20"/>
              </w:rPr>
              <w:t xml:space="preserve"> was more in line with the </w:t>
            </w:r>
            <w:r w:rsidR="6981A243" w:rsidRPr="00E309DB">
              <w:rPr>
                <w:rFonts w:ascii="Arial" w:hAnsi="Arial" w:cs="Arial"/>
                <w:sz w:val="20"/>
                <w:szCs w:val="20"/>
              </w:rPr>
              <w:t>previous trend</w:t>
            </w:r>
            <w:r w:rsidRPr="00E309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035192B" w14:textId="701360E8" w:rsidR="001B2E07" w:rsidRDefault="001B2E07" w:rsidP="00671490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07FAEE02" w14:textId="4903ECCC" w:rsidR="001837B4" w:rsidRDefault="001837B4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36A02481" w14:textId="77777777" w:rsidR="00832E3D" w:rsidRDefault="00832E3D" w:rsidP="00671490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130D5B3D" w14:textId="6A47B95D" w:rsidR="00BD419E" w:rsidRDefault="00BD419E" w:rsidP="00BD419E">
      <w:pPr>
        <w:spacing w:after="0" w:line="240" w:lineRule="auto"/>
        <w:ind w:left="-567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3.2 </w:t>
      </w:r>
      <w:r w:rsidR="00BB1972">
        <w:rPr>
          <w:rFonts w:ascii="Segoe UI" w:hAnsi="Segoe UI" w:cs="Segoe UI"/>
          <w:b/>
          <w:bCs/>
        </w:rPr>
        <w:t xml:space="preserve">Noteworthy </w:t>
      </w:r>
      <w:r>
        <w:rPr>
          <w:rFonts w:ascii="Segoe UI" w:hAnsi="Segoe UI" w:cs="Segoe UI"/>
          <w:b/>
          <w:bCs/>
        </w:rPr>
        <w:t>exceptions</w:t>
      </w:r>
    </w:p>
    <w:p w14:paraId="373830BF" w14:textId="77777777" w:rsidR="00ED452A" w:rsidRDefault="00ED452A" w:rsidP="00BD419E">
      <w:pPr>
        <w:spacing w:after="0" w:line="240" w:lineRule="auto"/>
        <w:ind w:left="-567"/>
        <w:jc w:val="both"/>
        <w:rPr>
          <w:rFonts w:ascii="Segoe UI" w:hAnsi="Segoe UI" w:cs="Segoe UI"/>
          <w:b/>
          <w:bCs/>
        </w:rPr>
      </w:pPr>
    </w:p>
    <w:tbl>
      <w:tblPr>
        <w:tblStyle w:val="TableGrid"/>
        <w:tblW w:w="10516" w:type="dxa"/>
        <w:tblInd w:w="-572" w:type="dxa"/>
        <w:tblLook w:val="04A0" w:firstRow="1" w:lastRow="0" w:firstColumn="1" w:lastColumn="0" w:noHBand="0" w:noVBand="1"/>
      </w:tblPr>
      <w:tblGrid>
        <w:gridCol w:w="1895"/>
        <w:gridCol w:w="1321"/>
        <w:gridCol w:w="3696"/>
        <w:gridCol w:w="3604"/>
      </w:tblGrid>
      <w:tr w:rsidR="00DD157B" w:rsidRPr="00E82AA6" w14:paraId="53AD0C4B" w14:textId="77777777" w:rsidTr="0E88C2C5">
        <w:tc>
          <w:tcPr>
            <w:tcW w:w="1895" w:type="dxa"/>
          </w:tcPr>
          <w:p w14:paraId="1A257BB6" w14:textId="4498046D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area</w:t>
            </w:r>
          </w:p>
        </w:tc>
        <w:tc>
          <w:tcPr>
            <w:tcW w:w="1324" w:type="dxa"/>
          </w:tcPr>
          <w:p w14:paraId="01B2ED80" w14:textId="75DF7F59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3444" w:type="dxa"/>
          </w:tcPr>
          <w:p w14:paraId="484E005F" w14:textId="77777777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bCs/>
                <w:sz w:val="20"/>
                <w:szCs w:val="20"/>
              </w:rPr>
              <w:t>Graph</w:t>
            </w:r>
          </w:p>
        </w:tc>
        <w:tc>
          <w:tcPr>
            <w:tcW w:w="3853" w:type="dxa"/>
          </w:tcPr>
          <w:p w14:paraId="7371112E" w14:textId="77777777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bCs/>
                <w:sz w:val="20"/>
                <w:szCs w:val="20"/>
              </w:rPr>
              <w:t>Narrative</w:t>
            </w:r>
          </w:p>
        </w:tc>
      </w:tr>
      <w:tr w:rsidR="00DD157B" w:rsidRPr="00E82AA6" w14:paraId="1C0EE647" w14:textId="77777777" w:rsidTr="0E88C2C5">
        <w:tc>
          <w:tcPr>
            <w:tcW w:w="1895" w:type="dxa"/>
          </w:tcPr>
          <w:p w14:paraId="1AAB0C40" w14:textId="4F3F0AB8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Services</w:t>
            </w:r>
            <w:r w:rsidR="00271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Directorate</w:t>
            </w:r>
          </w:p>
        </w:tc>
        <w:tc>
          <w:tcPr>
            <w:tcW w:w="1324" w:type="dxa"/>
          </w:tcPr>
          <w:p w14:paraId="730FE5F6" w14:textId="176BB929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Received referrals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Emergency</w:t>
            </w:r>
          </w:p>
        </w:tc>
        <w:tc>
          <w:tcPr>
            <w:tcW w:w="3444" w:type="dxa"/>
          </w:tcPr>
          <w:p w14:paraId="43F5FC23" w14:textId="6FA9C78A" w:rsidR="00E41B0C" w:rsidRPr="00BD419E" w:rsidRDefault="00BD30A7" w:rsidP="0034679E">
            <w:pPr>
              <w:ind w:right="-9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201FC7" wp14:editId="15C9A30E">
                  <wp:extent cx="2209800" cy="1325667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32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4ED6A899" w14:textId="364B7E85" w:rsidR="00E41B0C" w:rsidRPr="00BD419E" w:rsidRDefault="00E41B0C" w:rsidP="00333A40">
            <w:pPr>
              <w:rPr>
                <w:rFonts w:ascii="Arial" w:hAnsi="Arial" w:cs="Arial"/>
                <w:sz w:val="20"/>
                <w:szCs w:val="20"/>
              </w:rPr>
            </w:pPr>
            <w:r w:rsidRPr="005A47C1">
              <w:rPr>
                <w:rFonts w:ascii="Arial" w:hAnsi="Arial" w:cs="Arial"/>
                <w:b/>
                <w:bCs/>
                <w:sz w:val="20"/>
                <w:szCs w:val="20"/>
              </w:rPr>
              <w:t>Emergency</w:t>
            </w:r>
            <w:r w:rsidRPr="005A47C1">
              <w:rPr>
                <w:rFonts w:ascii="Arial" w:hAnsi="Arial" w:cs="Arial"/>
                <w:sz w:val="20"/>
                <w:szCs w:val="20"/>
              </w:rPr>
              <w:t xml:space="preserve"> referrals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Community Services Directorate </w:t>
            </w:r>
            <w:r w:rsidR="0007538F">
              <w:rPr>
                <w:rFonts w:ascii="Arial" w:hAnsi="Arial" w:cs="Arial"/>
                <w:sz w:val="20"/>
                <w:szCs w:val="20"/>
              </w:rPr>
              <w:t xml:space="preserve">continue to be higher than average.  </w:t>
            </w:r>
            <w:r w:rsidR="00C7560F">
              <w:rPr>
                <w:rFonts w:ascii="Arial" w:hAnsi="Arial" w:cs="Arial"/>
                <w:sz w:val="20"/>
                <w:szCs w:val="20"/>
              </w:rPr>
              <w:t xml:space="preserve">In Q3 </w:t>
            </w:r>
            <w:r w:rsidR="00A5335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D46604">
              <w:rPr>
                <w:rFonts w:ascii="Arial" w:hAnsi="Arial" w:cs="Arial"/>
                <w:sz w:val="20"/>
                <w:szCs w:val="20"/>
              </w:rPr>
              <w:t xml:space="preserve">189% higher than Q3 last year.  </w:t>
            </w:r>
            <w:r w:rsidR="00D40C7D">
              <w:rPr>
                <w:rFonts w:ascii="Arial" w:hAnsi="Arial" w:cs="Arial"/>
                <w:sz w:val="20"/>
                <w:szCs w:val="20"/>
              </w:rPr>
              <w:t xml:space="preserve">This increase is partly attributed to the addition of a triage function in the system.  </w:t>
            </w:r>
            <w:r w:rsidR="00453555">
              <w:rPr>
                <w:rFonts w:ascii="Arial" w:hAnsi="Arial" w:cs="Arial"/>
                <w:sz w:val="20"/>
                <w:szCs w:val="20"/>
              </w:rPr>
              <w:t xml:space="preserve">This is in the process of being reviewed to ensure that reporting correctly reflects </w:t>
            </w:r>
            <w:r w:rsidR="002C49F6">
              <w:rPr>
                <w:rFonts w:ascii="Arial" w:hAnsi="Arial" w:cs="Arial"/>
                <w:sz w:val="20"/>
                <w:szCs w:val="20"/>
              </w:rPr>
              <w:t>demand</w:t>
            </w:r>
            <w:r w:rsidR="00E90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7B" w:rsidRPr="00E41B0C" w14:paraId="49F9FFAD" w14:textId="77777777" w:rsidTr="0E88C2C5">
        <w:tc>
          <w:tcPr>
            <w:tcW w:w="1895" w:type="dxa"/>
          </w:tcPr>
          <w:p w14:paraId="56E87ED3" w14:textId="77777777" w:rsidR="00705F27" w:rsidRDefault="00705F27" w:rsidP="004C42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District Nursing</w:t>
            </w:r>
          </w:p>
        </w:tc>
        <w:tc>
          <w:tcPr>
            <w:tcW w:w="1324" w:type="dxa"/>
          </w:tcPr>
          <w:p w14:paraId="30563CD8" w14:textId="77777777" w:rsidR="00705F27" w:rsidRPr="00BD419E" w:rsidRDefault="00705F27" w:rsidP="004C42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Received referrals</w:t>
            </w:r>
          </w:p>
        </w:tc>
        <w:tc>
          <w:tcPr>
            <w:tcW w:w="3444" w:type="dxa"/>
          </w:tcPr>
          <w:p w14:paraId="7768FC4A" w14:textId="3A5FF8C3" w:rsidR="00705F27" w:rsidRPr="00BD419E" w:rsidRDefault="00A25C2D" w:rsidP="004C4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D72789" wp14:editId="588C4DAC">
                  <wp:extent cx="2209188" cy="115252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88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11A38A36" w14:textId="7516E534" w:rsidR="00705F27" w:rsidRPr="00E41B0C" w:rsidRDefault="00705F27" w:rsidP="004C42BE">
            <w:pPr>
              <w:rPr>
                <w:rFonts w:ascii="Arial" w:hAnsi="Arial" w:cs="Arial"/>
                <w:sz w:val="20"/>
                <w:szCs w:val="20"/>
              </w:rPr>
            </w:pPr>
            <w:r w:rsidRPr="00E41B0C">
              <w:rPr>
                <w:rFonts w:ascii="Arial" w:hAnsi="Arial" w:cs="Arial"/>
                <w:sz w:val="20"/>
                <w:szCs w:val="20"/>
              </w:rPr>
              <w:t>The District Nursing service ha</w:t>
            </w:r>
            <w:r w:rsidR="00A25C2D">
              <w:rPr>
                <w:rFonts w:ascii="Arial" w:hAnsi="Arial" w:cs="Arial"/>
                <w:sz w:val="20"/>
                <w:szCs w:val="20"/>
              </w:rPr>
              <w:t>d</w:t>
            </w:r>
            <w:r w:rsidRPr="00E41B0C">
              <w:rPr>
                <w:rFonts w:ascii="Arial" w:hAnsi="Arial" w:cs="Arial"/>
                <w:sz w:val="20"/>
                <w:szCs w:val="20"/>
              </w:rPr>
              <w:t xml:space="preserve"> seen a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095B42">
              <w:rPr>
                <w:rFonts w:ascii="Arial" w:hAnsi="Arial" w:cs="Arial"/>
                <w:b/>
                <w:bCs/>
                <w:sz w:val="20"/>
                <w:szCs w:val="20"/>
              </w:rPr>
              <w:t>increase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B4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095B42" w:rsidRPr="00095B42">
              <w:rPr>
                <w:rFonts w:ascii="Arial" w:hAnsi="Arial" w:cs="Arial"/>
                <w:b/>
                <w:bCs/>
                <w:sz w:val="20"/>
                <w:szCs w:val="20"/>
              </w:rPr>
              <w:t>36%</w:t>
            </w:r>
            <w:r w:rsidR="00095B42">
              <w:rPr>
                <w:rFonts w:ascii="Arial" w:hAnsi="Arial" w:cs="Arial"/>
                <w:sz w:val="20"/>
                <w:szCs w:val="20"/>
              </w:rPr>
              <w:t xml:space="preserve"> in Q3 against Q3 last year.  </w:t>
            </w:r>
            <w:r>
              <w:rPr>
                <w:rFonts w:ascii="Arial" w:hAnsi="Arial" w:cs="Arial"/>
                <w:sz w:val="20"/>
                <w:szCs w:val="20"/>
              </w:rPr>
              <w:t>Emergency referrals have been exceptionally high over recent months.</w:t>
            </w:r>
          </w:p>
        </w:tc>
      </w:tr>
      <w:tr w:rsidR="00DD157B" w:rsidRPr="00E82AA6" w14:paraId="066376AF" w14:textId="77777777" w:rsidTr="0E88C2C5">
        <w:tc>
          <w:tcPr>
            <w:tcW w:w="1895" w:type="dxa"/>
          </w:tcPr>
          <w:p w14:paraId="471CB592" w14:textId="6B701690" w:rsidR="00E41B0C" w:rsidRDefault="00506821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Heart Failure</w:t>
            </w:r>
          </w:p>
        </w:tc>
        <w:tc>
          <w:tcPr>
            <w:tcW w:w="1324" w:type="dxa"/>
          </w:tcPr>
          <w:p w14:paraId="2396C754" w14:textId="1C46D688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Received referrals </w:t>
            </w:r>
            <w:r w:rsidR="005068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69ACF7" w14:textId="77777777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D7C8F" w14:textId="77777777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406B51" w14:textId="77777777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61D586" w14:textId="77777777" w:rsidR="00E41B0C" w:rsidRPr="00BD419E" w:rsidRDefault="00E41B0C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4" w:type="dxa"/>
          </w:tcPr>
          <w:p w14:paraId="33493A04" w14:textId="66226269" w:rsidR="00E41B0C" w:rsidRPr="00BD419E" w:rsidRDefault="00950D69" w:rsidP="00AC239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2640C4" wp14:editId="358CFC87">
                  <wp:extent cx="2209800" cy="1104695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0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1B43781B" w14:textId="63E734FC" w:rsidR="00E41B0C" w:rsidRPr="00950D69" w:rsidRDefault="00D50E47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past four months t</w:t>
            </w:r>
            <w:r w:rsidR="00506821">
              <w:rPr>
                <w:rFonts w:ascii="Arial" w:hAnsi="Arial" w:cs="Arial"/>
                <w:sz w:val="20"/>
                <w:szCs w:val="20"/>
              </w:rPr>
              <w:t xml:space="preserve">he Heart Failure service </w:t>
            </w:r>
            <w:r>
              <w:rPr>
                <w:rFonts w:ascii="Arial" w:hAnsi="Arial" w:cs="Arial"/>
                <w:sz w:val="20"/>
                <w:szCs w:val="20"/>
              </w:rPr>
              <w:t xml:space="preserve">has seen </w:t>
            </w:r>
            <w:r w:rsidR="00506821">
              <w:rPr>
                <w:rFonts w:ascii="Arial" w:hAnsi="Arial" w:cs="Arial"/>
                <w:sz w:val="20"/>
                <w:szCs w:val="20"/>
              </w:rPr>
              <w:t xml:space="preserve">an increase in overall referral numbers.  </w:t>
            </w:r>
            <w:r w:rsidR="00B90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D69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C25AF">
              <w:rPr>
                <w:rFonts w:ascii="Arial" w:hAnsi="Arial" w:cs="Arial"/>
                <w:sz w:val="20"/>
                <w:szCs w:val="20"/>
              </w:rPr>
              <w:t>Q3 they saw a 14.7% increase compared to Q3 last year and in 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were</w:t>
            </w:r>
            <w:r w:rsidR="00950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D69">
              <w:rPr>
                <w:rFonts w:ascii="Arial" w:hAnsi="Arial" w:cs="Arial"/>
                <w:b/>
                <w:bCs/>
                <w:sz w:val="20"/>
                <w:szCs w:val="20"/>
              </w:rPr>
              <w:t>47% higher</w:t>
            </w:r>
            <w:r w:rsidR="00FD1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145F" w:rsidRPr="00FD145F">
              <w:rPr>
                <w:rFonts w:ascii="Arial" w:hAnsi="Arial" w:cs="Arial"/>
                <w:sz w:val="20"/>
                <w:szCs w:val="20"/>
              </w:rPr>
              <w:t>than the 12-month average</w:t>
            </w:r>
            <w:r w:rsidR="004D5705">
              <w:rPr>
                <w:rFonts w:ascii="Arial" w:hAnsi="Arial" w:cs="Arial"/>
                <w:sz w:val="20"/>
                <w:szCs w:val="20"/>
              </w:rPr>
              <w:t xml:space="preserve">.  This </w:t>
            </w:r>
            <w:r w:rsidR="00AF53BA">
              <w:rPr>
                <w:rFonts w:ascii="Arial" w:hAnsi="Arial" w:cs="Arial"/>
                <w:sz w:val="20"/>
                <w:szCs w:val="20"/>
              </w:rPr>
              <w:t>a direct consequen</w:t>
            </w:r>
            <w:r w:rsidR="00F5722E">
              <w:rPr>
                <w:rFonts w:ascii="Arial" w:hAnsi="Arial" w:cs="Arial"/>
                <w:sz w:val="20"/>
                <w:szCs w:val="20"/>
              </w:rPr>
              <w:t>ce</w:t>
            </w:r>
            <w:r w:rsidR="00EE7284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C41706">
              <w:rPr>
                <w:rFonts w:ascii="Arial" w:hAnsi="Arial" w:cs="Arial"/>
                <w:sz w:val="20"/>
                <w:szCs w:val="20"/>
              </w:rPr>
              <w:t xml:space="preserve"> patients </w:t>
            </w:r>
            <w:r w:rsidR="00755904">
              <w:rPr>
                <w:rFonts w:ascii="Arial" w:hAnsi="Arial" w:cs="Arial"/>
                <w:sz w:val="20"/>
                <w:szCs w:val="20"/>
              </w:rPr>
              <w:t>delaying presentation and more acute cases now being re</w:t>
            </w:r>
            <w:r w:rsidR="005A1BE1">
              <w:rPr>
                <w:rFonts w:ascii="Arial" w:hAnsi="Arial" w:cs="Arial"/>
                <w:sz w:val="20"/>
                <w:szCs w:val="20"/>
              </w:rPr>
              <w:t>ferred</w:t>
            </w:r>
            <w:r w:rsidR="00EE7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7B" w:rsidRPr="00E82AA6" w14:paraId="19ED1C84" w14:textId="77777777" w:rsidTr="0E88C2C5">
        <w:tc>
          <w:tcPr>
            <w:tcW w:w="1895" w:type="dxa"/>
          </w:tcPr>
          <w:p w14:paraId="09C0F457" w14:textId="77777777" w:rsidR="00E62C15" w:rsidRDefault="00E62C15" w:rsidP="004C42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Buckinghamshire Adult MH Service</w:t>
            </w:r>
          </w:p>
        </w:tc>
        <w:tc>
          <w:tcPr>
            <w:tcW w:w="1324" w:type="dxa"/>
          </w:tcPr>
          <w:p w14:paraId="4A6A5C6F" w14:textId="77777777" w:rsidR="00E62C15" w:rsidRDefault="00E62C15" w:rsidP="004C42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Received referrals – urgent</w:t>
            </w:r>
          </w:p>
        </w:tc>
        <w:tc>
          <w:tcPr>
            <w:tcW w:w="3444" w:type="dxa"/>
          </w:tcPr>
          <w:p w14:paraId="6D68FC51" w14:textId="77777777" w:rsidR="00E62C15" w:rsidRDefault="00E62C15" w:rsidP="004C42BE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6BBAE9" wp14:editId="081B82EC">
                  <wp:extent cx="2209165" cy="1171575"/>
                  <wp:effectExtent l="0" t="0" r="63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6FA4A223" w14:textId="4EBB348E" w:rsidR="00E62C15" w:rsidRDefault="00E62C15" w:rsidP="004C4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Urgent referrals have been significantly higher </w:t>
            </w:r>
            <w:r w:rsidRPr="042544CC">
              <w:rPr>
                <w:rFonts w:ascii="Arial" w:hAnsi="Arial" w:cs="Arial"/>
                <w:sz w:val="20"/>
                <w:szCs w:val="20"/>
              </w:rPr>
              <w:t xml:space="preserve">than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previous years since June.  In </w:t>
            </w:r>
            <w:r w:rsidR="008B2214">
              <w:rPr>
                <w:rFonts w:ascii="Arial" w:hAnsi="Arial" w:cs="Arial"/>
                <w:sz w:val="20"/>
                <w:szCs w:val="20"/>
              </w:rPr>
              <w:t xml:space="preserve">Q3 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number of urgent referrals received was </w:t>
            </w:r>
            <w:r w:rsidR="008B2214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% higher than</w:t>
            </w:r>
            <w:r w:rsidR="008B2214">
              <w:rPr>
                <w:rFonts w:ascii="Arial" w:hAnsi="Arial" w:cs="Arial"/>
                <w:sz w:val="20"/>
                <w:szCs w:val="20"/>
              </w:rPr>
              <w:t xml:space="preserve"> Q3</w:t>
            </w:r>
            <w:r>
              <w:rPr>
                <w:rFonts w:ascii="Arial" w:hAnsi="Arial" w:cs="Arial"/>
                <w:sz w:val="20"/>
                <w:szCs w:val="20"/>
              </w:rPr>
              <w:t xml:space="preserve"> last </w:t>
            </w:r>
            <w:r w:rsidR="008B2214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7B" w:rsidRPr="00E82AA6" w14:paraId="3026F801" w14:textId="77777777" w:rsidTr="0E88C2C5">
        <w:tc>
          <w:tcPr>
            <w:tcW w:w="1895" w:type="dxa"/>
          </w:tcPr>
          <w:p w14:paraId="368854AB" w14:textId="01798741" w:rsidR="002876DC" w:rsidRDefault="002876DC" w:rsidP="042544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Buckinghamshire</w:t>
            </w:r>
            <w:r w:rsidR="00E760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77EE">
              <w:rPr>
                <w:rFonts w:ascii="Arial" w:hAnsi="Arial" w:cs="Arial"/>
                <w:b/>
                <w:bCs/>
                <w:sz w:val="20"/>
                <w:szCs w:val="20"/>
              </w:rPr>
              <w:t>Community Eating Disorders</w:t>
            </w:r>
          </w:p>
        </w:tc>
        <w:tc>
          <w:tcPr>
            <w:tcW w:w="1324" w:type="dxa"/>
          </w:tcPr>
          <w:p w14:paraId="2724E2D7" w14:textId="530CDE63" w:rsidR="002876DC" w:rsidRDefault="00AF37F2" w:rsidP="00AC23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Received </w:t>
            </w:r>
            <w:r w:rsidR="00FA77EE">
              <w:rPr>
                <w:rFonts w:ascii="Arial" w:hAnsi="Arial" w:cs="Arial"/>
                <w:b/>
                <w:bCs/>
                <w:sz w:val="20"/>
                <w:szCs w:val="20"/>
              </w:rPr>
              <w:t>referrals</w:t>
            </w:r>
          </w:p>
        </w:tc>
        <w:tc>
          <w:tcPr>
            <w:tcW w:w="3444" w:type="dxa"/>
          </w:tcPr>
          <w:p w14:paraId="4D1F06DB" w14:textId="2555D021" w:rsidR="002876DC" w:rsidRDefault="00961B95" w:rsidP="00AC2391">
            <w:pPr>
              <w:jc w:val="both"/>
              <w:rPr>
                <w:noProof/>
              </w:rPr>
            </w:pPr>
            <w:r w:rsidRPr="0E88C2C5">
              <w:rPr>
                <w:rFonts w:ascii="Arial" w:hAnsi="Arial" w:cs="Arial"/>
                <w:b/>
                <w:bCs/>
                <w:sz w:val="20"/>
                <w:szCs w:val="20"/>
              </w:rPr>
              <w:t>CAMHs:</w:t>
            </w:r>
            <w:r>
              <w:br/>
            </w:r>
            <w:r w:rsidR="00902A9B">
              <w:rPr>
                <w:noProof/>
              </w:rPr>
              <w:drawing>
                <wp:inline distT="0" distB="0" distL="0" distR="0" wp14:anchorId="3C5D2532" wp14:editId="02694BAA">
                  <wp:extent cx="2057400" cy="1314253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1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45E0CDEF" w14:textId="64361F43" w:rsidR="002876DC" w:rsidRDefault="00FA77EE" w:rsidP="00AC2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02A9B" w:rsidRPr="006F07DC">
              <w:rPr>
                <w:rFonts w:ascii="Arial" w:hAnsi="Arial" w:cs="Arial"/>
                <w:b/>
                <w:bCs/>
                <w:sz w:val="20"/>
                <w:szCs w:val="20"/>
              </w:rPr>
              <w:t>CAMHS</w:t>
            </w:r>
            <w:r>
              <w:rPr>
                <w:rFonts w:ascii="Arial" w:hAnsi="Arial" w:cs="Arial"/>
                <w:sz w:val="20"/>
                <w:szCs w:val="20"/>
              </w:rPr>
              <w:t xml:space="preserve"> Eating Disorder Service has seen a</w:t>
            </w:r>
            <w:r w:rsidR="00902A9B">
              <w:rPr>
                <w:rFonts w:ascii="Arial" w:hAnsi="Arial" w:cs="Arial"/>
                <w:sz w:val="20"/>
                <w:szCs w:val="20"/>
              </w:rPr>
              <w:t xml:space="preserve">n increase in referrals </w:t>
            </w:r>
            <w:r w:rsidR="007A07E0">
              <w:rPr>
                <w:rFonts w:ascii="Arial" w:hAnsi="Arial" w:cs="Arial"/>
                <w:sz w:val="20"/>
                <w:szCs w:val="20"/>
              </w:rPr>
              <w:t xml:space="preserve">this year.  In December </w:t>
            </w:r>
            <w:r w:rsidR="00B01F05">
              <w:rPr>
                <w:rFonts w:ascii="Arial" w:hAnsi="Arial" w:cs="Arial"/>
                <w:sz w:val="20"/>
                <w:szCs w:val="20"/>
              </w:rPr>
              <w:t xml:space="preserve">which was the highest point this year </w:t>
            </w:r>
            <w:r w:rsidR="007A07E0">
              <w:rPr>
                <w:rFonts w:ascii="Arial" w:hAnsi="Arial" w:cs="Arial"/>
                <w:sz w:val="20"/>
                <w:szCs w:val="20"/>
              </w:rPr>
              <w:t>referrals were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128.2% </w:t>
            </w:r>
            <w:r w:rsidR="007A07E0">
              <w:rPr>
                <w:rFonts w:ascii="Arial" w:hAnsi="Arial" w:cs="Arial"/>
                <w:sz w:val="20"/>
                <w:szCs w:val="20"/>
              </w:rPr>
              <w:t>above the 12-month average</w:t>
            </w:r>
            <w:r w:rsidR="000764CD">
              <w:rPr>
                <w:rFonts w:ascii="Arial" w:hAnsi="Arial" w:cs="Arial"/>
                <w:sz w:val="20"/>
                <w:szCs w:val="20"/>
              </w:rPr>
              <w:t xml:space="preserve"> with 27 referrals being received against an average of 12. </w:t>
            </w:r>
          </w:p>
          <w:p w14:paraId="3A56D49A" w14:textId="5C491FC4" w:rsidR="00EB5657" w:rsidRPr="00A1564C" w:rsidRDefault="00EB5657" w:rsidP="00B77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7B" w:rsidRPr="00E82AA6" w14:paraId="6B17A8A1" w14:textId="77777777" w:rsidTr="0E88C2C5">
        <w:tc>
          <w:tcPr>
            <w:tcW w:w="1895" w:type="dxa"/>
          </w:tcPr>
          <w:p w14:paraId="75D96922" w14:textId="1363BCA1" w:rsidR="00E76043" w:rsidRDefault="01E8E3EE" w:rsidP="00825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607E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Oxon &amp; </w:t>
            </w:r>
            <w:r w:rsidR="3533357A" w:rsidRPr="2607E0E5">
              <w:rPr>
                <w:rFonts w:ascii="Arial" w:hAnsi="Arial" w:cs="Arial"/>
                <w:b/>
                <w:bCs/>
                <w:sz w:val="20"/>
                <w:szCs w:val="20"/>
              </w:rPr>
              <w:t>BSW</w:t>
            </w:r>
            <w:r w:rsidR="00E76043" w:rsidRPr="2607E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Community Eating Disorders</w:t>
            </w:r>
          </w:p>
        </w:tc>
        <w:tc>
          <w:tcPr>
            <w:tcW w:w="1324" w:type="dxa"/>
          </w:tcPr>
          <w:p w14:paraId="30A33F94" w14:textId="77777777" w:rsidR="00E76043" w:rsidRDefault="00E76043" w:rsidP="00825C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Received referrals</w:t>
            </w:r>
          </w:p>
        </w:tc>
        <w:tc>
          <w:tcPr>
            <w:tcW w:w="3444" w:type="dxa"/>
          </w:tcPr>
          <w:p w14:paraId="4D830A40" w14:textId="77777777" w:rsidR="00E76043" w:rsidRDefault="00961B95" w:rsidP="00825CC3">
            <w:pPr>
              <w:jc w:val="both"/>
              <w:rPr>
                <w:noProof/>
              </w:rPr>
            </w:pPr>
            <w:r w:rsidRPr="0034679E">
              <w:rPr>
                <w:rFonts w:ascii="Arial" w:hAnsi="Arial" w:cs="Arial"/>
                <w:b/>
                <w:sz w:val="20"/>
                <w:szCs w:val="20"/>
              </w:rPr>
              <w:t>CAMHs:</w:t>
            </w:r>
          </w:p>
          <w:p w14:paraId="01CADEEC" w14:textId="01A995AE" w:rsidR="00E76043" w:rsidRDefault="00DD157B" w:rsidP="00825CC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FE3B7" wp14:editId="1FE171B1">
                  <wp:extent cx="2209165" cy="1116460"/>
                  <wp:effectExtent l="0" t="0" r="635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111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14:paraId="4F88BAE9" w14:textId="702B3FD5" w:rsidR="00E76043" w:rsidRDefault="00906EDD" w:rsidP="00825C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7A53D2C">
              <w:rPr>
                <w:rFonts w:ascii="Arial" w:hAnsi="Arial" w:cs="Arial"/>
                <w:sz w:val="20"/>
                <w:szCs w:val="20"/>
              </w:rPr>
              <w:t>As with Buckinghamshire Directorate the Oxfordshire</w:t>
            </w:r>
            <w:r w:rsidR="26E5D564" w:rsidRPr="37A53D2C">
              <w:rPr>
                <w:rFonts w:ascii="Arial" w:hAnsi="Arial" w:cs="Arial"/>
                <w:sz w:val="20"/>
                <w:szCs w:val="20"/>
              </w:rPr>
              <w:t xml:space="preserve"> &amp; BSW</w:t>
            </w:r>
            <w:r w:rsidRPr="37A53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043" w:rsidRPr="37A53D2C">
              <w:rPr>
                <w:rFonts w:ascii="Arial" w:hAnsi="Arial" w:cs="Arial"/>
                <w:b/>
                <w:bCs/>
                <w:sz w:val="20"/>
                <w:szCs w:val="20"/>
              </w:rPr>
              <w:t>CAMHS</w:t>
            </w:r>
            <w:r w:rsidR="00E76043" w:rsidRPr="37A53D2C">
              <w:rPr>
                <w:rFonts w:ascii="Arial" w:hAnsi="Arial" w:cs="Arial"/>
                <w:sz w:val="20"/>
                <w:szCs w:val="20"/>
              </w:rPr>
              <w:t xml:space="preserve"> Eating Disorder Service has </w:t>
            </w:r>
            <w:r w:rsidR="00517460" w:rsidRPr="37A53D2C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E76043" w:rsidRPr="37A53D2C">
              <w:rPr>
                <w:rFonts w:ascii="Arial" w:hAnsi="Arial" w:cs="Arial"/>
                <w:sz w:val="20"/>
                <w:szCs w:val="20"/>
              </w:rPr>
              <w:t xml:space="preserve">seen an increase in referrals this year.  In </w:t>
            </w:r>
            <w:r w:rsidR="000925F4">
              <w:rPr>
                <w:rFonts w:ascii="Arial" w:hAnsi="Arial" w:cs="Arial"/>
                <w:sz w:val="20"/>
                <w:szCs w:val="20"/>
              </w:rPr>
              <w:t>Q3</w:t>
            </w:r>
            <w:r w:rsidR="00102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043" w:rsidRPr="37A53D2C">
              <w:rPr>
                <w:rFonts w:ascii="Arial" w:hAnsi="Arial" w:cs="Arial"/>
                <w:sz w:val="20"/>
                <w:szCs w:val="20"/>
              </w:rPr>
              <w:t xml:space="preserve">referrals were </w:t>
            </w:r>
            <w:r w:rsidR="00102BD7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="008F194E" w:rsidRPr="37A53D2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E76043" w:rsidRPr="37A53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6043" w:rsidRPr="37A53D2C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102BD7">
              <w:rPr>
                <w:rFonts w:ascii="Arial" w:hAnsi="Arial" w:cs="Arial"/>
                <w:sz w:val="20"/>
                <w:szCs w:val="20"/>
              </w:rPr>
              <w:t>levels Q3 last year.</w:t>
            </w:r>
          </w:p>
          <w:p w14:paraId="5ED6A227" w14:textId="399E34AF" w:rsidR="00961B95" w:rsidRPr="00A1564C" w:rsidRDefault="00961B95" w:rsidP="002B1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4F72C" w14:textId="69B75C57" w:rsidR="00832E3D" w:rsidRDefault="00832E3D" w:rsidP="00BD419E">
      <w:pPr>
        <w:spacing w:after="0" w:line="240" w:lineRule="auto"/>
        <w:ind w:left="-567"/>
        <w:jc w:val="both"/>
        <w:rPr>
          <w:rFonts w:ascii="Segoe UI" w:hAnsi="Segoe UI" w:cs="Segoe UI"/>
          <w:b/>
          <w:bCs/>
        </w:rPr>
        <w:sectPr w:rsidR="00832E3D" w:rsidSect="00FE3DBB">
          <w:headerReference w:type="default" r:id="rId2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552C2BD" w14:textId="77777777" w:rsidR="009702C6" w:rsidRDefault="009702C6" w:rsidP="00CF5AD2">
      <w:pPr>
        <w:spacing w:after="0" w:line="240" w:lineRule="auto"/>
        <w:ind w:left="-851"/>
        <w:jc w:val="both"/>
        <w:rPr>
          <w:rFonts w:ascii="Segoe UI" w:hAnsi="Segoe UI" w:cs="Segoe UI"/>
          <w:b/>
          <w:bCs/>
        </w:rPr>
      </w:pPr>
    </w:p>
    <w:p w14:paraId="32EFC2F8" w14:textId="6472D951" w:rsidR="00832E3D" w:rsidRPr="00BD419E" w:rsidRDefault="001B2E07" w:rsidP="000708B7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BD419E">
        <w:rPr>
          <w:rFonts w:ascii="Arial" w:hAnsi="Arial" w:cs="Arial"/>
          <w:b/>
          <w:sz w:val="24"/>
          <w:szCs w:val="24"/>
        </w:rPr>
        <w:t>3.</w:t>
      </w:r>
      <w:r w:rsidR="00BD419E">
        <w:rPr>
          <w:rFonts w:ascii="Arial" w:hAnsi="Arial" w:cs="Arial"/>
          <w:b/>
          <w:bCs/>
          <w:sz w:val="24"/>
          <w:szCs w:val="24"/>
        </w:rPr>
        <w:t>3</w:t>
      </w:r>
      <w:r w:rsidRPr="00BD419E">
        <w:rPr>
          <w:rFonts w:ascii="Arial" w:hAnsi="Arial" w:cs="Arial"/>
          <w:b/>
          <w:sz w:val="24"/>
          <w:szCs w:val="24"/>
        </w:rPr>
        <w:t xml:space="preserve"> Directorate headlines</w:t>
      </w:r>
    </w:p>
    <w:p w14:paraId="3FEA67E3" w14:textId="1EA04782" w:rsidR="000708B7" w:rsidRPr="00BD419E" w:rsidRDefault="000708B7" w:rsidP="000708B7">
      <w:pPr>
        <w:spacing w:after="0" w:line="240" w:lineRule="auto"/>
        <w:ind w:left="-851"/>
        <w:jc w:val="both"/>
        <w:rPr>
          <w:rFonts w:ascii="Arial" w:hAnsi="Arial" w:cs="Arial"/>
          <w:b/>
          <w:sz w:val="24"/>
          <w:szCs w:val="24"/>
        </w:rPr>
      </w:pPr>
    </w:p>
    <w:p w14:paraId="05E40A1E" w14:textId="08E14E94" w:rsidR="000708B7" w:rsidRPr="00BD419E" w:rsidRDefault="000708B7" w:rsidP="000708B7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  <w:u w:val="single"/>
        </w:rPr>
      </w:pPr>
      <w:r w:rsidRPr="00BD419E">
        <w:rPr>
          <w:rFonts w:ascii="Arial" w:hAnsi="Arial" w:cs="Arial"/>
          <w:sz w:val="24"/>
          <w:szCs w:val="24"/>
        </w:rPr>
        <w:t xml:space="preserve">Please note that this information relates only to services on </w:t>
      </w:r>
      <w:proofErr w:type="spellStart"/>
      <w:r w:rsidRPr="00BD419E">
        <w:rPr>
          <w:rFonts w:ascii="Arial" w:hAnsi="Arial" w:cs="Arial"/>
          <w:sz w:val="24"/>
          <w:szCs w:val="24"/>
        </w:rPr>
        <w:t>Carenotes</w:t>
      </w:r>
      <w:proofErr w:type="spellEnd"/>
      <w:r w:rsidRPr="00BD419E">
        <w:rPr>
          <w:rFonts w:ascii="Arial" w:hAnsi="Arial" w:cs="Arial"/>
          <w:sz w:val="24"/>
          <w:szCs w:val="24"/>
        </w:rPr>
        <w:t xml:space="preserve">.  Services not included </w:t>
      </w:r>
      <w:r w:rsidR="3718CB6F" w:rsidRPr="1B4BCB52">
        <w:rPr>
          <w:rFonts w:ascii="Arial" w:hAnsi="Arial" w:cs="Arial"/>
          <w:sz w:val="24"/>
          <w:szCs w:val="24"/>
        </w:rPr>
        <w:t>at the present time</w:t>
      </w:r>
      <w:r w:rsidRPr="1B4BCB52">
        <w:rPr>
          <w:rFonts w:ascii="Arial" w:hAnsi="Arial" w:cs="Arial"/>
          <w:sz w:val="24"/>
          <w:szCs w:val="24"/>
        </w:rPr>
        <w:t xml:space="preserve"> </w:t>
      </w:r>
      <w:r w:rsidRPr="00BD419E">
        <w:rPr>
          <w:rFonts w:ascii="Arial" w:hAnsi="Arial" w:cs="Arial"/>
          <w:sz w:val="24"/>
          <w:szCs w:val="24"/>
        </w:rPr>
        <w:t xml:space="preserve">are: </w:t>
      </w:r>
      <w:r w:rsidRPr="1B4BCB52">
        <w:rPr>
          <w:rFonts w:ascii="Arial" w:hAnsi="Arial" w:cs="Arial"/>
          <w:sz w:val="24"/>
          <w:szCs w:val="24"/>
          <w:u w:val="single"/>
        </w:rPr>
        <w:t>Out of hours, Dental and IAPT</w:t>
      </w:r>
    </w:p>
    <w:p w14:paraId="38863D6B" w14:textId="77777777" w:rsidR="000708B7" w:rsidRPr="000708B7" w:rsidRDefault="000708B7" w:rsidP="000708B7">
      <w:pPr>
        <w:spacing w:after="0" w:line="240" w:lineRule="auto"/>
        <w:ind w:left="-851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3330"/>
        <w:gridCol w:w="3758"/>
        <w:gridCol w:w="3827"/>
        <w:gridCol w:w="3402"/>
      </w:tblGrid>
      <w:tr w:rsidR="006A20B9" w14:paraId="132132E1" w14:textId="77777777" w:rsidTr="0E88C2C5">
        <w:tc>
          <w:tcPr>
            <w:tcW w:w="1560" w:type="dxa"/>
            <w:shd w:val="clear" w:color="auto" w:fill="D9E2F3" w:themeFill="accent1" w:themeFillTint="33"/>
          </w:tcPr>
          <w:p w14:paraId="59FA5667" w14:textId="52BB7653" w:rsidR="00832E3D" w:rsidRPr="00BD419E" w:rsidRDefault="00832E3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Currency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73D18874" w14:textId="04638AC4" w:rsidR="00832E3D" w:rsidRPr="00BD419E" w:rsidRDefault="00832E3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3758" w:type="dxa"/>
            <w:shd w:val="clear" w:color="auto" w:fill="D9E2F3" w:themeFill="accent1" w:themeFillTint="33"/>
          </w:tcPr>
          <w:p w14:paraId="486CBE94" w14:textId="0DF6EB9B" w:rsidR="00832E3D" w:rsidRPr="00BD419E" w:rsidRDefault="00832E3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Oxon/BSW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DC0972F" w14:textId="45F4FEB2" w:rsidR="00832E3D" w:rsidRPr="00BD419E" w:rsidRDefault="00832E3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Bucks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0ED81819" w14:textId="0514C186" w:rsidR="00832E3D" w:rsidRPr="00BD419E" w:rsidRDefault="00832E3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Specialised</w:t>
            </w:r>
          </w:p>
        </w:tc>
      </w:tr>
      <w:tr w:rsidR="006A20B9" w14:paraId="0EDA6202" w14:textId="77777777" w:rsidTr="0E88C2C5">
        <w:tc>
          <w:tcPr>
            <w:tcW w:w="1560" w:type="dxa"/>
          </w:tcPr>
          <w:p w14:paraId="7BA99343" w14:textId="0A9B8079" w:rsidR="00832E3D" w:rsidRPr="00BD419E" w:rsidRDefault="00832E3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Referrals</w:t>
            </w:r>
          </w:p>
        </w:tc>
        <w:tc>
          <w:tcPr>
            <w:tcW w:w="3330" w:type="dxa"/>
          </w:tcPr>
          <w:p w14:paraId="33837404" w14:textId="4BFDE4BE" w:rsidR="00832E3D" w:rsidRPr="00BD419E" w:rsidRDefault="004D2608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3D3B77" wp14:editId="3F278CD8">
                  <wp:extent cx="1977390" cy="95631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55068EE6" w14:textId="398DE53A" w:rsidR="00832E3D" w:rsidRPr="00BD419E" w:rsidRDefault="00BF6E74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9FB0AC" wp14:editId="4AC946F6">
                  <wp:extent cx="2225812" cy="1028700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812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C042DE2" w14:textId="442962E4" w:rsidR="00832E3D" w:rsidRPr="00BD419E" w:rsidRDefault="00351CB6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C3A02B" wp14:editId="6B0F586D">
                  <wp:extent cx="2292985" cy="109982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7A4F866" w14:textId="31A92004" w:rsidR="00832E3D" w:rsidRPr="00BD419E" w:rsidRDefault="001C0DA8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3DF89E" wp14:editId="02A90D14">
                  <wp:extent cx="2023110" cy="989330"/>
                  <wp:effectExtent l="0" t="0" r="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0B9" w14:paraId="43029DE7" w14:textId="77777777" w:rsidTr="0E88C2C5">
        <w:tc>
          <w:tcPr>
            <w:tcW w:w="1560" w:type="dxa"/>
            <w:shd w:val="clear" w:color="auto" w:fill="DEEAF6" w:themeFill="accent5" w:themeFillTint="33"/>
          </w:tcPr>
          <w:p w14:paraId="02B74181" w14:textId="4098876A" w:rsidR="00485C60" w:rsidRPr="00BD419E" w:rsidRDefault="00485C60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Commentary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4B58AD35" w14:textId="6BCAD339" w:rsidR="00485C60" w:rsidRPr="00BD419E" w:rsidRDefault="00A936A9" w:rsidP="0012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Referrals in December decreased </w:t>
            </w:r>
            <w:r w:rsidR="00F360DD">
              <w:rPr>
                <w:rFonts w:ascii="Arial" w:hAnsi="Arial" w:cs="Arial"/>
                <w:sz w:val="20"/>
                <w:szCs w:val="20"/>
              </w:rPr>
              <w:t xml:space="preserve">compared to the volumes of recent </w:t>
            </w:r>
            <w:r w:rsidR="00F61663">
              <w:rPr>
                <w:rFonts w:ascii="Arial" w:hAnsi="Arial" w:cs="Arial"/>
                <w:sz w:val="20"/>
                <w:szCs w:val="20"/>
              </w:rPr>
              <w:t>months</w:t>
            </w:r>
            <w:r w:rsidR="00014698">
              <w:rPr>
                <w:rFonts w:ascii="Arial" w:hAnsi="Arial" w:cs="Arial"/>
                <w:sz w:val="20"/>
                <w:szCs w:val="20"/>
              </w:rPr>
              <w:t>.</w:t>
            </w:r>
            <w:r w:rsidR="00214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>Overall,</w:t>
            </w:r>
            <w:r w:rsidR="00214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2FF">
              <w:rPr>
                <w:rFonts w:ascii="Arial" w:hAnsi="Arial" w:cs="Arial"/>
                <w:sz w:val="20"/>
                <w:szCs w:val="20"/>
              </w:rPr>
              <w:t>Q3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260" w:rsidRPr="00BD419E">
              <w:rPr>
                <w:rFonts w:ascii="Arial" w:hAnsi="Arial" w:cs="Arial"/>
                <w:sz w:val="20"/>
                <w:szCs w:val="20"/>
              </w:rPr>
              <w:t>referrals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were</w:t>
            </w:r>
            <w:r w:rsidR="00F61663">
              <w:rPr>
                <w:rFonts w:ascii="Arial" w:hAnsi="Arial" w:cs="Arial"/>
                <w:sz w:val="20"/>
                <w:szCs w:val="20"/>
              </w:rPr>
              <w:t xml:space="preserve"> higher than in previous years</w:t>
            </w:r>
            <w:r w:rsidR="001229EE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239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6E439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06B79" w:rsidRPr="00BD419E">
              <w:rPr>
                <w:rFonts w:ascii="Arial" w:hAnsi="Arial" w:cs="Arial"/>
                <w:b/>
                <w:sz w:val="20"/>
                <w:szCs w:val="20"/>
              </w:rPr>
              <w:t>% higher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than </w:t>
            </w:r>
            <w:r w:rsidR="007E4239">
              <w:rPr>
                <w:rFonts w:ascii="Arial" w:hAnsi="Arial" w:cs="Arial"/>
                <w:sz w:val="20"/>
                <w:szCs w:val="20"/>
              </w:rPr>
              <w:t>Q3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239">
              <w:rPr>
                <w:rFonts w:ascii="Arial" w:hAnsi="Arial" w:cs="Arial"/>
                <w:sz w:val="20"/>
                <w:szCs w:val="20"/>
              </w:rPr>
              <w:t>last year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8" w:type="dxa"/>
            <w:shd w:val="clear" w:color="auto" w:fill="DEEAF6" w:themeFill="accent5" w:themeFillTint="33"/>
          </w:tcPr>
          <w:p w14:paraId="23F99EB4" w14:textId="653F0190" w:rsidR="00485C60" w:rsidRPr="00BD419E" w:rsidRDefault="006A20B9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 xml:space="preserve">Referrals </w:t>
            </w:r>
            <w:r w:rsidR="002D3B74">
              <w:rPr>
                <w:rFonts w:ascii="Arial" w:hAnsi="Arial" w:cs="Arial"/>
                <w:sz w:val="20"/>
                <w:szCs w:val="20"/>
              </w:rPr>
              <w:t>contin</w:t>
            </w:r>
            <w:r w:rsidR="00014698">
              <w:rPr>
                <w:rFonts w:ascii="Arial" w:hAnsi="Arial" w:cs="Arial"/>
                <w:sz w:val="20"/>
                <w:szCs w:val="20"/>
              </w:rPr>
              <w:t xml:space="preserve">ue to follow the seasonal trend of previous years.  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Overall referrals in </w:t>
            </w:r>
            <w:r w:rsidR="006E439E">
              <w:rPr>
                <w:rFonts w:ascii="Arial" w:hAnsi="Arial" w:cs="Arial"/>
                <w:sz w:val="20"/>
                <w:szCs w:val="20"/>
              </w:rPr>
              <w:t>Q3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="00E658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06B79" w:rsidRPr="00BD419E">
              <w:rPr>
                <w:rFonts w:ascii="Arial" w:hAnsi="Arial" w:cs="Arial"/>
                <w:b/>
                <w:sz w:val="20"/>
                <w:szCs w:val="20"/>
              </w:rPr>
              <w:t xml:space="preserve">% higher </w:t>
            </w:r>
            <w:r w:rsidR="00A06B79" w:rsidRPr="00E65819">
              <w:rPr>
                <w:rFonts w:ascii="Arial" w:hAnsi="Arial" w:cs="Arial"/>
                <w:bCs/>
                <w:sz w:val="20"/>
                <w:szCs w:val="20"/>
              </w:rPr>
              <w:t>than</w:t>
            </w:r>
            <w:r w:rsidR="00E65819" w:rsidRPr="00E65819">
              <w:rPr>
                <w:rFonts w:ascii="Arial" w:hAnsi="Arial" w:cs="Arial"/>
                <w:bCs/>
                <w:sz w:val="20"/>
                <w:szCs w:val="20"/>
              </w:rPr>
              <w:t xml:space="preserve"> Q3 last year</w:t>
            </w:r>
            <w:r w:rsidR="00A06B79" w:rsidRPr="00BD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8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3A4A1EB5" w14:textId="31373045" w:rsidR="00485C60" w:rsidRPr="00BD419E" w:rsidRDefault="006A20B9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>Simi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>la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r to Oxon, referrals have been back at 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>usual levels to last year and have followed a similar trend.</w:t>
            </w:r>
            <w:r w:rsidR="00005A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Overall referrals in </w:t>
            </w:r>
            <w:r w:rsidR="007654DA">
              <w:rPr>
                <w:rFonts w:ascii="Arial" w:hAnsi="Arial" w:cs="Arial"/>
                <w:sz w:val="20"/>
                <w:szCs w:val="20"/>
              </w:rPr>
              <w:t>Q3 were</w:t>
            </w:r>
            <w:r w:rsidR="00A06B79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38EC" w:rsidRPr="003B38EC">
              <w:rPr>
                <w:rFonts w:ascii="Arial" w:hAnsi="Arial" w:cs="Arial"/>
                <w:b/>
                <w:bCs/>
                <w:sz w:val="20"/>
                <w:szCs w:val="20"/>
              </w:rPr>
              <w:t>3.8</w:t>
            </w:r>
            <w:r w:rsidR="00A06B79" w:rsidRPr="003B38E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A06B79" w:rsidRPr="00BD419E">
              <w:rPr>
                <w:rFonts w:ascii="Arial" w:hAnsi="Arial" w:cs="Arial"/>
                <w:b/>
                <w:sz w:val="20"/>
                <w:szCs w:val="20"/>
              </w:rPr>
              <w:t xml:space="preserve"> higher </w:t>
            </w:r>
            <w:r w:rsidR="00A06B79" w:rsidRPr="003B38EC">
              <w:rPr>
                <w:rFonts w:ascii="Arial" w:hAnsi="Arial" w:cs="Arial"/>
                <w:bCs/>
                <w:sz w:val="20"/>
                <w:szCs w:val="20"/>
              </w:rPr>
              <w:t xml:space="preserve">than </w:t>
            </w:r>
            <w:r w:rsidR="007654DA" w:rsidRPr="003B38EC">
              <w:rPr>
                <w:rFonts w:ascii="Arial" w:hAnsi="Arial" w:cs="Arial"/>
                <w:bCs/>
                <w:sz w:val="20"/>
                <w:szCs w:val="20"/>
              </w:rPr>
              <w:t>Q3 last</w:t>
            </w:r>
            <w:r w:rsidR="00A06B79" w:rsidRPr="003B38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38EC" w:rsidRPr="003B38EC">
              <w:rPr>
                <w:rFonts w:ascii="Arial" w:hAnsi="Arial" w:cs="Arial"/>
                <w:bCs/>
                <w:sz w:val="20"/>
                <w:szCs w:val="20"/>
              </w:rPr>
              <w:t>year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888CBE3" w14:textId="4EBFD7C0" w:rsidR="00485C60" w:rsidRPr="00BD419E" w:rsidRDefault="00CF5AD2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 xml:space="preserve">Overall, referrals have remained in line with usual levels </w:t>
            </w:r>
            <w:r w:rsidR="00D618D3">
              <w:rPr>
                <w:rFonts w:ascii="Arial" w:hAnsi="Arial" w:cs="Arial"/>
                <w:sz w:val="20"/>
                <w:szCs w:val="20"/>
              </w:rPr>
              <w:t xml:space="preserve">Q3 referrals were </w:t>
            </w:r>
            <w:r w:rsidR="00D618D3" w:rsidRPr="00D63B65">
              <w:rPr>
                <w:rFonts w:ascii="Arial" w:hAnsi="Arial" w:cs="Arial"/>
                <w:b/>
                <w:bCs/>
                <w:sz w:val="20"/>
                <w:szCs w:val="20"/>
              </w:rPr>
              <w:t>5.5%</w:t>
            </w:r>
            <w:r w:rsidR="00D61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8EE">
              <w:rPr>
                <w:rFonts w:ascii="Arial" w:hAnsi="Arial" w:cs="Arial"/>
                <w:sz w:val="20"/>
                <w:szCs w:val="20"/>
              </w:rPr>
              <w:t xml:space="preserve">(10 referrals) </w:t>
            </w:r>
            <w:r w:rsidR="00D618D3" w:rsidRPr="00D63B65">
              <w:rPr>
                <w:rFonts w:ascii="Arial" w:hAnsi="Arial" w:cs="Arial"/>
                <w:b/>
                <w:bCs/>
                <w:sz w:val="20"/>
                <w:szCs w:val="20"/>
              </w:rPr>
              <w:t>higher</w:t>
            </w:r>
            <w:r w:rsidR="00D618D3">
              <w:rPr>
                <w:rFonts w:ascii="Arial" w:hAnsi="Arial" w:cs="Arial"/>
                <w:sz w:val="20"/>
                <w:szCs w:val="20"/>
              </w:rPr>
              <w:t xml:space="preserve"> than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B65">
              <w:rPr>
                <w:rFonts w:ascii="Arial" w:hAnsi="Arial" w:cs="Arial"/>
                <w:sz w:val="20"/>
                <w:szCs w:val="20"/>
              </w:rPr>
              <w:t>year Q3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20B9" w14:paraId="346FEB8A" w14:textId="77777777" w:rsidTr="0E88C2C5">
        <w:tc>
          <w:tcPr>
            <w:tcW w:w="1560" w:type="dxa"/>
          </w:tcPr>
          <w:p w14:paraId="6AEEB16E" w14:textId="2F0D626C" w:rsidR="00832E3D" w:rsidRPr="00BD419E" w:rsidRDefault="00485C60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Attended appointments</w:t>
            </w:r>
          </w:p>
        </w:tc>
        <w:tc>
          <w:tcPr>
            <w:tcW w:w="3330" w:type="dxa"/>
          </w:tcPr>
          <w:p w14:paraId="6219A678" w14:textId="3EA6C76B" w:rsidR="00832E3D" w:rsidRPr="00BD419E" w:rsidRDefault="004728CB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3D3368" wp14:editId="365ADF03">
                  <wp:extent cx="1977390" cy="1107440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</w:tcPr>
          <w:p w14:paraId="0D143DD0" w14:textId="300AD7B9" w:rsidR="00832E3D" w:rsidRPr="00BD419E" w:rsidRDefault="0096763C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029C84" wp14:editId="3B598687">
                  <wp:extent cx="2249170" cy="1099185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3213039" w14:textId="69EC985C" w:rsidR="00832E3D" w:rsidRPr="00BD419E" w:rsidRDefault="004214AD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DF5F0" wp14:editId="36A9FEFC">
                  <wp:extent cx="2292985" cy="11658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C93FD79" w14:textId="7B60E15A" w:rsidR="00832E3D" w:rsidRPr="00BD419E" w:rsidRDefault="006A20B9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B23481" wp14:editId="2F508DA4">
                  <wp:extent cx="2013470" cy="10439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47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0B9" w14:paraId="4FBE6378" w14:textId="77777777" w:rsidTr="0E88C2C5">
        <w:tc>
          <w:tcPr>
            <w:tcW w:w="1560" w:type="dxa"/>
            <w:shd w:val="clear" w:color="auto" w:fill="DEEAF6" w:themeFill="accent5" w:themeFillTint="33"/>
          </w:tcPr>
          <w:p w14:paraId="3D061B8F" w14:textId="150E5D92" w:rsidR="006A20B9" w:rsidRPr="00BD419E" w:rsidRDefault="00CF5AD2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Commentary</w:t>
            </w:r>
          </w:p>
        </w:tc>
        <w:tc>
          <w:tcPr>
            <w:tcW w:w="3330" w:type="dxa"/>
            <w:shd w:val="clear" w:color="auto" w:fill="DEEAF6" w:themeFill="accent5" w:themeFillTint="33"/>
          </w:tcPr>
          <w:p w14:paraId="2E5C0448" w14:textId="45C1A933" w:rsidR="000708B7" w:rsidRPr="00BD419E" w:rsidRDefault="003F6A60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 xml:space="preserve">espite </w:t>
            </w:r>
            <w:r w:rsidR="00730483">
              <w:rPr>
                <w:rFonts w:ascii="Arial" w:hAnsi="Arial" w:cs="Arial"/>
                <w:sz w:val="20"/>
                <w:szCs w:val="20"/>
              </w:rPr>
              <w:t>the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 xml:space="preserve"> increase in referrals above usual levels, </w:t>
            </w:r>
            <w:r w:rsidR="004673E4">
              <w:rPr>
                <w:rFonts w:ascii="Arial" w:hAnsi="Arial" w:cs="Arial"/>
                <w:sz w:val="20"/>
                <w:szCs w:val="20"/>
              </w:rPr>
              <w:t>activity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 xml:space="preserve"> remain</w:t>
            </w:r>
            <w:r w:rsidR="004673E4">
              <w:rPr>
                <w:rFonts w:ascii="Arial" w:hAnsi="Arial" w:cs="Arial"/>
                <w:sz w:val="20"/>
                <w:szCs w:val="20"/>
              </w:rPr>
              <w:t>s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483">
              <w:rPr>
                <w:rFonts w:ascii="Arial" w:hAnsi="Arial" w:cs="Arial"/>
                <w:sz w:val="20"/>
                <w:szCs w:val="20"/>
              </w:rPr>
              <w:t xml:space="preserve">at normal 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>for this time of year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D1A93">
              <w:rPr>
                <w:rFonts w:ascii="Arial" w:hAnsi="Arial" w:cs="Arial"/>
                <w:sz w:val="20"/>
                <w:szCs w:val="20"/>
              </w:rPr>
              <w:t>In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50698">
              <w:rPr>
                <w:rFonts w:ascii="Arial" w:hAnsi="Arial" w:cs="Arial"/>
                <w:sz w:val="20"/>
                <w:szCs w:val="20"/>
              </w:rPr>
              <w:t>Q3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3BD">
              <w:rPr>
                <w:rFonts w:ascii="Arial" w:hAnsi="Arial" w:cs="Arial"/>
                <w:sz w:val="20"/>
                <w:szCs w:val="20"/>
              </w:rPr>
              <w:t>activity was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698">
              <w:rPr>
                <w:rFonts w:ascii="Arial" w:hAnsi="Arial" w:cs="Arial"/>
                <w:b/>
                <w:sz w:val="20"/>
                <w:szCs w:val="20"/>
              </w:rPr>
              <w:t>0.6</w:t>
            </w:r>
            <w:r w:rsidR="000708B7" w:rsidRPr="00BD419E">
              <w:rPr>
                <w:rFonts w:ascii="Arial" w:hAnsi="Arial" w:cs="Arial"/>
                <w:b/>
                <w:sz w:val="20"/>
                <w:szCs w:val="20"/>
              </w:rPr>
              <w:t>% hig</w:t>
            </w:r>
            <w:r w:rsidR="00D622C8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708B7" w:rsidRPr="00BD419E">
              <w:rPr>
                <w:rFonts w:ascii="Arial" w:hAnsi="Arial" w:cs="Arial"/>
                <w:b/>
                <w:sz w:val="20"/>
                <w:szCs w:val="20"/>
              </w:rPr>
              <w:t xml:space="preserve">er than </w:t>
            </w:r>
            <w:r w:rsidR="00750698">
              <w:rPr>
                <w:rFonts w:ascii="Arial" w:hAnsi="Arial" w:cs="Arial"/>
                <w:b/>
                <w:sz w:val="20"/>
                <w:szCs w:val="20"/>
              </w:rPr>
              <w:t>Q3 last year</w:t>
            </w:r>
          </w:p>
        </w:tc>
        <w:tc>
          <w:tcPr>
            <w:tcW w:w="3758" w:type="dxa"/>
            <w:shd w:val="clear" w:color="auto" w:fill="DEEAF6" w:themeFill="accent5" w:themeFillTint="33"/>
          </w:tcPr>
          <w:p w14:paraId="1B1D1500" w14:textId="26E662E0" w:rsidR="006A20B9" w:rsidRPr="00BD419E" w:rsidRDefault="004673E4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</w:t>
            </w:r>
            <w:r w:rsidR="00CF5AD2" w:rsidRPr="00BD419E">
              <w:rPr>
                <w:rFonts w:ascii="Arial" w:hAnsi="Arial" w:cs="Arial"/>
                <w:sz w:val="20"/>
                <w:szCs w:val="20"/>
              </w:rPr>
              <w:t xml:space="preserve">YTD has been higher than usual compared to the last two years.  </w:t>
            </w:r>
            <w:r w:rsidR="00C21FF0">
              <w:rPr>
                <w:rFonts w:ascii="Arial" w:hAnsi="Arial" w:cs="Arial"/>
                <w:sz w:val="20"/>
                <w:szCs w:val="20"/>
              </w:rPr>
              <w:t xml:space="preserve">Despite </w:t>
            </w:r>
            <w:r w:rsidR="0096763C">
              <w:rPr>
                <w:rFonts w:ascii="Arial" w:hAnsi="Arial" w:cs="Arial"/>
                <w:sz w:val="20"/>
                <w:szCs w:val="20"/>
              </w:rPr>
              <w:t>December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activity </w:t>
            </w:r>
            <w:r w:rsidR="00C21FF0">
              <w:rPr>
                <w:rFonts w:ascii="Arial" w:hAnsi="Arial" w:cs="Arial"/>
                <w:sz w:val="20"/>
                <w:szCs w:val="20"/>
              </w:rPr>
              <w:t>being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C9F" w:rsidRPr="00E27C9F">
              <w:rPr>
                <w:rFonts w:ascii="Arial" w:hAnsi="Arial" w:cs="Arial"/>
                <w:sz w:val="20"/>
                <w:szCs w:val="20"/>
              </w:rPr>
              <w:t xml:space="preserve">lowerQ3 overall was </w:t>
            </w:r>
            <w:r w:rsidR="00E27C9F" w:rsidRPr="00E27C9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75B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27C9F" w:rsidRPr="00E27C9F">
              <w:rPr>
                <w:rFonts w:ascii="Arial" w:hAnsi="Arial" w:cs="Arial"/>
                <w:b/>
                <w:bCs/>
                <w:sz w:val="20"/>
                <w:szCs w:val="20"/>
              </w:rPr>
              <w:t>% higher</w:t>
            </w:r>
            <w:r w:rsidR="00E27C9F" w:rsidRPr="00E27C9F">
              <w:rPr>
                <w:rFonts w:ascii="Arial" w:hAnsi="Arial" w:cs="Arial"/>
                <w:sz w:val="20"/>
                <w:szCs w:val="20"/>
              </w:rPr>
              <w:t xml:space="preserve"> than Q3</w:t>
            </w:r>
            <w:r w:rsidR="00E27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45BB687B" w14:textId="1CA24271" w:rsidR="006A20B9" w:rsidRPr="00BD419E" w:rsidRDefault="00CF5AD2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 xml:space="preserve">Similar to Oxon, appointment activity YTD has been </w:t>
            </w:r>
            <w:r w:rsidR="004214AD" w:rsidRPr="00BD419E">
              <w:rPr>
                <w:rFonts w:ascii="Arial" w:hAnsi="Arial" w:cs="Arial"/>
                <w:sz w:val="20"/>
                <w:szCs w:val="20"/>
              </w:rPr>
              <w:t>significantly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higher than usual compared to the last two years.  </w:t>
            </w:r>
            <w:r w:rsidR="00C54570">
              <w:rPr>
                <w:rFonts w:ascii="Arial" w:hAnsi="Arial" w:cs="Arial"/>
                <w:sz w:val="20"/>
                <w:szCs w:val="20"/>
              </w:rPr>
              <w:t>Q3</w:t>
            </w:r>
            <w:r w:rsidR="000708B7" w:rsidRPr="00BD419E">
              <w:rPr>
                <w:rFonts w:ascii="Arial" w:hAnsi="Arial" w:cs="Arial"/>
                <w:sz w:val="20"/>
                <w:szCs w:val="20"/>
              </w:rPr>
              <w:t xml:space="preserve"> activity was </w:t>
            </w:r>
            <w:r w:rsidR="00C54570">
              <w:rPr>
                <w:rFonts w:ascii="Arial" w:hAnsi="Arial" w:cs="Arial"/>
                <w:b/>
                <w:sz w:val="20"/>
                <w:szCs w:val="20"/>
              </w:rPr>
              <w:t xml:space="preserve">25.6% higher </w:t>
            </w:r>
            <w:r w:rsidR="00C54570" w:rsidRPr="00C54570">
              <w:rPr>
                <w:rFonts w:ascii="Arial" w:hAnsi="Arial" w:cs="Arial"/>
                <w:bCs/>
                <w:sz w:val="20"/>
                <w:szCs w:val="20"/>
              </w:rPr>
              <w:t>than Q3 last year</w:t>
            </w:r>
            <w:r w:rsidR="005D48A9" w:rsidRPr="00C5457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1A41B76" w14:textId="2FD98176" w:rsidR="006A20B9" w:rsidRPr="00BD419E" w:rsidRDefault="00A33A09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in </w:t>
            </w:r>
            <w:r w:rsidR="00C54570">
              <w:rPr>
                <w:rFonts w:ascii="Arial" w:hAnsi="Arial" w:cs="Arial"/>
                <w:sz w:val="20"/>
                <w:szCs w:val="20"/>
              </w:rPr>
              <w:t>Q3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34E">
              <w:rPr>
                <w:rFonts w:ascii="Arial" w:hAnsi="Arial" w:cs="Arial"/>
                <w:sz w:val="20"/>
                <w:szCs w:val="20"/>
              </w:rPr>
              <w:t>was</w:t>
            </w:r>
            <w:r w:rsidR="005B6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657" w:rsidRPr="004C1657">
              <w:rPr>
                <w:rFonts w:ascii="Arial" w:hAnsi="Arial" w:cs="Arial"/>
                <w:b/>
                <w:bCs/>
                <w:sz w:val="20"/>
                <w:szCs w:val="20"/>
              </w:rPr>
              <w:t>18% higher</w:t>
            </w:r>
            <w:r w:rsidR="004C1657">
              <w:rPr>
                <w:rFonts w:ascii="Arial" w:hAnsi="Arial" w:cs="Arial"/>
                <w:sz w:val="20"/>
                <w:szCs w:val="20"/>
              </w:rPr>
              <w:t xml:space="preserve"> than Q3 last year.</w:t>
            </w:r>
          </w:p>
        </w:tc>
      </w:tr>
    </w:tbl>
    <w:p w14:paraId="1779B391" w14:textId="77777777" w:rsidR="00CE57F2" w:rsidRDefault="00CE57F2">
      <w:r>
        <w:br w:type="page"/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3330"/>
        <w:gridCol w:w="56"/>
        <w:gridCol w:w="3702"/>
        <w:gridCol w:w="24"/>
        <w:gridCol w:w="3768"/>
        <w:gridCol w:w="35"/>
        <w:gridCol w:w="3402"/>
      </w:tblGrid>
      <w:tr w:rsidR="00CE57F2" w14:paraId="699C3FCB" w14:textId="77777777" w:rsidTr="0E88C2C5">
        <w:tc>
          <w:tcPr>
            <w:tcW w:w="1560" w:type="dxa"/>
            <w:shd w:val="clear" w:color="auto" w:fill="D9E2F3" w:themeFill="accent1" w:themeFillTint="33"/>
          </w:tcPr>
          <w:p w14:paraId="7A29E821" w14:textId="2FBD97EA" w:rsidR="00CE57F2" w:rsidRPr="00BD419E" w:rsidRDefault="00CE57F2" w:rsidP="00825C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Currency</w:t>
            </w:r>
          </w:p>
        </w:tc>
        <w:tc>
          <w:tcPr>
            <w:tcW w:w="3330" w:type="dxa"/>
            <w:shd w:val="clear" w:color="auto" w:fill="D9E2F3" w:themeFill="accent1" w:themeFillTint="33"/>
          </w:tcPr>
          <w:p w14:paraId="34BB2CEE" w14:textId="77777777" w:rsidR="00CE57F2" w:rsidRPr="00BD419E" w:rsidRDefault="00CE57F2" w:rsidP="00825C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3758" w:type="dxa"/>
            <w:gridSpan w:val="2"/>
            <w:shd w:val="clear" w:color="auto" w:fill="D9E2F3" w:themeFill="accent1" w:themeFillTint="33"/>
          </w:tcPr>
          <w:p w14:paraId="0BB77284" w14:textId="77777777" w:rsidR="00CE57F2" w:rsidRPr="00BD419E" w:rsidRDefault="00CE57F2" w:rsidP="00825C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Oxon/BSW</w:t>
            </w:r>
          </w:p>
        </w:tc>
        <w:tc>
          <w:tcPr>
            <w:tcW w:w="3827" w:type="dxa"/>
            <w:gridSpan w:val="3"/>
            <w:shd w:val="clear" w:color="auto" w:fill="D9E2F3" w:themeFill="accent1" w:themeFillTint="33"/>
          </w:tcPr>
          <w:p w14:paraId="17B0F371" w14:textId="77777777" w:rsidR="00CE57F2" w:rsidRPr="00BD419E" w:rsidRDefault="00CE57F2" w:rsidP="00825C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Bucks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7A780672" w14:textId="77777777" w:rsidR="00CE57F2" w:rsidRPr="00BD419E" w:rsidRDefault="00CE57F2" w:rsidP="00825C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Specialised</w:t>
            </w:r>
          </w:p>
        </w:tc>
      </w:tr>
      <w:tr w:rsidR="006A20B9" w:rsidRPr="004072BC" w14:paraId="57941B71" w14:textId="77777777" w:rsidTr="0E88C2C5">
        <w:tc>
          <w:tcPr>
            <w:tcW w:w="1560" w:type="dxa"/>
          </w:tcPr>
          <w:p w14:paraId="44ABEC24" w14:textId="0134976C" w:rsidR="00832E3D" w:rsidRPr="009E54F1" w:rsidRDefault="00485C60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54F1">
              <w:rPr>
                <w:rFonts w:ascii="Arial" w:hAnsi="Arial" w:cs="Arial"/>
                <w:b/>
                <w:sz w:val="20"/>
                <w:szCs w:val="20"/>
              </w:rPr>
              <w:t>Digital appointments</w:t>
            </w:r>
          </w:p>
        </w:tc>
        <w:tc>
          <w:tcPr>
            <w:tcW w:w="3330" w:type="dxa"/>
          </w:tcPr>
          <w:p w14:paraId="128F0735" w14:textId="4FCAF9B6" w:rsidR="00832E3D" w:rsidRPr="009E54F1" w:rsidRDefault="0018671F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DA95C8" wp14:editId="7C832670">
                  <wp:extent cx="1977390" cy="1000125"/>
                  <wp:effectExtent l="0" t="0" r="381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2"/>
          </w:tcPr>
          <w:p w14:paraId="141445D6" w14:textId="0E016369" w:rsidR="00832E3D" w:rsidRPr="009E54F1" w:rsidRDefault="002E7969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4F7335" wp14:editId="4EC4F699">
                  <wp:extent cx="2249170" cy="10877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</w:tcPr>
          <w:p w14:paraId="21862FD5" w14:textId="7C6FEC18" w:rsidR="00832E3D" w:rsidRPr="004072BC" w:rsidRDefault="00D7229B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CC151C6" wp14:editId="312DA8A1">
                  <wp:extent cx="2292985" cy="115443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8C7E474" w14:textId="171466D1" w:rsidR="00832E3D" w:rsidRPr="004072BC" w:rsidRDefault="009D184C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4B90FBC" wp14:editId="204C803D">
                  <wp:extent cx="2023110" cy="9766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D2" w14:paraId="696B3010" w14:textId="77777777" w:rsidTr="0E88C2C5">
        <w:tc>
          <w:tcPr>
            <w:tcW w:w="1560" w:type="dxa"/>
            <w:shd w:val="clear" w:color="auto" w:fill="DEEAF6" w:themeFill="accent5" w:themeFillTint="33"/>
          </w:tcPr>
          <w:p w14:paraId="73242D9A" w14:textId="0D850F4A" w:rsidR="00CF5AD2" w:rsidRPr="009E54F1" w:rsidRDefault="00CF5AD2" w:rsidP="006714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54F1">
              <w:rPr>
                <w:rFonts w:ascii="Arial" w:hAnsi="Arial" w:cs="Arial"/>
                <w:b/>
                <w:sz w:val="20"/>
                <w:szCs w:val="20"/>
              </w:rPr>
              <w:t>Commentary</w:t>
            </w:r>
          </w:p>
        </w:tc>
        <w:tc>
          <w:tcPr>
            <w:tcW w:w="14317" w:type="dxa"/>
            <w:gridSpan w:val="7"/>
            <w:shd w:val="clear" w:color="auto" w:fill="DEEAF6" w:themeFill="accent5" w:themeFillTint="33"/>
          </w:tcPr>
          <w:p w14:paraId="6D36C688" w14:textId="1FD5CD5E" w:rsidR="009702C6" w:rsidRPr="009E54F1" w:rsidRDefault="00CF5AD2" w:rsidP="00671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4F1">
              <w:rPr>
                <w:rFonts w:ascii="Arial" w:hAnsi="Arial" w:cs="Arial"/>
                <w:sz w:val="20"/>
                <w:szCs w:val="20"/>
              </w:rPr>
              <w:t>Across all Directorates, the level of digital activity</w:t>
            </w:r>
            <w:r w:rsidR="00F94387" w:rsidRPr="009E54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907">
              <w:rPr>
                <w:rFonts w:ascii="Arial" w:hAnsi="Arial" w:cs="Arial"/>
                <w:sz w:val="20"/>
                <w:szCs w:val="20"/>
              </w:rPr>
              <w:t>remained high in Q3</w:t>
            </w:r>
            <w:r w:rsidR="00EC75E2">
              <w:rPr>
                <w:rFonts w:ascii="Arial" w:hAnsi="Arial" w:cs="Arial"/>
                <w:sz w:val="20"/>
                <w:szCs w:val="20"/>
              </w:rPr>
              <w:t>.  There was a</w:t>
            </w:r>
            <w:r w:rsidR="00F94387" w:rsidRPr="009E54F1">
              <w:rPr>
                <w:rFonts w:ascii="Arial" w:hAnsi="Arial" w:cs="Arial"/>
                <w:sz w:val="20"/>
                <w:szCs w:val="20"/>
              </w:rPr>
              <w:t xml:space="preserve"> declined in December </w:t>
            </w:r>
            <w:r w:rsidR="00646DC0" w:rsidRPr="009E54F1">
              <w:rPr>
                <w:rFonts w:ascii="Arial" w:hAnsi="Arial" w:cs="Arial"/>
                <w:sz w:val="20"/>
                <w:szCs w:val="20"/>
              </w:rPr>
              <w:t xml:space="preserve">compared to November.  </w:t>
            </w:r>
            <w:r w:rsidR="002F5FA7" w:rsidRPr="009E54F1">
              <w:rPr>
                <w:rFonts w:ascii="Arial" w:hAnsi="Arial" w:cs="Arial"/>
                <w:sz w:val="20"/>
                <w:szCs w:val="20"/>
              </w:rPr>
              <w:t>However,</w:t>
            </w:r>
            <w:r w:rsidR="00D8713D" w:rsidRPr="009E54F1">
              <w:rPr>
                <w:rFonts w:ascii="Arial" w:hAnsi="Arial" w:cs="Arial"/>
                <w:sz w:val="20"/>
                <w:szCs w:val="20"/>
              </w:rPr>
              <w:t xml:space="preserve"> December activity volumes </w:t>
            </w:r>
            <w:r w:rsidR="0005372A" w:rsidRPr="009E54F1">
              <w:rPr>
                <w:rFonts w:ascii="Arial" w:hAnsi="Arial" w:cs="Arial"/>
                <w:sz w:val="20"/>
                <w:szCs w:val="20"/>
              </w:rPr>
              <w:t xml:space="preserve">are impacted by Christmas period.  Overall digital appointments </w:t>
            </w:r>
            <w:r w:rsidR="009E54F1" w:rsidRPr="009E54F1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9E54F1">
              <w:rPr>
                <w:rFonts w:ascii="Arial" w:hAnsi="Arial" w:cs="Arial"/>
                <w:sz w:val="20"/>
                <w:szCs w:val="20"/>
              </w:rPr>
              <w:t xml:space="preserve">significantly higher than in previous years as a direct </w:t>
            </w:r>
            <w:r w:rsidR="009702C6" w:rsidRPr="009E54F1"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r w:rsidRPr="009E54F1">
              <w:rPr>
                <w:rFonts w:ascii="Arial" w:hAnsi="Arial" w:cs="Arial"/>
                <w:sz w:val="20"/>
                <w:szCs w:val="20"/>
              </w:rPr>
              <w:t xml:space="preserve">of COVID-19.  </w:t>
            </w:r>
            <w:r w:rsidR="009E54F1" w:rsidRPr="009E54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1B2C" w14:paraId="148DF65E" w14:textId="77777777" w:rsidTr="0E88C2C5">
        <w:tc>
          <w:tcPr>
            <w:tcW w:w="1560" w:type="dxa"/>
          </w:tcPr>
          <w:p w14:paraId="0BE9DF54" w14:textId="005C7C04" w:rsidR="00B04C53" w:rsidRPr="00BD419E" w:rsidRDefault="00B04C53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Admissions</w:t>
            </w:r>
          </w:p>
        </w:tc>
        <w:tc>
          <w:tcPr>
            <w:tcW w:w="3386" w:type="dxa"/>
            <w:gridSpan w:val="2"/>
          </w:tcPr>
          <w:p w14:paraId="26294AD2" w14:textId="428B38B6" w:rsidR="00B04C53" w:rsidRPr="00BD419E" w:rsidRDefault="004C6B1F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0B6944" wp14:editId="2A586719">
                  <wp:extent cx="2012950" cy="945515"/>
                  <wp:effectExtent l="0" t="0" r="6350" b="698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gridSpan w:val="2"/>
          </w:tcPr>
          <w:p w14:paraId="192821B3" w14:textId="5FDD0C8F" w:rsidR="00B04C53" w:rsidRPr="00BD419E" w:rsidRDefault="007164A0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37A9EF" wp14:editId="1734997F">
                  <wp:extent cx="2228850" cy="1092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14:paraId="33A1877A" w14:textId="64F1BC80" w:rsidR="00B04C53" w:rsidRPr="00BD419E" w:rsidRDefault="00CB3CF0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9790E" wp14:editId="7CB6B901">
                  <wp:extent cx="2255520" cy="1135380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gridSpan w:val="2"/>
          </w:tcPr>
          <w:p w14:paraId="56D716AE" w14:textId="5E25000C" w:rsidR="00B04C53" w:rsidRPr="00BD419E" w:rsidRDefault="00B4771F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7FBBED" wp14:editId="6375948C">
                  <wp:extent cx="2045335" cy="99187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B2C" w14:paraId="7DEE4DBA" w14:textId="77777777" w:rsidTr="0E88C2C5">
        <w:tc>
          <w:tcPr>
            <w:tcW w:w="1560" w:type="dxa"/>
            <w:shd w:val="clear" w:color="auto" w:fill="DEEAF6" w:themeFill="accent5" w:themeFillTint="33"/>
          </w:tcPr>
          <w:p w14:paraId="25312FDE" w14:textId="77777777" w:rsidR="00B04C53" w:rsidRPr="00BD419E" w:rsidRDefault="00B04C53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19E">
              <w:rPr>
                <w:rFonts w:ascii="Arial" w:hAnsi="Arial" w:cs="Arial"/>
                <w:b/>
                <w:sz w:val="20"/>
                <w:szCs w:val="20"/>
              </w:rPr>
              <w:t>Commentary</w:t>
            </w:r>
          </w:p>
        </w:tc>
        <w:tc>
          <w:tcPr>
            <w:tcW w:w="3386" w:type="dxa"/>
            <w:gridSpan w:val="2"/>
            <w:shd w:val="clear" w:color="auto" w:fill="DEEAF6" w:themeFill="accent5" w:themeFillTint="33"/>
          </w:tcPr>
          <w:p w14:paraId="6B062892" w14:textId="00FDFFC7" w:rsidR="00B04C53" w:rsidRPr="00BD419E" w:rsidRDefault="000708B7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 xml:space="preserve">Admissions </w:t>
            </w:r>
            <w:r w:rsidR="002B7139">
              <w:rPr>
                <w:rFonts w:ascii="Arial" w:hAnsi="Arial" w:cs="Arial"/>
                <w:sz w:val="20"/>
                <w:szCs w:val="20"/>
              </w:rPr>
              <w:t xml:space="preserve">in December increased in response to </w:t>
            </w:r>
            <w:r w:rsidR="00BC5302">
              <w:rPr>
                <w:rFonts w:ascii="Arial" w:hAnsi="Arial" w:cs="Arial"/>
                <w:sz w:val="20"/>
                <w:szCs w:val="20"/>
              </w:rPr>
              <w:t xml:space="preserve">Covid pressures for beds across the system.  </w:t>
            </w:r>
            <w:r w:rsidRPr="00BD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3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6" w:type="dxa"/>
            <w:gridSpan w:val="2"/>
            <w:shd w:val="clear" w:color="auto" w:fill="DEEAF6" w:themeFill="accent5" w:themeFillTint="33"/>
          </w:tcPr>
          <w:p w14:paraId="664F4978" w14:textId="5FF940BD" w:rsidR="00B04C53" w:rsidRPr="00BD419E" w:rsidRDefault="000708B7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19E">
              <w:rPr>
                <w:rFonts w:ascii="Arial" w:hAnsi="Arial" w:cs="Arial"/>
                <w:sz w:val="20"/>
                <w:szCs w:val="20"/>
              </w:rPr>
              <w:t>Admissions have been, and remain, at lower levels than usual this year.</w:t>
            </w:r>
          </w:p>
        </w:tc>
        <w:tc>
          <w:tcPr>
            <w:tcW w:w="3768" w:type="dxa"/>
            <w:shd w:val="clear" w:color="auto" w:fill="DEEAF6" w:themeFill="accent5" w:themeFillTint="33"/>
          </w:tcPr>
          <w:p w14:paraId="0AC2781C" w14:textId="45C97A4B" w:rsidR="00B04C53" w:rsidRPr="00BD419E" w:rsidRDefault="00C328C9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D0F3C" w:rsidRPr="00BD419E">
              <w:rPr>
                <w:rFonts w:ascii="Arial" w:hAnsi="Arial" w:cs="Arial"/>
                <w:sz w:val="20"/>
                <w:szCs w:val="20"/>
              </w:rPr>
              <w:t xml:space="preserve">dmissions </w:t>
            </w:r>
            <w:r w:rsidR="00117CF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70720">
              <w:rPr>
                <w:rFonts w:ascii="Arial" w:hAnsi="Arial" w:cs="Arial"/>
                <w:sz w:val="20"/>
                <w:szCs w:val="20"/>
              </w:rPr>
              <w:t>Q3</w:t>
            </w:r>
            <w:r w:rsidR="00DA6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CF6">
              <w:rPr>
                <w:rFonts w:ascii="Arial" w:hAnsi="Arial" w:cs="Arial"/>
                <w:sz w:val="20"/>
                <w:szCs w:val="20"/>
              </w:rPr>
              <w:t>have been at lower levels that</w:t>
            </w:r>
            <w:r w:rsidR="00B4771F">
              <w:rPr>
                <w:rFonts w:ascii="Arial" w:hAnsi="Arial" w:cs="Arial"/>
                <w:sz w:val="20"/>
                <w:szCs w:val="20"/>
              </w:rPr>
              <w:t xml:space="preserve"> usual.   </w:t>
            </w:r>
          </w:p>
        </w:tc>
        <w:tc>
          <w:tcPr>
            <w:tcW w:w="3437" w:type="dxa"/>
            <w:gridSpan w:val="2"/>
            <w:shd w:val="clear" w:color="auto" w:fill="DEEAF6" w:themeFill="accent5" w:themeFillTint="33"/>
          </w:tcPr>
          <w:p w14:paraId="618672C8" w14:textId="7D274618" w:rsidR="00B04C53" w:rsidRPr="00BD419E" w:rsidRDefault="00E94C60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D0F3C" w:rsidRPr="00BD419E">
              <w:rPr>
                <w:rFonts w:ascii="Arial" w:hAnsi="Arial" w:cs="Arial"/>
                <w:sz w:val="20"/>
                <w:szCs w:val="20"/>
              </w:rPr>
              <w:t>dmissions have been at usual levels and have followed a similar trend with previous years.  It should be noted that low admission numbers in this directorate impact on the variation.</w:t>
            </w:r>
          </w:p>
        </w:tc>
      </w:tr>
      <w:tr w:rsidR="00111B2C" w:rsidRPr="00637AFB" w14:paraId="3FDDC42C" w14:textId="77777777" w:rsidTr="0E88C2C5">
        <w:tc>
          <w:tcPr>
            <w:tcW w:w="1560" w:type="dxa"/>
          </w:tcPr>
          <w:p w14:paraId="3A28C810" w14:textId="33A5279B" w:rsidR="00B04C53" w:rsidRPr="00637AFB" w:rsidRDefault="00B04C53" w:rsidP="00B04C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AFB">
              <w:rPr>
                <w:rFonts w:ascii="Arial" w:hAnsi="Arial" w:cs="Arial"/>
                <w:b/>
                <w:sz w:val="20"/>
                <w:szCs w:val="20"/>
              </w:rPr>
              <w:t>Length of stay</w:t>
            </w:r>
            <w:r w:rsidR="00FD0F3C" w:rsidRPr="00637AF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FD0F3C" w:rsidRPr="00637AFB">
              <w:rPr>
                <w:rFonts w:ascii="Arial" w:hAnsi="Arial" w:cs="Arial"/>
                <w:b/>
                <w:sz w:val="20"/>
                <w:szCs w:val="20"/>
              </w:rPr>
              <w:t>excl</w:t>
            </w:r>
            <w:proofErr w:type="spellEnd"/>
            <w:r w:rsidR="00FD0F3C" w:rsidRPr="00637AFB">
              <w:rPr>
                <w:rFonts w:ascii="Arial" w:hAnsi="Arial" w:cs="Arial"/>
                <w:b/>
                <w:sz w:val="20"/>
                <w:szCs w:val="20"/>
              </w:rPr>
              <w:t xml:space="preserve"> leave and delay)</w:t>
            </w:r>
          </w:p>
        </w:tc>
        <w:tc>
          <w:tcPr>
            <w:tcW w:w="3386" w:type="dxa"/>
            <w:gridSpan w:val="2"/>
          </w:tcPr>
          <w:p w14:paraId="498FF271" w14:textId="50E5DF82" w:rsidR="00B04C53" w:rsidRPr="00637AFB" w:rsidRDefault="00912317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BC6B40" wp14:editId="6409F4FC">
                  <wp:extent cx="2012950" cy="848995"/>
                  <wp:effectExtent l="0" t="0" r="635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gridSpan w:val="2"/>
          </w:tcPr>
          <w:p w14:paraId="3254B0B8" w14:textId="7C332331" w:rsidR="00B04C53" w:rsidRPr="00637AFB" w:rsidRDefault="003737A2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DA1380" wp14:editId="2D10B970">
                  <wp:extent cx="2228850" cy="9664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14:paraId="760C4A3F" w14:textId="3A697F8B" w:rsidR="00B04C53" w:rsidRPr="00637AFB" w:rsidRDefault="0009460E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4EC20C" wp14:editId="76120ED2">
                  <wp:extent cx="2255520" cy="98234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gridSpan w:val="2"/>
          </w:tcPr>
          <w:p w14:paraId="5089570F" w14:textId="4BDA071B" w:rsidR="00B04C53" w:rsidRPr="00637AFB" w:rsidRDefault="00DD277B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4F7FF0" wp14:editId="11756B43">
                  <wp:extent cx="2045335" cy="876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B2C" w14:paraId="1A96E438" w14:textId="77777777" w:rsidTr="0E88C2C5">
        <w:tc>
          <w:tcPr>
            <w:tcW w:w="1560" w:type="dxa"/>
            <w:shd w:val="clear" w:color="auto" w:fill="DEEAF6" w:themeFill="accent5" w:themeFillTint="33"/>
          </w:tcPr>
          <w:p w14:paraId="39BBB123" w14:textId="77777777" w:rsidR="00B04C53" w:rsidRPr="00637AFB" w:rsidRDefault="00B04C53" w:rsidP="00135E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AFB">
              <w:rPr>
                <w:rFonts w:ascii="Arial" w:hAnsi="Arial" w:cs="Arial"/>
                <w:b/>
                <w:sz w:val="20"/>
                <w:szCs w:val="20"/>
              </w:rPr>
              <w:t>Commentary</w:t>
            </w:r>
          </w:p>
        </w:tc>
        <w:tc>
          <w:tcPr>
            <w:tcW w:w="3386" w:type="dxa"/>
            <w:gridSpan w:val="2"/>
            <w:shd w:val="clear" w:color="auto" w:fill="DEEAF6" w:themeFill="accent5" w:themeFillTint="33"/>
          </w:tcPr>
          <w:p w14:paraId="78A675B2" w14:textId="5684C237" w:rsidR="00B04C53" w:rsidRPr="00637AFB" w:rsidRDefault="003737A2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FB">
              <w:rPr>
                <w:rFonts w:ascii="Arial" w:hAnsi="Arial" w:cs="Arial"/>
                <w:sz w:val="20"/>
                <w:szCs w:val="20"/>
              </w:rPr>
              <w:t>Despite a fluct</w:t>
            </w:r>
            <w:r w:rsidR="00D348F6" w:rsidRPr="00637AFB">
              <w:rPr>
                <w:rFonts w:ascii="Arial" w:hAnsi="Arial" w:cs="Arial"/>
                <w:sz w:val="20"/>
                <w:szCs w:val="20"/>
              </w:rPr>
              <w:t>uation</w:t>
            </w:r>
            <w:r w:rsidRPr="00637AFB">
              <w:rPr>
                <w:rFonts w:ascii="Arial" w:hAnsi="Arial" w:cs="Arial"/>
                <w:sz w:val="20"/>
                <w:szCs w:val="20"/>
              </w:rPr>
              <w:t xml:space="preserve"> in December, p</w:t>
            </w:r>
            <w:r w:rsidR="00FD0F3C" w:rsidRPr="00637AFB">
              <w:rPr>
                <w:rFonts w:ascii="Arial" w:hAnsi="Arial" w:cs="Arial"/>
                <w:sz w:val="20"/>
                <w:szCs w:val="20"/>
              </w:rPr>
              <w:t xml:space="preserve">atient average length of stay has remained at consistent levels this </w:t>
            </w:r>
            <w:r w:rsidR="004D745F">
              <w:rPr>
                <w:rFonts w:ascii="Arial" w:hAnsi="Arial" w:cs="Arial"/>
                <w:sz w:val="20"/>
                <w:szCs w:val="20"/>
              </w:rPr>
              <w:t>quarter</w:t>
            </w:r>
            <w:r w:rsidR="00FD0F3C" w:rsidRPr="00637AFB">
              <w:rPr>
                <w:rFonts w:ascii="Arial" w:hAnsi="Arial" w:cs="Arial"/>
                <w:sz w:val="20"/>
                <w:szCs w:val="20"/>
              </w:rPr>
              <w:t xml:space="preserve"> and in line with previous years.</w:t>
            </w:r>
          </w:p>
          <w:p w14:paraId="70876DCB" w14:textId="24700617" w:rsidR="004421BC" w:rsidRPr="00637AFB" w:rsidRDefault="004421BC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shd w:val="clear" w:color="auto" w:fill="DEEAF6" w:themeFill="accent5" w:themeFillTint="33"/>
          </w:tcPr>
          <w:p w14:paraId="168BFC09" w14:textId="15B5CD5A" w:rsidR="00B04C53" w:rsidRPr="00637AFB" w:rsidRDefault="00FD0F3C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FB">
              <w:rPr>
                <w:rFonts w:ascii="Arial" w:hAnsi="Arial" w:cs="Arial"/>
                <w:sz w:val="20"/>
                <w:szCs w:val="20"/>
              </w:rPr>
              <w:t xml:space="preserve">Despite some </w:t>
            </w:r>
            <w:r w:rsidR="00BD728C" w:rsidRPr="00637AFB">
              <w:rPr>
                <w:rFonts w:ascii="Arial" w:hAnsi="Arial" w:cs="Arial"/>
                <w:sz w:val="20"/>
                <w:szCs w:val="20"/>
              </w:rPr>
              <w:t>monthly</w:t>
            </w:r>
            <w:r w:rsidRPr="00637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28C" w:rsidRPr="00637AFB">
              <w:rPr>
                <w:rFonts w:ascii="Arial" w:hAnsi="Arial" w:cs="Arial"/>
                <w:sz w:val="20"/>
                <w:szCs w:val="20"/>
              </w:rPr>
              <w:t>fluctuations</w:t>
            </w:r>
            <w:r w:rsidRPr="00637AFB">
              <w:rPr>
                <w:rFonts w:ascii="Arial" w:hAnsi="Arial" w:cs="Arial"/>
                <w:sz w:val="20"/>
                <w:szCs w:val="20"/>
              </w:rPr>
              <w:t xml:space="preserve">, overall,  patient average length of stay has remained at consistent levels </w:t>
            </w:r>
          </w:p>
        </w:tc>
        <w:tc>
          <w:tcPr>
            <w:tcW w:w="3768" w:type="dxa"/>
            <w:shd w:val="clear" w:color="auto" w:fill="DEEAF6" w:themeFill="accent5" w:themeFillTint="33"/>
          </w:tcPr>
          <w:p w14:paraId="13509F58" w14:textId="6BBB6C36" w:rsidR="00B04C53" w:rsidRPr="00637AFB" w:rsidRDefault="00FD0F3C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FB">
              <w:rPr>
                <w:rFonts w:ascii="Arial" w:hAnsi="Arial" w:cs="Arial"/>
                <w:sz w:val="20"/>
                <w:szCs w:val="20"/>
              </w:rPr>
              <w:t xml:space="preserve">Patient average length of stay has remained at consistent levels this year and </w:t>
            </w:r>
            <w:r w:rsidR="0009460E" w:rsidRPr="00637AFB">
              <w:rPr>
                <w:rFonts w:ascii="Arial" w:hAnsi="Arial" w:cs="Arial"/>
                <w:sz w:val="20"/>
                <w:szCs w:val="20"/>
              </w:rPr>
              <w:t xml:space="preserve">slightly below </w:t>
            </w:r>
            <w:r w:rsidR="00967B26" w:rsidRPr="00637AFB">
              <w:rPr>
                <w:rFonts w:ascii="Arial" w:hAnsi="Arial" w:cs="Arial"/>
                <w:sz w:val="20"/>
                <w:szCs w:val="20"/>
              </w:rPr>
              <w:t>average based on last 3 years</w:t>
            </w:r>
          </w:p>
        </w:tc>
        <w:tc>
          <w:tcPr>
            <w:tcW w:w="3437" w:type="dxa"/>
            <w:gridSpan w:val="2"/>
            <w:shd w:val="clear" w:color="auto" w:fill="DEEAF6" w:themeFill="accent5" w:themeFillTint="33"/>
          </w:tcPr>
          <w:p w14:paraId="16FD9DAE" w14:textId="6C78FB7C" w:rsidR="00B04C53" w:rsidRPr="00BD419E" w:rsidRDefault="00FD0F3C" w:rsidP="00135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FB">
              <w:rPr>
                <w:rFonts w:ascii="Arial" w:hAnsi="Arial" w:cs="Arial"/>
                <w:sz w:val="20"/>
                <w:szCs w:val="20"/>
              </w:rPr>
              <w:t>Patient average length of stay has been lower than usual levels this year</w:t>
            </w:r>
            <w:r w:rsidR="00DD277B" w:rsidRPr="00637AFB">
              <w:rPr>
                <w:rFonts w:ascii="Arial" w:hAnsi="Arial" w:cs="Arial"/>
                <w:sz w:val="20"/>
                <w:szCs w:val="20"/>
              </w:rPr>
              <w:t xml:space="preserve"> but there was a</w:t>
            </w:r>
            <w:r w:rsidR="00637AFB" w:rsidRPr="00637AFB">
              <w:rPr>
                <w:rFonts w:ascii="Arial" w:hAnsi="Arial" w:cs="Arial"/>
                <w:sz w:val="20"/>
                <w:szCs w:val="20"/>
              </w:rPr>
              <w:t>n</w:t>
            </w:r>
            <w:r w:rsidR="00DD277B" w:rsidRPr="00637AFB">
              <w:rPr>
                <w:rFonts w:ascii="Arial" w:hAnsi="Arial" w:cs="Arial"/>
                <w:sz w:val="20"/>
                <w:szCs w:val="20"/>
              </w:rPr>
              <w:t xml:space="preserve"> increase in December.  But data impacted by low</w:t>
            </w:r>
            <w:r w:rsidR="00637AFB" w:rsidRPr="00637AFB">
              <w:rPr>
                <w:rFonts w:ascii="Arial" w:hAnsi="Arial" w:cs="Arial"/>
                <w:sz w:val="20"/>
                <w:szCs w:val="20"/>
              </w:rPr>
              <w:t xml:space="preserve"> volumes</w:t>
            </w:r>
            <w:r w:rsidRPr="00637A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0F2108" w14:textId="6C0BFCB5" w:rsidR="00AD1029" w:rsidRDefault="00AD1029" w:rsidP="00FF6E6B">
      <w:pPr>
        <w:spacing w:after="0" w:line="240" w:lineRule="auto"/>
        <w:jc w:val="both"/>
        <w:rPr>
          <w:rFonts w:ascii="Segoe UI" w:hAnsi="Segoe UI" w:cs="Segoe UI"/>
        </w:rPr>
      </w:pPr>
    </w:p>
    <w:sectPr w:rsidR="00AD1029" w:rsidSect="00CF5AD2">
      <w:pgSz w:w="16838" w:h="11906" w:orient="landscape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281B" w14:textId="77777777" w:rsidR="00CA0964" w:rsidRDefault="00CA0964" w:rsidP="005F7FFC">
      <w:pPr>
        <w:spacing w:after="0" w:line="240" w:lineRule="auto"/>
      </w:pPr>
      <w:r>
        <w:separator/>
      </w:r>
    </w:p>
  </w:endnote>
  <w:endnote w:type="continuationSeparator" w:id="0">
    <w:p w14:paraId="19EA3964" w14:textId="77777777" w:rsidR="00CA0964" w:rsidRDefault="00CA0964" w:rsidP="005F7FFC">
      <w:pPr>
        <w:spacing w:after="0" w:line="240" w:lineRule="auto"/>
      </w:pPr>
      <w:r>
        <w:continuationSeparator/>
      </w:r>
    </w:p>
  </w:endnote>
  <w:endnote w:type="continuationNotice" w:id="1">
    <w:p w14:paraId="5E5DC26C" w14:textId="77777777" w:rsidR="00CA0964" w:rsidRDefault="00CA0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2D5F" w14:textId="77777777" w:rsidR="00CA0964" w:rsidRDefault="00CA0964" w:rsidP="005F7FFC">
      <w:pPr>
        <w:spacing w:after="0" w:line="240" w:lineRule="auto"/>
      </w:pPr>
      <w:r>
        <w:separator/>
      </w:r>
    </w:p>
  </w:footnote>
  <w:footnote w:type="continuationSeparator" w:id="0">
    <w:p w14:paraId="57628BD8" w14:textId="77777777" w:rsidR="00CA0964" w:rsidRDefault="00CA0964" w:rsidP="005F7FFC">
      <w:pPr>
        <w:spacing w:after="0" w:line="240" w:lineRule="auto"/>
      </w:pPr>
      <w:r>
        <w:continuationSeparator/>
      </w:r>
    </w:p>
  </w:footnote>
  <w:footnote w:type="continuationNotice" w:id="1">
    <w:p w14:paraId="4743904A" w14:textId="77777777" w:rsidR="00CA0964" w:rsidRDefault="00CA0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283B" w14:textId="77777777" w:rsidR="00CB0EAB" w:rsidRDefault="00CB0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109"/>
    <w:multiLevelType w:val="multilevel"/>
    <w:tmpl w:val="542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B46AA"/>
    <w:multiLevelType w:val="hybridMultilevel"/>
    <w:tmpl w:val="6C92AB7C"/>
    <w:lvl w:ilvl="0" w:tplc="3D52F0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2E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E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E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A8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6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2A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E3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020"/>
    <w:multiLevelType w:val="hybridMultilevel"/>
    <w:tmpl w:val="83585D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DE1D0A"/>
    <w:multiLevelType w:val="hybridMultilevel"/>
    <w:tmpl w:val="9410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415"/>
    <w:multiLevelType w:val="hybridMultilevel"/>
    <w:tmpl w:val="7E84F3F6"/>
    <w:lvl w:ilvl="0" w:tplc="E962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40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F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9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AF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0E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8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B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65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A17"/>
    <w:multiLevelType w:val="hybridMultilevel"/>
    <w:tmpl w:val="712C2B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9D048F"/>
    <w:multiLevelType w:val="hybridMultilevel"/>
    <w:tmpl w:val="15A2508C"/>
    <w:lvl w:ilvl="0" w:tplc="EB98A34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07580"/>
    <w:multiLevelType w:val="hybridMultilevel"/>
    <w:tmpl w:val="6C72DA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2535"/>
    <w:multiLevelType w:val="hybridMultilevel"/>
    <w:tmpl w:val="4A08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291"/>
    <w:multiLevelType w:val="hybridMultilevel"/>
    <w:tmpl w:val="2C981D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B21C4"/>
    <w:multiLevelType w:val="hybridMultilevel"/>
    <w:tmpl w:val="18664AA2"/>
    <w:lvl w:ilvl="0" w:tplc="6C823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F8E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82F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86F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326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60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E2C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0E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28F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361BC0"/>
    <w:multiLevelType w:val="hybridMultilevel"/>
    <w:tmpl w:val="B728FC02"/>
    <w:lvl w:ilvl="0" w:tplc="3334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D8E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B5C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4B61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AAD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183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8E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D67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02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301E5E"/>
    <w:multiLevelType w:val="hybridMultilevel"/>
    <w:tmpl w:val="CA98C7E2"/>
    <w:lvl w:ilvl="0" w:tplc="C28ABB5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72F16"/>
    <w:multiLevelType w:val="hybridMultilevel"/>
    <w:tmpl w:val="C5B67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829E6"/>
    <w:multiLevelType w:val="hybridMultilevel"/>
    <w:tmpl w:val="243EC082"/>
    <w:lvl w:ilvl="0" w:tplc="CCF44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104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4F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CD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43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A2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7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D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C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408"/>
    <w:multiLevelType w:val="hybridMultilevel"/>
    <w:tmpl w:val="C2744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145"/>
    <w:multiLevelType w:val="hybridMultilevel"/>
    <w:tmpl w:val="C8C81DAE"/>
    <w:lvl w:ilvl="0" w:tplc="9DBCD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2C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827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623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825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881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2A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1C0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2F0D73"/>
    <w:multiLevelType w:val="hybridMultilevel"/>
    <w:tmpl w:val="6402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538EF"/>
    <w:multiLevelType w:val="hybridMultilevel"/>
    <w:tmpl w:val="C0F8949E"/>
    <w:lvl w:ilvl="0" w:tplc="DD185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43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AA3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2C0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9C9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8707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44C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33A9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A87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A542F"/>
    <w:multiLevelType w:val="multilevel"/>
    <w:tmpl w:val="931E8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64361"/>
    <w:multiLevelType w:val="hybridMultilevel"/>
    <w:tmpl w:val="48846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ED5D6E"/>
    <w:multiLevelType w:val="hybridMultilevel"/>
    <w:tmpl w:val="1416E74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7A5B5AAA"/>
    <w:multiLevelType w:val="hybridMultilevel"/>
    <w:tmpl w:val="F5A8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6368"/>
    <w:multiLevelType w:val="hybridMultilevel"/>
    <w:tmpl w:val="A0B2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A335F"/>
    <w:multiLevelType w:val="hybridMultilevel"/>
    <w:tmpl w:val="022C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3"/>
  </w:num>
  <w:num w:numId="5">
    <w:abstractNumId w:val="22"/>
  </w:num>
  <w:num w:numId="6">
    <w:abstractNumId w:val="4"/>
  </w:num>
  <w:num w:numId="7">
    <w:abstractNumId w:val="20"/>
  </w:num>
  <w:num w:numId="8">
    <w:abstractNumId w:val="15"/>
  </w:num>
  <w:num w:numId="9">
    <w:abstractNumId w:val="6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24"/>
  </w:num>
  <w:num w:numId="18">
    <w:abstractNumId w:val="8"/>
  </w:num>
  <w:num w:numId="19">
    <w:abstractNumId w:val="21"/>
  </w:num>
  <w:num w:numId="20">
    <w:abstractNumId w:val="0"/>
  </w:num>
  <w:num w:numId="21">
    <w:abstractNumId w:val="18"/>
  </w:num>
  <w:num w:numId="22">
    <w:abstractNumId w:val="11"/>
  </w:num>
  <w:num w:numId="23">
    <w:abstractNumId w:val="16"/>
  </w:num>
  <w:num w:numId="24">
    <w:abstractNumId w:val="10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FC"/>
    <w:rsid w:val="00002F41"/>
    <w:rsid w:val="00005A1B"/>
    <w:rsid w:val="00007C89"/>
    <w:rsid w:val="00012B66"/>
    <w:rsid w:val="00014698"/>
    <w:rsid w:val="00021AF8"/>
    <w:rsid w:val="00024548"/>
    <w:rsid w:val="000247C6"/>
    <w:rsid w:val="00031627"/>
    <w:rsid w:val="00036BFF"/>
    <w:rsid w:val="00045F1F"/>
    <w:rsid w:val="00046AC3"/>
    <w:rsid w:val="00050512"/>
    <w:rsid w:val="00050A56"/>
    <w:rsid w:val="00050ACC"/>
    <w:rsid w:val="00050D29"/>
    <w:rsid w:val="000523BB"/>
    <w:rsid w:val="0005372A"/>
    <w:rsid w:val="00060C47"/>
    <w:rsid w:val="000631E9"/>
    <w:rsid w:val="00066D3C"/>
    <w:rsid w:val="00067179"/>
    <w:rsid w:val="000708B7"/>
    <w:rsid w:val="00070FB6"/>
    <w:rsid w:val="0007538F"/>
    <w:rsid w:val="00075B4F"/>
    <w:rsid w:val="000764CD"/>
    <w:rsid w:val="00081975"/>
    <w:rsid w:val="00083C86"/>
    <w:rsid w:val="0008758C"/>
    <w:rsid w:val="00091B00"/>
    <w:rsid w:val="000925F4"/>
    <w:rsid w:val="00092E8C"/>
    <w:rsid w:val="00093265"/>
    <w:rsid w:val="000932CC"/>
    <w:rsid w:val="0009460E"/>
    <w:rsid w:val="000953AD"/>
    <w:rsid w:val="00095670"/>
    <w:rsid w:val="00095B42"/>
    <w:rsid w:val="00097398"/>
    <w:rsid w:val="000A3218"/>
    <w:rsid w:val="000A3F76"/>
    <w:rsid w:val="000A442F"/>
    <w:rsid w:val="000A5EAD"/>
    <w:rsid w:val="000B0165"/>
    <w:rsid w:val="000B09A9"/>
    <w:rsid w:val="000B4380"/>
    <w:rsid w:val="000B795D"/>
    <w:rsid w:val="000C2CEE"/>
    <w:rsid w:val="000D1A93"/>
    <w:rsid w:val="000D54FF"/>
    <w:rsid w:val="000D72A9"/>
    <w:rsid w:val="000D7AAA"/>
    <w:rsid w:val="000D7F34"/>
    <w:rsid w:val="000E2DAB"/>
    <w:rsid w:val="000E4605"/>
    <w:rsid w:val="000E4EBE"/>
    <w:rsid w:val="000E5E30"/>
    <w:rsid w:val="000E73AD"/>
    <w:rsid w:val="000F1D63"/>
    <w:rsid w:val="000F4C1E"/>
    <w:rsid w:val="000F65D3"/>
    <w:rsid w:val="000F7CDB"/>
    <w:rsid w:val="001024D8"/>
    <w:rsid w:val="00102BD7"/>
    <w:rsid w:val="00106A5A"/>
    <w:rsid w:val="00107F19"/>
    <w:rsid w:val="00111B2C"/>
    <w:rsid w:val="00114BA3"/>
    <w:rsid w:val="00116F9A"/>
    <w:rsid w:val="001172DD"/>
    <w:rsid w:val="001176D7"/>
    <w:rsid w:val="00117CF6"/>
    <w:rsid w:val="0012243C"/>
    <w:rsid w:val="001227DF"/>
    <w:rsid w:val="001229EE"/>
    <w:rsid w:val="00125C88"/>
    <w:rsid w:val="00130C4C"/>
    <w:rsid w:val="00133E61"/>
    <w:rsid w:val="00135C04"/>
    <w:rsid w:val="00135E49"/>
    <w:rsid w:val="001401DD"/>
    <w:rsid w:val="00140788"/>
    <w:rsid w:val="00141FCF"/>
    <w:rsid w:val="00143DDF"/>
    <w:rsid w:val="00150F81"/>
    <w:rsid w:val="00152FFC"/>
    <w:rsid w:val="00153733"/>
    <w:rsid w:val="00153829"/>
    <w:rsid w:val="00156734"/>
    <w:rsid w:val="001567E1"/>
    <w:rsid w:val="001655A1"/>
    <w:rsid w:val="00167D84"/>
    <w:rsid w:val="00171C5E"/>
    <w:rsid w:val="001757C7"/>
    <w:rsid w:val="001771F3"/>
    <w:rsid w:val="00181CC2"/>
    <w:rsid w:val="001837B4"/>
    <w:rsid w:val="001859EB"/>
    <w:rsid w:val="0018671F"/>
    <w:rsid w:val="00190AA7"/>
    <w:rsid w:val="0019344C"/>
    <w:rsid w:val="00195002"/>
    <w:rsid w:val="001A40C3"/>
    <w:rsid w:val="001A71FC"/>
    <w:rsid w:val="001A7AD7"/>
    <w:rsid w:val="001B1098"/>
    <w:rsid w:val="001B2CFC"/>
    <w:rsid w:val="001B2E07"/>
    <w:rsid w:val="001B4967"/>
    <w:rsid w:val="001B7DA8"/>
    <w:rsid w:val="001C04D5"/>
    <w:rsid w:val="001C0DA8"/>
    <w:rsid w:val="001C34FC"/>
    <w:rsid w:val="001C38F5"/>
    <w:rsid w:val="001C5150"/>
    <w:rsid w:val="001C5CF9"/>
    <w:rsid w:val="001C6F5D"/>
    <w:rsid w:val="001D0C24"/>
    <w:rsid w:val="001D1BCD"/>
    <w:rsid w:val="001D215D"/>
    <w:rsid w:val="001D385B"/>
    <w:rsid w:val="001D5A39"/>
    <w:rsid w:val="001D7044"/>
    <w:rsid w:val="001E3F53"/>
    <w:rsid w:val="001E675C"/>
    <w:rsid w:val="001F1167"/>
    <w:rsid w:val="001F5443"/>
    <w:rsid w:val="00201B1B"/>
    <w:rsid w:val="00203AE0"/>
    <w:rsid w:val="00204078"/>
    <w:rsid w:val="002046E9"/>
    <w:rsid w:val="002122E4"/>
    <w:rsid w:val="00214235"/>
    <w:rsid w:val="002176B0"/>
    <w:rsid w:val="00225175"/>
    <w:rsid w:val="00225561"/>
    <w:rsid w:val="00230D98"/>
    <w:rsid w:val="0023394B"/>
    <w:rsid w:val="00234247"/>
    <w:rsid w:val="00234A25"/>
    <w:rsid w:val="0024434E"/>
    <w:rsid w:val="00247503"/>
    <w:rsid w:val="00250F01"/>
    <w:rsid w:val="002547DD"/>
    <w:rsid w:val="00254BB7"/>
    <w:rsid w:val="002569F6"/>
    <w:rsid w:val="002607F4"/>
    <w:rsid w:val="00270AB4"/>
    <w:rsid w:val="00271465"/>
    <w:rsid w:val="00273D78"/>
    <w:rsid w:val="0027566F"/>
    <w:rsid w:val="0028203D"/>
    <w:rsid w:val="00283543"/>
    <w:rsid w:val="002851AC"/>
    <w:rsid w:val="00286097"/>
    <w:rsid w:val="00286FF6"/>
    <w:rsid w:val="002876DC"/>
    <w:rsid w:val="00287A5F"/>
    <w:rsid w:val="0029396B"/>
    <w:rsid w:val="00294464"/>
    <w:rsid w:val="00294AD3"/>
    <w:rsid w:val="002968BD"/>
    <w:rsid w:val="00296C2C"/>
    <w:rsid w:val="00296C45"/>
    <w:rsid w:val="002A10D8"/>
    <w:rsid w:val="002A1CC7"/>
    <w:rsid w:val="002A2BB8"/>
    <w:rsid w:val="002A3557"/>
    <w:rsid w:val="002A4D40"/>
    <w:rsid w:val="002A56CE"/>
    <w:rsid w:val="002B0EFF"/>
    <w:rsid w:val="002B167A"/>
    <w:rsid w:val="002B6AA2"/>
    <w:rsid w:val="002B6C0B"/>
    <w:rsid w:val="002B7139"/>
    <w:rsid w:val="002C0AE0"/>
    <w:rsid w:val="002C26C9"/>
    <w:rsid w:val="002C49F6"/>
    <w:rsid w:val="002C7FD6"/>
    <w:rsid w:val="002D3B74"/>
    <w:rsid w:val="002D3FFF"/>
    <w:rsid w:val="002D565C"/>
    <w:rsid w:val="002D5C99"/>
    <w:rsid w:val="002D6D19"/>
    <w:rsid w:val="002D7B11"/>
    <w:rsid w:val="002E427C"/>
    <w:rsid w:val="002E4A9B"/>
    <w:rsid w:val="002E5171"/>
    <w:rsid w:val="002E704B"/>
    <w:rsid w:val="002E7969"/>
    <w:rsid w:val="002F0B61"/>
    <w:rsid w:val="002F22F3"/>
    <w:rsid w:val="002F25C2"/>
    <w:rsid w:val="002F273B"/>
    <w:rsid w:val="002F457A"/>
    <w:rsid w:val="002F526C"/>
    <w:rsid w:val="002F5FA7"/>
    <w:rsid w:val="003005ED"/>
    <w:rsid w:val="00300983"/>
    <w:rsid w:val="003014AE"/>
    <w:rsid w:val="00301A80"/>
    <w:rsid w:val="00301C0C"/>
    <w:rsid w:val="00304695"/>
    <w:rsid w:val="003054D3"/>
    <w:rsid w:val="00306515"/>
    <w:rsid w:val="003065BD"/>
    <w:rsid w:val="003078E7"/>
    <w:rsid w:val="0031078B"/>
    <w:rsid w:val="0031276A"/>
    <w:rsid w:val="003262B7"/>
    <w:rsid w:val="00333A40"/>
    <w:rsid w:val="00333BBC"/>
    <w:rsid w:val="003361DE"/>
    <w:rsid w:val="003377D4"/>
    <w:rsid w:val="003400A3"/>
    <w:rsid w:val="00340359"/>
    <w:rsid w:val="00346646"/>
    <w:rsid w:val="0034679E"/>
    <w:rsid w:val="00351CB6"/>
    <w:rsid w:val="003530DD"/>
    <w:rsid w:val="00356BA0"/>
    <w:rsid w:val="0036193E"/>
    <w:rsid w:val="00361A46"/>
    <w:rsid w:val="003623AB"/>
    <w:rsid w:val="00362989"/>
    <w:rsid w:val="00362B46"/>
    <w:rsid w:val="00363ACE"/>
    <w:rsid w:val="00363E20"/>
    <w:rsid w:val="003640F6"/>
    <w:rsid w:val="00364AB3"/>
    <w:rsid w:val="00366367"/>
    <w:rsid w:val="00370895"/>
    <w:rsid w:val="00370CDC"/>
    <w:rsid w:val="003737A2"/>
    <w:rsid w:val="00376DB6"/>
    <w:rsid w:val="00383E5B"/>
    <w:rsid w:val="00390A8F"/>
    <w:rsid w:val="00391848"/>
    <w:rsid w:val="00391FDC"/>
    <w:rsid w:val="003A0FD6"/>
    <w:rsid w:val="003A2511"/>
    <w:rsid w:val="003A3D93"/>
    <w:rsid w:val="003A3F48"/>
    <w:rsid w:val="003A4CBB"/>
    <w:rsid w:val="003A6F20"/>
    <w:rsid w:val="003A732C"/>
    <w:rsid w:val="003A746B"/>
    <w:rsid w:val="003A7BF9"/>
    <w:rsid w:val="003B03E7"/>
    <w:rsid w:val="003B38EC"/>
    <w:rsid w:val="003B396F"/>
    <w:rsid w:val="003B4BC4"/>
    <w:rsid w:val="003B7A60"/>
    <w:rsid w:val="003C17DD"/>
    <w:rsid w:val="003C4DB8"/>
    <w:rsid w:val="003C58B2"/>
    <w:rsid w:val="003C5C84"/>
    <w:rsid w:val="003D2BCF"/>
    <w:rsid w:val="003D484D"/>
    <w:rsid w:val="003D69CD"/>
    <w:rsid w:val="003E2C0F"/>
    <w:rsid w:val="003E6CBB"/>
    <w:rsid w:val="003E756C"/>
    <w:rsid w:val="003E7E4E"/>
    <w:rsid w:val="003F0D55"/>
    <w:rsid w:val="003F4123"/>
    <w:rsid w:val="003F4873"/>
    <w:rsid w:val="003F6A60"/>
    <w:rsid w:val="00401557"/>
    <w:rsid w:val="0040230C"/>
    <w:rsid w:val="004072BC"/>
    <w:rsid w:val="00410989"/>
    <w:rsid w:val="0041170F"/>
    <w:rsid w:val="004137E7"/>
    <w:rsid w:val="00415ED4"/>
    <w:rsid w:val="0041601A"/>
    <w:rsid w:val="00420FAF"/>
    <w:rsid w:val="004214AD"/>
    <w:rsid w:val="00426915"/>
    <w:rsid w:val="00426B80"/>
    <w:rsid w:val="004306BC"/>
    <w:rsid w:val="00435AC9"/>
    <w:rsid w:val="00437F1F"/>
    <w:rsid w:val="00440AAC"/>
    <w:rsid w:val="004413DD"/>
    <w:rsid w:val="004421BC"/>
    <w:rsid w:val="0044465A"/>
    <w:rsid w:val="004475EB"/>
    <w:rsid w:val="00450AFB"/>
    <w:rsid w:val="00450B10"/>
    <w:rsid w:val="004513DD"/>
    <w:rsid w:val="00453555"/>
    <w:rsid w:val="00455619"/>
    <w:rsid w:val="00456981"/>
    <w:rsid w:val="00457D55"/>
    <w:rsid w:val="004616C0"/>
    <w:rsid w:val="004633FB"/>
    <w:rsid w:val="0046661E"/>
    <w:rsid w:val="004673E4"/>
    <w:rsid w:val="00467E2C"/>
    <w:rsid w:val="0047061B"/>
    <w:rsid w:val="004713F4"/>
    <w:rsid w:val="00471480"/>
    <w:rsid w:val="00471E53"/>
    <w:rsid w:val="004728CB"/>
    <w:rsid w:val="00472C67"/>
    <w:rsid w:val="00474894"/>
    <w:rsid w:val="004845D4"/>
    <w:rsid w:val="00485C60"/>
    <w:rsid w:val="00485D3C"/>
    <w:rsid w:val="00487689"/>
    <w:rsid w:val="00490B81"/>
    <w:rsid w:val="0049476A"/>
    <w:rsid w:val="0049488A"/>
    <w:rsid w:val="00495938"/>
    <w:rsid w:val="00496B7E"/>
    <w:rsid w:val="00497660"/>
    <w:rsid w:val="004A0357"/>
    <w:rsid w:val="004B2A91"/>
    <w:rsid w:val="004B6A17"/>
    <w:rsid w:val="004C0204"/>
    <w:rsid w:val="004C1657"/>
    <w:rsid w:val="004C16E7"/>
    <w:rsid w:val="004C2868"/>
    <w:rsid w:val="004C42BE"/>
    <w:rsid w:val="004C4945"/>
    <w:rsid w:val="004C5F46"/>
    <w:rsid w:val="004C6B1F"/>
    <w:rsid w:val="004C6FC5"/>
    <w:rsid w:val="004D2608"/>
    <w:rsid w:val="004D2864"/>
    <w:rsid w:val="004D5705"/>
    <w:rsid w:val="004D5954"/>
    <w:rsid w:val="004D745F"/>
    <w:rsid w:val="004E63D7"/>
    <w:rsid w:val="004F0CEF"/>
    <w:rsid w:val="004F0D74"/>
    <w:rsid w:val="004F21E6"/>
    <w:rsid w:val="004F356B"/>
    <w:rsid w:val="004F5CCB"/>
    <w:rsid w:val="005030BB"/>
    <w:rsid w:val="0050375E"/>
    <w:rsid w:val="00505983"/>
    <w:rsid w:val="00506821"/>
    <w:rsid w:val="00507006"/>
    <w:rsid w:val="0050748D"/>
    <w:rsid w:val="00507C59"/>
    <w:rsid w:val="00510350"/>
    <w:rsid w:val="005119A3"/>
    <w:rsid w:val="00515C2D"/>
    <w:rsid w:val="00517460"/>
    <w:rsid w:val="005211A7"/>
    <w:rsid w:val="00533E1A"/>
    <w:rsid w:val="00540583"/>
    <w:rsid w:val="00541A16"/>
    <w:rsid w:val="00543A9E"/>
    <w:rsid w:val="00544648"/>
    <w:rsid w:val="00547721"/>
    <w:rsid w:val="00551C13"/>
    <w:rsid w:val="00555AD3"/>
    <w:rsid w:val="0056388D"/>
    <w:rsid w:val="00563BD5"/>
    <w:rsid w:val="00572166"/>
    <w:rsid w:val="0057273C"/>
    <w:rsid w:val="00572BC2"/>
    <w:rsid w:val="0057404F"/>
    <w:rsid w:val="005741C1"/>
    <w:rsid w:val="00575721"/>
    <w:rsid w:val="00590211"/>
    <w:rsid w:val="00593B43"/>
    <w:rsid w:val="00595D19"/>
    <w:rsid w:val="00596720"/>
    <w:rsid w:val="00597C8B"/>
    <w:rsid w:val="005A1B7C"/>
    <w:rsid w:val="005A1BE1"/>
    <w:rsid w:val="005A1F33"/>
    <w:rsid w:val="005A22D9"/>
    <w:rsid w:val="005A2568"/>
    <w:rsid w:val="005A47C1"/>
    <w:rsid w:val="005A676A"/>
    <w:rsid w:val="005A7DB1"/>
    <w:rsid w:val="005B4239"/>
    <w:rsid w:val="005B468F"/>
    <w:rsid w:val="005B4874"/>
    <w:rsid w:val="005B5271"/>
    <w:rsid w:val="005B539D"/>
    <w:rsid w:val="005B58B2"/>
    <w:rsid w:val="005B6B76"/>
    <w:rsid w:val="005C0413"/>
    <w:rsid w:val="005C2269"/>
    <w:rsid w:val="005C25AF"/>
    <w:rsid w:val="005C59AE"/>
    <w:rsid w:val="005C711F"/>
    <w:rsid w:val="005D094A"/>
    <w:rsid w:val="005D1351"/>
    <w:rsid w:val="005D1C5B"/>
    <w:rsid w:val="005D3758"/>
    <w:rsid w:val="005D428B"/>
    <w:rsid w:val="005D48A9"/>
    <w:rsid w:val="005D5369"/>
    <w:rsid w:val="005D5869"/>
    <w:rsid w:val="005D6737"/>
    <w:rsid w:val="005E32EF"/>
    <w:rsid w:val="005F2163"/>
    <w:rsid w:val="005F7490"/>
    <w:rsid w:val="005F77BF"/>
    <w:rsid w:val="005F7FFC"/>
    <w:rsid w:val="00601F38"/>
    <w:rsid w:val="00603C37"/>
    <w:rsid w:val="006141CF"/>
    <w:rsid w:val="00614907"/>
    <w:rsid w:val="0061649D"/>
    <w:rsid w:val="00621381"/>
    <w:rsid w:val="00626F52"/>
    <w:rsid w:val="006315C6"/>
    <w:rsid w:val="006320C1"/>
    <w:rsid w:val="00633B0D"/>
    <w:rsid w:val="00636933"/>
    <w:rsid w:val="00636ADC"/>
    <w:rsid w:val="00637AF4"/>
    <w:rsid w:val="00637AFB"/>
    <w:rsid w:val="00640FDC"/>
    <w:rsid w:val="00642417"/>
    <w:rsid w:val="00643C75"/>
    <w:rsid w:val="00644693"/>
    <w:rsid w:val="00644DF1"/>
    <w:rsid w:val="00645F33"/>
    <w:rsid w:val="00646DC0"/>
    <w:rsid w:val="00650375"/>
    <w:rsid w:val="00652BD0"/>
    <w:rsid w:val="00652F41"/>
    <w:rsid w:val="0065340D"/>
    <w:rsid w:val="006535DF"/>
    <w:rsid w:val="00657652"/>
    <w:rsid w:val="00661336"/>
    <w:rsid w:val="00661736"/>
    <w:rsid w:val="00661AF8"/>
    <w:rsid w:val="00662C62"/>
    <w:rsid w:val="0067145F"/>
    <w:rsid w:val="00671490"/>
    <w:rsid w:val="0067415D"/>
    <w:rsid w:val="006746C4"/>
    <w:rsid w:val="00676911"/>
    <w:rsid w:val="00681158"/>
    <w:rsid w:val="00684551"/>
    <w:rsid w:val="00685563"/>
    <w:rsid w:val="006866AC"/>
    <w:rsid w:val="006918FE"/>
    <w:rsid w:val="006931BC"/>
    <w:rsid w:val="006A20B9"/>
    <w:rsid w:val="006A2548"/>
    <w:rsid w:val="006A7BDE"/>
    <w:rsid w:val="006B154F"/>
    <w:rsid w:val="006B3CD1"/>
    <w:rsid w:val="006B5909"/>
    <w:rsid w:val="006B5EA4"/>
    <w:rsid w:val="006C5B3B"/>
    <w:rsid w:val="006C6142"/>
    <w:rsid w:val="006D4494"/>
    <w:rsid w:val="006D5275"/>
    <w:rsid w:val="006D5B0A"/>
    <w:rsid w:val="006E1771"/>
    <w:rsid w:val="006E2F91"/>
    <w:rsid w:val="006E439E"/>
    <w:rsid w:val="006F07DC"/>
    <w:rsid w:val="006F094F"/>
    <w:rsid w:val="006F0DBA"/>
    <w:rsid w:val="006F37A5"/>
    <w:rsid w:val="006F545B"/>
    <w:rsid w:val="00701BDB"/>
    <w:rsid w:val="00703DA3"/>
    <w:rsid w:val="00705F27"/>
    <w:rsid w:val="00707D4C"/>
    <w:rsid w:val="00710E7C"/>
    <w:rsid w:val="00715EA9"/>
    <w:rsid w:val="007164A0"/>
    <w:rsid w:val="007210B3"/>
    <w:rsid w:val="007245E1"/>
    <w:rsid w:val="007268FB"/>
    <w:rsid w:val="00730483"/>
    <w:rsid w:val="0073160F"/>
    <w:rsid w:val="0073237B"/>
    <w:rsid w:val="00733189"/>
    <w:rsid w:val="0073442D"/>
    <w:rsid w:val="007360D5"/>
    <w:rsid w:val="00736BA5"/>
    <w:rsid w:val="00740558"/>
    <w:rsid w:val="00740765"/>
    <w:rsid w:val="00741259"/>
    <w:rsid w:val="00742D4D"/>
    <w:rsid w:val="007449B1"/>
    <w:rsid w:val="007449D4"/>
    <w:rsid w:val="00746B99"/>
    <w:rsid w:val="00746DFE"/>
    <w:rsid w:val="00750698"/>
    <w:rsid w:val="00752758"/>
    <w:rsid w:val="00755904"/>
    <w:rsid w:val="007627B9"/>
    <w:rsid w:val="007654DA"/>
    <w:rsid w:val="00765A18"/>
    <w:rsid w:val="00766549"/>
    <w:rsid w:val="00770C8F"/>
    <w:rsid w:val="00772E94"/>
    <w:rsid w:val="00775916"/>
    <w:rsid w:val="00783FEF"/>
    <w:rsid w:val="007852CA"/>
    <w:rsid w:val="007945A4"/>
    <w:rsid w:val="00794D6D"/>
    <w:rsid w:val="007A01E4"/>
    <w:rsid w:val="007A07E0"/>
    <w:rsid w:val="007A10A2"/>
    <w:rsid w:val="007A1979"/>
    <w:rsid w:val="007A676F"/>
    <w:rsid w:val="007B0F56"/>
    <w:rsid w:val="007B4D1B"/>
    <w:rsid w:val="007B52EB"/>
    <w:rsid w:val="007B6019"/>
    <w:rsid w:val="007B63D9"/>
    <w:rsid w:val="007C0AB4"/>
    <w:rsid w:val="007C10F8"/>
    <w:rsid w:val="007C25B2"/>
    <w:rsid w:val="007C25DA"/>
    <w:rsid w:val="007C4FD4"/>
    <w:rsid w:val="007C719B"/>
    <w:rsid w:val="007D47F8"/>
    <w:rsid w:val="007D5EC3"/>
    <w:rsid w:val="007E40AA"/>
    <w:rsid w:val="007E4239"/>
    <w:rsid w:val="007E46F0"/>
    <w:rsid w:val="007E6E3F"/>
    <w:rsid w:val="007E74AA"/>
    <w:rsid w:val="007E74ED"/>
    <w:rsid w:val="007F0BB2"/>
    <w:rsid w:val="007F3577"/>
    <w:rsid w:val="007F3BA0"/>
    <w:rsid w:val="007F52F2"/>
    <w:rsid w:val="007F77B7"/>
    <w:rsid w:val="00802A2C"/>
    <w:rsid w:val="008057A3"/>
    <w:rsid w:val="0080608D"/>
    <w:rsid w:val="00806F50"/>
    <w:rsid w:val="008078C7"/>
    <w:rsid w:val="008138EE"/>
    <w:rsid w:val="00821085"/>
    <w:rsid w:val="0082189C"/>
    <w:rsid w:val="008242F5"/>
    <w:rsid w:val="00824BAD"/>
    <w:rsid w:val="00825CC3"/>
    <w:rsid w:val="00826FDE"/>
    <w:rsid w:val="00832104"/>
    <w:rsid w:val="00832E3D"/>
    <w:rsid w:val="0083302B"/>
    <w:rsid w:val="00833120"/>
    <w:rsid w:val="008363EC"/>
    <w:rsid w:val="00837905"/>
    <w:rsid w:val="008412CE"/>
    <w:rsid w:val="0084136F"/>
    <w:rsid w:val="00843109"/>
    <w:rsid w:val="008460B6"/>
    <w:rsid w:val="0084671D"/>
    <w:rsid w:val="008502F3"/>
    <w:rsid w:val="0085131E"/>
    <w:rsid w:val="00851B0A"/>
    <w:rsid w:val="00852D0B"/>
    <w:rsid w:val="00857107"/>
    <w:rsid w:val="00857E27"/>
    <w:rsid w:val="00863093"/>
    <w:rsid w:val="00864FEE"/>
    <w:rsid w:val="00866900"/>
    <w:rsid w:val="008719A7"/>
    <w:rsid w:val="00873E15"/>
    <w:rsid w:val="00874A51"/>
    <w:rsid w:val="00877294"/>
    <w:rsid w:val="00877B30"/>
    <w:rsid w:val="00880B07"/>
    <w:rsid w:val="0088403C"/>
    <w:rsid w:val="00884F39"/>
    <w:rsid w:val="0089334D"/>
    <w:rsid w:val="00893A7E"/>
    <w:rsid w:val="008A2E4A"/>
    <w:rsid w:val="008A3B0C"/>
    <w:rsid w:val="008A53C3"/>
    <w:rsid w:val="008A6486"/>
    <w:rsid w:val="008A7AFF"/>
    <w:rsid w:val="008B0411"/>
    <w:rsid w:val="008B2214"/>
    <w:rsid w:val="008B45DF"/>
    <w:rsid w:val="008B676B"/>
    <w:rsid w:val="008C0598"/>
    <w:rsid w:val="008C42D7"/>
    <w:rsid w:val="008C4480"/>
    <w:rsid w:val="008C59E0"/>
    <w:rsid w:val="008D0271"/>
    <w:rsid w:val="008D11FA"/>
    <w:rsid w:val="008D48EE"/>
    <w:rsid w:val="008D4CCC"/>
    <w:rsid w:val="008E1871"/>
    <w:rsid w:val="008E2E08"/>
    <w:rsid w:val="008F18F0"/>
    <w:rsid w:val="008F194E"/>
    <w:rsid w:val="008F3744"/>
    <w:rsid w:val="008F3962"/>
    <w:rsid w:val="008F3D09"/>
    <w:rsid w:val="008F4EDB"/>
    <w:rsid w:val="008F66C2"/>
    <w:rsid w:val="008F6862"/>
    <w:rsid w:val="00900129"/>
    <w:rsid w:val="00902A9B"/>
    <w:rsid w:val="00906EDD"/>
    <w:rsid w:val="00907427"/>
    <w:rsid w:val="00910A89"/>
    <w:rsid w:val="00911E4E"/>
    <w:rsid w:val="00912317"/>
    <w:rsid w:val="00913010"/>
    <w:rsid w:val="00913ACD"/>
    <w:rsid w:val="00917663"/>
    <w:rsid w:val="0092298F"/>
    <w:rsid w:val="00924241"/>
    <w:rsid w:val="009323F0"/>
    <w:rsid w:val="00940747"/>
    <w:rsid w:val="00940B79"/>
    <w:rsid w:val="0094216D"/>
    <w:rsid w:val="009421F0"/>
    <w:rsid w:val="009429E6"/>
    <w:rsid w:val="00944BCC"/>
    <w:rsid w:val="0094527E"/>
    <w:rsid w:val="00945A0F"/>
    <w:rsid w:val="00947C30"/>
    <w:rsid w:val="00950D69"/>
    <w:rsid w:val="00952040"/>
    <w:rsid w:val="00954162"/>
    <w:rsid w:val="009552BA"/>
    <w:rsid w:val="00955ACF"/>
    <w:rsid w:val="00961B95"/>
    <w:rsid w:val="00963E71"/>
    <w:rsid w:val="00964C54"/>
    <w:rsid w:val="009659F0"/>
    <w:rsid w:val="009663C2"/>
    <w:rsid w:val="0096763C"/>
    <w:rsid w:val="00967B26"/>
    <w:rsid w:val="009702C6"/>
    <w:rsid w:val="00970477"/>
    <w:rsid w:val="00970720"/>
    <w:rsid w:val="00972CC3"/>
    <w:rsid w:val="00980709"/>
    <w:rsid w:val="009810CE"/>
    <w:rsid w:val="00981EFD"/>
    <w:rsid w:val="00986922"/>
    <w:rsid w:val="0098748D"/>
    <w:rsid w:val="00991758"/>
    <w:rsid w:val="0099223E"/>
    <w:rsid w:val="00992C34"/>
    <w:rsid w:val="00993C49"/>
    <w:rsid w:val="009970B8"/>
    <w:rsid w:val="009A53BD"/>
    <w:rsid w:val="009A5516"/>
    <w:rsid w:val="009A60B5"/>
    <w:rsid w:val="009B0510"/>
    <w:rsid w:val="009C1592"/>
    <w:rsid w:val="009D184C"/>
    <w:rsid w:val="009D32B0"/>
    <w:rsid w:val="009D4324"/>
    <w:rsid w:val="009D49A6"/>
    <w:rsid w:val="009E05DD"/>
    <w:rsid w:val="009E3895"/>
    <w:rsid w:val="009E4AB3"/>
    <w:rsid w:val="009E54F1"/>
    <w:rsid w:val="009E6640"/>
    <w:rsid w:val="009E7BD0"/>
    <w:rsid w:val="009F400E"/>
    <w:rsid w:val="009F693E"/>
    <w:rsid w:val="00A0043C"/>
    <w:rsid w:val="00A00A1C"/>
    <w:rsid w:val="00A01A4D"/>
    <w:rsid w:val="00A02BF0"/>
    <w:rsid w:val="00A03147"/>
    <w:rsid w:val="00A051D2"/>
    <w:rsid w:val="00A05ED0"/>
    <w:rsid w:val="00A06B79"/>
    <w:rsid w:val="00A07B9B"/>
    <w:rsid w:val="00A1564C"/>
    <w:rsid w:val="00A20CE7"/>
    <w:rsid w:val="00A25C2D"/>
    <w:rsid w:val="00A33A09"/>
    <w:rsid w:val="00A36913"/>
    <w:rsid w:val="00A36D09"/>
    <w:rsid w:val="00A40CAA"/>
    <w:rsid w:val="00A40D32"/>
    <w:rsid w:val="00A47B68"/>
    <w:rsid w:val="00A47E41"/>
    <w:rsid w:val="00A4A6FA"/>
    <w:rsid w:val="00A50663"/>
    <w:rsid w:val="00A5148E"/>
    <w:rsid w:val="00A523FD"/>
    <w:rsid w:val="00A52FB3"/>
    <w:rsid w:val="00A5335A"/>
    <w:rsid w:val="00A54CC2"/>
    <w:rsid w:val="00A56C42"/>
    <w:rsid w:val="00A56C98"/>
    <w:rsid w:val="00A571D5"/>
    <w:rsid w:val="00A6165C"/>
    <w:rsid w:val="00A635E3"/>
    <w:rsid w:val="00A67714"/>
    <w:rsid w:val="00A712FB"/>
    <w:rsid w:val="00A724F4"/>
    <w:rsid w:val="00A742F8"/>
    <w:rsid w:val="00A74E17"/>
    <w:rsid w:val="00A81791"/>
    <w:rsid w:val="00A81F72"/>
    <w:rsid w:val="00A83BE6"/>
    <w:rsid w:val="00A84E85"/>
    <w:rsid w:val="00A90B2E"/>
    <w:rsid w:val="00A92DD1"/>
    <w:rsid w:val="00A936A9"/>
    <w:rsid w:val="00AA24C6"/>
    <w:rsid w:val="00AA4791"/>
    <w:rsid w:val="00AA48EE"/>
    <w:rsid w:val="00AA4C1E"/>
    <w:rsid w:val="00AA4C93"/>
    <w:rsid w:val="00AB3138"/>
    <w:rsid w:val="00AB60A9"/>
    <w:rsid w:val="00AC196D"/>
    <w:rsid w:val="00AC2127"/>
    <w:rsid w:val="00AC2391"/>
    <w:rsid w:val="00AC25D5"/>
    <w:rsid w:val="00AC2CAC"/>
    <w:rsid w:val="00AC4B88"/>
    <w:rsid w:val="00AC7230"/>
    <w:rsid w:val="00AD001A"/>
    <w:rsid w:val="00AD0A15"/>
    <w:rsid w:val="00AD1029"/>
    <w:rsid w:val="00AD2FB0"/>
    <w:rsid w:val="00AD469C"/>
    <w:rsid w:val="00AD5F2E"/>
    <w:rsid w:val="00AD7EC9"/>
    <w:rsid w:val="00AE14F7"/>
    <w:rsid w:val="00AE7E13"/>
    <w:rsid w:val="00AF11D1"/>
    <w:rsid w:val="00AF2079"/>
    <w:rsid w:val="00AF27A6"/>
    <w:rsid w:val="00AF37F2"/>
    <w:rsid w:val="00AF3860"/>
    <w:rsid w:val="00AF53BA"/>
    <w:rsid w:val="00AF7226"/>
    <w:rsid w:val="00AF7DC2"/>
    <w:rsid w:val="00B004E6"/>
    <w:rsid w:val="00B012C9"/>
    <w:rsid w:val="00B01F05"/>
    <w:rsid w:val="00B03025"/>
    <w:rsid w:val="00B04C53"/>
    <w:rsid w:val="00B10395"/>
    <w:rsid w:val="00B1124C"/>
    <w:rsid w:val="00B131AB"/>
    <w:rsid w:val="00B15CB1"/>
    <w:rsid w:val="00B170B5"/>
    <w:rsid w:val="00B205C4"/>
    <w:rsid w:val="00B2107E"/>
    <w:rsid w:val="00B21F81"/>
    <w:rsid w:val="00B24A7B"/>
    <w:rsid w:val="00B27ACA"/>
    <w:rsid w:val="00B30ADC"/>
    <w:rsid w:val="00B30DBC"/>
    <w:rsid w:val="00B32809"/>
    <w:rsid w:val="00B33F26"/>
    <w:rsid w:val="00B35953"/>
    <w:rsid w:val="00B45931"/>
    <w:rsid w:val="00B4771F"/>
    <w:rsid w:val="00B52682"/>
    <w:rsid w:val="00B52B1D"/>
    <w:rsid w:val="00B543A3"/>
    <w:rsid w:val="00B54C2D"/>
    <w:rsid w:val="00B57F28"/>
    <w:rsid w:val="00B60288"/>
    <w:rsid w:val="00B6431F"/>
    <w:rsid w:val="00B72B8A"/>
    <w:rsid w:val="00B7438A"/>
    <w:rsid w:val="00B75533"/>
    <w:rsid w:val="00B771CB"/>
    <w:rsid w:val="00B853FC"/>
    <w:rsid w:val="00B86A40"/>
    <w:rsid w:val="00B905B7"/>
    <w:rsid w:val="00B915AD"/>
    <w:rsid w:val="00B93351"/>
    <w:rsid w:val="00B94422"/>
    <w:rsid w:val="00B948E8"/>
    <w:rsid w:val="00B957E7"/>
    <w:rsid w:val="00B9622D"/>
    <w:rsid w:val="00B97CE4"/>
    <w:rsid w:val="00B97F3D"/>
    <w:rsid w:val="00BA2805"/>
    <w:rsid w:val="00BA76E3"/>
    <w:rsid w:val="00BA7776"/>
    <w:rsid w:val="00BB162B"/>
    <w:rsid w:val="00BB1972"/>
    <w:rsid w:val="00BB2306"/>
    <w:rsid w:val="00BB4D93"/>
    <w:rsid w:val="00BB78CA"/>
    <w:rsid w:val="00BC3A41"/>
    <w:rsid w:val="00BC5302"/>
    <w:rsid w:val="00BD1AA1"/>
    <w:rsid w:val="00BD29D5"/>
    <w:rsid w:val="00BD30A7"/>
    <w:rsid w:val="00BD3446"/>
    <w:rsid w:val="00BD419E"/>
    <w:rsid w:val="00BD728C"/>
    <w:rsid w:val="00BD7DBF"/>
    <w:rsid w:val="00BD7EEF"/>
    <w:rsid w:val="00BE1652"/>
    <w:rsid w:val="00BE363B"/>
    <w:rsid w:val="00BE421F"/>
    <w:rsid w:val="00BE6154"/>
    <w:rsid w:val="00BE6C2E"/>
    <w:rsid w:val="00BE703B"/>
    <w:rsid w:val="00BF6BAF"/>
    <w:rsid w:val="00BF6E72"/>
    <w:rsid w:val="00BF6E74"/>
    <w:rsid w:val="00C074A3"/>
    <w:rsid w:val="00C07CF4"/>
    <w:rsid w:val="00C10509"/>
    <w:rsid w:val="00C10809"/>
    <w:rsid w:val="00C108A5"/>
    <w:rsid w:val="00C12216"/>
    <w:rsid w:val="00C21FF0"/>
    <w:rsid w:val="00C221D0"/>
    <w:rsid w:val="00C2277D"/>
    <w:rsid w:val="00C2292C"/>
    <w:rsid w:val="00C24532"/>
    <w:rsid w:val="00C24722"/>
    <w:rsid w:val="00C24930"/>
    <w:rsid w:val="00C25403"/>
    <w:rsid w:val="00C25441"/>
    <w:rsid w:val="00C26866"/>
    <w:rsid w:val="00C27624"/>
    <w:rsid w:val="00C328C9"/>
    <w:rsid w:val="00C36999"/>
    <w:rsid w:val="00C36ABB"/>
    <w:rsid w:val="00C36F59"/>
    <w:rsid w:val="00C409A4"/>
    <w:rsid w:val="00C41706"/>
    <w:rsid w:val="00C43237"/>
    <w:rsid w:val="00C4352F"/>
    <w:rsid w:val="00C43812"/>
    <w:rsid w:val="00C4627D"/>
    <w:rsid w:val="00C462CB"/>
    <w:rsid w:val="00C4676C"/>
    <w:rsid w:val="00C4732F"/>
    <w:rsid w:val="00C4783B"/>
    <w:rsid w:val="00C54570"/>
    <w:rsid w:val="00C575F5"/>
    <w:rsid w:val="00C63EAD"/>
    <w:rsid w:val="00C645EA"/>
    <w:rsid w:val="00C71037"/>
    <w:rsid w:val="00C73C9F"/>
    <w:rsid w:val="00C74FD6"/>
    <w:rsid w:val="00C7560F"/>
    <w:rsid w:val="00C777E2"/>
    <w:rsid w:val="00C8189A"/>
    <w:rsid w:val="00C831AB"/>
    <w:rsid w:val="00C84D71"/>
    <w:rsid w:val="00C857AF"/>
    <w:rsid w:val="00C86537"/>
    <w:rsid w:val="00C87EAF"/>
    <w:rsid w:val="00C9007D"/>
    <w:rsid w:val="00CA0964"/>
    <w:rsid w:val="00CA1D5B"/>
    <w:rsid w:val="00CA298F"/>
    <w:rsid w:val="00CA3380"/>
    <w:rsid w:val="00CA52C9"/>
    <w:rsid w:val="00CA5340"/>
    <w:rsid w:val="00CB0EAB"/>
    <w:rsid w:val="00CB34BE"/>
    <w:rsid w:val="00CB3CF0"/>
    <w:rsid w:val="00CB601D"/>
    <w:rsid w:val="00CC0A0F"/>
    <w:rsid w:val="00CC7CC6"/>
    <w:rsid w:val="00CD256F"/>
    <w:rsid w:val="00CD27E4"/>
    <w:rsid w:val="00CD6097"/>
    <w:rsid w:val="00CD6697"/>
    <w:rsid w:val="00CD6CE3"/>
    <w:rsid w:val="00CD7AFF"/>
    <w:rsid w:val="00CD7D8E"/>
    <w:rsid w:val="00CE57F2"/>
    <w:rsid w:val="00CE592E"/>
    <w:rsid w:val="00CE611D"/>
    <w:rsid w:val="00CE77E8"/>
    <w:rsid w:val="00CF4834"/>
    <w:rsid w:val="00CF5AD2"/>
    <w:rsid w:val="00CF66BE"/>
    <w:rsid w:val="00CF783D"/>
    <w:rsid w:val="00D01381"/>
    <w:rsid w:val="00D016DB"/>
    <w:rsid w:val="00D0217C"/>
    <w:rsid w:val="00D0384D"/>
    <w:rsid w:val="00D07C66"/>
    <w:rsid w:val="00D107A6"/>
    <w:rsid w:val="00D11668"/>
    <w:rsid w:val="00D14D3E"/>
    <w:rsid w:val="00D1504E"/>
    <w:rsid w:val="00D15C6C"/>
    <w:rsid w:val="00D17851"/>
    <w:rsid w:val="00D251EF"/>
    <w:rsid w:val="00D30363"/>
    <w:rsid w:val="00D3282A"/>
    <w:rsid w:val="00D33873"/>
    <w:rsid w:val="00D348F6"/>
    <w:rsid w:val="00D40206"/>
    <w:rsid w:val="00D40C7D"/>
    <w:rsid w:val="00D42E54"/>
    <w:rsid w:val="00D46604"/>
    <w:rsid w:val="00D478AA"/>
    <w:rsid w:val="00D500E4"/>
    <w:rsid w:val="00D50E47"/>
    <w:rsid w:val="00D51D0B"/>
    <w:rsid w:val="00D524CB"/>
    <w:rsid w:val="00D5412F"/>
    <w:rsid w:val="00D607DA"/>
    <w:rsid w:val="00D618D3"/>
    <w:rsid w:val="00D622C8"/>
    <w:rsid w:val="00D63B65"/>
    <w:rsid w:val="00D65D5D"/>
    <w:rsid w:val="00D70C4C"/>
    <w:rsid w:val="00D7229B"/>
    <w:rsid w:val="00D73E40"/>
    <w:rsid w:val="00D770CD"/>
    <w:rsid w:val="00D80220"/>
    <w:rsid w:val="00D8067B"/>
    <w:rsid w:val="00D81415"/>
    <w:rsid w:val="00D83F7E"/>
    <w:rsid w:val="00D84448"/>
    <w:rsid w:val="00D85880"/>
    <w:rsid w:val="00D8713D"/>
    <w:rsid w:val="00D878B2"/>
    <w:rsid w:val="00D87B3D"/>
    <w:rsid w:val="00D975EC"/>
    <w:rsid w:val="00DA2238"/>
    <w:rsid w:val="00DA2DCB"/>
    <w:rsid w:val="00DA3183"/>
    <w:rsid w:val="00DA406B"/>
    <w:rsid w:val="00DA6C99"/>
    <w:rsid w:val="00DA7A06"/>
    <w:rsid w:val="00DB1008"/>
    <w:rsid w:val="00DB13AB"/>
    <w:rsid w:val="00DB21A7"/>
    <w:rsid w:val="00DB4C2D"/>
    <w:rsid w:val="00DC1C93"/>
    <w:rsid w:val="00DC3395"/>
    <w:rsid w:val="00DC5C6F"/>
    <w:rsid w:val="00DC6E0B"/>
    <w:rsid w:val="00DD0553"/>
    <w:rsid w:val="00DD157B"/>
    <w:rsid w:val="00DD277B"/>
    <w:rsid w:val="00DD42C6"/>
    <w:rsid w:val="00DD7398"/>
    <w:rsid w:val="00DD7FA1"/>
    <w:rsid w:val="00DE1D07"/>
    <w:rsid w:val="00DE2DD4"/>
    <w:rsid w:val="00DE2E68"/>
    <w:rsid w:val="00DE5A06"/>
    <w:rsid w:val="00DE5ABC"/>
    <w:rsid w:val="00DF2302"/>
    <w:rsid w:val="00DF24D9"/>
    <w:rsid w:val="00DF6013"/>
    <w:rsid w:val="00DF77F6"/>
    <w:rsid w:val="00E00328"/>
    <w:rsid w:val="00E00AE8"/>
    <w:rsid w:val="00E03A82"/>
    <w:rsid w:val="00E0480E"/>
    <w:rsid w:val="00E05444"/>
    <w:rsid w:val="00E0746A"/>
    <w:rsid w:val="00E12A6A"/>
    <w:rsid w:val="00E1351F"/>
    <w:rsid w:val="00E14001"/>
    <w:rsid w:val="00E2083E"/>
    <w:rsid w:val="00E2344C"/>
    <w:rsid w:val="00E260A4"/>
    <w:rsid w:val="00E272FB"/>
    <w:rsid w:val="00E27C9F"/>
    <w:rsid w:val="00E309DB"/>
    <w:rsid w:val="00E309ED"/>
    <w:rsid w:val="00E3100F"/>
    <w:rsid w:val="00E31CE2"/>
    <w:rsid w:val="00E33638"/>
    <w:rsid w:val="00E3496A"/>
    <w:rsid w:val="00E37ABA"/>
    <w:rsid w:val="00E37F76"/>
    <w:rsid w:val="00E404C1"/>
    <w:rsid w:val="00E40902"/>
    <w:rsid w:val="00E40DA7"/>
    <w:rsid w:val="00E41A93"/>
    <w:rsid w:val="00E41B0C"/>
    <w:rsid w:val="00E509A9"/>
    <w:rsid w:val="00E53DC1"/>
    <w:rsid w:val="00E62C15"/>
    <w:rsid w:val="00E65027"/>
    <w:rsid w:val="00E65819"/>
    <w:rsid w:val="00E72ED7"/>
    <w:rsid w:val="00E72F50"/>
    <w:rsid w:val="00E745C7"/>
    <w:rsid w:val="00E746EE"/>
    <w:rsid w:val="00E76043"/>
    <w:rsid w:val="00E767F6"/>
    <w:rsid w:val="00E769BF"/>
    <w:rsid w:val="00E77812"/>
    <w:rsid w:val="00E77FFE"/>
    <w:rsid w:val="00E82291"/>
    <w:rsid w:val="00E82AA6"/>
    <w:rsid w:val="00E87CDA"/>
    <w:rsid w:val="00E900D9"/>
    <w:rsid w:val="00E92272"/>
    <w:rsid w:val="00E94C60"/>
    <w:rsid w:val="00EA0F5E"/>
    <w:rsid w:val="00EA0FB9"/>
    <w:rsid w:val="00EA1511"/>
    <w:rsid w:val="00EA2185"/>
    <w:rsid w:val="00EA2485"/>
    <w:rsid w:val="00EA3386"/>
    <w:rsid w:val="00EA360E"/>
    <w:rsid w:val="00EA5E04"/>
    <w:rsid w:val="00EA65B1"/>
    <w:rsid w:val="00EB10C4"/>
    <w:rsid w:val="00EB1DEA"/>
    <w:rsid w:val="00EB5657"/>
    <w:rsid w:val="00EB7F76"/>
    <w:rsid w:val="00EC0AD3"/>
    <w:rsid w:val="00EC0C43"/>
    <w:rsid w:val="00EC2906"/>
    <w:rsid w:val="00EC2CE0"/>
    <w:rsid w:val="00EC579E"/>
    <w:rsid w:val="00EC75E2"/>
    <w:rsid w:val="00ED452A"/>
    <w:rsid w:val="00EE2876"/>
    <w:rsid w:val="00EE35A2"/>
    <w:rsid w:val="00EE5116"/>
    <w:rsid w:val="00EE5A92"/>
    <w:rsid w:val="00EE7284"/>
    <w:rsid w:val="00EF27E4"/>
    <w:rsid w:val="00EF3BD1"/>
    <w:rsid w:val="00EF4B5B"/>
    <w:rsid w:val="00EF5349"/>
    <w:rsid w:val="00F03AF6"/>
    <w:rsid w:val="00F06260"/>
    <w:rsid w:val="00F0739D"/>
    <w:rsid w:val="00F07F82"/>
    <w:rsid w:val="00F11D50"/>
    <w:rsid w:val="00F11DCA"/>
    <w:rsid w:val="00F16220"/>
    <w:rsid w:val="00F21276"/>
    <w:rsid w:val="00F21C32"/>
    <w:rsid w:val="00F21FD8"/>
    <w:rsid w:val="00F22B81"/>
    <w:rsid w:val="00F242EE"/>
    <w:rsid w:val="00F2457B"/>
    <w:rsid w:val="00F314BA"/>
    <w:rsid w:val="00F3217B"/>
    <w:rsid w:val="00F34D67"/>
    <w:rsid w:val="00F360DD"/>
    <w:rsid w:val="00F36691"/>
    <w:rsid w:val="00F37124"/>
    <w:rsid w:val="00F40BD1"/>
    <w:rsid w:val="00F44662"/>
    <w:rsid w:val="00F44E36"/>
    <w:rsid w:val="00F51BEF"/>
    <w:rsid w:val="00F56958"/>
    <w:rsid w:val="00F5722E"/>
    <w:rsid w:val="00F61663"/>
    <w:rsid w:val="00F61FA0"/>
    <w:rsid w:val="00F64A64"/>
    <w:rsid w:val="00F65E4C"/>
    <w:rsid w:val="00F702FF"/>
    <w:rsid w:val="00F773AB"/>
    <w:rsid w:val="00F80AC0"/>
    <w:rsid w:val="00F8469A"/>
    <w:rsid w:val="00F84A0C"/>
    <w:rsid w:val="00F859F8"/>
    <w:rsid w:val="00F8652B"/>
    <w:rsid w:val="00F866A2"/>
    <w:rsid w:val="00F86D1F"/>
    <w:rsid w:val="00F8711C"/>
    <w:rsid w:val="00F94387"/>
    <w:rsid w:val="00F9570A"/>
    <w:rsid w:val="00FA049B"/>
    <w:rsid w:val="00FA0A7B"/>
    <w:rsid w:val="00FA1C7E"/>
    <w:rsid w:val="00FA2AC9"/>
    <w:rsid w:val="00FA2E89"/>
    <w:rsid w:val="00FA50DC"/>
    <w:rsid w:val="00FA56D1"/>
    <w:rsid w:val="00FA6532"/>
    <w:rsid w:val="00FA77EE"/>
    <w:rsid w:val="00FB5386"/>
    <w:rsid w:val="00FB70F0"/>
    <w:rsid w:val="00FB7AE7"/>
    <w:rsid w:val="00FC0B96"/>
    <w:rsid w:val="00FC3BDC"/>
    <w:rsid w:val="00FC3D75"/>
    <w:rsid w:val="00FC4904"/>
    <w:rsid w:val="00FC79F7"/>
    <w:rsid w:val="00FC7FD2"/>
    <w:rsid w:val="00FD0F3C"/>
    <w:rsid w:val="00FD145F"/>
    <w:rsid w:val="00FE075F"/>
    <w:rsid w:val="00FE2C00"/>
    <w:rsid w:val="00FE3DBB"/>
    <w:rsid w:val="00FE42C6"/>
    <w:rsid w:val="00FE5206"/>
    <w:rsid w:val="00FE606D"/>
    <w:rsid w:val="00FF6E6B"/>
    <w:rsid w:val="00FF7A48"/>
    <w:rsid w:val="017004B6"/>
    <w:rsid w:val="01A82881"/>
    <w:rsid w:val="01E8E3EE"/>
    <w:rsid w:val="0201FAD7"/>
    <w:rsid w:val="025AB081"/>
    <w:rsid w:val="03F57019"/>
    <w:rsid w:val="042544CC"/>
    <w:rsid w:val="05C13D45"/>
    <w:rsid w:val="05F0D913"/>
    <w:rsid w:val="0607BC43"/>
    <w:rsid w:val="061D19D0"/>
    <w:rsid w:val="06DE85BC"/>
    <w:rsid w:val="073C43DB"/>
    <w:rsid w:val="0745EF5D"/>
    <w:rsid w:val="0863A65C"/>
    <w:rsid w:val="09A37BD2"/>
    <w:rsid w:val="0A997767"/>
    <w:rsid w:val="0B0BA2DF"/>
    <w:rsid w:val="0B44ED08"/>
    <w:rsid w:val="0B6D5E14"/>
    <w:rsid w:val="0BFC0DD2"/>
    <w:rsid w:val="0D89533E"/>
    <w:rsid w:val="0D8E0BE5"/>
    <w:rsid w:val="0DAC77C1"/>
    <w:rsid w:val="0DB0FE3D"/>
    <w:rsid w:val="0E6442A1"/>
    <w:rsid w:val="0E88C2C5"/>
    <w:rsid w:val="0EDE8943"/>
    <w:rsid w:val="0F7DFEC4"/>
    <w:rsid w:val="11691E3B"/>
    <w:rsid w:val="1391FF37"/>
    <w:rsid w:val="14244F5D"/>
    <w:rsid w:val="16065927"/>
    <w:rsid w:val="16D96A2B"/>
    <w:rsid w:val="17604249"/>
    <w:rsid w:val="17B44BB2"/>
    <w:rsid w:val="17C65CD6"/>
    <w:rsid w:val="186FB29E"/>
    <w:rsid w:val="18877DEF"/>
    <w:rsid w:val="18C71172"/>
    <w:rsid w:val="18C75E4A"/>
    <w:rsid w:val="19169EAA"/>
    <w:rsid w:val="1920D3D8"/>
    <w:rsid w:val="1A34CFB8"/>
    <w:rsid w:val="1AFC8D22"/>
    <w:rsid w:val="1B4BCB52"/>
    <w:rsid w:val="1C01C609"/>
    <w:rsid w:val="1CDEE8B4"/>
    <w:rsid w:val="1D6EEA69"/>
    <w:rsid w:val="1E56D161"/>
    <w:rsid w:val="1EBF1C17"/>
    <w:rsid w:val="1EC73B73"/>
    <w:rsid w:val="2042A476"/>
    <w:rsid w:val="209E9462"/>
    <w:rsid w:val="214918D5"/>
    <w:rsid w:val="2171DCF8"/>
    <w:rsid w:val="2194C121"/>
    <w:rsid w:val="21CA30B9"/>
    <w:rsid w:val="2283D765"/>
    <w:rsid w:val="22AEFDF2"/>
    <w:rsid w:val="23B4E378"/>
    <w:rsid w:val="248AEE7D"/>
    <w:rsid w:val="24D9853B"/>
    <w:rsid w:val="254CFEFE"/>
    <w:rsid w:val="2607E0E5"/>
    <w:rsid w:val="26E5D564"/>
    <w:rsid w:val="28292078"/>
    <w:rsid w:val="285230F1"/>
    <w:rsid w:val="28B3285C"/>
    <w:rsid w:val="29A11732"/>
    <w:rsid w:val="29EADEA9"/>
    <w:rsid w:val="29ED8735"/>
    <w:rsid w:val="2AF2BD32"/>
    <w:rsid w:val="2B76EF54"/>
    <w:rsid w:val="2C02665E"/>
    <w:rsid w:val="2C3D6268"/>
    <w:rsid w:val="2C45B940"/>
    <w:rsid w:val="2C609B06"/>
    <w:rsid w:val="2DECE0A1"/>
    <w:rsid w:val="2DFBFF6E"/>
    <w:rsid w:val="2F7DDD90"/>
    <w:rsid w:val="31199F80"/>
    <w:rsid w:val="31CCBEC1"/>
    <w:rsid w:val="31E1291B"/>
    <w:rsid w:val="320C58AE"/>
    <w:rsid w:val="3276CD23"/>
    <w:rsid w:val="33A32E3B"/>
    <w:rsid w:val="33E1C21E"/>
    <w:rsid w:val="349A4362"/>
    <w:rsid w:val="3533357A"/>
    <w:rsid w:val="3598FC30"/>
    <w:rsid w:val="3683E33A"/>
    <w:rsid w:val="3718CB6F"/>
    <w:rsid w:val="3748644D"/>
    <w:rsid w:val="37712047"/>
    <w:rsid w:val="37A53D2C"/>
    <w:rsid w:val="38122C36"/>
    <w:rsid w:val="3856A351"/>
    <w:rsid w:val="3885E4B1"/>
    <w:rsid w:val="390AD97F"/>
    <w:rsid w:val="391EDBB3"/>
    <w:rsid w:val="39C6FF75"/>
    <w:rsid w:val="39E78A3B"/>
    <w:rsid w:val="3A4E67EF"/>
    <w:rsid w:val="3A55258A"/>
    <w:rsid w:val="3AD3DD6A"/>
    <w:rsid w:val="3B57545D"/>
    <w:rsid w:val="3B707CBA"/>
    <w:rsid w:val="3B800B4A"/>
    <w:rsid w:val="3BB28BB3"/>
    <w:rsid w:val="3C4296E7"/>
    <w:rsid w:val="3C4E0BAD"/>
    <w:rsid w:val="3D228C90"/>
    <w:rsid w:val="3D2AB0BE"/>
    <w:rsid w:val="3DB93115"/>
    <w:rsid w:val="3EDEBA58"/>
    <w:rsid w:val="3FB5C386"/>
    <w:rsid w:val="3FF16B24"/>
    <w:rsid w:val="4084E9AE"/>
    <w:rsid w:val="4092DAAC"/>
    <w:rsid w:val="41BF647D"/>
    <w:rsid w:val="42104054"/>
    <w:rsid w:val="4222BEF4"/>
    <w:rsid w:val="422D190A"/>
    <w:rsid w:val="42C3B57A"/>
    <w:rsid w:val="42FD9468"/>
    <w:rsid w:val="433AA4EE"/>
    <w:rsid w:val="4358C197"/>
    <w:rsid w:val="435BDA7D"/>
    <w:rsid w:val="43B11024"/>
    <w:rsid w:val="43B75401"/>
    <w:rsid w:val="44441CD6"/>
    <w:rsid w:val="445FF808"/>
    <w:rsid w:val="4461A290"/>
    <w:rsid w:val="4544AE3E"/>
    <w:rsid w:val="4589C607"/>
    <w:rsid w:val="461DF35C"/>
    <w:rsid w:val="46556581"/>
    <w:rsid w:val="46C0D5D8"/>
    <w:rsid w:val="46D78FC0"/>
    <w:rsid w:val="46D96C4E"/>
    <w:rsid w:val="47E8B914"/>
    <w:rsid w:val="47F97DB2"/>
    <w:rsid w:val="48CB27F0"/>
    <w:rsid w:val="49012AD8"/>
    <w:rsid w:val="491612D0"/>
    <w:rsid w:val="491A24EE"/>
    <w:rsid w:val="496A7FC4"/>
    <w:rsid w:val="49E2C157"/>
    <w:rsid w:val="4AD234F8"/>
    <w:rsid w:val="4BAAB461"/>
    <w:rsid w:val="4BC0FE51"/>
    <w:rsid w:val="4FA3BDBF"/>
    <w:rsid w:val="4FDD09DE"/>
    <w:rsid w:val="4FDFFCC8"/>
    <w:rsid w:val="4FE107E8"/>
    <w:rsid w:val="50FAE0F4"/>
    <w:rsid w:val="5189DF39"/>
    <w:rsid w:val="524CB7E3"/>
    <w:rsid w:val="52936345"/>
    <w:rsid w:val="52BD8D2A"/>
    <w:rsid w:val="52DB5E81"/>
    <w:rsid w:val="53AA8AC9"/>
    <w:rsid w:val="54D78E67"/>
    <w:rsid w:val="550215D1"/>
    <w:rsid w:val="5531EFF0"/>
    <w:rsid w:val="55E61E7E"/>
    <w:rsid w:val="5600B314"/>
    <w:rsid w:val="56476FFD"/>
    <w:rsid w:val="5686EF49"/>
    <w:rsid w:val="56E371E5"/>
    <w:rsid w:val="576C437B"/>
    <w:rsid w:val="577A34A1"/>
    <w:rsid w:val="5795A747"/>
    <w:rsid w:val="5802F222"/>
    <w:rsid w:val="580A0FA1"/>
    <w:rsid w:val="585C36C3"/>
    <w:rsid w:val="58AD3BC8"/>
    <w:rsid w:val="58AFB853"/>
    <w:rsid w:val="592695C5"/>
    <w:rsid w:val="59423DA9"/>
    <w:rsid w:val="59783976"/>
    <w:rsid w:val="59F8FFC5"/>
    <w:rsid w:val="5B2CEF75"/>
    <w:rsid w:val="5BAE755E"/>
    <w:rsid w:val="5C268D8D"/>
    <w:rsid w:val="5C620417"/>
    <w:rsid w:val="5D5543E5"/>
    <w:rsid w:val="5D6AEF06"/>
    <w:rsid w:val="5DABFAD2"/>
    <w:rsid w:val="5E58EF82"/>
    <w:rsid w:val="5E710552"/>
    <w:rsid w:val="5ECA04D7"/>
    <w:rsid w:val="5F16F23D"/>
    <w:rsid w:val="5F7FCDCF"/>
    <w:rsid w:val="5FA365A4"/>
    <w:rsid w:val="6109BD40"/>
    <w:rsid w:val="611688B4"/>
    <w:rsid w:val="61B5069F"/>
    <w:rsid w:val="61C785D4"/>
    <w:rsid w:val="61F7484F"/>
    <w:rsid w:val="628F3FB5"/>
    <w:rsid w:val="62EBE68F"/>
    <w:rsid w:val="63019CB3"/>
    <w:rsid w:val="631F7F43"/>
    <w:rsid w:val="63711A58"/>
    <w:rsid w:val="64853359"/>
    <w:rsid w:val="649B9C79"/>
    <w:rsid w:val="64EDE764"/>
    <w:rsid w:val="6529AD76"/>
    <w:rsid w:val="655D0B5F"/>
    <w:rsid w:val="6678C6D6"/>
    <w:rsid w:val="66E55438"/>
    <w:rsid w:val="67EC9EB3"/>
    <w:rsid w:val="686F4E1D"/>
    <w:rsid w:val="688B0776"/>
    <w:rsid w:val="693E1B21"/>
    <w:rsid w:val="6941332D"/>
    <w:rsid w:val="694D2879"/>
    <w:rsid w:val="6981A243"/>
    <w:rsid w:val="699ABA13"/>
    <w:rsid w:val="6AFE036F"/>
    <w:rsid w:val="6AFE484A"/>
    <w:rsid w:val="6BCD6E41"/>
    <w:rsid w:val="6C6B888B"/>
    <w:rsid w:val="6DE1D8DA"/>
    <w:rsid w:val="6F56F83D"/>
    <w:rsid w:val="6F582A84"/>
    <w:rsid w:val="6FB3E899"/>
    <w:rsid w:val="714719A9"/>
    <w:rsid w:val="7169DB63"/>
    <w:rsid w:val="725FB46E"/>
    <w:rsid w:val="72C1D705"/>
    <w:rsid w:val="732A5608"/>
    <w:rsid w:val="7359FC09"/>
    <w:rsid w:val="73B12C4C"/>
    <w:rsid w:val="73DF4C4E"/>
    <w:rsid w:val="74D5BD8D"/>
    <w:rsid w:val="74EA4285"/>
    <w:rsid w:val="7507DB0B"/>
    <w:rsid w:val="7538E00B"/>
    <w:rsid w:val="75713909"/>
    <w:rsid w:val="760B34E9"/>
    <w:rsid w:val="762DAADA"/>
    <w:rsid w:val="76BB157C"/>
    <w:rsid w:val="7728DDB8"/>
    <w:rsid w:val="78592714"/>
    <w:rsid w:val="7896D2A6"/>
    <w:rsid w:val="78DC1870"/>
    <w:rsid w:val="792AEE22"/>
    <w:rsid w:val="7937FDD7"/>
    <w:rsid w:val="79CF5B95"/>
    <w:rsid w:val="7B031F47"/>
    <w:rsid w:val="7B1C501F"/>
    <w:rsid w:val="7B47FE5B"/>
    <w:rsid w:val="7BBE8B82"/>
    <w:rsid w:val="7C507A83"/>
    <w:rsid w:val="7C970F5C"/>
    <w:rsid w:val="7D2ACF78"/>
    <w:rsid w:val="7D4262B9"/>
    <w:rsid w:val="7F4C8C2C"/>
    <w:rsid w:val="7FBCD362"/>
    <w:rsid w:val="7FC8E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D89C"/>
  <w15:chartTrackingRefBased/>
  <w15:docId w15:val="{C7131C4B-2A70-42AC-9442-B72F013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FC"/>
  </w:style>
  <w:style w:type="paragraph" w:styleId="Heading1">
    <w:name w:val="heading 1"/>
    <w:basedOn w:val="Normal"/>
    <w:next w:val="Normal"/>
    <w:link w:val="Heading1Char"/>
    <w:qFormat/>
    <w:rsid w:val="005F7FF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FC"/>
  </w:style>
  <w:style w:type="paragraph" w:styleId="Footer">
    <w:name w:val="footer"/>
    <w:basedOn w:val="Normal"/>
    <w:link w:val="FooterChar"/>
    <w:uiPriority w:val="99"/>
    <w:unhideWhenUsed/>
    <w:rsid w:val="005F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FC"/>
  </w:style>
  <w:style w:type="character" w:customStyle="1" w:styleId="Heading1Char">
    <w:name w:val="Heading 1 Char"/>
    <w:basedOn w:val="DefaultParagraphFont"/>
    <w:link w:val="Heading1"/>
    <w:rsid w:val="005F7FFC"/>
    <w:rPr>
      <w:rFonts w:ascii="Arial" w:eastAsia="Times New Roman" w:hAnsi="Arial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5F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276"/>
    <w:pPr>
      <w:ind w:left="720"/>
      <w:contextualSpacing/>
    </w:pPr>
  </w:style>
  <w:style w:type="paragraph" w:styleId="NoSpacing">
    <w:name w:val="No Spacing"/>
    <w:uiPriority w:val="1"/>
    <w:qFormat/>
    <w:rsid w:val="00913AC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C6E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6E0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external">
    <w:name w:val="external"/>
    <w:basedOn w:val="DefaultParagraphFont"/>
    <w:rsid w:val="00DC6E0B"/>
  </w:style>
  <w:style w:type="paragraph" w:customStyle="1" w:styleId="paragraph">
    <w:name w:val="paragraph"/>
    <w:basedOn w:val="Normal"/>
    <w:rsid w:val="007A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1979"/>
  </w:style>
  <w:style w:type="character" w:customStyle="1" w:styleId="eop">
    <w:name w:val="eop"/>
    <w:basedOn w:val="DefaultParagraphFont"/>
    <w:rsid w:val="007A1979"/>
  </w:style>
  <w:style w:type="paragraph" w:styleId="Revision">
    <w:name w:val="Revision"/>
    <w:hidden/>
    <w:uiPriority w:val="99"/>
    <w:semiHidden/>
    <w:rsid w:val="002B6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publication/ccg-improvement-and-assessment-framework-ccg-iaf-2018-19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provement.nhs.uk/resources/single-oversight-framework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4" ma:contentTypeDescription="Create a new document." ma:contentTypeScope="" ma:versionID="1235abcc8f03abebd51c75cfbcdbb627">
  <xsd:schema xmlns:xsd="http://www.w3.org/2001/XMLSchema" xmlns:xs="http://www.w3.org/2001/XMLSchema" xmlns:p="http://schemas.microsoft.com/office/2006/metadata/properties" xmlns:ns2="250169f9-d2da-4118-b53a-263316cd62ce" targetNamespace="http://schemas.microsoft.com/office/2006/metadata/properties" ma:root="true" ma:fieldsID="a911cc9c4047fa7d51f23cad0855bf73" ns2:_="">
    <xsd:import namespace="250169f9-d2da-4118-b53a-263316cd6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CC32C-DC23-4E83-94BB-87693C38B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78BB2-1E08-4284-92FB-9D2AA3711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D400C-3F17-41EF-9F04-91B73EF96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Martyn (RNU) Oxford Health</dc:creator>
  <cp:keywords/>
  <dc:description/>
  <cp:lastModifiedBy>Weerawarnakula Surangi (RNU) Oxford Health</cp:lastModifiedBy>
  <cp:revision>83</cp:revision>
  <cp:lastPrinted>2021-03-18T11:47:00Z</cp:lastPrinted>
  <dcterms:created xsi:type="dcterms:W3CDTF">2021-03-05T18:54:00Z</dcterms:created>
  <dcterms:modified xsi:type="dcterms:W3CDTF">2021-03-18T18:02:00Z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