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E247F" w14:textId="77777777"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14:anchorId="541219B0" wp14:editId="55705DE9">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11"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14:paraId="74FAF9CB" w14:textId="77777777" w:rsidR="005D3499" w:rsidRPr="00FA3993" w:rsidRDefault="005D3499" w:rsidP="007B02FB">
      <w:pPr>
        <w:pStyle w:val="Heading1"/>
        <w:rPr>
          <w:rFonts w:ascii="Segoe UI" w:hAnsi="Segoe UI" w:cs="Segoe UI"/>
          <w:sz w:val="28"/>
          <w:u w:val="none"/>
        </w:rPr>
      </w:pPr>
    </w:p>
    <w:p w14:paraId="5B4DE2E5" w14:textId="77777777"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8240" behindDoc="0" locked="0" layoutInCell="1" allowOverlap="1" wp14:anchorId="52CF9FD7" wp14:editId="1ED40A03">
                <wp:simplePos x="0" y="0"/>
                <wp:positionH relativeFrom="column">
                  <wp:posOffset>4491355</wp:posOffset>
                </wp:positionH>
                <wp:positionV relativeFrom="paragraph">
                  <wp:posOffset>40005</wp:posOffset>
                </wp:positionV>
                <wp:extent cx="1657350" cy="4572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57200"/>
                        </a:xfrm>
                        <a:prstGeom prst="rect">
                          <a:avLst/>
                        </a:prstGeom>
                        <a:solidFill>
                          <a:srgbClr val="FFFFFF"/>
                        </a:solidFill>
                        <a:ln w="9525">
                          <a:solidFill>
                            <a:srgbClr val="000000"/>
                          </a:solidFill>
                          <a:miter lim="800000"/>
                          <a:headEnd/>
                          <a:tailEnd/>
                        </a:ln>
                      </wps:spPr>
                      <wps:txbx>
                        <w:txbxContent>
                          <w:p w14:paraId="029CD20E" w14:textId="2A773FA4" w:rsidR="00781566" w:rsidRDefault="00F2155A">
                            <w:pPr>
                              <w:jc w:val="center"/>
                              <w:rPr>
                                <w:rFonts w:ascii="Segoe UI" w:hAnsi="Segoe UI" w:cs="Segoe UI"/>
                              </w:rPr>
                            </w:pPr>
                            <w:r>
                              <w:rPr>
                                <w:rFonts w:ascii="Segoe UI" w:hAnsi="Segoe UI" w:cs="Segoe UI"/>
                                <w:b/>
                              </w:rPr>
                              <w:t>RR/App</w:t>
                            </w:r>
                            <w:r w:rsidR="007B6505">
                              <w:rPr>
                                <w:rFonts w:ascii="Segoe UI" w:hAnsi="Segoe UI" w:cs="Segoe UI"/>
                                <w:b/>
                              </w:rPr>
                              <w:t>_CoG</w:t>
                            </w:r>
                            <w:r w:rsidR="00FA3993">
                              <w:rPr>
                                <w:rFonts w:ascii="Segoe UI" w:hAnsi="Segoe UI" w:cs="Segoe UI"/>
                                <w:b/>
                              </w:rPr>
                              <w:t xml:space="preserve"> </w:t>
                            </w:r>
                            <w:r>
                              <w:rPr>
                                <w:rFonts w:ascii="Segoe UI" w:hAnsi="Segoe UI" w:cs="Segoe UI"/>
                                <w:b/>
                              </w:rPr>
                              <w:t>14</w:t>
                            </w:r>
                            <w:r w:rsidR="00FA3993">
                              <w:rPr>
                                <w:rFonts w:ascii="Segoe UI" w:hAnsi="Segoe UI" w:cs="Segoe UI"/>
                                <w:b/>
                              </w:rPr>
                              <w:t>/20</w:t>
                            </w:r>
                            <w:r w:rsidR="00842E4A">
                              <w:rPr>
                                <w:rFonts w:ascii="Segoe UI" w:hAnsi="Segoe UI" w:cs="Segoe UI"/>
                                <w:b/>
                              </w:rPr>
                              <w:t>2</w:t>
                            </w:r>
                            <w:r w:rsidR="0001239D">
                              <w:rPr>
                                <w:rFonts w:ascii="Segoe UI" w:hAnsi="Segoe UI" w:cs="Segoe UI"/>
                                <w:b/>
                              </w:rPr>
                              <w:t>1</w:t>
                            </w:r>
                          </w:p>
                          <w:p w14:paraId="55332493" w14:textId="2675E068"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2155A">
                              <w:rPr>
                                <w:rFonts w:ascii="Segoe UI" w:hAnsi="Segoe UI" w:cs="Segoe UI"/>
                                <w:sz w:val="22"/>
                                <w:szCs w:val="22"/>
                              </w:rPr>
                              <w:t>17</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9FD7" id="Rectangle 10" o:spid="_x0000_s1026" style="position:absolute;left:0;text-align:left;margin-left:353.65pt;margin-top:3.15pt;width:13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">
                <v:textbox inset="0,0,0,0">
                  <w:txbxContent>
                    <w:p w14:paraId="029CD20E" w14:textId="2A773FA4" w:rsidR="00781566" w:rsidRDefault="00F2155A">
                      <w:pPr>
                        <w:jc w:val="center"/>
                        <w:rPr>
                          <w:rFonts w:ascii="Segoe UI" w:hAnsi="Segoe UI" w:cs="Segoe UI"/>
                        </w:rPr>
                      </w:pPr>
                      <w:r>
                        <w:rPr>
                          <w:rFonts w:ascii="Segoe UI" w:hAnsi="Segoe UI" w:cs="Segoe UI"/>
                          <w:b/>
                        </w:rPr>
                        <w:t>RR/App</w:t>
                      </w:r>
                      <w:r w:rsidR="007B6505">
                        <w:rPr>
                          <w:rFonts w:ascii="Segoe UI" w:hAnsi="Segoe UI" w:cs="Segoe UI"/>
                          <w:b/>
                        </w:rPr>
                        <w:t>_CoG</w:t>
                      </w:r>
                      <w:r w:rsidR="00FA3993">
                        <w:rPr>
                          <w:rFonts w:ascii="Segoe UI" w:hAnsi="Segoe UI" w:cs="Segoe UI"/>
                          <w:b/>
                        </w:rPr>
                        <w:t xml:space="preserve"> </w:t>
                      </w:r>
                      <w:r>
                        <w:rPr>
                          <w:rFonts w:ascii="Segoe UI" w:hAnsi="Segoe UI" w:cs="Segoe UI"/>
                          <w:b/>
                        </w:rPr>
                        <w:t>14</w:t>
                      </w:r>
                      <w:r w:rsidR="00FA3993">
                        <w:rPr>
                          <w:rFonts w:ascii="Segoe UI" w:hAnsi="Segoe UI" w:cs="Segoe UI"/>
                          <w:b/>
                        </w:rPr>
                        <w:t>/20</w:t>
                      </w:r>
                      <w:r w:rsidR="00842E4A">
                        <w:rPr>
                          <w:rFonts w:ascii="Segoe UI" w:hAnsi="Segoe UI" w:cs="Segoe UI"/>
                          <w:b/>
                        </w:rPr>
                        <w:t>2</w:t>
                      </w:r>
                      <w:r w:rsidR="0001239D">
                        <w:rPr>
                          <w:rFonts w:ascii="Segoe UI" w:hAnsi="Segoe UI" w:cs="Segoe UI"/>
                          <w:b/>
                        </w:rPr>
                        <w:t>1</w:t>
                      </w:r>
                    </w:p>
                    <w:p w14:paraId="55332493" w14:textId="2675E068"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2155A">
                        <w:rPr>
                          <w:rFonts w:ascii="Segoe UI" w:hAnsi="Segoe UI" w:cs="Segoe UI"/>
                          <w:sz w:val="22"/>
                          <w:szCs w:val="22"/>
                        </w:rPr>
                        <w:t>17</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560658A9"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4C8433B2" w14:textId="77777777" w:rsidR="00FA3993" w:rsidRDefault="00FA3993">
      <w:pPr>
        <w:pStyle w:val="Heading1"/>
        <w:jc w:val="center"/>
        <w:rPr>
          <w:rFonts w:ascii="Segoe UI" w:hAnsi="Segoe UI" w:cs="Segoe UI"/>
          <w:sz w:val="28"/>
          <w:u w:val="none"/>
        </w:rPr>
      </w:pPr>
    </w:p>
    <w:p w14:paraId="06C00783" w14:textId="77777777"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14:paraId="0ED54CE9" w14:textId="6A3D4971" w:rsidR="005D3499" w:rsidRPr="00FA3993" w:rsidRDefault="00A901FF" w:rsidP="00A901FF">
      <w:pPr>
        <w:jc w:val="center"/>
        <w:rPr>
          <w:rFonts w:ascii="Segoe UI" w:hAnsi="Segoe UI" w:cs="Segoe UI"/>
          <w:b/>
          <w:bCs/>
        </w:rPr>
      </w:pPr>
      <w:r>
        <w:rPr>
          <w:rFonts w:ascii="Segoe UI" w:hAnsi="Segoe UI" w:cs="Segoe UI"/>
          <w:b/>
          <w:bCs/>
        </w:rPr>
        <w:t>25</w:t>
      </w:r>
      <w:r w:rsidRPr="00A901FF">
        <w:rPr>
          <w:rFonts w:ascii="Segoe UI" w:hAnsi="Segoe UI" w:cs="Segoe UI"/>
          <w:b/>
          <w:bCs/>
          <w:vertAlign w:val="superscript"/>
        </w:rPr>
        <w:t>th</w:t>
      </w:r>
      <w:r>
        <w:rPr>
          <w:rFonts w:ascii="Segoe UI" w:hAnsi="Segoe UI" w:cs="Segoe UI"/>
          <w:b/>
          <w:bCs/>
        </w:rPr>
        <w:t xml:space="preserve"> November </w:t>
      </w:r>
      <w:r w:rsidR="008E32B1" w:rsidRPr="74848B94">
        <w:rPr>
          <w:rFonts w:ascii="Segoe UI" w:hAnsi="Segoe UI" w:cs="Segoe UI"/>
          <w:b/>
          <w:bCs/>
        </w:rPr>
        <w:t>20</w:t>
      </w:r>
      <w:r w:rsidR="00842E4A" w:rsidRPr="74848B94">
        <w:rPr>
          <w:rFonts w:ascii="Segoe UI" w:hAnsi="Segoe UI" w:cs="Segoe UI"/>
          <w:b/>
          <w:bCs/>
        </w:rPr>
        <w:t>2</w:t>
      </w:r>
      <w:r w:rsidR="0001239D" w:rsidRPr="74848B94">
        <w:rPr>
          <w:rFonts w:ascii="Segoe UI" w:hAnsi="Segoe UI" w:cs="Segoe UI"/>
          <w:b/>
          <w:bCs/>
        </w:rPr>
        <w:t>1</w:t>
      </w:r>
    </w:p>
    <w:p w14:paraId="27F436E6" w14:textId="77777777" w:rsidR="005D3499" w:rsidRPr="00FA3993" w:rsidRDefault="005D3499">
      <w:pPr>
        <w:jc w:val="center"/>
        <w:rPr>
          <w:rFonts w:ascii="Segoe UI" w:hAnsi="Segoe UI" w:cs="Segoe UI"/>
          <w:b/>
        </w:rPr>
      </w:pPr>
    </w:p>
    <w:p w14:paraId="5EEAEE7E" w14:textId="200CFDF9" w:rsidR="005D3499" w:rsidRPr="00FA3993" w:rsidRDefault="001F2B8D" w:rsidP="00FD2279">
      <w:pPr>
        <w:jc w:val="center"/>
        <w:rPr>
          <w:rFonts w:ascii="Segoe UI" w:hAnsi="Segoe UI" w:cs="Segoe UI"/>
          <w:b/>
        </w:rPr>
      </w:pPr>
      <w:r>
        <w:rPr>
          <w:rFonts w:ascii="Segoe UI" w:hAnsi="Segoe UI" w:cs="Segoe UI"/>
          <w:b/>
        </w:rPr>
        <w:t>Integrated Performance Report (IPR)</w:t>
      </w:r>
    </w:p>
    <w:p w14:paraId="75CC48EA" w14:textId="77777777" w:rsidR="005D3499" w:rsidRPr="00FA3993" w:rsidRDefault="005D3499">
      <w:pPr>
        <w:rPr>
          <w:rFonts w:ascii="Segoe UI" w:hAnsi="Segoe UI" w:cs="Segoe UI"/>
          <w:b/>
        </w:rPr>
      </w:pPr>
    </w:p>
    <w:p w14:paraId="39161D7D" w14:textId="0B479259" w:rsidR="00241A66" w:rsidRDefault="00292613" w:rsidP="00241A66">
      <w:pPr>
        <w:jc w:val="center"/>
        <w:rPr>
          <w:rFonts w:ascii="Segoe UI" w:hAnsi="Segoe UI" w:cs="Segoe UI"/>
        </w:rPr>
      </w:pPr>
      <w:r w:rsidRPr="00FA3993">
        <w:rPr>
          <w:rFonts w:ascii="Segoe UI" w:hAnsi="Segoe UI" w:cs="Segoe UI"/>
          <w:b/>
          <w:u w:val="single"/>
        </w:rPr>
        <w:t>For: Information</w:t>
      </w:r>
    </w:p>
    <w:p w14:paraId="6C0C2A98" w14:textId="77777777" w:rsidR="00292613" w:rsidRPr="00FA3993" w:rsidRDefault="00292613">
      <w:pPr>
        <w:rPr>
          <w:rFonts w:ascii="Segoe UI" w:hAnsi="Segoe UI" w:cs="Segoe UI"/>
          <w:b/>
        </w:rPr>
      </w:pPr>
    </w:p>
    <w:p w14:paraId="29CB0886" w14:textId="77777777" w:rsidR="007A2CF0" w:rsidRPr="00FA3993" w:rsidRDefault="007A2CF0" w:rsidP="007A2CF0">
      <w:pPr>
        <w:jc w:val="both"/>
        <w:rPr>
          <w:rFonts w:ascii="Segoe UI" w:hAnsi="Segoe UI" w:cs="Segoe UI"/>
          <w:b/>
        </w:rPr>
      </w:pPr>
      <w:r w:rsidRPr="00FA3993">
        <w:rPr>
          <w:rFonts w:ascii="Segoe UI" w:hAnsi="Segoe UI" w:cs="Segoe UI"/>
          <w:b/>
        </w:rPr>
        <w:t>Executive Summary</w:t>
      </w:r>
    </w:p>
    <w:p w14:paraId="5848F848" w14:textId="77777777" w:rsidR="004A1E77" w:rsidRDefault="004A1E77" w:rsidP="004A1E77">
      <w:pPr>
        <w:jc w:val="both"/>
        <w:rPr>
          <w:rFonts w:ascii="Arial" w:hAnsi="Arial" w:cs="Arial"/>
          <w:b/>
        </w:rPr>
      </w:pPr>
    </w:p>
    <w:p w14:paraId="0269BFF8" w14:textId="77777777" w:rsidR="004A1E77" w:rsidRDefault="004A1E77" w:rsidP="004A1E77">
      <w:pPr>
        <w:rPr>
          <w:rFonts w:ascii="Arial" w:hAnsi="Arial" w:cs="Arial"/>
        </w:rPr>
      </w:pPr>
      <w:r w:rsidRPr="006B1604">
        <w:rPr>
          <w:rFonts w:ascii="Arial" w:hAnsi="Arial" w:cs="Arial"/>
        </w:rPr>
        <w:t>This</w:t>
      </w:r>
      <w:r>
        <w:rPr>
          <w:rFonts w:ascii="Arial" w:hAnsi="Arial" w:cs="Arial"/>
        </w:rPr>
        <w:t xml:space="preserve"> report is intended to provide the Board of Directors with the first integrated view of the Trust’s overall performance and has been divided into five key sections:</w:t>
      </w:r>
    </w:p>
    <w:p w14:paraId="2DF65075" w14:textId="77777777" w:rsidR="004A1E77" w:rsidRDefault="004A1E77" w:rsidP="004A1E77">
      <w:pPr>
        <w:rPr>
          <w:rFonts w:ascii="Arial" w:hAnsi="Arial" w:cs="Arial"/>
        </w:rPr>
      </w:pPr>
    </w:p>
    <w:p w14:paraId="5D79574B" w14:textId="77777777" w:rsidR="004A1E77" w:rsidRDefault="004A1E77" w:rsidP="004A1E77">
      <w:pPr>
        <w:rPr>
          <w:rFonts w:ascii="Arial" w:hAnsi="Arial" w:cs="Arial"/>
        </w:rPr>
      </w:pPr>
      <w:r>
        <w:rPr>
          <w:rFonts w:ascii="Arial" w:hAnsi="Arial" w:cs="Arial"/>
        </w:rPr>
        <w:t>Section 1:  A narrative that describes the Trust strategy and the key objectives</w:t>
      </w:r>
    </w:p>
    <w:p w14:paraId="1316D155" w14:textId="77777777" w:rsidR="004A1E77" w:rsidRDefault="004A1E77" w:rsidP="004A1E77">
      <w:pPr>
        <w:rPr>
          <w:rFonts w:ascii="Arial" w:hAnsi="Arial" w:cs="Arial"/>
        </w:rPr>
      </w:pPr>
    </w:p>
    <w:p w14:paraId="6D6971BC" w14:textId="77777777" w:rsidR="004A1E77" w:rsidRDefault="004A1E77" w:rsidP="004A1E77">
      <w:pPr>
        <w:rPr>
          <w:rFonts w:ascii="Arial" w:hAnsi="Arial" w:cs="Arial"/>
        </w:rPr>
      </w:pPr>
      <w:r>
        <w:rPr>
          <w:rFonts w:ascii="Arial" w:hAnsi="Arial" w:cs="Arial"/>
        </w:rPr>
        <w:t xml:space="preserve">Section 2:  Key headlines to help set context on what the Trust has delivered during the reporting period </w:t>
      </w:r>
    </w:p>
    <w:p w14:paraId="013D1A8F" w14:textId="77777777" w:rsidR="004A1E77" w:rsidRDefault="004A1E77" w:rsidP="004A1E77">
      <w:pPr>
        <w:rPr>
          <w:rFonts w:ascii="Arial" w:hAnsi="Arial" w:cs="Arial"/>
        </w:rPr>
      </w:pPr>
    </w:p>
    <w:p w14:paraId="20308ABC" w14:textId="77777777" w:rsidR="004A1E77" w:rsidRDefault="004A1E77" w:rsidP="004A1E77">
      <w:pPr>
        <w:rPr>
          <w:rFonts w:ascii="Arial" w:hAnsi="Arial" w:cs="Arial"/>
        </w:rPr>
      </w:pPr>
      <w:r>
        <w:rPr>
          <w:rFonts w:ascii="Arial" w:hAnsi="Arial" w:cs="Arial"/>
        </w:rPr>
        <w:t>Section 3: Delivery against the targets set nationally in the NHS Oversight Framework</w:t>
      </w:r>
    </w:p>
    <w:p w14:paraId="01471D47" w14:textId="77777777" w:rsidR="004A1E77" w:rsidRDefault="004A1E77" w:rsidP="004A1E77">
      <w:pPr>
        <w:rPr>
          <w:rFonts w:ascii="Arial" w:hAnsi="Arial" w:cs="Arial"/>
        </w:rPr>
      </w:pPr>
    </w:p>
    <w:p w14:paraId="203AD6A5" w14:textId="77777777" w:rsidR="004A1E77" w:rsidRDefault="004A1E77" w:rsidP="004A1E77">
      <w:pPr>
        <w:rPr>
          <w:rFonts w:ascii="Arial" w:hAnsi="Arial" w:cs="Arial"/>
        </w:rPr>
      </w:pPr>
      <w:r>
        <w:rPr>
          <w:rFonts w:ascii="Arial" w:hAnsi="Arial" w:cs="Arial"/>
        </w:rPr>
        <w:t>Section 4:  Measuring the Trust’s performance against its strategic objectives using the Objective Key Results (OKRs) agreed during the development of the Trust’s strategy</w:t>
      </w:r>
    </w:p>
    <w:p w14:paraId="0C49295C" w14:textId="77777777" w:rsidR="004A1E77" w:rsidRDefault="004A1E77" w:rsidP="004A1E77">
      <w:pPr>
        <w:rPr>
          <w:rFonts w:ascii="Arial" w:hAnsi="Arial" w:cs="Arial"/>
        </w:rPr>
      </w:pPr>
    </w:p>
    <w:p w14:paraId="6DC47899" w14:textId="77777777" w:rsidR="004A1E77" w:rsidRDefault="004A1E77" w:rsidP="004A1E77">
      <w:pPr>
        <w:rPr>
          <w:rFonts w:ascii="Arial" w:hAnsi="Arial" w:cs="Arial"/>
        </w:rPr>
      </w:pPr>
      <w:r>
        <w:rPr>
          <w:rFonts w:ascii="Arial" w:hAnsi="Arial" w:cs="Arial"/>
        </w:rPr>
        <w:t>Section 5:  Highlights from the Executive Managing Directors</w:t>
      </w:r>
      <w:r>
        <w:rPr>
          <w:rFonts w:ascii="Arial" w:hAnsi="Arial" w:cs="Arial"/>
        </w:rPr>
        <w:tab/>
      </w:r>
    </w:p>
    <w:p w14:paraId="25537F0B" w14:textId="77777777" w:rsidR="004A1E77" w:rsidRDefault="004A1E77" w:rsidP="004A1E77">
      <w:pPr>
        <w:rPr>
          <w:rFonts w:ascii="Arial" w:hAnsi="Arial" w:cs="Arial"/>
        </w:rPr>
      </w:pPr>
    </w:p>
    <w:p w14:paraId="0F3D8D69" w14:textId="77777777" w:rsidR="004A1E77" w:rsidRDefault="004A1E77" w:rsidP="004A1E77">
      <w:pPr>
        <w:rPr>
          <w:rFonts w:ascii="Arial" w:hAnsi="Arial" w:cs="Arial"/>
        </w:rPr>
      </w:pPr>
      <w:r>
        <w:rPr>
          <w:rFonts w:ascii="Arial" w:hAnsi="Arial" w:cs="Arial"/>
        </w:rPr>
        <w:t xml:space="preserve">The report has been designed specifically to provide an integrated view and should be read alongside the standard reporting on each specific area (Quality, Workforce, Finance and Operational Performance). </w:t>
      </w:r>
    </w:p>
    <w:p w14:paraId="37709540" w14:textId="77777777" w:rsidR="007A2CF0" w:rsidRPr="00FA3993" w:rsidRDefault="007A2CF0" w:rsidP="007A2CF0">
      <w:pPr>
        <w:jc w:val="both"/>
        <w:rPr>
          <w:rFonts w:ascii="Segoe UI" w:hAnsi="Segoe UI" w:cs="Segoe UI"/>
          <w:i/>
        </w:rPr>
      </w:pPr>
    </w:p>
    <w:p w14:paraId="4E2E35D0" w14:textId="77777777" w:rsidR="006E22CF" w:rsidRDefault="00FA3993" w:rsidP="006E22CF">
      <w:pPr>
        <w:jc w:val="both"/>
        <w:rPr>
          <w:rFonts w:ascii="Segoe UI" w:hAnsi="Segoe UI" w:cs="Segoe UI"/>
          <w:b/>
        </w:rPr>
      </w:pPr>
      <w:r>
        <w:rPr>
          <w:rFonts w:ascii="Segoe UI" w:hAnsi="Segoe UI" w:cs="Segoe UI"/>
          <w:b/>
        </w:rPr>
        <w:lastRenderedPageBreak/>
        <w:t>Governance Route/Approval Process</w:t>
      </w:r>
    </w:p>
    <w:p w14:paraId="5A1E9C89" w14:textId="356EBFA3" w:rsidR="003A392D" w:rsidRDefault="006E22CF" w:rsidP="006E22CF">
      <w:pPr>
        <w:jc w:val="both"/>
        <w:rPr>
          <w:rFonts w:ascii="Arial" w:hAnsi="Arial" w:cs="Arial"/>
        </w:rPr>
      </w:pPr>
      <w:r w:rsidRPr="006B1604">
        <w:rPr>
          <w:rFonts w:ascii="Arial" w:hAnsi="Arial" w:cs="Arial"/>
        </w:rPr>
        <w:t>This</w:t>
      </w:r>
      <w:r>
        <w:rPr>
          <w:rFonts w:ascii="Arial" w:hAnsi="Arial" w:cs="Arial"/>
        </w:rPr>
        <w:t xml:space="preserve"> report is shared monthly to the Executive Team and to the</w:t>
      </w:r>
      <w:r w:rsidR="00E84D93">
        <w:rPr>
          <w:rFonts w:ascii="Arial" w:hAnsi="Arial" w:cs="Arial"/>
        </w:rPr>
        <w:t xml:space="preserve"> </w:t>
      </w:r>
      <w:r w:rsidR="00FB0F97">
        <w:rPr>
          <w:rFonts w:ascii="Arial" w:hAnsi="Arial" w:cs="Arial"/>
        </w:rPr>
        <w:t xml:space="preserve">Board of Directors meetings when </w:t>
      </w:r>
      <w:r w:rsidR="00E84D93" w:rsidRPr="00432EA3">
        <w:rPr>
          <w:rFonts w:ascii="Arial" w:hAnsi="Arial" w:cs="Arial"/>
        </w:rPr>
        <w:t>convened</w:t>
      </w:r>
      <w:r w:rsidR="00E84D93">
        <w:rPr>
          <w:rFonts w:ascii="Arial" w:hAnsi="Arial" w:cs="Arial"/>
        </w:rPr>
        <w:t>.</w:t>
      </w:r>
      <w:r w:rsidR="00FB0F97">
        <w:rPr>
          <w:rFonts w:ascii="Arial" w:hAnsi="Arial" w:cs="Arial"/>
        </w:rPr>
        <w:t xml:space="preserve">  </w:t>
      </w:r>
    </w:p>
    <w:p w14:paraId="05F1DE39" w14:textId="77777777" w:rsidR="00FB0F97" w:rsidRPr="006E22CF" w:rsidRDefault="00FB0F97" w:rsidP="006E22CF">
      <w:pPr>
        <w:jc w:val="both"/>
        <w:rPr>
          <w:rFonts w:ascii="Segoe UI" w:hAnsi="Segoe UI" w:cs="Segoe UI"/>
          <w:b/>
        </w:rPr>
      </w:pPr>
    </w:p>
    <w:p w14:paraId="63681579"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2B0CBDC4" w14:textId="178701F1" w:rsidR="000A5A07" w:rsidRDefault="000A5A07" w:rsidP="0073522A">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Pr>
          <w:rFonts w:ascii="Segoe UI" w:hAnsi="Segoe UI" w:cs="Segoe UI"/>
        </w:rPr>
        <w:t xml:space="preserve"> to</w:t>
      </w:r>
      <w:r w:rsidR="00E84D93">
        <w:rPr>
          <w:rFonts w:ascii="Segoe UI" w:hAnsi="Segoe UI" w:cs="Segoe UI"/>
        </w:rPr>
        <w:t xml:space="preserve"> note </w:t>
      </w:r>
      <w:r>
        <w:rPr>
          <w:rFonts w:ascii="Segoe UI" w:hAnsi="Segoe UI" w:cs="Segoe UI"/>
        </w:rPr>
        <w:t xml:space="preserve">the report.  </w:t>
      </w:r>
    </w:p>
    <w:p w14:paraId="73B844EF" w14:textId="77777777" w:rsidR="005D3499" w:rsidRPr="00FA3993" w:rsidRDefault="005D3499">
      <w:pPr>
        <w:jc w:val="both"/>
        <w:rPr>
          <w:rFonts w:ascii="Segoe UI" w:hAnsi="Segoe UI" w:cs="Segoe UI"/>
          <w:b/>
        </w:rPr>
      </w:pPr>
    </w:p>
    <w:p w14:paraId="7F3984CC" w14:textId="11649576"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535DE2">
        <w:rPr>
          <w:rFonts w:ascii="Segoe UI" w:hAnsi="Segoe UI" w:cs="Segoe UI"/>
          <w:b/>
        </w:rPr>
        <w:t>Martyn Ward</w:t>
      </w:r>
      <w:r w:rsidR="0073522A" w:rsidRPr="00FA3993">
        <w:rPr>
          <w:rFonts w:ascii="Segoe UI" w:hAnsi="Segoe UI" w:cs="Segoe UI"/>
        </w:rPr>
        <w:tab/>
      </w:r>
    </w:p>
    <w:p w14:paraId="5CA88F9A" w14:textId="0A79BD46" w:rsidR="00FA3993" w:rsidRPr="002250DE" w:rsidRDefault="0073522A" w:rsidP="53C4554A">
      <w:pPr>
        <w:jc w:val="both"/>
        <w:rPr>
          <w:rFonts w:ascii="Segoe UI" w:hAnsi="Segoe UI" w:cs="Segoe UI"/>
          <w:b/>
          <w:bCs/>
        </w:rPr>
      </w:pPr>
      <w:r w:rsidRPr="53C4554A">
        <w:rPr>
          <w:rFonts w:ascii="Segoe UI" w:hAnsi="Segoe UI" w:cs="Segoe UI"/>
          <w:b/>
          <w:bCs/>
        </w:rPr>
        <w:t>Lead Executive Director:</w:t>
      </w:r>
      <w:r w:rsidR="007B02FB" w:rsidRPr="53C4554A">
        <w:rPr>
          <w:rFonts w:ascii="Segoe UI" w:hAnsi="Segoe UI" w:cs="Segoe UI"/>
          <w:b/>
          <w:bCs/>
        </w:rPr>
        <w:t xml:space="preserve"> </w:t>
      </w:r>
      <w:r w:rsidR="00E77177" w:rsidRPr="53C4554A">
        <w:rPr>
          <w:rFonts w:ascii="Segoe UI" w:hAnsi="Segoe UI" w:cs="Segoe UI"/>
          <w:b/>
          <w:bCs/>
        </w:rPr>
        <w:t>Executive Director – Digital &amp; Transformation.</w:t>
      </w:r>
      <w:r w:rsidR="007B02FB" w:rsidRPr="53C4554A">
        <w:rPr>
          <w:rFonts w:ascii="Segoe UI" w:hAnsi="Segoe UI" w:cs="Segoe UI"/>
          <w:b/>
          <w:bCs/>
        </w:rPr>
        <w:t xml:space="preserve"> </w:t>
      </w:r>
    </w:p>
    <w:p w14:paraId="4999ECC6" w14:textId="77777777" w:rsidR="00FA3993" w:rsidRPr="0072070D" w:rsidRDefault="00FA3993" w:rsidP="00FA3993">
      <w:pPr>
        <w:jc w:val="both"/>
        <w:rPr>
          <w:rFonts w:ascii="Segoe UI" w:hAnsi="Segoe UI" w:cs="Segoe UI"/>
        </w:rPr>
      </w:pPr>
    </w:p>
    <w:p w14:paraId="7BC04913" w14:textId="0E5FB324" w:rsidR="66ED3103" w:rsidRDefault="66ED3103" w:rsidP="3A6B872D">
      <w:pPr>
        <w:rPr>
          <w:rFonts w:ascii="Arial" w:hAnsi="Arial" w:cs="Arial"/>
          <w:b/>
          <w:bCs/>
        </w:rPr>
      </w:pPr>
      <w:r w:rsidRPr="3A6B872D">
        <w:rPr>
          <w:rFonts w:ascii="Arial" w:hAnsi="Arial" w:cs="Arial"/>
          <w:b/>
          <w:bCs/>
        </w:rPr>
        <w:t>Current Covid Position:</w:t>
      </w:r>
    </w:p>
    <w:p w14:paraId="0FE46D17" w14:textId="3626B253" w:rsidR="66ED3103" w:rsidRDefault="66ED3103" w:rsidP="3A6B872D">
      <w:pPr>
        <w:rPr>
          <w:rFonts w:ascii="Arial" w:hAnsi="Arial" w:cs="Arial"/>
        </w:rPr>
      </w:pPr>
      <w:r w:rsidRPr="3A6B872D">
        <w:rPr>
          <w:rFonts w:ascii="Arial" w:hAnsi="Arial" w:cs="Arial"/>
        </w:rPr>
        <w:t>As at 18</w:t>
      </w:r>
      <w:r w:rsidRPr="3A6B872D">
        <w:rPr>
          <w:rFonts w:ascii="Arial" w:hAnsi="Arial" w:cs="Arial"/>
          <w:vertAlign w:val="superscript"/>
        </w:rPr>
        <w:t>th</w:t>
      </w:r>
      <w:r w:rsidRPr="3A6B872D">
        <w:rPr>
          <w:rFonts w:ascii="Arial" w:hAnsi="Arial" w:cs="Arial"/>
        </w:rPr>
        <w:t xml:space="preserve"> November there are</w:t>
      </w:r>
      <w:r w:rsidRPr="3A6B872D">
        <w:rPr>
          <w:rFonts w:ascii="Arial" w:hAnsi="Arial" w:cs="Arial"/>
          <w:b/>
          <w:bCs/>
        </w:rPr>
        <w:t xml:space="preserve"> 8</w:t>
      </w:r>
      <w:r w:rsidRPr="3A6B872D">
        <w:rPr>
          <w:rFonts w:ascii="Arial" w:hAnsi="Arial" w:cs="Arial"/>
        </w:rPr>
        <w:t xml:space="preserve"> Covid positive patients on inpatient wards.</w:t>
      </w:r>
    </w:p>
    <w:p w14:paraId="7592A79B" w14:textId="0FC12B93" w:rsidR="3A6B872D" w:rsidRDefault="3A6B872D" w:rsidP="3A6B872D">
      <w:pPr>
        <w:rPr>
          <w:rFonts w:ascii="Arial" w:hAnsi="Arial" w:cs="Arial"/>
        </w:rPr>
      </w:pPr>
    </w:p>
    <w:p w14:paraId="2DA300FC" w14:textId="4CE061B4" w:rsidR="66ED3103" w:rsidRDefault="66ED3103" w:rsidP="3A6B872D">
      <w:r>
        <w:rPr>
          <w:noProof/>
        </w:rPr>
        <w:drawing>
          <wp:inline distT="0" distB="0" distL="0" distR="0" wp14:anchorId="6305FF45" wp14:editId="07F7F79A">
            <wp:extent cx="5486400" cy="1188720"/>
            <wp:effectExtent l="0" t="0" r="0" b="0"/>
            <wp:docPr id="1302387128" name="Picture 130238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86400" cy="1188720"/>
                    </a:xfrm>
                    <a:prstGeom prst="rect">
                      <a:avLst/>
                    </a:prstGeom>
                  </pic:spPr>
                </pic:pic>
              </a:graphicData>
            </a:graphic>
          </wp:inline>
        </w:drawing>
      </w:r>
    </w:p>
    <w:p w14:paraId="30358C2E" w14:textId="1C87314C" w:rsidR="66ED3103" w:rsidRDefault="66ED3103" w:rsidP="3A6B872D">
      <w:pPr>
        <w:rPr>
          <w:rFonts w:ascii="Arial" w:hAnsi="Arial" w:cs="Arial"/>
          <w:b/>
          <w:bCs/>
        </w:rPr>
      </w:pPr>
      <w:r w:rsidRPr="3A6B872D">
        <w:rPr>
          <w:rFonts w:ascii="Arial" w:hAnsi="Arial" w:cs="Arial"/>
          <w:b/>
          <w:bCs/>
        </w:rPr>
        <w:t>Performance Summary:</w:t>
      </w:r>
    </w:p>
    <w:p w14:paraId="3EE9579F" w14:textId="3D63DAD7" w:rsidR="3A6B872D" w:rsidRDefault="3A6B872D" w:rsidP="3A6B872D">
      <w:pPr>
        <w:rPr>
          <w:rFonts w:ascii="Arial" w:hAnsi="Arial" w:cs="Arial"/>
        </w:rPr>
      </w:pPr>
    </w:p>
    <w:p w14:paraId="64F8D328" w14:textId="77777777" w:rsidR="00FA1DE9" w:rsidRDefault="00FA1DE9" w:rsidP="00FA1DE9">
      <w:pPr>
        <w:rPr>
          <w:rFonts w:ascii="Arial" w:hAnsi="Arial" w:cs="Arial"/>
        </w:rPr>
      </w:pPr>
      <w:r w:rsidRPr="00E46017">
        <w:rPr>
          <w:rFonts w:ascii="Arial" w:hAnsi="Arial" w:cs="Arial"/>
        </w:rPr>
        <w:t xml:space="preserve">The Trust continues to receive a higher number of referrals than has been seen in previous years.  </w:t>
      </w:r>
      <w:r>
        <w:rPr>
          <w:rFonts w:ascii="Arial" w:hAnsi="Arial" w:cs="Arial"/>
        </w:rPr>
        <w:t xml:space="preserve">Further work is required to understand in detail, how many of the new referrals are as a direct consequence of COVID and how many are part of the backlog that has developed over the past 18 months. </w:t>
      </w:r>
    </w:p>
    <w:p w14:paraId="38C99ACB" w14:textId="77777777" w:rsidR="00FA1DE9" w:rsidRPr="00B71AC4" w:rsidRDefault="00FA1DE9" w:rsidP="00FA1DE9">
      <w:pPr>
        <w:rPr>
          <w:rFonts w:ascii="Arial" w:hAnsi="Arial" w:cs="Arial"/>
          <w:i/>
          <w:iCs/>
        </w:rPr>
      </w:pPr>
    </w:p>
    <w:p w14:paraId="04771BE2" w14:textId="2D3FF975" w:rsidR="00FA1DE9" w:rsidRDefault="00FA1DE9">
      <w:r w:rsidRPr="3A6B872D">
        <w:rPr>
          <w:rFonts w:ascii="Arial" w:hAnsi="Arial" w:cs="Arial"/>
        </w:rPr>
        <w:t>The increase in referrals has had a significant impact on waiting times across virtually all service areas.  In many cases, waits for routine referrals have been most affected as the operational priority remains on Emergency and Urgent referrals.  For those patients waiting, additional steps have been taken to mitigate clinical risks and prevent harm.</w:t>
      </w:r>
    </w:p>
    <w:p w14:paraId="3A9F1572" w14:textId="77777777" w:rsidR="00FA1DE9" w:rsidRDefault="00FA1DE9" w:rsidP="00FA1DE9">
      <w:pPr>
        <w:rPr>
          <w:rFonts w:ascii="Arial" w:hAnsi="Arial" w:cs="Arial"/>
        </w:rPr>
      </w:pPr>
    </w:p>
    <w:p w14:paraId="04069AAC" w14:textId="2F86D123" w:rsidR="00FA1DE9" w:rsidRDefault="00FA1DE9" w:rsidP="00FA1DE9">
      <w:pPr>
        <w:rPr>
          <w:rFonts w:ascii="Arial" w:hAnsi="Arial" w:cs="Arial"/>
        </w:rPr>
      </w:pPr>
      <w:r>
        <w:rPr>
          <w:rFonts w:ascii="Arial" w:hAnsi="Arial" w:cs="Arial"/>
        </w:rPr>
        <w:t xml:space="preserve">From the analysis of the data in </w:t>
      </w:r>
      <w:r w:rsidR="00242459">
        <w:rPr>
          <w:rFonts w:ascii="Arial" w:hAnsi="Arial" w:cs="Arial"/>
        </w:rPr>
        <w:t>quarter</w:t>
      </w:r>
      <w:r>
        <w:rPr>
          <w:rFonts w:ascii="Arial" w:hAnsi="Arial" w:cs="Arial"/>
        </w:rPr>
        <w:t>, the following areas have been escalated to the Operations Management Team as exceptions for awareness and action:</w:t>
      </w:r>
    </w:p>
    <w:p w14:paraId="0C686D50" w14:textId="77777777" w:rsidR="00FA1DE9" w:rsidRDefault="00FA1DE9" w:rsidP="00FA1DE9">
      <w:pPr>
        <w:rPr>
          <w:rFonts w:ascii="Arial" w:hAnsi="Arial" w:cs="Arial"/>
        </w:rPr>
      </w:pPr>
    </w:p>
    <w:p w14:paraId="1D364BB7" w14:textId="77777777" w:rsidR="00FA1DE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Adult Eating Disorder services (Oxfordshire)</w:t>
      </w:r>
    </w:p>
    <w:p w14:paraId="4703610E" w14:textId="77777777" w:rsidR="00FA1DE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CAMHS Eating Disorder services (Oxfordshire &amp; Buckinghamshire)</w:t>
      </w:r>
    </w:p>
    <w:p w14:paraId="67AF2B0D" w14:textId="77777777" w:rsidR="00FA1DE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IAPT (Oxfordshire)</w:t>
      </w:r>
    </w:p>
    <w:p w14:paraId="4613912D" w14:textId="77777777" w:rsidR="00FA1DE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Neuro Developmental Collaboration Pathway (Oxfordshire &amp; Buckinghamshire)</w:t>
      </w:r>
    </w:p>
    <w:p w14:paraId="77B5440F" w14:textId="50E29F14" w:rsidR="00FA1DE9" w:rsidRPr="00F83556" w:rsidRDefault="00FA1DE9" w:rsidP="00FA1DE9">
      <w:pPr>
        <w:pStyle w:val="ListParagraph"/>
        <w:numPr>
          <w:ilvl w:val="0"/>
          <w:numId w:val="8"/>
        </w:numPr>
        <w:spacing w:after="160" w:line="259" w:lineRule="auto"/>
        <w:contextualSpacing/>
        <w:rPr>
          <w:rFonts w:ascii="Arial" w:hAnsi="Arial" w:cs="Arial"/>
          <w:b/>
          <w:bCs/>
        </w:rPr>
      </w:pPr>
      <w:r>
        <w:rPr>
          <w:rFonts w:ascii="Arial" w:hAnsi="Arial" w:cs="Arial"/>
        </w:rPr>
        <w:t>Adult Mental Health</w:t>
      </w:r>
      <w:r w:rsidR="00C2463F">
        <w:rPr>
          <w:rFonts w:ascii="Arial" w:hAnsi="Arial" w:cs="Arial"/>
        </w:rPr>
        <w:t xml:space="preserve"> Urgent Care</w:t>
      </w:r>
      <w:r>
        <w:rPr>
          <w:rFonts w:ascii="Arial" w:hAnsi="Arial" w:cs="Arial"/>
        </w:rPr>
        <w:t xml:space="preserve"> </w:t>
      </w:r>
    </w:p>
    <w:p w14:paraId="72896E8E" w14:textId="1FC1E75C" w:rsidR="00F83556" w:rsidRPr="00BF5040" w:rsidRDefault="00F83556" w:rsidP="00FA1DE9">
      <w:pPr>
        <w:pStyle w:val="ListParagraph"/>
        <w:numPr>
          <w:ilvl w:val="0"/>
          <w:numId w:val="8"/>
        </w:numPr>
        <w:spacing w:after="160" w:line="259" w:lineRule="auto"/>
        <w:contextualSpacing/>
        <w:rPr>
          <w:rFonts w:ascii="Arial" w:hAnsi="Arial" w:cs="Arial"/>
          <w:b/>
          <w:bCs/>
        </w:rPr>
      </w:pPr>
      <w:r>
        <w:rPr>
          <w:rFonts w:ascii="Arial" w:hAnsi="Arial" w:cs="Arial"/>
        </w:rPr>
        <w:t>City Adult Mental Health Team (AMHT)</w:t>
      </w:r>
    </w:p>
    <w:p w14:paraId="0000F60E" w14:textId="77777777" w:rsidR="00FA1DE9" w:rsidRDefault="00FA1DE9" w:rsidP="00FA1DE9">
      <w:pPr>
        <w:pStyle w:val="ListParagraph"/>
        <w:numPr>
          <w:ilvl w:val="0"/>
          <w:numId w:val="8"/>
        </w:numPr>
        <w:spacing w:after="160" w:line="259" w:lineRule="auto"/>
        <w:contextualSpacing/>
        <w:rPr>
          <w:rFonts w:ascii="Arial" w:hAnsi="Arial" w:cs="Arial"/>
        </w:rPr>
      </w:pPr>
      <w:r w:rsidRPr="00D40C94">
        <w:rPr>
          <w:rFonts w:ascii="Arial" w:hAnsi="Arial" w:cs="Arial"/>
        </w:rPr>
        <w:t xml:space="preserve">District Nursing (Oxfordshire) </w:t>
      </w:r>
    </w:p>
    <w:p w14:paraId="3FEC1B47" w14:textId="77777777" w:rsidR="00FA1DE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Community Respiratory Service (Oxfordshire)</w:t>
      </w:r>
    </w:p>
    <w:p w14:paraId="5FDF425E" w14:textId="77777777" w:rsidR="00FA1DE9" w:rsidRPr="00A1673D"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lastRenderedPageBreak/>
        <w:t xml:space="preserve">Podiatry (Oxfordshire)  </w:t>
      </w:r>
    </w:p>
    <w:p w14:paraId="272A8751" w14:textId="3E36F1B3" w:rsidR="00FA1DE9" w:rsidRDefault="00FA1DE9" w:rsidP="3A6B872D">
      <w:pPr>
        <w:spacing w:line="259" w:lineRule="auto"/>
        <w:rPr>
          <w:rFonts w:ascii="Arial" w:hAnsi="Arial" w:cs="Arial"/>
        </w:rPr>
      </w:pPr>
      <w:r w:rsidRPr="3A6B872D">
        <w:rPr>
          <w:rFonts w:ascii="Arial" w:hAnsi="Arial" w:cs="Arial"/>
        </w:rPr>
        <w:t xml:space="preserve">Workforce shortages </w:t>
      </w:r>
      <w:r w:rsidR="5D4C4DB7" w:rsidRPr="3A6B872D">
        <w:rPr>
          <w:rFonts w:ascii="Arial" w:hAnsi="Arial" w:cs="Arial"/>
        </w:rPr>
        <w:t xml:space="preserve">continue to </w:t>
      </w:r>
      <w:r w:rsidRPr="3A6B872D">
        <w:rPr>
          <w:rFonts w:ascii="Arial" w:hAnsi="Arial" w:cs="Arial"/>
        </w:rPr>
        <w:t>have had a significant impact on services such as District Nursing</w:t>
      </w:r>
      <w:r w:rsidR="009369E9" w:rsidRPr="3A6B872D">
        <w:rPr>
          <w:rFonts w:ascii="Arial" w:hAnsi="Arial" w:cs="Arial"/>
        </w:rPr>
        <w:t xml:space="preserve">, </w:t>
      </w:r>
      <w:r w:rsidR="73413A5D" w:rsidRPr="3A6B872D">
        <w:rPr>
          <w:rFonts w:ascii="Arial" w:hAnsi="Arial" w:cs="Arial"/>
        </w:rPr>
        <w:t>Podiatry</w:t>
      </w:r>
      <w:r w:rsidR="1881F88D" w:rsidRPr="3A6B872D">
        <w:rPr>
          <w:rFonts w:ascii="Arial" w:hAnsi="Arial" w:cs="Arial"/>
        </w:rPr>
        <w:t xml:space="preserve"> </w:t>
      </w:r>
      <w:r w:rsidR="009369E9" w:rsidRPr="3A6B872D">
        <w:rPr>
          <w:rFonts w:ascii="Arial" w:hAnsi="Arial" w:cs="Arial"/>
        </w:rPr>
        <w:t>and</w:t>
      </w:r>
      <w:r w:rsidR="00242459" w:rsidRPr="3A6B872D">
        <w:rPr>
          <w:rFonts w:ascii="Arial" w:hAnsi="Arial" w:cs="Arial"/>
        </w:rPr>
        <w:t xml:space="preserve"> </w:t>
      </w:r>
      <w:r w:rsidRPr="3A6B872D">
        <w:rPr>
          <w:rFonts w:ascii="Arial" w:hAnsi="Arial" w:cs="Arial"/>
        </w:rPr>
        <w:t xml:space="preserve">the City Adult Mental Health Team.  </w:t>
      </w:r>
    </w:p>
    <w:p w14:paraId="4CFB8F40" w14:textId="77777777" w:rsidR="00FA1DE9" w:rsidRDefault="00FA1DE9" w:rsidP="00FA1DE9">
      <w:pPr>
        <w:rPr>
          <w:rFonts w:ascii="Arial" w:hAnsi="Arial" w:cs="Arial"/>
        </w:rPr>
      </w:pPr>
    </w:p>
    <w:p w14:paraId="69B37ADD" w14:textId="6D63FD7F" w:rsidR="00FA1DE9" w:rsidRDefault="00FA1DE9" w:rsidP="00FA1DE9">
      <w:pPr>
        <w:rPr>
          <w:rFonts w:ascii="Arial" w:hAnsi="Arial" w:cs="Arial"/>
        </w:rPr>
      </w:pPr>
      <w:r w:rsidRPr="00E46017">
        <w:rPr>
          <w:rFonts w:ascii="Arial" w:hAnsi="Arial" w:cs="Arial"/>
        </w:rPr>
        <w:t>Despite shortages in available workforce, the Trust continues to deliver a higher number of appointments</w:t>
      </w:r>
      <w:r>
        <w:rPr>
          <w:rFonts w:ascii="Arial" w:hAnsi="Arial" w:cs="Arial"/>
        </w:rPr>
        <w:t xml:space="preserve"> overall</w:t>
      </w:r>
      <w:r w:rsidRPr="00E46017">
        <w:rPr>
          <w:rFonts w:ascii="Arial" w:hAnsi="Arial" w:cs="Arial"/>
        </w:rPr>
        <w:t xml:space="preserve"> than in previous years.  This increase is due to a</w:t>
      </w:r>
      <w:r>
        <w:rPr>
          <w:rFonts w:ascii="Arial" w:hAnsi="Arial" w:cs="Arial"/>
        </w:rPr>
        <w:t xml:space="preserve"> </w:t>
      </w:r>
      <w:r w:rsidRPr="00E46017">
        <w:rPr>
          <w:rFonts w:ascii="Arial" w:hAnsi="Arial" w:cs="Arial"/>
        </w:rPr>
        <w:t xml:space="preserve">number of factors which include changes to the way services are delivered, the increased use of telephone/digital consultations and quality improvements.  Areas to note in terms of </w:t>
      </w:r>
      <w:r>
        <w:rPr>
          <w:rFonts w:ascii="Arial" w:hAnsi="Arial" w:cs="Arial"/>
        </w:rPr>
        <w:t xml:space="preserve">increased levels of </w:t>
      </w:r>
      <w:r w:rsidRPr="00E46017">
        <w:rPr>
          <w:rFonts w:ascii="Arial" w:hAnsi="Arial" w:cs="Arial"/>
        </w:rPr>
        <w:t xml:space="preserve">activity in </w:t>
      </w:r>
      <w:r w:rsidR="008F3744">
        <w:rPr>
          <w:rFonts w:ascii="Arial" w:hAnsi="Arial" w:cs="Arial"/>
        </w:rPr>
        <w:t xml:space="preserve">the quarter </w:t>
      </w:r>
      <w:r w:rsidRPr="00E46017">
        <w:rPr>
          <w:rFonts w:ascii="Arial" w:hAnsi="Arial" w:cs="Arial"/>
        </w:rPr>
        <w:t>include:</w:t>
      </w:r>
    </w:p>
    <w:p w14:paraId="257D70B7" w14:textId="77777777" w:rsidR="00FA1DE9" w:rsidRDefault="00FA1DE9" w:rsidP="00FA1DE9">
      <w:pPr>
        <w:rPr>
          <w:rFonts w:ascii="Arial" w:hAnsi="Arial" w:cs="Arial"/>
        </w:rPr>
      </w:pPr>
    </w:p>
    <w:p w14:paraId="5859DCB1" w14:textId="77777777" w:rsidR="00FA1DE9" w:rsidRPr="00D03ED9" w:rsidRDefault="00FA1DE9" w:rsidP="00FA1DE9">
      <w:pPr>
        <w:pStyle w:val="ListParagraph"/>
        <w:numPr>
          <w:ilvl w:val="0"/>
          <w:numId w:val="8"/>
        </w:numPr>
        <w:spacing w:after="160" w:line="259" w:lineRule="auto"/>
        <w:contextualSpacing/>
        <w:rPr>
          <w:rFonts w:ascii="Arial" w:hAnsi="Arial" w:cs="Arial"/>
        </w:rPr>
      </w:pPr>
      <w:r>
        <w:rPr>
          <w:rFonts w:ascii="Arial" w:hAnsi="Arial" w:cs="Arial"/>
        </w:rPr>
        <w:t>Adult and Older Adult Mental Health (Oxfordshire &amp; Buckinghamshire)</w:t>
      </w:r>
    </w:p>
    <w:p w14:paraId="0A7465B2" w14:textId="18F0C398" w:rsidR="00FA1DE9" w:rsidRDefault="00FA1DE9" w:rsidP="00FA1DE9">
      <w:pPr>
        <w:rPr>
          <w:rFonts w:ascii="Arial" w:hAnsi="Arial" w:cs="Arial"/>
        </w:rPr>
      </w:pPr>
      <w:r w:rsidRPr="3A6B872D">
        <w:rPr>
          <w:rFonts w:ascii="Arial" w:hAnsi="Arial" w:cs="Arial"/>
        </w:rPr>
        <w:t>Admissions to the Trust’s mental health inpatient wards</w:t>
      </w:r>
      <w:r w:rsidR="00BE7B2E" w:rsidRPr="3A6B872D">
        <w:rPr>
          <w:rFonts w:ascii="Arial" w:hAnsi="Arial" w:cs="Arial"/>
        </w:rPr>
        <w:t xml:space="preserve"> </w:t>
      </w:r>
      <w:r w:rsidRPr="3A6B872D">
        <w:rPr>
          <w:rFonts w:ascii="Arial" w:hAnsi="Arial" w:cs="Arial"/>
        </w:rPr>
        <w:t xml:space="preserve">has been consistent with previous </w:t>
      </w:r>
      <w:r w:rsidR="00BF3A88" w:rsidRPr="3A6B872D">
        <w:rPr>
          <w:rFonts w:ascii="Arial" w:hAnsi="Arial" w:cs="Arial"/>
        </w:rPr>
        <w:t xml:space="preserve">quarters.  </w:t>
      </w:r>
      <w:r w:rsidR="001F560B" w:rsidRPr="3A6B872D">
        <w:rPr>
          <w:rFonts w:ascii="Arial" w:hAnsi="Arial" w:cs="Arial"/>
        </w:rPr>
        <w:t>Average length of stay is in line with historical trends</w:t>
      </w:r>
      <w:r w:rsidR="00BE7B2E" w:rsidRPr="3A6B872D">
        <w:rPr>
          <w:rFonts w:ascii="Arial" w:hAnsi="Arial" w:cs="Arial"/>
        </w:rPr>
        <w:t>, with monthly variation</w:t>
      </w:r>
      <w:r w:rsidR="0038127B" w:rsidRPr="3A6B872D">
        <w:rPr>
          <w:rFonts w:ascii="Arial" w:hAnsi="Arial" w:cs="Arial"/>
        </w:rPr>
        <w:t xml:space="preserve"> attributed to discharge of patients with exceptional long length of stay.</w:t>
      </w:r>
    </w:p>
    <w:p w14:paraId="2E6E06A7" w14:textId="77777777" w:rsidR="00FA1DE9" w:rsidRPr="00E46017" w:rsidRDefault="00FA1DE9" w:rsidP="00FA1DE9">
      <w:pPr>
        <w:rPr>
          <w:rFonts w:ascii="Arial" w:hAnsi="Arial" w:cs="Arial"/>
        </w:rPr>
      </w:pPr>
    </w:p>
    <w:p w14:paraId="4E01F5DB" w14:textId="5063D4D5" w:rsidR="00FA1DE9" w:rsidRDefault="00FA1DE9" w:rsidP="3A6B872D">
      <w:pPr>
        <w:rPr>
          <w:rFonts w:ascii="Segoe UI" w:hAnsi="Segoe UI" w:cs="Segoe UI"/>
        </w:rPr>
      </w:pPr>
      <w:r w:rsidRPr="3A6B872D">
        <w:rPr>
          <w:rFonts w:ascii="Arial" w:hAnsi="Arial" w:cs="Arial"/>
        </w:rPr>
        <w:t xml:space="preserve">The use of inappropriate Out of Area Placements (OAPs) has increased in </w:t>
      </w:r>
      <w:r w:rsidR="00A40B92" w:rsidRPr="3A6B872D">
        <w:rPr>
          <w:rFonts w:ascii="Arial" w:hAnsi="Arial" w:cs="Arial"/>
        </w:rPr>
        <w:t>the quarter</w:t>
      </w:r>
      <w:r w:rsidRPr="3A6B872D">
        <w:rPr>
          <w:rFonts w:ascii="Arial" w:hAnsi="Arial" w:cs="Arial"/>
        </w:rPr>
        <w:t xml:space="preserve"> with Buckinghamshire seeing a considerable increase over previous months.  This was primarily due to a combination of factors including the temporary closure of Ruby ward </w:t>
      </w:r>
      <w:r w:rsidR="3D39FCAE" w:rsidRPr="3A6B872D">
        <w:rPr>
          <w:rFonts w:ascii="Arial" w:hAnsi="Arial" w:cs="Arial"/>
        </w:rPr>
        <w:t xml:space="preserve">to admissions </w:t>
      </w:r>
      <w:r w:rsidRPr="3A6B872D">
        <w:rPr>
          <w:rFonts w:ascii="Arial" w:hAnsi="Arial" w:cs="Arial"/>
        </w:rPr>
        <w:t>and an increase in delayed discharges for male patients</w:t>
      </w:r>
    </w:p>
    <w:p w14:paraId="3C41AD72" w14:textId="77777777" w:rsidR="00FA1DE9" w:rsidRPr="0088096A" w:rsidRDefault="00FA1DE9" w:rsidP="00FA1DE9">
      <w:pPr>
        <w:rPr>
          <w:rFonts w:ascii="Segoe UI" w:hAnsi="Segoe UI" w:cs="Segoe UI"/>
          <w:i/>
        </w:rPr>
      </w:pPr>
      <w:r w:rsidRPr="0088096A">
        <w:rPr>
          <w:rFonts w:ascii="Segoe UI" w:hAnsi="Segoe UI" w:cs="Segoe UI"/>
          <w:i/>
        </w:rPr>
        <w:t xml:space="preserve"> </w:t>
      </w:r>
    </w:p>
    <w:p w14:paraId="3EA7D4EB" w14:textId="28AF75C5" w:rsidR="00FA1DE9" w:rsidRDefault="00FA1DE9" w:rsidP="00FA1DE9">
      <w:pPr>
        <w:rPr>
          <w:rFonts w:ascii="Arial" w:hAnsi="Arial" w:cs="Arial"/>
          <w:iCs/>
        </w:rPr>
      </w:pPr>
      <w:r>
        <w:rPr>
          <w:rFonts w:ascii="Arial" w:hAnsi="Arial" w:cs="Arial"/>
          <w:iCs/>
        </w:rPr>
        <w:t xml:space="preserve">There </w:t>
      </w:r>
      <w:r w:rsidR="00EB6617">
        <w:rPr>
          <w:rFonts w:ascii="Arial" w:hAnsi="Arial" w:cs="Arial"/>
          <w:iCs/>
        </w:rPr>
        <w:t>has been an increase in s</w:t>
      </w:r>
      <w:r>
        <w:rPr>
          <w:rFonts w:ascii="Arial" w:hAnsi="Arial" w:cs="Arial"/>
          <w:iCs/>
        </w:rPr>
        <w:t>erious incidents reported</w:t>
      </w:r>
      <w:r w:rsidR="00102B25">
        <w:rPr>
          <w:rFonts w:ascii="Arial" w:hAnsi="Arial" w:cs="Arial"/>
          <w:iCs/>
        </w:rPr>
        <w:t xml:space="preserve">, not related to an increase in a particular type or team.  </w:t>
      </w:r>
      <w:r>
        <w:rPr>
          <w:rFonts w:ascii="Arial" w:hAnsi="Arial" w:cs="Arial"/>
          <w:iCs/>
        </w:rPr>
        <w:t xml:space="preserve">Work is underway to understand the root cause of the incidents and the learning so that these can be built into quality improvement initiatives.  </w:t>
      </w:r>
    </w:p>
    <w:p w14:paraId="47A0016E" w14:textId="77777777" w:rsidR="00FA1DE9" w:rsidRDefault="00FA1DE9" w:rsidP="00FA1DE9">
      <w:pPr>
        <w:rPr>
          <w:rFonts w:ascii="Arial" w:hAnsi="Arial" w:cs="Arial"/>
          <w:iCs/>
        </w:rPr>
      </w:pPr>
    </w:p>
    <w:p w14:paraId="6063AC6E" w14:textId="4CE9B2C5" w:rsidR="00FA1DE9" w:rsidRDefault="00502406" w:rsidP="00FA1DE9">
      <w:pPr>
        <w:rPr>
          <w:rFonts w:ascii="Arial" w:hAnsi="Arial" w:cs="Arial"/>
          <w:iCs/>
        </w:rPr>
      </w:pPr>
      <w:r>
        <w:rPr>
          <w:rFonts w:ascii="Arial" w:hAnsi="Arial" w:cs="Arial"/>
          <w:iCs/>
        </w:rPr>
        <w:t xml:space="preserve">The Trust continues to see a higher number of new starters, with September </w:t>
      </w:r>
      <w:r w:rsidR="002865FA">
        <w:rPr>
          <w:rFonts w:ascii="Arial" w:hAnsi="Arial" w:cs="Arial"/>
          <w:iCs/>
        </w:rPr>
        <w:t xml:space="preserve">being 166% higher </w:t>
      </w:r>
      <w:r w:rsidR="006456CB">
        <w:rPr>
          <w:rFonts w:ascii="Arial" w:hAnsi="Arial" w:cs="Arial"/>
          <w:iCs/>
        </w:rPr>
        <w:t>than</w:t>
      </w:r>
      <w:r w:rsidR="002865FA">
        <w:rPr>
          <w:rFonts w:ascii="Arial" w:hAnsi="Arial" w:cs="Arial"/>
          <w:iCs/>
        </w:rPr>
        <w:t xml:space="preserve"> the 2019/20 average.  T</w:t>
      </w:r>
      <w:r w:rsidR="00FA1DE9">
        <w:rPr>
          <w:rFonts w:ascii="Arial" w:hAnsi="Arial" w:cs="Arial"/>
          <w:iCs/>
        </w:rPr>
        <w:t xml:space="preserve">he number leaving was </w:t>
      </w:r>
      <w:r w:rsidR="00326773">
        <w:rPr>
          <w:rFonts w:ascii="Arial" w:hAnsi="Arial" w:cs="Arial"/>
          <w:iCs/>
        </w:rPr>
        <w:t xml:space="preserve">6% </w:t>
      </w:r>
      <w:r w:rsidR="00FA1DE9">
        <w:rPr>
          <w:rFonts w:ascii="Arial" w:hAnsi="Arial" w:cs="Arial"/>
          <w:iCs/>
        </w:rPr>
        <w:t>higher</w:t>
      </w:r>
      <w:r w:rsidR="00326773">
        <w:rPr>
          <w:rFonts w:ascii="Arial" w:hAnsi="Arial" w:cs="Arial"/>
          <w:iCs/>
        </w:rPr>
        <w:t xml:space="preserve"> in September</w:t>
      </w:r>
      <w:r w:rsidR="00FA1DE9">
        <w:rPr>
          <w:rFonts w:ascii="Arial" w:hAnsi="Arial" w:cs="Arial"/>
          <w:iCs/>
        </w:rPr>
        <w:t xml:space="preserve"> than the monthly average for 2019/20.</w:t>
      </w:r>
    </w:p>
    <w:p w14:paraId="1085EBA9" w14:textId="77777777" w:rsidR="006456CB" w:rsidRDefault="006456CB" w:rsidP="00FA1DE9">
      <w:pPr>
        <w:rPr>
          <w:rFonts w:ascii="Arial" w:hAnsi="Arial" w:cs="Arial"/>
          <w:iCs/>
        </w:rPr>
      </w:pPr>
    </w:p>
    <w:p w14:paraId="6ADADF23" w14:textId="6507F2CF" w:rsidR="00FA1DE9" w:rsidRPr="00B177B5" w:rsidRDefault="00FA1DE9" w:rsidP="3A6B872D">
      <w:pPr>
        <w:rPr>
          <w:rFonts w:ascii="Arial" w:hAnsi="Arial" w:cs="Arial"/>
        </w:rPr>
      </w:pPr>
      <w:r w:rsidRPr="3A6B872D">
        <w:rPr>
          <w:rFonts w:ascii="Arial" w:hAnsi="Arial" w:cs="Arial"/>
        </w:rPr>
        <w:t>Two specific areas of expenditure that remain excessively high are Out of Area Placements (OAPs) and the use of Agency.   Whilst the Trust continues to reduce the need for OAPs through improvement initiatives, the number of available beds has been severely impacted by Infection Prevention Controls, especially in Oxfordshire.</w:t>
      </w:r>
      <w:r w:rsidR="00432EA3" w:rsidRPr="3A6B872D">
        <w:rPr>
          <w:rFonts w:ascii="Arial" w:hAnsi="Arial" w:cs="Arial"/>
        </w:rPr>
        <w:t xml:space="preserve">  </w:t>
      </w:r>
      <w:r w:rsidR="4477AD5E" w:rsidRPr="3A6B872D">
        <w:rPr>
          <w:rFonts w:ascii="Arial" w:hAnsi="Arial" w:cs="Arial"/>
        </w:rPr>
        <w:t xml:space="preserve"> </w:t>
      </w:r>
    </w:p>
    <w:p w14:paraId="34A18B0E" w14:textId="2805E5DD" w:rsidR="3A6B872D" w:rsidRDefault="3A6B872D" w:rsidP="3A6B872D">
      <w:pPr>
        <w:rPr>
          <w:rFonts w:ascii="Arial" w:hAnsi="Arial" w:cs="Arial"/>
        </w:rPr>
      </w:pPr>
    </w:p>
    <w:p w14:paraId="0146152F" w14:textId="62EBAD40" w:rsidR="3A6B872D" w:rsidRDefault="3A6B872D" w:rsidP="3A6B872D">
      <w:pPr>
        <w:rPr>
          <w:rFonts w:ascii="Arial" w:hAnsi="Arial" w:cs="Arial"/>
        </w:rPr>
      </w:pPr>
    </w:p>
    <w:p w14:paraId="69AF201F" w14:textId="77777777" w:rsidR="00FA1DE9" w:rsidRDefault="00FA1DE9" w:rsidP="00FA1DE9">
      <w:pPr>
        <w:jc w:val="both"/>
        <w:rPr>
          <w:rFonts w:ascii="Segoe UI" w:hAnsi="Segoe UI" w:cs="Segoe UI"/>
          <w:b/>
        </w:rPr>
      </w:pPr>
    </w:p>
    <w:p w14:paraId="4AD121FF" w14:textId="7B1E5CC9" w:rsidR="003927AC" w:rsidRPr="00F945DB" w:rsidRDefault="003927AC" w:rsidP="00FA1DE9">
      <w:pPr>
        <w:jc w:val="both"/>
        <w:rPr>
          <w:rFonts w:ascii="Segoe UI" w:hAnsi="Segoe UI" w:cs="Segoe UI"/>
        </w:rPr>
      </w:pPr>
    </w:p>
    <w:sectPr w:rsidR="003927AC" w:rsidRPr="00F945DB" w:rsidSect="00262F0F">
      <w:headerReference w:type="first" r:id="rId13"/>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2D16" w14:textId="77777777" w:rsidR="00781566" w:rsidRDefault="00781566" w:rsidP="005B3E3C">
      <w:r>
        <w:separator/>
      </w:r>
    </w:p>
  </w:endnote>
  <w:endnote w:type="continuationSeparator" w:id="0">
    <w:p w14:paraId="1CBCC65C" w14:textId="77777777" w:rsidR="00781566" w:rsidRDefault="00781566" w:rsidP="005B3E3C">
      <w:r>
        <w:continuationSeparator/>
      </w:r>
    </w:p>
  </w:endnote>
  <w:endnote w:type="continuationNotice" w:id="1">
    <w:p w14:paraId="57938E19" w14:textId="77777777" w:rsidR="00A901FF" w:rsidRDefault="00A90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51FE" w14:textId="77777777" w:rsidR="00781566" w:rsidRDefault="00781566" w:rsidP="005B3E3C">
      <w:r>
        <w:separator/>
      </w:r>
    </w:p>
  </w:footnote>
  <w:footnote w:type="continuationSeparator" w:id="0">
    <w:p w14:paraId="12824D07" w14:textId="77777777" w:rsidR="00781566" w:rsidRDefault="00781566" w:rsidP="005B3E3C">
      <w:r>
        <w:continuationSeparator/>
      </w:r>
    </w:p>
  </w:footnote>
  <w:footnote w:type="continuationNotice" w:id="1">
    <w:p w14:paraId="5E3FFCD3" w14:textId="77777777" w:rsidR="00A901FF" w:rsidRDefault="00A90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A49F" w14:textId="77777777"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r w:rsidRPr="00342219">
      <w:rPr>
        <w:rFonts w:ascii="Segoe UI" w:hAnsi="Segoe UI" w:cs="Segoe UI"/>
        <w:sz w:val="20"/>
        <w:szCs w:val="20"/>
      </w:rPr>
      <w:t>[</w:t>
    </w:r>
    <w:r w:rsidRPr="00342219">
      <w:rPr>
        <w:rFonts w:ascii="Segoe UI" w:hAnsi="Segoe UI" w:cs="Segoe UI"/>
        <w:i/>
        <w:sz w:val="20"/>
        <w:szCs w:val="20"/>
      </w:rPr>
      <w:t xml:space="preserve">please remove any patient identifiable information </w:t>
    </w:r>
    <w:r w:rsidR="00342219" w:rsidRPr="00342219">
      <w:rPr>
        <w:rFonts w:ascii="Segoe UI" w:hAnsi="Segoe UI" w:cs="Segoe UI"/>
        <w:i/>
        <w:sz w:val="20"/>
        <w:szCs w:val="20"/>
      </w:rPr>
      <w:t>from papers for the public</w:t>
    </w:r>
    <w:r w:rsidRPr="00342219">
      <w:rPr>
        <w:rFonts w:ascii="Segoe UI" w:hAnsi="Segoe UI" w:cs="Segoe UI"/>
        <w:i/>
        <w:sz w:val="20"/>
        <w:szCs w:val="20"/>
      </w:rPr>
      <w:t xml:space="preserve"> meeting</w:t>
    </w:r>
    <w:r w:rsidRPr="00342219">
      <w:rPr>
        <w:rFonts w:ascii="Segoe UI" w:hAnsi="Segoe UI" w:cs="Segoe UI"/>
        <w:sz w:val="20"/>
        <w:szCs w:val="20"/>
      </w:rPr>
      <w:t>]</w:t>
    </w:r>
    <w:r w:rsidRPr="00342219">
      <w:rPr>
        <w:rFonts w:ascii="Segoe UI" w:hAnsi="Segoe UI" w:cs="Segoe UI"/>
        <w:b/>
        <w:i/>
        <w:sz w:val="20"/>
        <w:szCs w:val="20"/>
      </w:rPr>
      <w:t xml:space="preserve"> </w:t>
    </w:r>
  </w:p>
  <w:p w14:paraId="12332C66" w14:textId="77777777" w:rsidR="00262F0F" w:rsidRPr="00342219" w:rsidRDefault="00262F0F" w:rsidP="00262F0F">
    <w:pPr>
      <w:pStyle w:val="Header"/>
      <w:jc w:val="center"/>
      <w:rPr>
        <w:rFonts w:ascii="Segoe UI" w:hAnsi="Segoe UI" w:cs="Segoe UI"/>
        <w:i/>
        <w:sz w:val="20"/>
        <w:szCs w:val="20"/>
      </w:rPr>
    </w:pPr>
    <w:r w:rsidRPr="00342219">
      <w:rPr>
        <w:rFonts w:ascii="Segoe UI" w:hAnsi="Segoe UI" w:cs="Segoe UI"/>
        <w:i/>
        <w:sz w:val="20"/>
        <w:szCs w:val="20"/>
      </w:rPr>
      <w:t xml:space="preserve">OR </w:t>
    </w:r>
  </w:p>
  <w:p w14:paraId="503B0737" w14:textId="77777777" w:rsidR="00262F0F" w:rsidRPr="00342219" w:rsidRDefault="00262F0F" w:rsidP="00262F0F">
    <w:pPr>
      <w:pStyle w:val="Header"/>
      <w:jc w:val="center"/>
      <w:rPr>
        <w:rFonts w:ascii="Segoe UI" w:hAnsi="Segoe UI" w:cs="Segoe UI"/>
        <w:sz w:val="20"/>
        <w:szCs w:val="20"/>
      </w:rPr>
    </w:pPr>
    <w:r w:rsidRPr="00342219">
      <w:rPr>
        <w:rFonts w:ascii="Segoe UI" w:hAnsi="Segoe UI" w:cs="Segoe UI"/>
        <w:b/>
        <w:i/>
        <w:sz w:val="20"/>
        <w:szCs w:val="20"/>
      </w:rPr>
      <w:t xml:space="preserve">CONFIDENTIAL </w:t>
    </w:r>
    <w:r w:rsidRPr="00342219">
      <w:rPr>
        <w:rFonts w:ascii="Segoe UI" w:hAnsi="Segoe UI" w:cs="Segoe UI"/>
        <w:i/>
        <w:sz w:val="20"/>
        <w:szCs w:val="20"/>
      </w:rPr>
      <w:t>- not for disclosure under the Freedom of Information Act, the exemptions under section 36(2)(b)(ii) (prejudice to effective conduct of public affairs) and section 43 (commercial interests) may apply</w:t>
    </w:r>
  </w:p>
  <w:p w14:paraId="0390B1BC"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074752B"/>
    <w:multiLevelType w:val="hybridMultilevel"/>
    <w:tmpl w:val="17BA94FE"/>
    <w:lvl w:ilvl="0" w:tplc="8DC2DC9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1239D"/>
    <w:rsid w:val="00030247"/>
    <w:rsid w:val="00071842"/>
    <w:rsid w:val="00097DDC"/>
    <w:rsid w:val="000A3A29"/>
    <w:rsid w:val="000A5A07"/>
    <w:rsid w:val="000C3206"/>
    <w:rsid w:val="000E317C"/>
    <w:rsid w:val="00102B25"/>
    <w:rsid w:val="001F2B8D"/>
    <w:rsid w:val="001F560B"/>
    <w:rsid w:val="001F76ED"/>
    <w:rsid w:val="002250DE"/>
    <w:rsid w:val="00227FCE"/>
    <w:rsid w:val="00241A66"/>
    <w:rsid w:val="00242459"/>
    <w:rsid w:val="00244A07"/>
    <w:rsid w:val="002619EF"/>
    <w:rsid w:val="00262F0F"/>
    <w:rsid w:val="002821F8"/>
    <w:rsid w:val="002865FA"/>
    <w:rsid w:val="00292613"/>
    <w:rsid w:val="002A73E8"/>
    <w:rsid w:val="002C2F97"/>
    <w:rsid w:val="002E6FC6"/>
    <w:rsid w:val="00306AF0"/>
    <w:rsid w:val="00326773"/>
    <w:rsid w:val="00342219"/>
    <w:rsid w:val="003577FC"/>
    <w:rsid w:val="00361251"/>
    <w:rsid w:val="0038127B"/>
    <w:rsid w:val="003927AC"/>
    <w:rsid w:val="003971F6"/>
    <w:rsid w:val="003A392D"/>
    <w:rsid w:val="003F2AF4"/>
    <w:rsid w:val="003F7366"/>
    <w:rsid w:val="00421DB8"/>
    <w:rsid w:val="004326BB"/>
    <w:rsid w:val="00432EA3"/>
    <w:rsid w:val="00456DDE"/>
    <w:rsid w:val="004742D0"/>
    <w:rsid w:val="004A1E77"/>
    <w:rsid w:val="004F4BBA"/>
    <w:rsid w:val="00502406"/>
    <w:rsid w:val="005233AA"/>
    <w:rsid w:val="00535DE2"/>
    <w:rsid w:val="00551B0F"/>
    <w:rsid w:val="005659FB"/>
    <w:rsid w:val="00592F8F"/>
    <w:rsid w:val="005A3CBA"/>
    <w:rsid w:val="005B3E3C"/>
    <w:rsid w:val="005C3FC1"/>
    <w:rsid w:val="005D03A4"/>
    <w:rsid w:val="005D3499"/>
    <w:rsid w:val="005E2583"/>
    <w:rsid w:val="0061684E"/>
    <w:rsid w:val="006456CB"/>
    <w:rsid w:val="006E22CF"/>
    <w:rsid w:val="006E38F4"/>
    <w:rsid w:val="006E3C3E"/>
    <w:rsid w:val="006F2F62"/>
    <w:rsid w:val="006F6BA5"/>
    <w:rsid w:val="00733BCF"/>
    <w:rsid w:val="0073522A"/>
    <w:rsid w:val="007769CD"/>
    <w:rsid w:val="0078032B"/>
    <w:rsid w:val="00781566"/>
    <w:rsid w:val="007976E7"/>
    <w:rsid w:val="007A2CF0"/>
    <w:rsid w:val="007B02FB"/>
    <w:rsid w:val="007B6505"/>
    <w:rsid w:val="007B6D77"/>
    <w:rsid w:val="00802701"/>
    <w:rsid w:val="008038A2"/>
    <w:rsid w:val="00811FE8"/>
    <w:rsid w:val="00842E4A"/>
    <w:rsid w:val="0084720C"/>
    <w:rsid w:val="0086436B"/>
    <w:rsid w:val="00894B97"/>
    <w:rsid w:val="008E32B1"/>
    <w:rsid w:val="008F3744"/>
    <w:rsid w:val="00910FFE"/>
    <w:rsid w:val="009369E9"/>
    <w:rsid w:val="00946E6E"/>
    <w:rsid w:val="009869DE"/>
    <w:rsid w:val="009E63BF"/>
    <w:rsid w:val="00A40B92"/>
    <w:rsid w:val="00A674FB"/>
    <w:rsid w:val="00A85311"/>
    <w:rsid w:val="00A86977"/>
    <w:rsid w:val="00A901FF"/>
    <w:rsid w:val="00AA0C3F"/>
    <w:rsid w:val="00AC3814"/>
    <w:rsid w:val="00AF0562"/>
    <w:rsid w:val="00AF650A"/>
    <w:rsid w:val="00B10FB2"/>
    <w:rsid w:val="00B26E1A"/>
    <w:rsid w:val="00B26F2C"/>
    <w:rsid w:val="00B50D5E"/>
    <w:rsid w:val="00BA3B3E"/>
    <w:rsid w:val="00BC152C"/>
    <w:rsid w:val="00BE7B2E"/>
    <w:rsid w:val="00BF3538"/>
    <w:rsid w:val="00BF3A88"/>
    <w:rsid w:val="00BF5367"/>
    <w:rsid w:val="00C07817"/>
    <w:rsid w:val="00C11AA2"/>
    <w:rsid w:val="00C2463F"/>
    <w:rsid w:val="00C67635"/>
    <w:rsid w:val="00C71005"/>
    <w:rsid w:val="00CC67ED"/>
    <w:rsid w:val="00D07064"/>
    <w:rsid w:val="00D101CB"/>
    <w:rsid w:val="00D279FC"/>
    <w:rsid w:val="00D55ADD"/>
    <w:rsid w:val="00D7558E"/>
    <w:rsid w:val="00D832C9"/>
    <w:rsid w:val="00D8544F"/>
    <w:rsid w:val="00D870AD"/>
    <w:rsid w:val="00DA0FA6"/>
    <w:rsid w:val="00DB161E"/>
    <w:rsid w:val="00DC46A7"/>
    <w:rsid w:val="00DD33DF"/>
    <w:rsid w:val="00DE1293"/>
    <w:rsid w:val="00DF10CC"/>
    <w:rsid w:val="00E60D96"/>
    <w:rsid w:val="00E77177"/>
    <w:rsid w:val="00E827C5"/>
    <w:rsid w:val="00E84D93"/>
    <w:rsid w:val="00E85A71"/>
    <w:rsid w:val="00EA37E0"/>
    <w:rsid w:val="00EB6617"/>
    <w:rsid w:val="00F2155A"/>
    <w:rsid w:val="00F24EB2"/>
    <w:rsid w:val="00F50A07"/>
    <w:rsid w:val="00F57119"/>
    <w:rsid w:val="00F77C13"/>
    <w:rsid w:val="00F83556"/>
    <w:rsid w:val="00F945DB"/>
    <w:rsid w:val="00FA1DE9"/>
    <w:rsid w:val="00FA3993"/>
    <w:rsid w:val="00FA5118"/>
    <w:rsid w:val="00FB0F97"/>
    <w:rsid w:val="00FD2279"/>
    <w:rsid w:val="00FE113A"/>
    <w:rsid w:val="04946BAC"/>
    <w:rsid w:val="0A3EED11"/>
    <w:rsid w:val="0C3CD7D2"/>
    <w:rsid w:val="0F647DC9"/>
    <w:rsid w:val="146C55BA"/>
    <w:rsid w:val="14DA29C2"/>
    <w:rsid w:val="1881F88D"/>
    <w:rsid w:val="1A1F8F56"/>
    <w:rsid w:val="231D353E"/>
    <w:rsid w:val="288022EA"/>
    <w:rsid w:val="2A9639E9"/>
    <w:rsid w:val="2B723545"/>
    <w:rsid w:val="2C0AF399"/>
    <w:rsid w:val="2C9CDB7E"/>
    <w:rsid w:val="2E47F618"/>
    <w:rsid w:val="3312A8C7"/>
    <w:rsid w:val="380B5CB7"/>
    <w:rsid w:val="3A6B872D"/>
    <w:rsid w:val="3D39FCAE"/>
    <w:rsid w:val="3ECED7C3"/>
    <w:rsid w:val="3F462443"/>
    <w:rsid w:val="42A69968"/>
    <w:rsid w:val="4477AD5E"/>
    <w:rsid w:val="4480704C"/>
    <w:rsid w:val="49251D85"/>
    <w:rsid w:val="4DE84FF0"/>
    <w:rsid w:val="4E151AA1"/>
    <w:rsid w:val="4EEBBA23"/>
    <w:rsid w:val="5033E874"/>
    <w:rsid w:val="525CF782"/>
    <w:rsid w:val="537B6347"/>
    <w:rsid w:val="53C4554A"/>
    <w:rsid w:val="561083F3"/>
    <w:rsid w:val="5D4C4DB7"/>
    <w:rsid w:val="66ED3103"/>
    <w:rsid w:val="6D9EB19C"/>
    <w:rsid w:val="73413A5D"/>
    <w:rsid w:val="74848B94"/>
    <w:rsid w:val="751ADE70"/>
    <w:rsid w:val="769C37E9"/>
    <w:rsid w:val="79BF8BA9"/>
    <w:rsid w:val="7CB19E04"/>
    <w:rsid w:val="7DAC5163"/>
    <w:rsid w:val="7DDC4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D0BF8B2"/>
  <w15:docId w15:val="{8329AB8C-8052-4BE6-97A4-B0E9DDCA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B237449814D4E9C02814710B68625" ma:contentTypeVersion="4" ma:contentTypeDescription="Create a new document." ma:contentTypeScope="" ma:versionID="1235abcc8f03abebd51c75cfbcdbb627">
  <xsd:schema xmlns:xsd="http://www.w3.org/2001/XMLSchema" xmlns:xs="http://www.w3.org/2001/XMLSchema" xmlns:p="http://schemas.microsoft.com/office/2006/metadata/properties" xmlns:ns2="250169f9-d2da-4118-b53a-263316cd62ce" targetNamespace="http://schemas.microsoft.com/office/2006/metadata/properties" ma:root="true" ma:fieldsID="a911cc9c4047fa7d51f23cad0855bf73" ns2:_="">
    <xsd:import namespace="250169f9-d2da-4118-b53a-263316cd62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69f9-d2da-4118-b53a-263316cd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77164-17B3-44B7-B1DD-61839DB5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668A0-C56E-48A5-8622-4C1624CF5F87}">
  <ds:schemaRefs>
    <ds:schemaRef ds:uri="http://schemas.openxmlformats.org/officeDocument/2006/bibliography"/>
  </ds:schemaRefs>
</ds:datastoreItem>
</file>

<file path=customXml/itemProps3.xml><?xml version="1.0" encoding="utf-8"?>
<ds:datastoreItem xmlns:ds="http://schemas.openxmlformats.org/officeDocument/2006/customXml" ds:itemID="{7C78E018-CBAB-418B-9B0E-7CDFF8D2C0E6}">
  <ds:schemaRefs>
    <ds:schemaRef ds:uri="http://schemas.microsoft.com/sharepoint/v3/contenttype/forms"/>
  </ds:schemaRefs>
</ds:datastoreItem>
</file>

<file path=customXml/itemProps4.xml><?xml version="1.0" encoding="utf-8"?>
<ds:datastoreItem xmlns:ds="http://schemas.openxmlformats.org/officeDocument/2006/customXml" ds:itemID="{026DCB5C-FE7A-4D01-AC15-7D8EA5EBB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169f9-d2da-4118-b53a-263316cd6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3998</Characters>
  <Application>Microsoft Office Word</Application>
  <DocSecurity>0</DocSecurity>
  <Lines>33</Lines>
  <Paragraphs>9</Paragraphs>
  <ScaleCrop>false</ScaleCrop>
  <Company>Oxfordshire Mental Healthcare NHS Trust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cp:lastModifiedBy>Gill Nicola (RNU) Oxford Health</cp:lastModifiedBy>
  <cp:revision>42</cp:revision>
  <cp:lastPrinted>2014-03-17T14:55:00Z</cp:lastPrinted>
  <dcterms:created xsi:type="dcterms:W3CDTF">2020-07-29T13:01:00Z</dcterms:created>
  <dcterms:modified xsi:type="dcterms:W3CDTF">2021-11-19T14:53:00Z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0x010100818B237449814D4E9C02814710B68625</vt:lpwstr>
  </property>
</Properties>
</file>