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1CC7" w14:textId="77777777" w:rsidR="00F60AC0" w:rsidRPr="00022CE4" w:rsidRDefault="00F60AC0" w:rsidP="00532C3D">
      <w:pPr>
        <w:jc w:val="both"/>
        <w:rPr>
          <w:rFonts w:ascii="Arial" w:hAnsi="Arial" w:cs="Arial"/>
          <w:b/>
          <w:bCs/>
          <w:color w:val="FF0000"/>
        </w:rPr>
      </w:pPr>
    </w:p>
    <w:p w14:paraId="4057C286" w14:textId="77777777" w:rsidR="0026378F" w:rsidRDefault="00873AF2" w:rsidP="00532C3D">
      <w:pPr>
        <w:jc w:val="center"/>
        <w:rPr>
          <w:rFonts w:ascii="Arial" w:hAnsi="Arial" w:cs="Arial"/>
          <w:b/>
          <w:bCs/>
          <w:sz w:val="28"/>
          <w:szCs w:val="28"/>
        </w:rPr>
      </w:pPr>
      <w:r w:rsidRPr="00CD7692">
        <w:rPr>
          <w:rFonts w:ascii="Arial" w:hAnsi="Arial" w:cs="Arial"/>
          <w:b/>
          <w:bCs/>
          <w:sz w:val="28"/>
          <w:szCs w:val="28"/>
        </w:rPr>
        <w:t>Oxfordshire NHS Provider Collaborative for Integrated Care</w:t>
      </w:r>
    </w:p>
    <w:p w14:paraId="66A0A715" w14:textId="77777777" w:rsidR="0026378F" w:rsidRDefault="0026378F" w:rsidP="00532C3D">
      <w:pPr>
        <w:jc w:val="center"/>
        <w:rPr>
          <w:rFonts w:ascii="Arial" w:hAnsi="Arial" w:cs="Arial"/>
          <w:b/>
          <w:bCs/>
          <w:sz w:val="28"/>
          <w:szCs w:val="28"/>
        </w:rPr>
      </w:pPr>
    </w:p>
    <w:p w14:paraId="4ED3DC53" w14:textId="01CE690C" w:rsidR="00F60AC0" w:rsidRPr="0026378F" w:rsidRDefault="00873AF2" w:rsidP="00532C3D">
      <w:pPr>
        <w:jc w:val="center"/>
        <w:rPr>
          <w:rFonts w:ascii="Arial" w:hAnsi="Arial" w:cs="Arial"/>
          <w:b/>
          <w:bCs/>
          <w:sz w:val="28"/>
          <w:szCs w:val="28"/>
        </w:rPr>
      </w:pPr>
      <w:r w:rsidRPr="0026378F">
        <w:rPr>
          <w:rFonts w:ascii="Arial" w:hAnsi="Arial" w:cs="Arial"/>
          <w:b/>
          <w:bCs/>
          <w:sz w:val="28"/>
          <w:szCs w:val="28"/>
        </w:rPr>
        <w:t>Oxford Health NHS Foundation Trust and Oxford University Hospitals NHS Foundation Trust</w:t>
      </w:r>
    </w:p>
    <w:p w14:paraId="2993F990" w14:textId="77777777" w:rsidR="00F60AC0" w:rsidRPr="00CD7692" w:rsidRDefault="00F60AC0" w:rsidP="00532C3D">
      <w:pPr>
        <w:jc w:val="center"/>
        <w:rPr>
          <w:rFonts w:ascii="Arial" w:hAnsi="Arial" w:cs="Arial"/>
          <w:b/>
          <w:bCs/>
          <w:sz w:val="28"/>
          <w:szCs w:val="28"/>
        </w:rPr>
      </w:pPr>
    </w:p>
    <w:p w14:paraId="09836C4A" w14:textId="5C29C784" w:rsidR="00873AF2" w:rsidRDefault="00873AF2" w:rsidP="00532C3D">
      <w:pPr>
        <w:jc w:val="center"/>
        <w:rPr>
          <w:rFonts w:ascii="Arial" w:hAnsi="Arial" w:cs="Arial"/>
          <w:b/>
          <w:bCs/>
          <w:sz w:val="28"/>
          <w:szCs w:val="28"/>
        </w:rPr>
      </w:pPr>
      <w:r w:rsidRPr="00CD7692">
        <w:rPr>
          <w:rFonts w:ascii="Arial" w:hAnsi="Arial" w:cs="Arial"/>
          <w:b/>
          <w:bCs/>
          <w:sz w:val="28"/>
          <w:szCs w:val="28"/>
        </w:rPr>
        <w:t>Memorandum of Understanding</w:t>
      </w:r>
    </w:p>
    <w:p w14:paraId="49D7FF4D" w14:textId="77777777" w:rsidR="00532C3D" w:rsidRPr="00CD7692" w:rsidRDefault="00532C3D" w:rsidP="00532C3D">
      <w:pPr>
        <w:jc w:val="center"/>
        <w:rPr>
          <w:rFonts w:ascii="Arial" w:hAnsi="Arial" w:cs="Arial"/>
          <w:b/>
          <w:bCs/>
          <w:sz w:val="28"/>
          <w:szCs w:val="28"/>
        </w:rPr>
      </w:pPr>
    </w:p>
    <w:p w14:paraId="3BB2FA72" w14:textId="5C3ECB24" w:rsidR="00F60AC0" w:rsidRDefault="00F60AC0" w:rsidP="00532C3D">
      <w:pPr>
        <w:pBdr>
          <w:bottom w:val="single" w:sz="6" w:space="1" w:color="auto"/>
        </w:pBdr>
        <w:jc w:val="both"/>
        <w:rPr>
          <w:rFonts w:ascii="Arial" w:hAnsi="Arial" w:cs="Arial"/>
          <w:b/>
          <w:bCs/>
        </w:rPr>
      </w:pPr>
    </w:p>
    <w:p w14:paraId="4265BA2D" w14:textId="53A41821" w:rsidR="00873AF2" w:rsidRDefault="00873AF2" w:rsidP="00532C3D">
      <w:pPr>
        <w:jc w:val="both"/>
        <w:rPr>
          <w:rFonts w:ascii="Arial" w:hAnsi="Arial" w:cs="Arial"/>
          <w:b/>
          <w:bCs/>
        </w:rPr>
      </w:pPr>
    </w:p>
    <w:p w14:paraId="593E8447" w14:textId="7D237A4E" w:rsidR="00873AF2" w:rsidRPr="002F2CA3" w:rsidRDefault="00873AF2" w:rsidP="00532C3D">
      <w:pPr>
        <w:jc w:val="both"/>
        <w:rPr>
          <w:rFonts w:ascii="Arial" w:hAnsi="Arial" w:cs="Arial"/>
          <w:b/>
          <w:bCs/>
          <w:sz w:val="28"/>
          <w:szCs w:val="28"/>
        </w:rPr>
      </w:pPr>
      <w:r w:rsidRPr="002F2CA3">
        <w:rPr>
          <w:rFonts w:ascii="Arial" w:hAnsi="Arial" w:cs="Arial"/>
          <w:b/>
          <w:bCs/>
          <w:sz w:val="28"/>
          <w:szCs w:val="28"/>
        </w:rPr>
        <w:t>Overview</w:t>
      </w:r>
    </w:p>
    <w:p w14:paraId="016C3990" w14:textId="2FE908B4" w:rsidR="00873AF2" w:rsidRDefault="00873AF2" w:rsidP="00532C3D">
      <w:pPr>
        <w:jc w:val="both"/>
        <w:rPr>
          <w:rFonts w:ascii="Arial" w:hAnsi="Arial" w:cs="Arial"/>
          <w:b/>
          <w:bCs/>
        </w:rPr>
      </w:pPr>
    </w:p>
    <w:p w14:paraId="667986FB" w14:textId="76662D63" w:rsidR="00AE25A5" w:rsidRDefault="00873AF2" w:rsidP="00532C3D">
      <w:pPr>
        <w:pStyle w:val="ListParagraph"/>
        <w:numPr>
          <w:ilvl w:val="0"/>
          <w:numId w:val="3"/>
        </w:numPr>
        <w:jc w:val="both"/>
        <w:rPr>
          <w:rFonts w:ascii="Arial" w:hAnsi="Arial" w:cs="Arial"/>
        </w:rPr>
      </w:pPr>
      <w:r w:rsidRPr="00666865">
        <w:rPr>
          <w:rFonts w:ascii="Arial" w:hAnsi="Arial" w:cs="Arial"/>
        </w:rPr>
        <w:t xml:space="preserve">Provider Collaboratives </w:t>
      </w:r>
      <w:r w:rsidR="00226E33">
        <w:rPr>
          <w:rFonts w:ascii="Arial" w:hAnsi="Arial" w:cs="Arial"/>
        </w:rPr>
        <w:t xml:space="preserve">are a </w:t>
      </w:r>
      <w:r w:rsidR="00E43CD0">
        <w:rPr>
          <w:rFonts w:ascii="Arial" w:hAnsi="Arial" w:cs="Arial"/>
        </w:rPr>
        <w:t xml:space="preserve">new </w:t>
      </w:r>
      <w:r w:rsidR="00226E33">
        <w:rPr>
          <w:rFonts w:ascii="Arial" w:hAnsi="Arial" w:cs="Arial"/>
        </w:rPr>
        <w:t xml:space="preserve">way for </w:t>
      </w:r>
      <w:r w:rsidRPr="00666865">
        <w:rPr>
          <w:rFonts w:ascii="Arial" w:hAnsi="Arial" w:cs="Arial"/>
        </w:rPr>
        <w:t>NHS providers to come together to plan, deliver and transform services</w:t>
      </w:r>
      <w:r w:rsidR="003C5F11">
        <w:rPr>
          <w:rFonts w:ascii="Arial" w:hAnsi="Arial" w:cs="Arial"/>
        </w:rPr>
        <w:t xml:space="preserve">, and in doing so, deliver greater collective </w:t>
      </w:r>
      <w:r w:rsidRPr="00666865">
        <w:rPr>
          <w:rFonts w:ascii="Arial" w:hAnsi="Arial" w:cs="Arial"/>
        </w:rPr>
        <w:t xml:space="preserve">value for </w:t>
      </w:r>
      <w:r w:rsidR="00E43CD0">
        <w:rPr>
          <w:rFonts w:ascii="Arial" w:hAnsi="Arial" w:cs="Arial"/>
        </w:rPr>
        <w:t xml:space="preserve">the </w:t>
      </w:r>
      <w:r w:rsidRPr="00666865">
        <w:rPr>
          <w:rFonts w:ascii="Arial" w:hAnsi="Arial" w:cs="Arial"/>
        </w:rPr>
        <w:t xml:space="preserve">patients and </w:t>
      </w:r>
      <w:r w:rsidR="00666865" w:rsidRPr="00666865">
        <w:rPr>
          <w:rFonts w:ascii="Arial" w:hAnsi="Arial" w:cs="Arial"/>
        </w:rPr>
        <w:t>communities</w:t>
      </w:r>
      <w:r w:rsidR="00E43CD0">
        <w:rPr>
          <w:rFonts w:ascii="Arial" w:hAnsi="Arial" w:cs="Arial"/>
        </w:rPr>
        <w:t xml:space="preserve"> they serve. </w:t>
      </w:r>
    </w:p>
    <w:p w14:paraId="4B3A4A24" w14:textId="77777777" w:rsidR="00666865" w:rsidRPr="00666865" w:rsidRDefault="00666865" w:rsidP="00532C3D">
      <w:pPr>
        <w:pStyle w:val="ListParagraph"/>
        <w:ind w:left="360"/>
        <w:jc w:val="both"/>
        <w:rPr>
          <w:rFonts w:ascii="Arial" w:hAnsi="Arial" w:cs="Arial"/>
        </w:rPr>
      </w:pPr>
    </w:p>
    <w:p w14:paraId="35C829E7" w14:textId="6B7C2A0E" w:rsidR="00226E33" w:rsidRDefault="00AE25A5" w:rsidP="00532C3D">
      <w:pPr>
        <w:pStyle w:val="ListParagraph"/>
        <w:numPr>
          <w:ilvl w:val="0"/>
          <w:numId w:val="3"/>
        </w:numPr>
        <w:jc w:val="both"/>
        <w:rPr>
          <w:rFonts w:ascii="Arial" w:hAnsi="Arial" w:cs="Arial"/>
        </w:rPr>
      </w:pPr>
      <w:r w:rsidRPr="00AE25A5">
        <w:rPr>
          <w:rFonts w:ascii="Arial" w:hAnsi="Arial" w:cs="Arial"/>
        </w:rPr>
        <w:t xml:space="preserve">Oxford Health NHS Foundation Trust </w:t>
      </w:r>
      <w:r w:rsidR="00072C7A">
        <w:rPr>
          <w:rFonts w:ascii="Arial" w:hAnsi="Arial" w:cs="Arial"/>
        </w:rPr>
        <w:t xml:space="preserve">(OHFT) </w:t>
      </w:r>
      <w:r w:rsidRPr="00AE25A5">
        <w:rPr>
          <w:rFonts w:ascii="Arial" w:hAnsi="Arial" w:cs="Arial"/>
        </w:rPr>
        <w:t xml:space="preserve">and Oxford University Hospitals NHS Foundation Trust </w:t>
      </w:r>
      <w:r w:rsidR="00072C7A">
        <w:rPr>
          <w:rFonts w:ascii="Arial" w:hAnsi="Arial" w:cs="Arial"/>
        </w:rPr>
        <w:t xml:space="preserve">(OUHFT) </w:t>
      </w:r>
      <w:r w:rsidRPr="00AE25A5">
        <w:rPr>
          <w:rFonts w:ascii="Arial" w:hAnsi="Arial" w:cs="Arial"/>
        </w:rPr>
        <w:t>are coming together within a Provider Collaborative</w:t>
      </w:r>
      <w:r w:rsidR="003C5F11">
        <w:rPr>
          <w:rFonts w:ascii="Arial" w:hAnsi="Arial" w:cs="Arial"/>
        </w:rPr>
        <w:t xml:space="preserve"> </w:t>
      </w:r>
      <w:r w:rsidR="003E4108">
        <w:rPr>
          <w:rFonts w:ascii="Arial" w:hAnsi="Arial" w:cs="Arial"/>
        </w:rPr>
        <w:t>to</w:t>
      </w:r>
      <w:r w:rsidRPr="00AE25A5">
        <w:rPr>
          <w:rFonts w:ascii="Arial" w:hAnsi="Arial" w:cs="Arial"/>
        </w:rPr>
        <w:t xml:space="preserve"> deliver improvements in care</w:t>
      </w:r>
      <w:r w:rsidR="007157CF">
        <w:rPr>
          <w:rFonts w:ascii="Arial" w:hAnsi="Arial" w:cs="Arial"/>
        </w:rPr>
        <w:t xml:space="preserve">, </w:t>
      </w:r>
      <w:proofErr w:type="gramStart"/>
      <w:r w:rsidR="007157CF">
        <w:rPr>
          <w:rFonts w:ascii="Arial" w:hAnsi="Arial" w:cs="Arial"/>
        </w:rPr>
        <w:t>outcomes</w:t>
      </w:r>
      <w:proofErr w:type="gramEnd"/>
      <w:r w:rsidR="007157CF">
        <w:rPr>
          <w:rFonts w:ascii="Arial" w:hAnsi="Arial" w:cs="Arial"/>
        </w:rPr>
        <w:t xml:space="preserve"> and experience </w:t>
      </w:r>
      <w:r w:rsidRPr="00AE25A5">
        <w:rPr>
          <w:rFonts w:ascii="Arial" w:hAnsi="Arial" w:cs="Arial"/>
        </w:rPr>
        <w:t xml:space="preserve">for the people of Oxfordshire. </w:t>
      </w:r>
    </w:p>
    <w:p w14:paraId="5AFC606D" w14:textId="77777777" w:rsidR="00226E33" w:rsidRPr="00226E33" w:rsidRDefault="00226E33" w:rsidP="00532C3D">
      <w:pPr>
        <w:pStyle w:val="ListParagraph"/>
        <w:jc w:val="both"/>
        <w:rPr>
          <w:rFonts w:ascii="Arial" w:hAnsi="Arial" w:cs="Arial"/>
        </w:rPr>
      </w:pPr>
    </w:p>
    <w:p w14:paraId="24F74D5D" w14:textId="039E6E6B" w:rsidR="00AE25A5" w:rsidRPr="00AE25A5" w:rsidRDefault="00AE25A5" w:rsidP="00532C3D">
      <w:pPr>
        <w:pStyle w:val="ListParagraph"/>
        <w:numPr>
          <w:ilvl w:val="0"/>
          <w:numId w:val="3"/>
        </w:numPr>
        <w:jc w:val="both"/>
        <w:rPr>
          <w:rFonts w:ascii="Arial" w:hAnsi="Arial" w:cs="Arial"/>
        </w:rPr>
      </w:pPr>
      <w:r w:rsidRPr="00AE25A5">
        <w:rPr>
          <w:rFonts w:ascii="Arial" w:hAnsi="Arial" w:cs="Arial"/>
        </w:rPr>
        <w:t>This document</w:t>
      </w:r>
      <w:r w:rsidR="00226E33">
        <w:rPr>
          <w:rFonts w:ascii="Arial" w:hAnsi="Arial" w:cs="Arial"/>
        </w:rPr>
        <w:t>, a Memorandum of Understanding</w:t>
      </w:r>
      <w:r w:rsidR="00172FD5">
        <w:rPr>
          <w:rFonts w:ascii="Arial" w:hAnsi="Arial" w:cs="Arial"/>
        </w:rPr>
        <w:t xml:space="preserve"> (MoU)</w:t>
      </w:r>
      <w:r w:rsidR="003C5F11">
        <w:rPr>
          <w:rFonts w:ascii="Arial" w:hAnsi="Arial" w:cs="Arial"/>
        </w:rPr>
        <w:t xml:space="preserve"> between the two organisations, sets out </w:t>
      </w:r>
      <w:r w:rsidR="007157CF">
        <w:rPr>
          <w:rFonts w:ascii="Arial" w:hAnsi="Arial" w:cs="Arial"/>
        </w:rPr>
        <w:t xml:space="preserve">our vision, the principles that will guide how we will work together, our </w:t>
      </w:r>
      <w:r w:rsidRPr="00AE25A5">
        <w:rPr>
          <w:rFonts w:ascii="Arial" w:hAnsi="Arial" w:cs="Arial"/>
        </w:rPr>
        <w:t>key early priorities for deliver</w:t>
      </w:r>
      <w:r w:rsidR="007157CF">
        <w:rPr>
          <w:rFonts w:ascii="Arial" w:hAnsi="Arial" w:cs="Arial"/>
        </w:rPr>
        <w:t xml:space="preserve">y and the </w:t>
      </w:r>
      <w:r w:rsidRPr="00AE25A5">
        <w:rPr>
          <w:rFonts w:ascii="Arial" w:hAnsi="Arial" w:cs="Arial"/>
        </w:rPr>
        <w:t>supporting governance and management arrangements</w:t>
      </w:r>
      <w:r w:rsidR="003C5F11">
        <w:rPr>
          <w:rFonts w:ascii="Arial" w:hAnsi="Arial" w:cs="Arial"/>
        </w:rPr>
        <w:t xml:space="preserve"> that will underpin </w:t>
      </w:r>
      <w:r w:rsidR="00E30551">
        <w:rPr>
          <w:rFonts w:ascii="Arial" w:hAnsi="Arial" w:cs="Arial"/>
        </w:rPr>
        <w:t>the</w:t>
      </w:r>
      <w:r w:rsidR="003C5F11">
        <w:rPr>
          <w:rFonts w:ascii="Arial" w:hAnsi="Arial" w:cs="Arial"/>
        </w:rPr>
        <w:t xml:space="preserve"> </w:t>
      </w:r>
      <w:r w:rsidR="00E30551">
        <w:rPr>
          <w:rFonts w:ascii="Arial" w:hAnsi="Arial" w:cs="Arial"/>
        </w:rPr>
        <w:t>c</w:t>
      </w:r>
      <w:r w:rsidR="003C5F11">
        <w:rPr>
          <w:rFonts w:ascii="Arial" w:hAnsi="Arial" w:cs="Arial"/>
        </w:rPr>
        <w:t xml:space="preserve">ollaborative. </w:t>
      </w:r>
    </w:p>
    <w:p w14:paraId="6E288775" w14:textId="23E195BB" w:rsidR="00873AF2" w:rsidRDefault="00873AF2" w:rsidP="00532C3D">
      <w:pPr>
        <w:jc w:val="both"/>
        <w:rPr>
          <w:rFonts w:ascii="Arial" w:hAnsi="Arial" w:cs="Arial"/>
          <w:b/>
          <w:bCs/>
        </w:rPr>
      </w:pPr>
    </w:p>
    <w:p w14:paraId="5C18D8AB" w14:textId="77777777" w:rsidR="00A53901" w:rsidRDefault="00A53901" w:rsidP="00532C3D">
      <w:pPr>
        <w:pBdr>
          <w:bottom w:val="single" w:sz="6" w:space="1" w:color="auto"/>
        </w:pBdr>
        <w:jc w:val="both"/>
        <w:rPr>
          <w:rFonts w:ascii="Arial" w:hAnsi="Arial" w:cs="Arial"/>
          <w:b/>
          <w:bCs/>
        </w:rPr>
      </w:pPr>
    </w:p>
    <w:p w14:paraId="403D0B49" w14:textId="77777777" w:rsidR="00A53901" w:rsidRDefault="00A53901" w:rsidP="00532C3D">
      <w:pPr>
        <w:jc w:val="both"/>
        <w:rPr>
          <w:rFonts w:ascii="Arial" w:hAnsi="Arial" w:cs="Arial"/>
          <w:b/>
          <w:bCs/>
        </w:rPr>
      </w:pPr>
    </w:p>
    <w:p w14:paraId="2039F516" w14:textId="14280672" w:rsidR="00873AF2" w:rsidRPr="00A53901" w:rsidRDefault="00A53901" w:rsidP="00532C3D">
      <w:pPr>
        <w:jc w:val="both"/>
        <w:rPr>
          <w:rFonts w:ascii="Arial" w:hAnsi="Arial" w:cs="Arial"/>
          <w:b/>
          <w:bCs/>
          <w:sz w:val="28"/>
          <w:szCs w:val="28"/>
        </w:rPr>
      </w:pPr>
      <w:r w:rsidRPr="00A53901">
        <w:rPr>
          <w:rFonts w:ascii="Arial" w:hAnsi="Arial" w:cs="Arial"/>
          <w:b/>
          <w:bCs/>
          <w:sz w:val="28"/>
          <w:szCs w:val="28"/>
        </w:rPr>
        <w:t>Part 1: Vision, Principles and P</w:t>
      </w:r>
      <w:r w:rsidR="003C5F11">
        <w:rPr>
          <w:rFonts w:ascii="Arial" w:hAnsi="Arial" w:cs="Arial"/>
          <w:b/>
          <w:bCs/>
          <w:sz w:val="28"/>
          <w:szCs w:val="28"/>
        </w:rPr>
        <w:t xml:space="preserve">riorities </w:t>
      </w:r>
    </w:p>
    <w:p w14:paraId="6F6FCF5C" w14:textId="2F72E792" w:rsidR="00A53901" w:rsidRDefault="00A53901" w:rsidP="00532C3D">
      <w:pPr>
        <w:jc w:val="both"/>
        <w:rPr>
          <w:rFonts w:ascii="Arial" w:hAnsi="Arial" w:cs="Arial"/>
          <w:b/>
          <w:bCs/>
          <w:sz w:val="28"/>
          <w:szCs w:val="28"/>
        </w:rPr>
      </w:pPr>
    </w:p>
    <w:p w14:paraId="662A9C49" w14:textId="063A1895" w:rsidR="00A53901" w:rsidRPr="002F2CA3" w:rsidRDefault="00A53901" w:rsidP="00532C3D">
      <w:pPr>
        <w:jc w:val="both"/>
        <w:rPr>
          <w:rFonts w:ascii="Arial" w:hAnsi="Arial" w:cs="Arial"/>
          <w:b/>
          <w:bCs/>
          <w:sz w:val="26"/>
          <w:szCs w:val="26"/>
          <w:u w:val="single"/>
        </w:rPr>
      </w:pPr>
      <w:r w:rsidRPr="002F2CA3">
        <w:rPr>
          <w:rFonts w:ascii="Arial" w:hAnsi="Arial" w:cs="Arial"/>
          <w:b/>
          <w:bCs/>
          <w:sz w:val="26"/>
          <w:szCs w:val="26"/>
          <w:u w:val="single"/>
        </w:rPr>
        <w:t xml:space="preserve">Vision </w:t>
      </w:r>
    </w:p>
    <w:p w14:paraId="08786A6F" w14:textId="0E97D4A8" w:rsidR="003F05A8" w:rsidRDefault="003F05A8" w:rsidP="00532C3D">
      <w:pPr>
        <w:jc w:val="both"/>
        <w:rPr>
          <w:rFonts w:ascii="Arial" w:hAnsi="Arial" w:cs="Arial"/>
          <w:b/>
          <w:bCs/>
        </w:rPr>
      </w:pPr>
    </w:p>
    <w:p w14:paraId="0584218D" w14:textId="340CA936" w:rsidR="00494F2C" w:rsidRPr="00864FCC" w:rsidRDefault="00494F2C" w:rsidP="00532C3D">
      <w:pPr>
        <w:pStyle w:val="ListParagraph"/>
        <w:numPr>
          <w:ilvl w:val="0"/>
          <w:numId w:val="3"/>
        </w:numPr>
        <w:jc w:val="both"/>
        <w:rPr>
          <w:rFonts w:ascii="Arial" w:hAnsi="Arial" w:cs="Arial"/>
        </w:rPr>
      </w:pPr>
      <w:r w:rsidRPr="00864FCC">
        <w:rPr>
          <w:rFonts w:ascii="Arial" w:hAnsi="Arial" w:cs="Arial"/>
        </w:rPr>
        <w:t>Our vision is to come together around the joint mission of delivering high quality, responsive and well-</w:t>
      </w:r>
      <w:r w:rsidRPr="003E4108">
        <w:rPr>
          <w:rFonts w:ascii="Arial" w:hAnsi="Arial" w:cs="Arial"/>
        </w:rPr>
        <w:t xml:space="preserve">coordinated care </w:t>
      </w:r>
      <w:r w:rsidR="003E4108" w:rsidRPr="003E4108">
        <w:rPr>
          <w:rFonts w:ascii="Arial" w:hAnsi="Arial" w:cs="Arial"/>
        </w:rPr>
        <w:t xml:space="preserve">for the </w:t>
      </w:r>
      <w:r w:rsidRPr="003E4108">
        <w:rPr>
          <w:rFonts w:ascii="Arial" w:hAnsi="Arial" w:cs="Arial"/>
        </w:rPr>
        <w:t>people of Oxfordshire</w:t>
      </w:r>
      <w:r w:rsidR="003E4108">
        <w:rPr>
          <w:rFonts w:ascii="Arial" w:hAnsi="Arial" w:cs="Arial"/>
        </w:rPr>
        <w:t xml:space="preserve">. Together with our partners, we are focused on </w:t>
      </w:r>
      <w:r w:rsidR="00E37B08">
        <w:rPr>
          <w:rFonts w:ascii="Arial" w:hAnsi="Arial" w:cs="Arial"/>
        </w:rPr>
        <w:t>supporting and enabling our</w:t>
      </w:r>
      <w:r w:rsidRPr="00864FCC">
        <w:rPr>
          <w:rFonts w:ascii="Arial" w:hAnsi="Arial" w:cs="Arial"/>
        </w:rPr>
        <w:t xml:space="preserve"> communities to: </w:t>
      </w:r>
    </w:p>
    <w:p w14:paraId="1B3D6E5F" w14:textId="3B479F6E" w:rsidR="003F05A8" w:rsidRDefault="003F05A8" w:rsidP="00532C3D">
      <w:pPr>
        <w:pStyle w:val="ListParagraph"/>
        <w:numPr>
          <w:ilvl w:val="0"/>
          <w:numId w:val="5"/>
        </w:numPr>
        <w:snapToGrid w:val="0"/>
        <w:spacing w:before="120" w:after="120"/>
        <w:ind w:left="1077" w:hanging="357"/>
        <w:contextualSpacing w:val="0"/>
        <w:jc w:val="both"/>
        <w:rPr>
          <w:rFonts w:ascii="Arial" w:hAnsi="Arial" w:cs="Arial"/>
        </w:rPr>
      </w:pPr>
      <w:r w:rsidRPr="002D107B">
        <w:rPr>
          <w:rFonts w:ascii="Arial" w:hAnsi="Arial" w:cs="Arial"/>
          <w:b/>
          <w:bCs/>
        </w:rPr>
        <w:t xml:space="preserve">Access urgent care </w:t>
      </w:r>
      <w:r w:rsidR="002D107B" w:rsidRPr="002D107B">
        <w:rPr>
          <w:rFonts w:ascii="Arial" w:hAnsi="Arial" w:cs="Arial"/>
          <w:b/>
          <w:bCs/>
        </w:rPr>
        <w:t>when it is needed</w:t>
      </w:r>
      <w:r w:rsidR="002D107B">
        <w:rPr>
          <w:rFonts w:ascii="Arial" w:hAnsi="Arial" w:cs="Arial"/>
        </w:rPr>
        <w:t xml:space="preserve"> –</w:t>
      </w:r>
      <w:r>
        <w:rPr>
          <w:rFonts w:ascii="Arial" w:hAnsi="Arial" w:cs="Arial"/>
        </w:rPr>
        <w:t xml:space="preserve"> as close to home as possible</w:t>
      </w:r>
      <w:r w:rsidR="00E53B18">
        <w:rPr>
          <w:rFonts w:ascii="Arial" w:hAnsi="Arial" w:cs="Arial"/>
        </w:rPr>
        <w:t>,</w:t>
      </w:r>
      <w:r w:rsidR="001534C5">
        <w:rPr>
          <w:rFonts w:ascii="Arial" w:hAnsi="Arial" w:cs="Arial"/>
        </w:rPr>
        <w:t xml:space="preserve"> by building community capacity</w:t>
      </w:r>
      <w:r w:rsidR="00226E33">
        <w:rPr>
          <w:rFonts w:ascii="Arial" w:hAnsi="Arial" w:cs="Arial"/>
        </w:rPr>
        <w:t xml:space="preserve"> and</w:t>
      </w:r>
      <w:r w:rsidR="001534C5">
        <w:rPr>
          <w:rFonts w:ascii="Arial" w:hAnsi="Arial" w:cs="Arial"/>
        </w:rPr>
        <w:t xml:space="preserve"> </w:t>
      </w:r>
      <w:r w:rsidR="00226E33">
        <w:rPr>
          <w:rFonts w:ascii="Arial" w:hAnsi="Arial" w:cs="Arial"/>
        </w:rPr>
        <w:t xml:space="preserve">by </w:t>
      </w:r>
      <w:r w:rsidR="001534C5" w:rsidRPr="001534C5">
        <w:rPr>
          <w:rFonts w:ascii="Arial" w:hAnsi="Arial" w:cs="Arial"/>
        </w:rPr>
        <w:t>offering the right care, at the right time, in the right setting</w:t>
      </w:r>
      <w:r w:rsidR="003E4108">
        <w:rPr>
          <w:rFonts w:ascii="Arial" w:hAnsi="Arial" w:cs="Arial"/>
        </w:rPr>
        <w:t>, supported by the right resources.</w:t>
      </w:r>
      <w:r w:rsidR="006D32DB">
        <w:rPr>
          <w:rFonts w:ascii="Arial" w:hAnsi="Arial" w:cs="Arial"/>
        </w:rPr>
        <w:t xml:space="preserve"> In doing so, we will aim to increase our shared </w:t>
      </w:r>
      <w:r w:rsidR="00072C7A">
        <w:rPr>
          <w:rFonts w:ascii="Arial" w:hAnsi="Arial" w:cs="Arial"/>
        </w:rPr>
        <w:t xml:space="preserve">productivity </w:t>
      </w:r>
      <w:r w:rsidR="006D32DB">
        <w:rPr>
          <w:rFonts w:ascii="Arial" w:hAnsi="Arial" w:cs="Arial"/>
        </w:rPr>
        <w:t>to deliver the best value for our population</w:t>
      </w:r>
      <w:r w:rsidR="003C5F11">
        <w:rPr>
          <w:rFonts w:ascii="Arial" w:hAnsi="Arial" w:cs="Arial"/>
        </w:rPr>
        <w:t>.</w:t>
      </w:r>
    </w:p>
    <w:p w14:paraId="64B3C6A1" w14:textId="1346D957" w:rsidR="002D107B" w:rsidRDefault="002D107B" w:rsidP="00532C3D">
      <w:pPr>
        <w:pStyle w:val="ListParagraph"/>
        <w:numPr>
          <w:ilvl w:val="0"/>
          <w:numId w:val="5"/>
        </w:numPr>
        <w:snapToGrid w:val="0"/>
        <w:spacing w:before="120" w:after="120"/>
        <w:contextualSpacing w:val="0"/>
        <w:jc w:val="both"/>
        <w:rPr>
          <w:rFonts w:ascii="Arial" w:hAnsi="Arial" w:cs="Arial"/>
        </w:rPr>
      </w:pPr>
      <w:r w:rsidRPr="002D107B">
        <w:rPr>
          <w:rFonts w:ascii="Arial" w:hAnsi="Arial" w:cs="Arial"/>
          <w:b/>
          <w:bCs/>
        </w:rPr>
        <w:t>Live safely and well at home</w:t>
      </w:r>
      <w:r>
        <w:rPr>
          <w:rFonts w:ascii="Arial" w:hAnsi="Arial" w:cs="Arial"/>
          <w:b/>
          <w:bCs/>
        </w:rPr>
        <w:t xml:space="preserve"> </w:t>
      </w:r>
      <w:r w:rsidRPr="00E30551">
        <w:rPr>
          <w:rFonts w:ascii="Arial" w:hAnsi="Arial" w:cs="Arial"/>
        </w:rPr>
        <w:t>– avoiding unnecessary hospital admissions through responsive reablement</w:t>
      </w:r>
      <w:r>
        <w:rPr>
          <w:rFonts w:ascii="Arial" w:hAnsi="Arial" w:cs="Arial"/>
        </w:rPr>
        <w:t xml:space="preserve"> and rehabilitatio</w:t>
      </w:r>
      <w:r w:rsidR="00E53B18">
        <w:rPr>
          <w:rFonts w:ascii="Arial" w:hAnsi="Arial" w:cs="Arial"/>
        </w:rPr>
        <w:t>n, alongside</w:t>
      </w:r>
      <w:r w:rsidR="00557344">
        <w:rPr>
          <w:rFonts w:ascii="Arial" w:hAnsi="Arial" w:cs="Arial"/>
        </w:rPr>
        <w:t xml:space="preserve"> </w:t>
      </w:r>
      <w:r w:rsidR="001534C5">
        <w:rPr>
          <w:rFonts w:ascii="Arial" w:hAnsi="Arial" w:cs="Arial"/>
        </w:rPr>
        <w:t xml:space="preserve">multidisciplinary </w:t>
      </w:r>
      <w:r w:rsidR="00557344">
        <w:rPr>
          <w:rFonts w:ascii="Arial" w:hAnsi="Arial" w:cs="Arial"/>
        </w:rPr>
        <w:t>community services</w:t>
      </w:r>
      <w:r w:rsidR="00172FD5">
        <w:rPr>
          <w:rFonts w:ascii="Arial" w:hAnsi="Arial" w:cs="Arial"/>
        </w:rPr>
        <w:t xml:space="preserve"> </w:t>
      </w:r>
      <w:r w:rsidR="00226E33">
        <w:rPr>
          <w:rFonts w:ascii="Arial" w:hAnsi="Arial" w:cs="Arial"/>
        </w:rPr>
        <w:t>delivered</w:t>
      </w:r>
      <w:r w:rsidR="00557344">
        <w:rPr>
          <w:rFonts w:ascii="Arial" w:hAnsi="Arial" w:cs="Arial"/>
        </w:rPr>
        <w:t xml:space="preserve"> </w:t>
      </w:r>
      <w:r w:rsidR="001534C5">
        <w:rPr>
          <w:rFonts w:ascii="Arial" w:hAnsi="Arial" w:cs="Arial"/>
        </w:rPr>
        <w:t>close to home</w:t>
      </w:r>
      <w:r w:rsidR="003C5F11">
        <w:rPr>
          <w:rFonts w:ascii="Arial" w:hAnsi="Arial" w:cs="Arial"/>
        </w:rPr>
        <w:t>.</w:t>
      </w:r>
    </w:p>
    <w:p w14:paraId="1331779E" w14:textId="20272074" w:rsidR="002D107B" w:rsidRDefault="002D107B" w:rsidP="00532C3D">
      <w:pPr>
        <w:pStyle w:val="ListParagraph"/>
        <w:numPr>
          <w:ilvl w:val="0"/>
          <w:numId w:val="5"/>
        </w:numPr>
        <w:snapToGrid w:val="0"/>
        <w:spacing w:before="120" w:after="120"/>
        <w:contextualSpacing w:val="0"/>
        <w:jc w:val="both"/>
        <w:rPr>
          <w:rFonts w:ascii="Arial" w:hAnsi="Arial" w:cs="Arial"/>
        </w:rPr>
      </w:pPr>
      <w:r w:rsidRPr="002D107B">
        <w:rPr>
          <w:rFonts w:ascii="Arial" w:hAnsi="Arial" w:cs="Arial"/>
          <w:b/>
          <w:bCs/>
        </w:rPr>
        <w:t>Live well with long-term conditions</w:t>
      </w:r>
      <w:r>
        <w:rPr>
          <w:rFonts w:ascii="Arial" w:hAnsi="Arial" w:cs="Arial"/>
        </w:rPr>
        <w:t xml:space="preserve"> – supported by new and innovative models of care </w:t>
      </w:r>
      <w:r w:rsidR="00557344">
        <w:rPr>
          <w:rFonts w:ascii="Arial" w:hAnsi="Arial" w:cs="Arial"/>
        </w:rPr>
        <w:t>and</w:t>
      </w:r>
      <w:r w:rsidR="00226E33">
        <w:rPr>
          <w:rFonts w:ascii="Arial" w:hAnsi="Arial" w:cs="Arial"/>
        </w:rPr>
        <w:t xml:space="preserve"> </w:t>
      </w:r>
      <w:r w:rsidR="00557344">
        <w:rPr>
          <w:rFonts w:ascii="Arial" w:hAnsi="Arial" w:cs="Arial"/>
        </w:rPr>
        <w:t>digital technology</w:t>
      </w:r>
      <w:r w:rsidR="003C5F11">
        <w:rPr>
          <w:rFonts w:ascii="Arial" w:hAnsi="Arial" w:cs="Arial"/>
        </w:rPr>
        <w:t>.</w:t>
      </w:r>
    </w:p>
    <w:p w14:paraId="596700CB" w14:textId="57873098" w:rsidR="003E4108" w:rsidRPr="00AC55AD" w:rsidRDefault="00F70C31" w:rsidP="00F40800">
      <w:pPr>
        <w:pStyle w:val="ListParagraph"/>
        <w:numPr>
          <w:ilvl w:val="0"/>
          <w:numId w:val="5"/>
        </w:numPr>
        <w:snapToGrid w:val="0"/>
        <w:spacing w:before="120" w:after="120"/>
        <w:contextualSpacing w:val="0"/>
        <w:jc w:val="both"/>
        <w:rPr>
          <w:rFonts w:ascii="Arial" w:hAnsi="Arial" w:cs="Arial"/>
          <w:color w:val="000000" w:themeColor="text1"/>
        </w:rPr>
      </w:pPr>
      <w:r w:rsidRPr="00AC55AD">
        <w:rPr>
          <w:rFonts w:ascii="Arial" w:hAnsi="Arial" w:cs="Arial"/>
          <w:b/>
          <w:bCs/>
          <w:color w:val="000000" w:themeColor="text1"/>
        </w:rPr>
        <w:lastRenderedPageBreak/>
        <w:t xml:space="preserve">Access </w:t>
      </w:r>
      <w:r w:rsidR="00E3257B" w:rsidRPr="00AC55AD">
        <w:rPr>
          <w:rFonts w:ascii="Arial" w:hAnsi="Arial" w:cs="Arial"/>
          <w:b/>
          <w:bCs/>
          <w:color w:val="000000" w:themeColor="text1"/>
        </w:rPr>
        <w:t>personalised</w:t>
      </w:r>
      <w:r w:rsidR="00022CE4" w:rsidRPr="00AC55AD">
        <w:rPr>
          <w:rFonts w:ascii="Arial" w:hAnsi="Arial" w:cs="Arial"/>
          <w:b/>
          <w:bCs/>
          <w:color w:val="000000" w:themeColor="text1"/>
        </w:rPr>
        <w:t xml:space="preserve"> community </w:t>
      </w:r>
      <w:r w:rsidR="00E3257B" w:rsidRPr="00AC55AD">
        <w:rPr>
          <w:rFonts w:ascii="Arial" w:hAnsi="Arial" w:cs="Arial"/>
          <w:b/>
          <w:bCs/>
          <w:color w:val="000000" w:themeColor="text1"/>
        </w:rPr>
        <w:t>palliative and</w:t>
      </w:r>
      <w:r w:rsidRPr="00AC55AD">
        <w:rPr>
          <w:rFonts w:ascii="Arial" w:hAnsi="Arial" w:cs="Arial"/>
          <w:b/>
          <w:bCs/>
          <w:color w:val="000000" w:themeColor="text1"/>
        </w:rPr>
        <w:t xml:space="preserve"> end of life care</w:t>
      </w:r>
      <w:r w:rsidR="003C5F11" w:rsidRPr="00AC55AD">
        <w:rPr>
          <w:rFonts w:ascii="Arial" w:hAnsi="Arial" w:cs="Arial"/>
          <w:b/>
          <w:bCs/>
          <w:color w:val="000000" w:themeColor="text1"/>
        </w:rPr>
        <w:t xml:space="preserve"> </w:t>
      </w:r>
      <w:r w:rsidR="00E3257B" w:rsidRPr="00E30551">
        <w:rPr>
          <w:rFonts w:ascii="Arial" w:hAnsi="Arial" w:cs="Arial"/>
          <w:color w:val="000000" w:themeColor="text1"/>
        </w:rPr>
        <w:t xml:space="preserve">– </w:t>
      </w:r>
      <w:r w:rsidR="00E3257B" w:rsidRPr="00AC55AD">
        <w:rPr>
          <w:rFonts w:ascii="Arial" w:hAnsi="Arial" w:cs="Arial"/>
          <w:color w:val="000000" w:themeColor="text1"/>
        </w:rPr>
        <w:t>enabled by a new</w:t>
      </w:r>
      <w:r w:rsidR="00AC55AD" w:rsidRPr="00AC55AD">
        <w:rPr>
          <w:rFonts w:ascii="Arial" w:hAnsi="Arial" w:cs="Arial"/>
          <w:color w:val="000000" w:themeColor="text1"/>
        </w:rPr>
        <w:t xml:space="preserve"> integrated Oxfordshire</w:t>
      </w:r>
      <w:r w:rsidR="00022CE4" w:rsidRPr="00AC55AD">
        <w:rPr>
          <w:rFonts w:ascii="Arial" w:hAnsi="Arial" w:cs="Arial"/>
          <w:color w:val="000000" w:themeColor="text1"/>
        </w:rPr>
        <w:t xml:space="preserve"> service</w:t>
      </w:r>
      <w:r w:rsidR="00AC55AD" w:rsidRPr="00AC55AD">
        <w:rPr>
          <w:rFonts w:ascii="Arial" w:hAnsi="Arial" w:cs="Arial"/>
          <w:color w:val="000000" w:themeColor="text1"/>
        </w:rPr>
        <w:t>, working across organisational boundaries to deliver seamless care</w:t>
      </w:r>
      <w:r w:rsidR="00022CE4" w:rsidRPr="00AC55AD">
        <w:rPr>
          <w:rFonts w:ascii="Arial" w:hAnsi="Arial" w:cs="Arial"/>
          <w:color w:val="000000" w:themeColor="text1"/>
        </w:rPr>
        <w:t xml:space="preserve">. </w:t>
      </w:r>
    </w:p>
    <w:p w14:paraId="78600EA8" w14:textId="77777777" w:rsidR="00AC55AD" w:rsidRPr="00AC55AD" w:rsidRDefault="00AC55AD" w:rsidP="00AC55AD">
      <w:pPr>
        <w:pStyle w:val="ListParagraph"/>
        <w:snapToGrid w:val="0"/>
        <w:spacing w:before="120" w:after="120"/>
        <w:ind w:left="1080"/>
        <w:contextualSpacing w:val="0"/>
        <w:jc w:val="both"/>
        <w:rPr>
          <w:rFonts w:ascii="Arial" w:hAnsi="Arial" w:cs="Arial"/>
        </w:rPr>
      </w:pPr>
    </w:p>
    <w:p w14:paraId="7C6DDC7F" w14:textId="144E327F" w:rsidR="00A163CD" w:rsidRDefault="00557344" w:rsidP="00532C3D">
      <w:pPr>
        <w:snapToGrid w:val="0"/>
        <w:spacing w:beforeLines="40" w:before="96" w:after="40"/>
        <w:jc w:val="both"/>
        <w:rPr>
          <w:rFonts w:ascii="Arial" w:hAnsi="Arial" w:cs="Arial"/>
          <w:b/>
          <w:bCs/>
          <w:sz w:val="26"/>
          <w:szCs w:val="26"/>
          <w:u w:val="single"/>
        </w:rPr>
      </w:pPr>
      <w:r w:rsidRPr="002F2CA3">
        <w:rPr>
          <w:rFonts w:ascii="Arial" w:hAnsi="Arial" w:cs="Arial"/>
          <w:b/>
          <w:bCs/>
          <w:sz w:val="26"/>
          <w:szCs w:val="26"/>
          <w:u w:val="single"/>
        </w:rPr>
        <w:t xml:space="preserve">Principles </w:t>
      </w:r>
    </w:p>
    <w:p w14:paraId="5A102683" w14:textId="77777777" w:rsidR="00E37B08" w:rsidRPr="00916C23" w:rsidRDefault="00E37B08" w:rsidP="00916C23">
      <w:pPr>
        <w:snapToGrid w:val="0"/>
        <w:spacing w:beforeLines="40" w:before="96" w:after="40"/>
        <w:jc w:val="both"/>
        <w:rPr>
          <w:rFonts w:ascii="Arial" w:hAnsi="Arial" w:cs="Arial"/>
          <w:b/>
          <w:bCs/>
          <w:sz w:val="26"/>
          <w:szCs w:val="26"/>
          <w:u w:val="single"/>
        </w:rPr>
      </w:pPr>
    </w:p>
    <w:p w14:paraId="7485378B" w14:textId="31D5EDCB" w:rsidR="00E37B08" w:rsidRPr="00E37B08" w:rsidRDefault="00E37B08" w:rsidP="00E37B08">
      <w:pPr>
        <w:pStyle w:val="ListParagraph"/>
        <w:numPr>
          <w:ilvl w:val="0"/>
          <w:numId w:val="3"/>
        </w:numPr>
        <w:snapToGrid w:val="0"/>
        <w:spacing w:beforeLines="40" w:before="96" w:after="40"/>
        <w:jc w:val="both"/>
        <w:rPr>
          <w:rFonts w:ascii="Arial" w:hAnsi="Arial" w:cs="Arial"/>
          <w:b/>
          <w:bCs/>
          <w:sz w:val="26"/>
          <w:szCs w:val="26"/>
          <w:u w:val="single"/>
        </w:rPr>
      </w:pPr>
      <w:r w:rsidRPr="00E37B08">
        <w:rPr>
          <w:rFonts w:ascii="Arial" w:hAnsi="Arial" w:cs="Arial"/>
        </w:rPr>
        <w:t xml:space="preserve">As a collaborative, we will </w:t>
      </w:r>
      <w:r w:rsidR="00916C23">
        <w:rPr>
          <w:rFonts w:ascii="Arial" w:hAnsi="Arial" w:cs="Arial"/>
        </w:rPr>
        <w:t xml:space="preserve">be </w:t>
      </w:r>
      <w:r w:rsidRPr="00E37B08">
        <w:rPr>
          <w:rFonts w:ascii="Arial" w:hAnsi="Arial" w:cs="Arial"/>
        </w:rPr>
        <w:t xml:space="preserve">guided by the following principles as we develop a shared work programme together. </w:t>
      </w:r>
      <w:r>
        <w:rPr>
          <w:rFonts w:ascii="Arial" w:hAnsi="Arial" w:cs="Arial"/>
        </w:rPr>
        <w:t>We will be:</w:t>
      </w:r>
    </w:p>
    <w:p w14:paraId="4B1D5FC1" w14:textId="40EF50BF" w:rsidR="00557344" w:rsidRPr="002648A9" w:rsidRDefault="00557344" w:rsidP="00532C3D">
      <w:pPr>
        <w:pStyle w:val="ListParagraph"/>
        <w:snapToGrid w:val="0"/>
        <w:spacing w:beforeLines="40" w:before="96" w:after="40"/>
        <w:ind w:left="360"/>
        <w:jc w:val="both"/>
        <w:rPr>
          <w:rFonts w:ascii="Arial" w:hAnsi="Arial" w:cs="Arial"/>
        </w:rPr>
      </w:pPr>
    </w:p>
    <w:p w14:paraId="1BB827D9" w14:textId="3E64D36B" w:rsidR="009673F5" w:rsidRDefault="00916C23" w:rsidP="00532C3D">
      <w:pPr>
        <w:pStyle w:val="ListParagraph"/>
        <w:numPr>
          <w:ilvl w:val="0"/>
          <w:numId w:val="11"/>
        </w:numPr>
        <w:snapToGrid w:val="0"/>
        <w:spacing w:before="120" w:after="120"/>
        <w:ind w:left="1077" w:hanging="357"/>
        <w:contextualSpacing w:val="0"/>
        <w:jc w:val="both"/>
        <w:rPr>
          <w:rFonts w:ascii="Arial" w:hAnsi="Arial" w:cs="Arial"/>
        </w:rPr>
      </w:pPr>
      <w:r>
        <w:rPr>
          <w:rFonts w:ascii="Arial" w:hAnsi="Arial" w:cs="Arial"/>
          <w:b/>
          <w:bCs/>
        </w:rPr>
        <w:t>Patient and community focused</w:t>
      </w:r>
      <w:r w:rsidR="0072194D" w:rsidRPr="002648A9">
        <w:rPr>
          <w:rFonts w:ascii="Arial" w:hAnsi="Arial" w:cs="Arial"/>
          <w:b/>
          <w:bCs/>
        </w:rPr>
        <w:t xml:space="preserve"> </w:t>
      </w:r>
      <w:r w:rsidR="0072194D" w:rsidRPr="002648A9">
        <w:rPr>
          <w:rFonts w:ascii="Arial" w:hAnsi="Arial" w:cs="Arial"/>
        </w:rPr>
        <w:t xml:space="preserve">– </w:t>
      </w:r>
      <w:r w:rsidR="00020470">
        <w:rPr>
          <w:rFonts w:ascii="Arial" w:hAnsi="Arial" w:cs="Arial"/>
        </w:rPr>
        <w:t>we will com</w:t>
      </w:r>
      <w:r w:rsidR="009F73B6">
        <w:rPr>
          <w:rFonts w:ascii="Arial" w:hAnsi="Arial" w:cs="Arial"/>
        </w:rPr>
        <w:t>e</w:t>
      </w:r>
      <w:r w:rsidR="00020470">
        <w:rPr>
          <w:rFonts w:ascii="Arial" w:hAnsi="Arial" w:cs="Arial"/>
        </w:rPr>
        <w:t xml:space="preserve"> together </w:t>
      </w:r>
      <w:r w:rsidR="00E3257B" w:rsidRPr="002648A9">
        <w:rPr>
          <w:rFonts w:ascii="Arial" w:hAnsi="Arial" w:cs="Arial"/>
        </w:rPr>
        <w:t>around shared priorities</w:t>
      </w:r>
      <w:r w:rsidR="009F73B6">
        <w:rPr>
          <w:rFonts w:ascii="Arial" w:hAnsi="Arial" w:cs="Arial"/>
        </w:rPr>
        <w:t>,</w:t>
      </w:r>
      <w:r w:rsidR="00E53B18">
        <w:rPr>
          <w:rFonts w:ascii="Arial" w:hAnsi="Arial" w:cs="Arial"/>
        </w:rPr>
        <w:t xml:space="preserve"> </w:t>
      </w:r>
      <w:r w:rsidR="00E3257B" w:rsidRPr="002648A9">
        <w:rPr>
          <w:rFonts w:ascii="Arial" w:hAnsi="Arial" w:cs="Arial"/>
        </w:rPr>
        <w:t>where</w:t>
      </w:r>
      <w:r w:rsidR="00020470">
        <w:rPr>
          <w:rFonts w:ascii="Arial" w:hAnsi="Arial" w:cs="Arial"/>
        </w:rPr>
        <w:t xml:space="preserve"> </w:t>
      </w:r>
      <w:r w:rsidR="00E37B08">
        <w:rPr>
          <w:rFonts w:ascii="Arial" w:hAnsi="Arial" w:cs="Arial"/>
        </w:rPr>
        <w:t>working</w:t>
      </w:r>
      <w:r w:rsidR="00E3257B" w:rsidRPr="002648A9">
        <w:rPr>
          <w:rFonts w:ascii="Arial" w:hAnsi="Arial" w:cs="Arial"/>
        </w:rPr>
        <w:t xml:space="preserve"> collectively</w:t>
      </w:r>
      <w:r w:rsidR="00020470">
        <w:rPr>
          <w:rFonts w:ascii="Arial" w:hAnsi="Arial" w:cs="Arial"/>
        </w:rPr>
        <w:t xml:space="preserve"> across our two organisations</w:t>
      </w:r>
      <w:r w:rsidR="00E3257B" w:rsidRPr="002648A9">
        <w:rPr>
          <w:rFonts w:ascii="Arial" w:hAnsi="Arial" w:cs="Arial"/>
        </w:rPr>
        <w:t xml:space="preserve"> will deliver greater value for the patients and communities we serve</w:t>
      </w:r>
      <w:r>
        <w:rPr>
          <w:rFonts w:ascii="Arial" w:hAnsi="Arial" w:cs="Arial"/>
        </w:rPr>
        <w:t>.</w:t>
      </w:r>
    </w:p>
    <w:p w14:paraId="37F97CDD" w14:textId="2465568B" w:rsidR="00557344" w:rsidRPr="00916C23" w:rsidRDefault="00E37B08" w:rsidP="00916C23">
      <w:pPr>
        <w:pStyle w:val="ListParagraph"/>
        <w:numPr>
          <w:ilvl w:val="0"/>
          <w:numId w:val="11"/>
        </w:numPr>
        <w:snapToGrid w:val="0"/>
        <w:spacing w:before="120" w:after="120"/>
        <w:ind w:left="1077" w:hanging="357"/>
        <w:contextualSpacing w:val="0"/>
        <w:jc w:val="both"/>
        <w:rPr>
          <w:rFonts w:ascii="Arial" w:hAnsi="Arial" w:cs="Arial"/>
        </w:rPr>
      </w:pPr>
      <w:r>
        <w:rPr>
          <w:rFonts w:ascii="Arial" w:hAnsi="Arial" w:cs="Arial"/>
          <w:b/>
          <w:bCs/>
        </w:rPr>
        <w:t>One team</w:t>
      </w:r>
      <w:r>
        <w:rPr>
          <w:rFonts w:ascii="Arial" w:hAnsi="Arial" w:cs="Arial"/>
        </w:rPr>
        <w:t xml:space="preserve"> – </w:t>
      </w:r>
      <w:r w:rsidR="004635D7" w:rsidRPr="00E37B08">
        <w:rPr>
          <w:rFonts w:ascii="Arial" w:hAnsi="Arial" w:cs="Arial"/>
        </w:rPr>
        <w:t>w</w:t>
      </w:r>
      <w:r w:rsidR="00E3257B" w:rsidRPr="00E37B08">
        <w:rPr>
          <w:rFonts w:ascii="Arial" w:hAnsi="Arial" w:cs="Arial"/>
        </w:rPr>
        <w:t>e will w</w:t>
      </w:r>
      <w:r w:rsidR="004635D7" w:rsidRPr="00E37B08">
        <w:rPr>
          <w:rFonts w:ascii="Arial" w:hAnsi="Arial" w:cs="Arial"/>
        </w:rPr>
        <w:t>ork together</w:t>
      </w:r>
      <w:r w:rsidR="009673F5" w:rsidRPr="00E37B08">
        <w:rPr>
          <w:rFonts w:ascii="Arial" w:hAnsi="Arial" w:cs="Arial"/>
        </w:rPr>
        <w:t xml:space="preserve"> </w:t>
      </w:r>
      <w:r w:rsidR="00C539EE" w:rsidRPr="00E37B08">
        <w:rPr>
          <w:rFonts w:ascii="Arial" w:hAnsi="Arial" w:cs="Arial"/>
        </w:rPr>
        <w:t xml:space="preserve">as </w:t>
      </w:r>
      <w:r w:rsidR="009673F5" w:rsidRPr="00E37B08">
        <w:rPr>
          <w:rFonts w:ascii="Arial" w:hAnsi="Arial" w:cs="Arial"/>
        </w:rPr>
        <w:t>‘one team’</w:t>
      </w:r>
      <w:r w:rsidR="004635D7" w:rsidRPr="00E37B08">
        <w:rPr>
          <w:rFonts w:ascii="Arial" w:hAnsi="Arial" w:cs="Arial"/>
        </w:rPr>
        <w:t xml:space="preserve">, </w:t>
      </w:r>
      <w:r w:rsidR="00916C23">
        <w:rPr>
          <w:rFonts w:ascii="Arial" w:hAnsi="Arial" w:cs="Arial"/>
        </w:rPr>
        <w:t xml:space="preserve">bringing together our people, expertise, </w:t>
      </w:r>
      <w:r w:rsidR="0065370C">
        <w:rPr>
          <w:rFonts w:ascii="Arial" w:hAnsi="Arial" w:cs="Arial"/>
        </w:rPr>
        <w:t>resources,</w:t>
      </w:r>
      <w:r w:rsidR="00916C23">
        <w:rPr>
          <w:rFonts w:ascii="Arial" w:hAnsi="Arial" w:cs="Arial"/>
        </w:rPr>
        <w:t xml:space="preserve"> and enablers to deliver integrated care </w:t>
      </w:r>
      <w:r w:rsidRPr="00916C23">
        <w:rPr>
          <w:rFonts w:ascii="Arial" w:hAnsi="Arial" w:cs="Arial"/>
        </w:rPr>
        <w:t xml:space="preserve">and </w:t>
      </w:r>
      <w:r w:rsidR="00916C23">
        <w:rPr>
          <w:rFonts w:ascii="Arial" w:hAnsi="Arial" w:cs="Arial"/>
        </w:rPr>
        <w:t xml:space="preserve">to </w:t>
      </w:r>
      <w:r w:rsidR="00916C23" w:rsidRPr="00916C23">
        <w:rPr>
          <w:rFonts w:ascii="Arial" w:hAnsi="Arial" w:cs="Arial"/>
        </w:rPr>
        <w:t>streamlin</w:t>
      </w:r>
      <w:r w:rsidR="00916C23">
        <w:rPr>
          <w:rFonts w:ascii="Arial" w:hAnsi="Arial" w:cs="Arial"/>
        </w:rPr>
        <w:t xml:space="preserve">e </w:t>
      </w:r>
      <w:r w:rsidRPr="00916C23">
        <w:rPr>
          <w:rFonts w:ascii="Arial" w:hAnsi="Arial" w:cs="Arial"/>
        </w:rPr>
        <w:t>what we do</w:t>
      </w:r>
      <w:r w:rsidR="00916C23">
        <w:rPr>
          <w:rFonts w:ascii="Arial" w:hAnsi="Arial" w:cs="Arial"/>
        </w:rPr>
        <w:t xml:space="preserve"> </w:t>
      </w:r>
    </w:p>
    <w:p w14:paraId="59008DCA" w14:textId="77777777" w:rsidR="00E37B08" w:rsidRPr="002648A9" w:rsidRDefault="00E37B08" w:rsidP="00E37B08">
      <w:pPr>
        <w:pStyle w:val="ListParagraph"/>
        <w:numPr>
          <w:ilvl w:val="0"/>
          <w:numId w:val="11"/>
        </w:numPr>
        <w:snapToGrid w:val="0"/>
        <w:spacing w:before="120" w:after="120"/>
        <w:ind w:left="1077" w:hanging="357"/>
        <w:contextualSpacing w:val="0"/>
        <w:jc w:val="both"/>
        <w:rPr>
          <w:rFonts w:ascii="Arial" w:hAnsi="Arial" w:cs="Arial"/>
        </w:rPr>
      </w:pPr>
      <w:r>
        <w:rPr>
          <w:rFonts w:ascii="Arial" w:hAnsi="Arial" w:cs="Arial"/>
          <w:b/>
          <w:bCs/>
        </w:rPr>
        <w:t xml:space="preserve">Creative </w:t>
      </w:r>
      <w:r>
        <w:rPr>
          <w:rFonts w:ascii="Arial" w:hAnsi="Arial" w:cs="Arial"/>
        </w:rPr>
        <w:t xml:space="preserve">– we will bring our teams together to develop new </w:t>
      </w:r>
      <w:r w:rsidRPr="002648A9">
        <w:rPr>
          <w:rFonts w:ascii="Arial" w:hAnsi="Arial" w:cs="Arial"/>
        </w:rPr>
        <w:t xml:space="preserve">ways of </w:t>
      </w:r>
      <w:r>
        <w:rPr>
          <w:rFonts w:ascii="Arial" w:hAnsi="Arial" w:cs="Arial"/>
        </w:rPr>
        <w:t xml:space="preserve">working </w:t>
      </w:r>
      <w:r w:rsidRPr="002648A9">
        <w:rPr>
          <w:rFonts w:ascii="Arial" w:hAnsi="Arial" w:cs="Arial"/>
        </w:rPr>
        <w:t>and tackl</w:t>
      </w:r>
      <w:r>
        <w:rPr>
          <w:rFonts w:ascii="Arial" w:hAnsi="Arial" w:cs="Arial"/>
        </w:rPr>
        <w:t xml:space="preserve">e </w:t>
      </w:r>
      <w:r w:rsidRPr="002648A9">
        <w:rPr>
          <w:rFonts w:ascii="Arial" w:hAnsi="Arial" w:cs="Arial"/>
        </w:rPr>
        <w:t xml:space="preserve">shared challenges </w:t>
      </w:r>
      <w:r>
        <w:rPr>
          <w:rFonts w:ascii="Arial" w:hAnsi="Arial" w:cs="Arial"/>
        </w:rPr>
        <w:t xml:space="preserve">together </w:t>
      </w:r>
    </w:p>
    <w:p w14:paraId="77E9135F" w14:textId="1BE52049" w:rsidR="00E37B08" w:rsidRDefault="00E37B08" w:rsidP="00E37B08">
      <w:pPr>
        <w:pStyle w:val="ListParagraph"/>
        <w:numPr>
          <w:ilvl w:val="0"/>
          <w:numId w:val="11"/>
        </w:numPr>
        <w:snapToGrid w:val="0"/>
        <w:spacing w:before="120" w:after="120"/>
        <w:ind w:left="1077" w:hanging="357"/>
        <w:contextualSpacing w:val="0"/>
        <w:jc w:val="both"/>
        <w:rPr>
          <w:rFonts w:ascii="Arial" w:hAnsi="Arial" w:cs="Arial"/>
        </w:rPr>
      </w:pPr>
      <w:r w:rsidRPr="002648A9">
        <w:rPr>
          <w:rFonts w:ascii="Arial" w:hAnsi="Arial" w:cs="Arial"/>
          <w:b/>
          <w:bCs/>
        </w:rPr>
        <w:t>Flexible</w:t>
      </w:r>
      <w:r w:rsidR="00916C23">
        <w:rPr>
          <w:rFonts w:ascii="Arial" w:hAnsi="Arial" w:cs="Arial"/>
          <w:b/>
          <w:bCs/>
        </w:rPr>
        <w:t xml:space="preserve"> </w:t>
      </w:r>
      <w:r w:rsidRPr="002648A9">
        <w:rPr>
          <w:rFonts w:ascii="Arial" w:hAnsi="Arial" w:cs="Arial"/>
        </w:rPr>
        <w:t>– we will be flexibl</w:t>
      </w:r>
      <w:r>
        <w:rPr>
          <w:rFonts w:ascii="Arial" w:hAnsi="Arial" w:cs="Arial"/>
        </w:rPr>
        <w:t>e and</w:t>
      </w:r>
      <w:r w:rsidRPr="002648A9">
        <w:rPr>
          <w:rFonts w:ascii="Arial" w:hAnsi="Arial" w:cs="Arial"/>
        </w:rPr>
        <w:t xml:space="preserve"> adapti</w:t>
      </w:r>
      <w:r>
        <w:rPr>
          <w:rFonts w:ascii="Arial" w:hAnsi="Arial" w:cs="Arial"/>
        </w:rPr>
        <w:t>ve, evolving</w:t>
      </w:r>
      <w:r w:rsidRPr="002648A9">
        <w:rPr>
          <w:rFonts w:ascii="Arial" w:hAnsi="Arial" w:cs="Arial"/>
        </w:rPr>
        <w:t xml:space="preserve"> </w:t>
      </w:r>
      <w:r w:rsidR="00916C23">
        <w:rPr>
          <w:rFonts w:ascii="Arial" w:hAnsi="Arial" w:cs="Arial"/>
        </w:rPr>
        <w:t xml:space="preserve">our shared work programme </w:t>
      </w:r>
      <w:r w:rsidRPr="002648A9">
        <w:rPr>
          <w:rFonts w:ascii="Arial" w:hAnsi="Arial" w:cs="Arial"/>
        </w:rPr>
        <w:t>as we go</w:t>
      </w:r>
      <w:r>
        <w:rPr>
          <w:rFonts w:ascii="Arial" w:hAnsi="Arial" w:cs="Arial"/>
        </w:rPr>
        <w:t xml:space="preserve"> </w:t>
      </w:r>
      <w:r w:rsidR="004B558C">
        <w:rPr>
          <w:rFonts w:ascii="Arial" w:hAnsi="Arial" w:cs="Arial"/>
        </w:rPr>
        <w:t>and in response to a changing context</w:t>
      </w:r>
    </w:p>
    <w:p w14:paraId="15AA5591" w14:textId="77777777" w:rsidR="00E37B08" w:rsidRDefault="00E37B08" w:rsidP="00532C3D">
      <w:pPr>
        <w:snapToGrid w:val="0"/>
        <w:spacing w:beforeLines="40" w:before="96" w:after="40"/>
        <w:jc w:val="both"/>
        <w:rPr>
          <w:rFonts w:ascii="Arial" w:hAnsi="Arial" w:cs="Arial"/>
          <w:b/>
          <w:bCs/>
          <w:sz w:val="26"/>
          <w:szCs w:val="26"/>
          <w:u w:val="single"/>
        </w:rPr>
      </w:pPr>
    </w:p>
    <w:p w14:paraId="40C3F84B" w14:textId="5EE61C5A" w:rsidR="0072194D" w:rsidRDefault="00020470" w:rsidP="00532C3D">
      <w:pPr>
        <w:snapToGrid w:val="0"/>
        <w:spacing w:beforeLines="40" w:before="96" w:after="40"/>
        <w:jc w:val="both"/>
        <w:rPr>
          <w:rFonts w:ascii="Arial" w:hAnsi="Arial" w:cs="Arial"/>
          <w:b/>
          <w:bCs/>
          <w:sz w:val="26"/>
          <w:szCs w:val="26"/>
          <w:u w:val="single"/>
        </w:rPr>
      </w:pPr>
      <w:r w:rsidRPr="002F2CA3">
        <w:rPr>
          <w:rFonts w:ascii="Arial" w:hAnsi="Arial" w:cs="Arial"/>
          <w:b/>
          <w:bCs/>
          <w:sz w:val="26"/>
          <w:szCs w:val="26"/>
          <w:u w:val="single"/>
        </w:rPr>
        <w:t>Our Shared Work Programme</w:t>
      </w:r>
    </w:p>
    <w:p w14:paraId="3CDA9FE8" w14:textId="2A3560BF" w:rsidR="00916C23" w:rsidRDefault="00916C23" w:rsidP="00532C3D">
      <w:pPr>
        <w:snapToGrid w:val="0"/>
        <w:spacing w:beforeLines="40" w:before="96" w:after="40"/>
        <w:jc w:val="both"/>
        <w:rPr>
          <w:rFonts w:ascii="Arial" w:hAnsi="Arial" w:cs="Arial"/>
          <w:b/>
          <w:bCs/>
          <w:sz w:val="26"/>
          <w:szCs w:val="26"/>
          <w:u w:val="single"/>
        </w:rPr>
      </w:pPr>
    </w:p>
    <w:p w14:paraId="72D49113" w14:textId="023F681B" w:rsidR="004B558C" w:rsidRPr="004B558C" w:rsidRDefault="00916C23" w:rsidP="004B558C">
      <w:pPr>
        <w:pStyle w:val="ListParagraph"/>
        <w:numPr>
          <w:ilvl w:val="0"/>
          <w:numId w:val="3"/>
        </w:numPr>
        <w:snapToGrid w:val="0"/>
        <w:spacing w:beforeLines="40" w:before="96" w:after="40"/>
        <w:jc w:val="both"/>
        <w:rPr>
          <w:rFonts w:ascii="Arial" w:hAnsi="Arial" w:cs="Arial"/>
          <w:b/>
          <w:bCs/>
          <w:sz w:val="26"/>
          <w:szCs w:val="26"/>
          <w:u w:val="single"/>
        </w:rPr>
      </w:pPr>
      <w:r>
        <w:rPr>
          <w:rFonts w:ascii="Arial" w:hAnsi="Arial" w:cs="Arial"/>
        </w:rPr>
        <w:t>Our Provider Collaborative will have a phased work programme which will evolve in scope</w:t>
      </w:r>
      <w:r w:rsidR="00D6083B">
        <w:rPr>
          <w:rFonts w:ascii="Arial" w:hAnsi="Arial" w:cs="Arial"/>
        </w:rPr>
        <w:t xml:space="preserve"> as our strategy and approach to</w:t>
      </w:r>
      <w:r>
        <w:rPr>
          <w:rFonts w:ascii="Arial" w:hAnsi="Arial" w:cs="Arial"/>
        </w:rPr>
        <w:t xml:space="preserve"> joint working develops</w:t>
      </w:r>
      <w:r w:rsidR="004B558C">
        <w:rPr>
          <w:rFonts w:ascii="Arial" w:hAnsi="Arial" w:cs="Arial"/>
        </w:rPr>
        <w:t xml:space="preserve">. </w:t>
      </w:r>
      <w:r w:rsidR="005365A8">
        <w:rPr>
          <w:rFonts w:ascii="Arial" w:hAnsi="Arial" w:cs="Arial"/>
        </w:rPr>
        <w:t xml:space="preserve">This </w:t>
      </w:r>
      <w:r w:rsidR="004B558C">
        <w:rPr>
          <w:rFonts w:ascii="Arial" w:hAnsi="Arial" w:cs="Arial"/>
        </w:rPr>
        <w:t>will also be shaped by wider developments in the Oxfordshire</w:t>
      </w:r>
      <w:r w:rsidR="0065370C">
        <w:rPr>
          <w:rFonts w:ascii="Arial" w:hAnsi="Arial" w:cs="Arial"/>
        </w:rPr>
        <w:t xml:space="preserve"> </w:t>
      </w:r>
      <w:r w:rsidR="0001549A">
        <w:rPr>
          <w:rFonts w:ascii="Arial" w:hAnsi="Arial" w:cs="Arial"/>
        </w:rPr>
        <w:t>P</w:t>
      </w:r>
      <w:r w:rsidR="0065370C">
        <w:rPr>
          <w:rFonts w:ascii="Arial" w:hAnsi="Arial" w:cs="Arial"/>
        </w:rPr>
        <w:t>lace</w:t>
      </w:r>
      <w:r w:rsidR="004B558C">
        <w:rPr>
          <w:rFonts w:ascii="Arial" w:hAnsi="Arial" w:cs="Arial"/>
        </w:rPr>
        <w:t xml:space="preserve"> and the wider Integrated Care System landscape within which we operate. </w:t>
      </w:r>
    </w:p>
    <w:p w14:paraId="31A05ECF" w14:textId="77777777" w:rsidR="004B558C" w:rsidRPr="004B558C" w:rsidRDefault="004B558C" w:rsidP="004B558C">
      <w:pPr>
        <w:pStyle w:val="ListParagraph"/>
        <w:snapToGrid w:val="0"/>
        <w:spacing w:beforeLines="40" w:before="96" w:after="40"/>
        <w:ind w:left="360"/>
        <w:jc w:val="both"/>
        <w:rPr>
          <w:rFonts w:ascii="Arial" w:hAnsi="Arial" w:cs="Arial"/>
          <w:b/>
          <w:bCs/>
          <w:sz w:val="26"/>
          <w:szCs w:val="26"/>
          <w:u w:val="single"/>
        </w:rPr>
      </w:pPr>
    </w:p>
    <w:p w14:paraId="2407E959" w14:textId="194D39FC" w:rsidR="0065370C" w:rsidRDefault="0065370C" w:rsidP="0065370C">
      <w:pPr>
        <w:pStyle w:val="ListParagraph"/>
        <w:numPr>
          <w:ilvl w:val="0"/>
          <w:numId w:val="3"/>
        </w:numPr>
        <w:snapToGrid w:val="0"/>
        <w:spacing w:beforeLines="40" w:before="96" w:after="40"/>
        <w:jc w:val="both"/>
        <w:rPr>
          <w:rFonts w:ascii="Arial" w:hAnsi="Arial" w:cs="Arial"/>
        </w:rPr>
      </w:pPr>
      <w:r>
        <w:rPr>
          <w:rFonts w:ascii="Arial" w:hAnsi="Arial" w:cs="Arial"/>
        </w:rPr>
        <w:t>We will organise the initial phase of our collaborative around a set of shared priorities and programmes</w:t>
      </w:r>
      <w:r w:rsidR="005922B0">
        <w:rPr>
          <w:rFonts w:ascii="Arial" w:hAnsi="Arial" w:cs="Arial"/>
        </w:rPr>
        <w:t>,</w:t>
      </w:r>
      <w:r>
        <w:rPr>
          <w:rFonts w:ascii="Arial" w:hAnsi="Arial" w:cs="Arial"/>
        </w:rPr>
        <w:t xml:space="preserve"> where coming together</w:t>
      </w:r>
      <w:r w:rsidR="005365A8">
        <w:rPr>
          <w:rFonts w:ascii="Arial" w:hAnsi="Arial" w:cs="Arial"/>
        </w:rPr>
        <w:t xml:space="preserve"> </w:t>
      </w:r>
      <w:r>
        <w:rPr>
          <w:rFonts w:ascii="Arial" w:hAnsi="Arial" w:cs="Arial"/>
        </w:rPr>
        <w:t>will help us remove barriers to integrated care and deliver greater value</w:t>
      </w:r>
      <w:r w:rsidR="00AC55AD">
        <w:rPr>
          <w:rFonts w:ascii="Arial" w:hAnsi="Arial" w:cs="Arial"/>
        </w:rPr>
        <w:t xml:space="preserve">. </w:t>
      </w:r>
      <w:r>
        <w:rPr>
          <w:rFonts w:ascii="Arial" w:hAnsi="Arial" w:cs="Arial"/>
        </w:rPr>
        <w:t>These are:</w:t>
      </w:r>
    </w:p>
    <w:p w14:paraId="1E0F3663" w14:textId="77777777" w:rsidR="005922B0" w:rsidRPr="005922B0" w:rsidRDefault="005922B0" w:rsidP="005922B0">
      <w:pPr>
        <w:pStyle w:val="ListParagraph"/>
        <w:rPr>
          <w:rFonts w:ascii="Arial" w:hAnsi="Arial" w:cs="Arial"/>
        </w:rPr>
      </w:pPr>
    </w:p>
    <w:p w14:paraId="37527FE0" w14:textId="3FFCB05B" w:rsidR="00AC55AD" w:rsidRPr="00AC55AD" w:rsidRDefault="005922B0" w:rsidP="00AC55AD">
      <w:pPr>
        <w:pStyle w:val="ListParagraph"/>
        <w:numPr>
          <w:ilvl w:val="0"/>
          <w:numId w:val="43"/>
        </w:numPr>
        <w:snapToGrid w:val="0"/>
        <w:spacing w:before="120" w:after="40"/>
        <w:ind w:left="714" w:hanging="357"/>
        <w:contextualSpacing w:val="0"/>
        <w:jc w:val="both"/>
        <w:rPr>
          <w:rFonts w:ascii="Arial" w:hAnsi="Arial" w:cs="Arial"/>
        </w:rPr>
      </w:pPr>
      <w:r w:rsidRPr="005922B0">
        <w:rPr>
          <w:rFonts w:ascii="Arial" w:hAnsi="Arial" w:cs="Arial"/>
          <w:b/>
          <w:bCs/>
        </w:rPr>
        <w:t>Urgent Care</w:t>
      </w:r>
      <w:r w:rsidRPr="005922B0">
        <w:rPr>
          <w:rFonts w:ascii="Arial" w:hAnsi="Arial" w:cs="Arial"/>
        </w:rPr>
        <w:t xml:space="preserve"> – Jointly improving access to </w:t>
      </w:r>
      <w:r w:rsidR="005365A8">
        <w:rPr>
          <w:rFonts w:ascii="Arial" w:hAnsi="Arial" w:cs="Arial"/>
        </w:rPr>
        <w:t xml:space="preserve">the right </w:t>
      </w:r>
      <w:r w:rsidRPr="005922B0">
        <w:rPr>
          <w:rFonts w:ascii="Arial" w:hAnsi="Arial" w:cs="Arial"/>
        </w:rPr>
        <w:t xml:space="preserve">urgent community care, </w:t>
      </w:r>
      <w:r w:rsidR="005365A8">
        <w:rPr>
          <w:rFonts w:ascii="Arial" w:hAnsi="Arial" w:cs="Arial"/>
        </w:rPr>
        <w:t>at the right time and in the right setting</w:t>
      </w:r>
      <w:r w:rsidRPr="005922B0">
        <w:rPr>
          <w:rFonts w:ascii="Arial" w:hAnsi="Arial" w:cs="Arial"/>
        </w:rPr>
        <w:t xml:space="preserve">, focusing initially on Urgent Community Response and Same Day Emergency Care pathways. </w:t>
      </w:r>
    </w:p>
    <w:p w14:paraId="58DFF224" w14:textId="46D54E03" w:rsidR="005922B0" w:rsidRPr="005922B0" w:rsidRDefault="005922B0" w:rsidP="005922B0">
      <w:pPr>
        <w:pStyle w:val="ListParagraph"/>
        <w:numPr>
          <w:ilvl w:val="0"/>
          <w:numId w:val="43"/>
        </w:numPr>
        <w:snapToGrid w:val="0"/>
        <w:spacing w:before="120" w:after="40"/>
        <w:ind w:left="714" w:hanging="357"/>
        <w:contextualSpacing w:val="0"/>
        <w:jc w:val="both"/>
        <w:rPr>
          <w:rFonts w:ascii="Arial" w:hAnsi="Arial" w:cs="Arial"/>
        </w:rPr>
      </w:pPr>
      <w:r w:rsidRPr="005922B0">
        <w:rPr>
          <w:rFonts w:ascii="Arial" w:hAnsi="Arial" w:cs="Arial"/>
          <w:b/>
          <w:bCs/>
        </w:rPr>
        <w:t>End of Life</w:t>
      </w:r>
      <w:r w:rsidRPr="005922B0">
        <w:rPr>
          <w:rFonts w:ascii="Arial" w:hAnsi="Arial" w:cs="Arial"/>
        </w:rPr>
        <w:t xml:space="preserve"> – Improving access to personalised palliative and end of life care through Rapid Implementation of Palliative and End of Life Care </w:t>
      </w:r>
    </w:p>
    <w:p w14:paraId="0A2C1FE9" w14:textId="2A7584B6" w:rsidR="005922B0" w:rsidRPr="00AC55AD" w:rsidRDefault="005922B0" w:rsidP="00216A96">
      <w:pPr>
        <w:pStyle w:val="ListParagraph"/>
        <w:numPr>
          <w:ilvl w:val="0"/>
          <w:numId w:val="43"/>
        </w:numPr>
        <w:snapToGrid w:val="0"/>
        <w:spacing w:before="120" w:after="40"/>
        <w:ind w:left="714" w:hanging="357"/>
        <w:contextualSpacing w:val="0"/>
        <w:jc w:val="both"/>
        <w:rPr>
          <w:rFonts w:ascii="Calibri" w:hAnsi="Calibri" w:cs="Calibri"/>
          <w:color w:val="000000"/>
          <w:sz w:val="22"/>
          <w:szCs w:val="22"/>
        </w:rPr>
      </w:pPr>
      <w:r w:rsidRPr="00AC55AD">
        <w:rPr>
          <w:rFonts w:ascii="Arial" w:hAnsi="Arial" w:cs="Arial"/>
          <w:b/>
          <w:bCs/>
          <w:color w:val="000000"/>
        </w:rPr>
        <w:t>Shared Pathways</w:t>
      </w:r>
      <w:r w:rsidRPr="00AC55AD">
        <w:rPr>
          <w:rFonts w:ascii="Arial" w:hAnsi="Arial" w:cs="Arial"/>
          <w:color w:val="000000"/>
        </w:rPr>
        <w:t xml:space="preserve"> – Improve the shared organisation and delivery of </w:t>
      </w:r>
      <w:r w:rsidR="00EE638D" w:rsidRPr="00AC55AD">
        <w:rPr>
          <w:rFonts w:ascii="Arial" w:hAnsi="Arial" w:cs="Arial"/>
          <w:color w:val="000000"/>
        </w:rPr>
        <w:t>shared pathways</w:t>
      </w:r>
      <w:r w:rsidRPr="00AC55AD">
        <w:rPr>
          <w:rFonts w:ascii="Arial" w:hAnsi="Arial" w:cs="Arial"/>
          <w:color w:val="000000"/>
        </w:rPr>
        <w:t>, initially working on Podiatry</w:t>
      </w:r>
      <w:r w:rsidR="00AC55AD">
        <w:rPr>
          <w:rFonts w:ascii="Arial" w:hAnsi="Arial" w:cs="Arial"/>
          <w:color w:val="000000"/>
        </w:rPr>
        <w:t xml:space="preserve">. </w:t>
      </w:r>
    </w:p>
    <w:p w14:paraId="7970F994" w14:textId="77777777" w:rsidR="00AC55AD" w:rsidRPr="00AC55AD" w:rsidRDefault="00AC55AD" w:rsidP="00AC55AD">
      <w:pPr>
        <w:pStyle w:val="ListParagraph"/>
        <w:snapToGrid w:val="0"/>
        <w:spacing w:before="120" w:after="40"/>
        <w:ind w:left="714"/>
        <w:contextualSpacing w:val="0"/>
        <w:jc w:val="both"/>
        <w:rPr>
          <w:rFonts w:ascii="Calibri" w:hAnsi="Calibri" w:cs="Calibri"/>
          <w:color w:val="000000"/>
          <w:sz w:val="22"/>
          <w:szCs w:val="22"/>
        </w:rPr>
      </w:pPr>
    </w:p>
    <w:p w14:paraId="5FE0C766" w14:textId="11C2925A" w:rsidR="00671154" w:rsidRDefault="00EE638D" w:rsidP="00671154">
      <w:pPr>
        <w:pStyle w:val="ListParagraph"/>
        <w:numPr>
          <w:ilvl w:val="0"/>
          <w:numId w:val="3"/>
        </w:numPr>
        <w:rPr>
          <w:rFonts w:ascii="Arial" w:hAnsi="Arial" w:cs="Arial"/>
          <w:color w:val="000000"/>
        </w:rPr>
      </w:pPr>
      <w:r w:rsidRPr="00EE638D">
        <w:rPr>
          <w:rFonts w:ascii="Arial" w:hAnsi="Arial" w:cs="Arial"/>
          <w:color w:val="000000"/>
        </w:rPr>
        <w:t>These</w:t>
      </w:r>
      <w:r w:rsidR="003D588E">
        <w:rPr>
          <w:rFonts w:ascii="Arial" w:hAnsi="Arial" w:cs="Arial"/>
          <w:color w:val="000000"/>
        </w:rPr>
        <w:t xml:space="preserve"> </w:t>
      </w:r>
      <w:r w:rsidR="00671154">
        <w:rPr>
          <w:rFonts w:ascii="Arial" w:hAnsi="Arial" w:cs="Arial"/>
          <w:color w:val="000000"/>
        </w:rPr>
        <w:t xml:space="preserve">pathways </w:t>
      </w:r>
      <w:r w:rsidR="00671154" w:rsidRPr="00EE638D">
        <w:rPr>
          <w:rFonts w:ascii="Arial" w:hAnsi="Arial" w:cs="Arial"/>
          <w:color w:val="000000"/>
        </w:rPr>
        <w:t>will</w:t>
      </w:r>
      <w:r w:rsidRPr="00EE638D">
        <w:rPr>
          <w:rFonts w:ascii="Arial" w:hAnsi="Arial" w:cs="Arial"/>
          <w:color w:val="000000"/>
        </w:rPr>
        <w:t xml:space="preserve"> be delivered by ensuring that we are making the best use of our people and expertise, including</w:t>
      </w:r>
      <w:r w:rsidR="005365A8">
        <w:rPr>
          <w:rFonts w:ascii="Arial" w:hAnsi="Arial" w:cs="Arial"/>
          <w:color w:val="000000"/>
        </w:rPr>
        <w:t xml:space="preserve"> by</w:t>
      </w:r>
      <w:r w:rsidRPr="00EE638D">
        <w:rPr>
          <w:rFonts w:ascii="Arial" w:hAnsi="Arial" w:cs="Arial"/>
          <w:color w:val="000000"/>
        </w:rPr>
        <w:t xml:space="preserve"> taking forwards the skills and experience we have within our HART</w:t>
      </w:r>
      <w:r w:rsidR="0001549A">
        <w:rPr>
          <w:rFonts w:ascii="Arial" w:hAnsi="Arial" w:cs="Arial"/>
          <w:color w:val="000000"/>
        </w:rPr>
        <w:t xml:space="preserve"> (Home Assessment and Reablement)</w:t>
      </w:r>
      <w:r w:rsidRPr="00EE638D">
        <w:rPr>
          <w:rFonts w:ascii="Arial" w:hAnsi="Arial" w:cs="Arial"/>
          <w:color w:val="000000"/>
        </w:rPr>
        <w:t xml:space="preserve"> team</w:t>
      </w:r>
      <w:r w:rsidR="003D588E">
        <w:rPr>
          <w:rFonts w:ascii="Arial" w:hAnsi="Arial" w:cs="Arial"/>
          <w:color w:val="000000"/>
        </w:rPr>
        <w:t xml:space="preserve"> as they </w:t>
      </w:r>
      <w:r w:rsidR="003D588E">
        <w:rPr>
          <w:rFonts w:ascii="Arial" w:hAnsi="Arial" w:cs="Arial"/>
          <w:color w:val="000000"/>
        </w:rPr>
        <w:lastRenderedPageBreak/>
        <w:t>transi</w:t>
      </w:r>
      <w:r w:rsidR="00671154">
        <w:rPr>
          <w:rFonts w:ascii="Arial" w:hAnsi="Arial" w:cs="Arial"/>
          <w:color w:val="000000"/>
        </w:rPr>
        <w:t>tion</w:t>
      </w:r>
      <w:r w:rsidR="003D588E">
        <w:rPr>
          <w:rFonts w:ascii="Arial" w:hAnsi="Arial" w:cs="Arial"/>
          <w:color w:val="000000"/>
        </w:rPr>
        <w:t xml:space="preserve"> out of the O</w:t>
      </w:r>
      <w:r w:rsidR="00671154">
        <w:rPr>
          <w:rFonts w:ascii="Arial" w:hAnsi="Arial" w:cs="Arial"/>
          <w:color w:val="000000"/>
        </w:rPr>
        <w:t xml:space="preserve">xfordshire </w:t>
      </w:r>
      <w:r w:rsidR="003D588E">
        <w:rPr>
          <w:rFonts w:ascii="Arial" w:hAnsi="Arial" w:cs="Arial"/>
          <w:color w:val="000000"/>
        </w:rPr>
        <w:t>C</w:t>
      </w:r>
      <w:r w:rsidR="00671154">
        <w:rPr>
          <w:rFonts w:ascii="Arial" w:hAnsi="Arial" w:cs="Arial"/>
          <w:color w:val="000000"/>
        </w:rPr>
        <w:t>ounty Council</w:t>
      </w:r>
      <w:r w:rsidR="003D588E">
        <w:rPr>
          <w:rFonts w:ascii="Arial" w:hAnsi="Arial" w:cs="Arial"/>
          <w:color w:val="000000"/>
        </w:rPr>
        <w:t xml:space="preserve"> </w:t>
      </w:r>
      <w:r w:rsidR="00671154">
        <w:rPr>
          <w:rFonts w:ascii="Arial" w:hAnsi="Arial" w:cs="Arial"/>
          <w:color w:val="000000"/>
        </w:rPr>
        <w:t>commissioned</w:t>
      </w:r>
      <w:r w:rsidR="003D588E">
        <w:rPr>
          <w:rFonts w:ascii="Arial" w:hAnsi="Arial" w:cs="Arial"/>
          <w:color w:val="000000"/>
        </w:rPr>
        <w:t xml:space="preserve"> contract to</w:t>
      </w:r>
      <w:r w:rsidRPr="00EE638D">
        <w:rPr>
          <w:rFonts w:ascii="Arial" w:hAnsi="Arial" w:cs="Arial"/>
          <w:color w:val="000000"/>
        </w:rPr>
        <w:t xml:space="preserve"> </w:t>
      </w:r>
      <w:r>
        <w:rPr>
          <w:rFonts w:ascii="Arial" w:hAnsi="Arial" w:cs="Arial"/>
          <w:color w:val="000000"/>
        </w:rPr>
        <w:t>creat</w:t>
      </w:r>
      <w:r w:rsidR="003D588E">
        <w:rPr>
          <w:rFonts w:ascii="Arial" w:hAnsi="Arial" w:cs="Arial"/>
          <w:color w:val="000000"/>
        </w:rPr>
        <w:t>e</w:t>
      </w:r>
      <w:r>
        <w:rPr>
          <w:rFonts w:ascii="Arial" w:hAnsi="Arial" w:cs="Arial"/>
          <w:color w:val="000000"/>
        </w:rPr>
        <w:t xml:space="preserve"> </w:t>
      </w:r>
      <w:r w:rsidR="00671154">
        <w:rPr>
          <w:rFonts w:ascii="Arial" w:hAnsi="Arial" w:cs="Arial"/>
          <w:color w:val="000000" w:themeColor="text1"/>
        </w:rPr>
        <w:t>jointly led teams</w:t>
      </w:r>
      <w:r w:rsidRPr="00022CE4">
        <w:rPr>
          <w:rFonts w:ascii="Arial" w:hAnsi="Arial" w:cs="Arial"/>
          <w:color w:val="FF0000"/>
        </w:rPr>
        <w:t xml:space="preserve"> </w:t>
      </w:r>
      <w:r>
        <w:rPr>
          <w:rFonts w:ascii="Arial" w:hAnsi="Arial" w:cs="Arial"/>
          <w:color w:val="000000"/>
        </w:rPr>
        <w:t>to deliver</w:t>
      </w:r>
      <w:r w:rsidR="003D588E">
        <w:rPr>
          <w:rFonts w:ascii="Arial" w:hAnsi="Arial" w:cs="Arial"/>
          <w:color w:val="000000"/>
        </w:rPr>
        <w:t xml:space="preserve"> improved patient outcomes</w:t>
      </w:r>
      <w:r w:rsidR="00671154">
        <w:rPr>
          <w:rFonts w:ascii="Arial" w:hAnsi="Arial" w:cs="Arial"/>
          <w:color w:val="000000"/>
        </w:rPr>
        <w:t xml:space="preserve">. </w:t>
      </w:r>
    </w:p>
    <w:p w14:paraId="6102EAE6" w14:textId="77777777" w:rsidR="00671154" w:rsidRDefault="00671154" w:rsidP="00671154">
      <w:pPr>
        <w:pStyle w:val="ListParagraph"/>
        <w:ind w:left="360"/>
        <w:rPr>
          <w:rFonts w:ascii="Arial" w:hAnsi="Arial" w:cs="Arial"/>
          <w:color w:val="000000"/>
        </w:rPr>
      </w:pPr>
    </w:p>
    <w:p w14:paraId="62986A48" w14:textId="0E243607" w:rsidR="00671154" w:rsidRPr="00671154" w:rsidRDefault="00671154" w:rsidP="00671154">
      <w:pPr>
        <w:pStyle w:val="ListParagraph"/>
        <w:numPr>
          <w:ilvl w:val="0"/>
          <w:numId w:val="3"/>
        </w:numPr>
        <w:rPr>
          <w:rFonts w:ascii="Arial" w:hAnsi="Arial" w:cs="Arial"/>
          <w:color w:val="000000"/>
        </w:rPr>
      </w:pPr>
      <w:r>
        <w:rPr>
          <w:rFonts w:ascii="Arial" w:hAnsi="Arial" w:cs="Arial"/>
        </w:rPr>
        <w:t>Within these initiatives, we will also utilise opportunities to innovate how we work to deliver greater value and join up care, such as through deploying virtual wards.</w:t>
      </w:r>
    </w:p>
    <w:p w14:paraId="546E47F9" w14:textId="77777777" w:rsidR="00EE638D" w:rsidRPr="00EE638D" w:rsidRDefault="00EE638D" w:rsidP="00EE638D">
      <w:pPr>
        <w:pStyle w:val="ListParagraph"/>
        <w:ind w:left="360"/>
        <w:rPr>
          <w:rFonts w:ascii="Arial" w:hAnsi="Arial" w:cs="Arial"/>
          <w:color w:val="000000"/>
        </w:rPr>
      </w:pPr>
    </w:p>
    <w:p w14:paraId="2CE5204D" w14:textId="5A985932" w:rsidR="00171062" w:rsidRPr="00EE638D" w:rsidRDefault="00171062" w:rsidP="00532C3D">
      <w:pPr>
        <w:pStyle w:val="ListParagraph"/>
        <w:numPr>
          <w:ilvl w:val="0"/>
          <w:numId w:val="3"/>
        </w:numPr>
        <w:snapToGrid w:val="0"/>
        <w:spacing w:beforeLines="40" w:before="96" w:after="40"/>
        <w:jc w:val="both"/>
        <w:rPr>
          <w:rFonts w:ascii="Arial" w:hAnsi="Arial" w:cs="Arial"/>
          <w:color w:val="000000" w:themeColor="text1"/>
        </w:rPr>
      </w:pPr>
      <w:r w:rsidRPr="00671154">
        <w:rPr>
          <w:rFonts w:ascii="Arial" w:hAnsi="Arial" w:cs="Arial"/>
          <w:color w:val="000000" w:themeColor="text1"/>
        </w:rPr>
        <w:t>The</w:t>
      </w:r>
      <w:r w:rsidR="00A13C58" w:rsidRPr="00671154">
        <w:rPr>
          <w:rFonts w:ascii="Arial" w:hAnsi="Arial" w:cs="Arial"/>
          <w:color w:val="000000" w:themeColor="text1"/>
        </w:rPr>
        <w:t>se</w:t>
      </w:r>
      <w:r w:rsidRPr="00671154">
        <w:rPr>
          <w:rFonts w:ascii="Arial" w:hAnsi="Arial" w:cs="Arial"/>
          <w:color w:val="000000" w:themeColor="text1"/>
        </w:rPr>
        <w:t xml:space="preserve"> </w:t>
      </w:r>
      <w:r w:rsidR="00022CE4" w:rsidRPr="00671154">
        <w:rPr>
          <w:rFonts w:ascii="Arial" w:hAnsi="Arial" w:cs="Arial"/>
          <w:color w:val="000000" w:themeColor="text1"/>
        </w:rPr>
        <w:t xml:space="preserve">workstreams </w:t>
      </w:r>
      <w:r w:rsidRPr="00671154">
        <w:rPr>
          <w:rFonts w:ascii="Arial" w:hAnsi="Arial" w:cs="Arial"/>
          <w:color w:val="000000" w:themeColor="text1"/>
        </w:rPr>
        <w:t xml:space="preserve">will </w:t>
      </w:r>
      <w:r w:rsidRPr="00EE638D">
        <w:rPr>
          <w:rFonts w:ascii="Arial" w:hAnsi="Arial" w:cs="Arial"/>
          <w:color w:val="000000" w:themeColor="text1"/>
        </w:rPr>
        <w:t xml:space="preserve">be delivered by a number of </w:t>
      </w:r>
      <w:r w:rsidR="005D0296" w:rsidRPr="00EE638D">
        <w:rPr>
          <w:rFonts w:ascii="Arial" w:hAnsi="Arial" w:cs="Arial"/>
          <w:color w:val="000000" w:themeColor="text1"/>
        </w:rPr>
        <w:t>s</w:t>
      </w:r>
      <w:r w:rsidRPr="00EE638D">
        <w:rPr>
          <w:rFonts w:ascii="Arial" w:hAnsi="Arial" w:cs="Arial"/>
          <w:color w:val="000000" w:themeColor="text1"/>
        </w:rPr>
        <w:t xml:space="preserve">teering </w:t>
      </w:r>
      <w:r w:rsidR="005D0296" w:rsidRPr="00EE638D">
        <w:rPr>
          <w:rFonts w:ascii="Arial" w:hAnsi="Arial" w:cs="Arial"/>
          <w:color w:val="000000" w:themeColor="text1"/>
        </w:rPr>
        <w:t>g</w:t>
      </w:r>
      <w:r w:rsidRPr="00EE638D">
        <w:rPr>
          <w:rFonts w:ascii="Arial" w:hAnsi="Arial" w:cs="Arial"/>
          <w:color w:val="000000" w:themeColor="text1"/>
        </w:rPr>
        <w:t xml:space="preserve">roups </w:t>
      </w:r>
      <w:r w:rsidR="00E43CD0" w:rsidRPr="00EE638D">
        <w:rPr>
          <w:rFonts w:ascii="Arial" w:hAnsi="Arial" w:cs="Arial"/>
          <w:color w:val="000000" w:themeColor="text1"/>
        </w:rPr>
        <w:t>which</w:t>
      </w:r>
      <w:r w:rsidRPr="00EE638D">
        <w:rPr>
          <w:rFonts w:ascii="Arial" w:hAnsi="Arial" w:cs="Arial"/>
          <w:color w:val="000000" w:themeColor="text1"/>
        </w:rPr>
        <w:t xml:space="preserve"> will report into </w:t>
      </w:r>
      <w:r w:rsidR="0026378F" w:rsidRPr="00EE638D">
        <w:rPr>
          <w:rFonts w:ascii="Arial" w:hAnsi="Arial" w:cs="Arial"/>
          <w:color w:val="000000" w:themeColor="text1"/>
        </w:rPr>
        <w:t>a</w:t>
      </w:r>
      <w:r w:rsidRPr="00EE638D">
        <w:rPr>
          <w:rFonts w:ascii="Arial" w:hAnsi="Arial" w:cs="Arial"/>
          <w:color w:val="000000" w:themeColor="text1"/>
        </w:rPr>
        <w:t xml:space="preserve"> Programme Oversight </w:t>
      </w:r>
      <w:r w:rsidR="009A50B5" w:rsidRPr="00EE638D">
        <w:rPr>
          <w:rFonts w:ascii="Arial" w:hAnsi="Arial" w:cs="Arial"/>
          <w:color w:val="000000" w:themeColor="text1"/>
        </w:rPr>
        <w:t>G</w:t>
      </w:r>
      <w:r w:rsidRPr="00EE638D">
        <w:rPr>
          <w:rFonts w:ascii="Arial" w:hAnsi="Arial" w:cs="Arial"/>
          <w:color w:val="000000" w:themeColor="text1"/>
        </w:rPr>
        <w:t>roup</w:t>
      </w:r>
      <w:r w:rsidR="005D0296" w:rsidRPr="00EE638D">
        <w:rPr>
          <w:rFonts w:ascii="Arial" w:hAnsi="Arial" w:cs="Arial"/>
          <w:color w:val="000000" w:themeColor="text1"/>
        </w:rPr>
        <w:t xml:space="preserve"> as</w:t>
      </w:r>
      <w:r w:rsidRPr="00EE638D">
        <w:rPr>
          <w:rFonts w:ascii="Arial" w:hAnsi="Arial" w:cs="Arial"/>
          <w:color w:val="000000" w:themeColor="text1"/>
        </w:rPr>
        <w:t xml:space="preserve"> set out </w:t>
      </w:r>
      <w:r w:rsidR="009A50B5" w:rsidRPr="00EE638D">
        <w:rPr>
          <w:rFonts w:ascii="Arial" w:hAnsi="Arial" w:cs="Arial"/>
          <w:color w:val="000000" w:themeColor="text1"/>
        </w:rPr>
        <w:t>in Part 2 – Key Enablers</w:t>
      </w:r>
      <w:r w:rsidRPr="00EE638D">
        <w:rPr>
          <w:rFonts w:ascii="Arial" w:hAnsi="Arial" w:cs="Arial"/>
          <w:color w:val="000000" w:themeColor="text1"/>
        </w:rPr>
        <w:t>.</w:t>
      </w:r>
      <w:r w:rsidR="00037B65" w:rsidRPr="00EE638D">
        <w:rPr>
          <w:rFonts w:ascii="Arial" w:hAnsi="Arial" w:cs="Arial"/>
          <w:color w:val="000000" w:themeColor="text1"/>
        </w:rPr>
        <w:t xml:space="preserve"> </w:t>
      </w:r>
      <w:r w:rsidRPr="00EE638D">
        <w:rPr>
          <w:rFonts w:ascii="Arial" w:hAnsi="Arial" w:cs="Arial"/>
          <w:color w:val="000000" w:themeColor="text1"/>
        </w:rPr>
        <w:t xml:space="preserve">The delivery of the wider collaborative will be supported by pooling relevant programme resource across the two organisations and running a joint </w:t>
      </w:r>
      <w:r w:rsidR="009A50B5" w:rsidRPr="00EE638D">
        <w:rPr>
          <w:rFonts w:ascii="Arial" w:hAnsi="Arial" w:cs="Arial"/>
          <w:color w:val="000000" w:themeColor="text1"/>
        </w:rPr>
        <w:t>p</w:t>
      </w:r>
      <w:r w:rsidRPr="00EE638D">
        <w:rPr>
          <w:rFonts w:ascii="Arial" w:hAnsi="Arial" w:cs="Arial"/>
          <w:color w:val="000000" w:themeColor="text1"/>
        </w:rPr>
        <w:t xml:space="preserve">rogramme </w:t>
      </w:r>
      <w:r w:rsidR="009A50B5" w:rsidRPr="00EE638D">
        <w:rPr>
          <w:rFonts w:ascii="Arial" w:hAnsi="Arial" w:cs="Arial"/>
          <w:color w:val="000000" w:themeColor="text1"/>
        </w:rPr>
        <w:t>m</w:t>
      </w:r>
      <w:r w:rsidRPr="00EE638D">
        <w:rPr>
          <w:rFonts w:ascii="Arial" w:hAnsi="Arial" w:cs="Arial"/>
          <w:color w:val="000000" w:themeColor="text1"/>
        </w:rPr>
        <w:t xml:space="preserve">anagement </w:t>
      </w:r>
      <w:r w:rsidR="009A50B5" w:rsidRPr="00EE638D">
        <w:rPr>
          <w:rFonts w:ascii="Arial" w:hAnsi="Arial" w:cs="Arial"/>
          <w:color w:val="000000" w:themeColor="text1"/>
        </w:rPr>
        <w:t>o</w:t>
      </w:r>
      <w:r w:rsidRPr="00EE638D">
        <w:rPr>
          <w:rFonts w:ascii="Arial" w:hAnsi="Arial" w:cs="Arial"/>
          <w:color w:val="000000" w:themeColor="text1"/>
        </w:rPr>
        <w:t>ffice (PMO) to oversee delivery</w:t>
      </w:r>
      <w:r w:rsidR="005D0296" w:rsidRPr="00EE638D">
        <w:rPr>
          <w:rFonts w:ascii="Arial" w:hAnsi="Arial" w:cs="Arial"/>
          <w:color w:val="000000" w:themeColor="text1"/>
        </w:rPr>
        <w:t>.</w:t>
      </w:r>
    </w:p>
    <w:p w14:paraId="45AEBD46" w14:textId="3EB24386" w:rsidR="00354E65" w:rsidRDefault="00354E65" w:rsidP="00532C3D">
      <w:pPr>
        <w:snapToGrid w:val="0"/>
        <w:spacing w:beforeLines="40" w:before="96" w:after="40"/>
        <w:jc w:val="both"/>
        <w:rPr>
          <w:rFonts w:ascii="Arial" w:hAnsi="Arial" w:cs="Arial"/>
        </w:rPr>
      </w:pPr>
    </w:p>
    <w:p w14:paraId="57D54BA9" w14:textId="77777777" w:rsidR="005365A8" w:rsidRPr="008D2881" w:rsidRDefault="005365A8" w:rsidP="00532C3D">
      <w:pPr>
        <w:snapToGrid w:val="0"/>
        <w:spacing w:beforeLines="40" w:before="96" w:after="40"/>
        <w:jc w:val="both"/>
        <w:rPr>
          <w:rFonts w:ascii="Arial" w:hAnsi="Arial" w:cs="Arial"/>
        </w:rPr>
      </w:pPr>
    </w:p>
    <w:p w14:paraId="6398B5D6" w14:textId="77777777" w:rsidR="00A11416" w:rsidRPr="008D2881" w:rsidRDefault="00A11416" w:rsidP="00532C3D">
      <w:pPr>
        <w:pBdr>
          <w:bottom w:val="single" w:sz="6" w:space="1" w:color="auto"/>
        </w:pBdr>
        <w:jc w:val="both"/>
        <w:rPr>
          <w:rFonts w:ascii="Arial" w:hAnsi="Arial" w:cs="Arial"/>
          <w:b/>
          <w:bCs/>
          <w:sz w:val="28"/>
          <w:szCs w:val="28"/>
        </w:rPr>
      </w:pPr>
    </w:p>
    <w:p w14:paraId="749CB433" w14:textId="3ABA02E3" w:rsidR="00354E65" w:rsidRPr="008D2881" w:rsidRDefault="00354E65" w:rsidP="00532C3D">
      <w:pPr>
        <w:snapToGrid w:val="0"/>
        <w:spacing w:beforeLines="40" w:before="96" w:after="40"/>
        <w:jc w:val="both"/>
        <w:rPr>
          <w:rFonts w:ascii="Arial" w:hAnsi="Arial" w:cs="Arial"/>
        </w:rPr>
      </w:pPr>
    </w:p>
    <w:p w14:paraId="316558EA" w14:textId="1810D344" w:rsidR="00B7518C" w:rsidRPr="008D2881" w:rsidRDefault="00A53901" w:rsidP="00532C3D">
      <w:pPr>
        <w:snapToGrid w:val="0"/>
        <w:spacing w:beforeLines="40" w:before="96" w:after="40"/>
        <w:jc w:val="center"/>
        <w:rPr>
          <w:rFonts w:ascii="Arial" w:hAnsi="Arial" w:cs="Arial"/>
          <w:b/>
          <w:bCs/>
          <w:sz w:val="28"/>
          <w:szCs w:val="28"/>
        </w:rPr>
      </w:pPr>
      <w:r w:rsidRPr="008D2881">
        <w:rPr>
          <w:rFonts w:ascii="Arial" w:hAnsi="Arial" w:cs="Arial"/>
          <w:b/>
          <w:bCs/>
          <w:sz w:val="28"/>
          <w:szCs w:val="28"/>
        </w:rPr>
        <w:t>Part 2: Key Enablers</w:t>
      </w:r>
    </w:p>
    <w:p w14:paraId="469943C6" w14:textId="77777777" w:rsidR="00287CD3" w:rsidRPr="008D2881" w:rsidRDefault="00287CD3" w:rsidP="00532C3D">
      <w:pPr>
        <w:snapToGrid w:val="0"/>
        <w:spacing w:beforeLines="40" w:before="96" w:after="40"/>
        <w:jc w:val="both"/>
        <w:rPr>
          <w:rFonts w:ascii="Arial" w:hAnsi="Arial" w:cs="Arial"/>
          <w:b/>
          <w:bCs/>
          <w:color w:val="000000" w:themeColor="text1"/>
          <w:sz w:val="27"/>
          <w:szCs w:val="27"/>
        </w:rPr>
      </w:pPr>
    </w:p>
    <w:p w14:paraId="1011C739" w14:textId="2D3E6409" w:rsidR="00A53901" w:rsidRPr="008D2881" w:rsidRDefault="00A53901" w:rsidP="00532C3D">
      <w:pPr>
        <w:snapToGrid w:val="0"/>
        <w:spacing w:beforeLines="40" w:before="96" w:after="240"/>
        <w:jc w:val="both"/>
        <w:rPr>
          <w:rFonts w:ascii="Arial" w:hAnsi="Arial" w:cs="Arial"/>
          <w:b/>
          <w:bCs/>
          <w:color w:val="000000" w:themeColor="text1"/>
          <w:sz w:val="26"/>
          <w:szCs w:val="26"/>
          <w:u w:val="single"/>
        </w:rPr>
      </w:pPr>
      <w:r w:rsidRPr="008D2881">
        <w:rPr>
          <w:rFonts w:ascii="Arial" w:hAnsi="Arial" w:cs="Arial"/>
          <w:b/>
          <w:bCs/>
          <w:color w:val="000000" w:themeColor="text1"/>
          <w:sz w:val="26"/>
          <w:szCs w:val="26"/>
          <w:u w:val="single"/>
        </w:rPr>
        <w:t xml:space="preserve">Governance </w:t>
      </w:r>
    </w:p>
    <w:p w14:paraId="2B6540D6" w14:textId="7DFA3244" w:rsidR="00F83A45" w:rsidRPr="008D2881" w:rsidRDefault="00F37D61" w:rsidP="00532C3D">
      <w:pPr>
        <w:pStyle w:val="ListParagraph"/>
        <w:numPr>
          <w:ilvl w:val="0"/>
          <w:numId w:val="3"/>
        </w:numPr>
        <w:snapToGrid w:val="0"/>
        <w:spacing w:beforeLines="40" w:before="96" w:after="120"/>
        <w:ind w:left="357" w:hanging="357"/>
        <w:contextualSpacing w:val="0"/>
        <w:jc w:val="both"/>
        <w:rPr>
          <w:rFonts w:ascii="Arial" w:hAnsi="Arial" w:cs="Arial"/>
          <w:b/>
          <w:bCs/>
          <w:color w:val="000000" w:themeColor="text1"/>
        </w:rPr>
      </w:pPr>
      <w:r w:rsidRPr="008D2881">
        <w:rPr>
          <w:rFonts w:ascii="Arial" w:hAnsi="Arial" w:cs="Arial"/>
          <w:b/>
          <w:bCs/>
          <w:color w:val="000000" w:themeColor="text1"/>
        </w:rPr>
        <w:t xml:space="preserve">Parties – </w:t>
      </w:r>
      <w:r w:rsidR="00F83A45" w:rsidRPr="008D2881">
        <w:rPr>
          <w:rFonts w:ascii="Arial" w:hAnsi="Arial" w:cs="Arial"/>
          <w:color w:val="000000" w:themeColor="text1"/>
        </w:rPr>
        <w:t>The parties to this MoU are as follows:</w:t>
      </w:r>
    </w:p>
    <w:p w14:paraId="3EE3F451" w14:textId="5C2B9CD2" w:rsidR="00F83A45" w:rsidRPr="008D2881" w:rsidRDefault="00F83A45" w:rsidP="00532C3D">
      <w:pPr>
        <w:pStyle w:val="ListParagraph"/>
        <w:numPr>
          <w:ilvl w:val="0"/>
          <w:numId w:val="29"/>
        </w:numPr>
        <w:snapToGrid w:val="0"/>
        <w:spacing w:before="120" w:after="120" w:line="259" w:lineRule="auto"/>
        <w:ind w:left="782" w:hanging="357"/>
        <w:contextualSpacing w:val="0"/>
        <w:jc w:val="both"/>
        <w:rPr>
          <w:rFonts w:ascii="Arial" w:hAnsi="Arial" w:cs="Arial"/>
          <w:color w:val="000000" w:themeColor="text1"/>
        </w:rPr>
      </w:pPr>
      <w:r w:rsidRPr="008D2881">
        <w:rPr>
          <w:rFonts w:ascii="Arial" w:hAnsi="Arial" w:cs="Arial"/>
          <w:b/>
          <w:bCs/>
          <w:color w:val="000000" w:themeColor="text1"/>
        </w:rPr>
        <w:t>Oxford University Hospitals NHS Foundation Trust (OUH)</w:t>
      </w:r>
      <w:r w:rsidRPr="008D2881">
        <w:rPr>
          <w:rFonts w:ascii="Arial" w:hAnsi="Arial" w:cs="Arial"/>
          <w:color w:val="000000" w:themeColor="text1"/>
        </w:rPr>
        <w:t xml:space="preserve"> </w:t>
      </w:r>
    </w:p>
    <w:p w14:paraId="0086D5D9" w14:textId="4FA4CE84" w:rsidR="000622B7" w:rsidRPr="008D2881" w:rsidRDefault="00F83A45" w:rsidP="00532C3D">
      <w:pPr>
        <w:pStyle w:val="ListParagraph"/>
        <w:numPr>
          <w:ilvl w:val="0"/>
          <w:numId w:val="29"/>
        </w:numPr>
        <w:snapToGrid w:val="0"/>
        <w:spacing w:before="120" w:after="120" w:line="259" w:lineRule="auto"/>
        <w:ind w:left="782" w:hanging="357"/>
        <w:contextualSpacing w:val="0"/>
        <w:jc w:val="both"/>
        <w:rPr>
          <w:rFonts w:ascii="Arial" w:hAnsi="Arial" w:cs="Arial"/>
          <w:color w:val="000000" w:themeColor="text1"/>
        </w:rPr>
      </w:pPr>
      <w:r w:rsidRPr="008D2881">
        <w:rPr>
          <w:rFonts w:ascii="Arial" w:hAnsi="Arial" w:cs="Arial"/>
          <w:b/>
          <w:bCs/>
          <w:color w:val="000000" w:themeColor="text1"/>
        </w:rPr>
        <w:t>Oxford Health NHS Foundation Trust (Oxford Health / OH)</w:t>
      </w:r>
      <w:r w:rsidRPr="008D2881">
        <w:rPr>
          <w:rFonts w:ascii="Arial" w:hAnsi="Arial" w:cs="Arial"/>
          <w:color w:val="000000" w:themeColor="text1"/>
        </w:rPr>
        <w:t xml:space="preserve"> </w:t>
      </w:r>
    </w:p>
    <w:p w14:paraId="760D0483" w14:textId="1790CCF0" w:rsidR="00F37D61" w:rsidRPr="008D2881" w:rsidRDefault="000622B7" w:rsidP="00532C3D">
      <w:pPr>
        <w:pStyle w:val="ListParagraph"/>
        <w:numPr>
          <w:ilvl w:val="0"/>
          <w:numId w:val="3"/>
        </w:numPr>
        <w:spacing w:after="200" w:line="276" w:lineRule="auto"/>
        <w:jc w:val="both"/>
        <w:rPr>
          <w:rFonts w:ascii="Arial" w:hAnsi="Arial" w:cs="Arial"/>
          <w:color w:val="000000" w:themeColor="text1"/>
        </w:rPr>
      </w:pPr>
      <w:r w:rsidRPr="008D2881">
        <w:rPr>
          <w:rFonts w:ascii="Arial" w:hAnsi="Arial" w:cs="Arial"/>
          <w:b/>
          <w:bCs/>
          <w:color w:val="000000" w:themeColor="text1"/>
        </w:rPr>
        <w:t>Other interested parties</w:t>
      </w:r>
      <w:r w:rsidRPr="008D2881">
        <w:rPr>
          <w:rFonts w:ascii="Arial" w:hAnsi="Arial" w:cs="Arial"/>
          <w:color w:val="000000" w:themeColor="text1"/>
        </w:rPr>
        <w:t xml:space="preserve"> – The parties recognise that other health and social care provider(s), commissioners(s) and funders e.g.</w:t>
      </w:r>
      <w:r w:rsidR="0026378F">
        <w:rPr>
          <w:rFonts w:ascii="Arial" w:hAnsi="Arial" w:cs="Arial"/>
          <w:color w:val="000000" w:themeColor="text1"/>
        </w:rPr>
        <w:t>,</w:t>
      </w:r>
      <w:r w:rsidRPr="008D2881">
        <w:rPr>
          <w:rFonts w:ascii="Arial" w:hAnsi="Arial" w:cs="Arial"/>
          <w:color w:val="000000" w:themeColor="text1"/>
        </w:rPr>
        <w:t xml:space="preserve"> Primary Care, General Practitioners, </w:t>
      </w:r>
      <w:r w:rsidR="00605B70" w:rsidRPr="008D2881">
        <w:rPr>
          <w:rFonts w:ascii="Arial" w:hAnsi="Arial" w:cs="Arial"/>
          <w:color w:val="000000" w:themeColor="text1"/>
        </w:rPr>
        <w:t xml:space="preserve">Private providers, </w:t>
      </w:r>
      <w:r w:rsidRPr="008D2881">
        <w:rPr>
          <w:rFonts w:ascii="Arial" w:hAnsi="Arial" w:cs="Arial"/>
          <w:color w:val="000000" w:themeColor="text1"/>
        </w:rPr>
        <w:t xml:space="preserve">South Central Ambulance Services, </w:t>
      </w:r>
      <w:proofErr w:type="gramStart"/>
      <w:r w:rsidR="00831BD9" w:rsidRPr="008D2881">
        <w:rPr>
          <w:rFonts w:ascii="Arial" w:hAnsi="Arial" w:cs="Arial"/>
          <w:color w:val="000000" w:themeColor="text1"/>
        </w:rPr>
        <w:t>Third</w:t>
      </w:r>
      <w:proofErr w:type="gramEnd"/>
      <w:r w:rsidR="00831BD9" w:rsidRPr="008D2881">
        <w:rPr>
          <w:rFonts w:ascii="Arial" w:hAnsi="Arial" w:cs="Arial"/>
          <w:color w:val="000000" w:themeColor="text1"/>
        </w:rPr>
        <w:t xml:space="preserve"> sector, </w:t>
      </w:r>
      <w:r w:rsidRPr="008D2881">
        <w:rPr>
          <w:rFonts w:ascii="Arial" w:hAnsi="Arial" w:cs="Arial"/>
          <w:color w:val="000000" w:themeColor="text1"/>
        </w:rPr>
        <w:t xml:space="preserve">Oxfordshire County Council, and the Buckinghamshire, Oxfordshire and Berkshire West Integrated Care System may have interest to comment, influence and contribute to the objectives of this MoU. These parties will be engaged via system and </w:t>
      </w:r>
      <w:r w:rsidR="00037B65" w:rsidRPr="008D2881">
        <w:rPr>
          <w:rFonts w:ascii="Arial" w:hAnsi="Arial" w:cs="Arial"/>
          <w:color w:val="000000" w:themeColor="text1"/>
        </w:rPr>
        <w:t>place-based</w:t>
      </w:r>
      <w:r w:rsidRPr="008D2881">
        <w:rPr>
          <w:rFonts w:ascii="Arial" w:hAnsi="Arial" w:cs="Arial"/>
          <w:color w:val="000000" w:themeColor="text1"/>
        </w:rPr>
        <w:t xml:space="preserve"> forums</w:t>
      </w:r>
      <w:r w:rsidR="00037B65" w:rsidRPr="008D2881">
        <w:rPr>
          <w:rFonts w:ascii="Arial" w:hAnsi="Arial" w:cs="Arial"/>
          <w:color w:val="000000" w:themeColor="text1"/>
        </w:rPr>
        <w:t>.</w:t>
      </w:r>
    </w:p>
    <w:p w14:paraId="7FA82224" w14:textId="77777777" w:rsidR="005A22AF" w:rsidRPr="008D2881" w:rsidRDefault="005A22AF" w:rsidP="00532C3D">
      <w:pPr>
        <w:pStyle w:val="ListParagraph"/>
        <w:spacing w:after="200" w:line="276" w:lineRule="auto"/>
        <w:ind w:left="360"/>
        <w:jc w:val="both"/>
        <w:rPr>
          <w:rFonts w:ascii="Arial" w:hAnsi="Arial" w:cs="Arial"/>
          <w:color w:val="000000" w:themeColor="text1"/>
        </w:rPr>
      </w:pPr>
    </w:p>
    <w:p w14:paraId="1B133F1A" w14:textId="1965526A" w:rsidR="007A6F59" w:rsidRPr="008D2881" w:rsidRDefault="00F37D61" w:rsidP="00532C3D">
      <w:pPr>
        <w:pStyle w:val="ListParagraph"/>
        <w:numPr>
          <w:ilvl w:val="0"/>
          <w:numId w:val="3"/>
        </w:numPr>
        <w:spacing w:after="200" w:line="276" w:lineRule="auto"/>
        <w:jc w:val="both"/>
        <w:rPr>
          <w:rFonts w:ascii="Arial" w:hAnsi="Arial" w:cs="Arial"/>
          <w:color w:val="000000" w:themeColor="text1"/>
        </w:rPr>
      </w:pPr>
      <w:r w:rsidRPr="008D2881">
        <w:rPr>
          <w:rFonts w:ascii="Arial" w:hAnsi="Arial" w:cs="Arial"/>
          <w:b/>
          <w:bCs/>
          <w:color w:val="000000" w:themeColor="text1"/>
        </w:rPr>
        <w:t xml:space="preserve">Legal position and review of MoU </w:t>
      </w:r>
      <w:r w:rsidRPr="0001549A">
        <w:rPr>
          <w:rFonts w:ascii="Arial" w:hAnsi="Arial" w:cs="Arial"/>
          <w:color w:val="000000" w:themeColor="text1"/>
        </w:rPr>
        <w:t xml:space="preserve">– </w:t>
      </w:r>
      <w:r w:rsidRPr="008D2881">
        <w:rPr>
          <w:rFonts w:ascii="Arial" w:hAnsi="Arial" w:cs="Arial"/>
          <w:color w:val="000000" w:themeColor="text1"/>
        </w:rPr>
        <w:t xml:space="preserve">For the avoidance of doubt, this MoU shall not be legally binding upon the parties, save as regards the Confidentiality and Data Protection clause below. The parties can review this MoU as required to ensure that it remains a suitable governance arrangement. </w:t>
      </w:r>
    </w:p>
    <w:p w14:paraId="122B1D64" w14:textId="77777777" w:rsidR="007A6F59" w:rsidRPr="008D2881" w:rsidRDefault="007A6F59" w:rsidP="00532C3D">
      <w:pPr>
        <w:pStyle w:val="ListParagraph"/>
        <w:spacing w:after="200" w:line="276" w:lineRule="auto"/>
        <w:ind w:left="360"/>
        <w:jc w:val="both"/>
        <w:rPr>
          <w:rFonts w:ascii="Arial" w:hAnsi="Arial" w:cs="Arial"/>
          <w:color w:val="000000" w:themeColor="text1"/>
        </w:rPr>
      </w:pPr>
    </w:p>
    <w:p w14:paraId="74060EA4" w14:textId="77777777" w:rsidR="005B150E" w:rsidRDefault="00F83A45" w:rsidP="00532C3D">
      <w:pPr>
        <w:pStyle w:val="ListParagraph"/>
        <w:numPr>
          <w:ilvl w:val="0"/>
          <w:numId w:val="3"/>
        </w:numPr>
        <w:snapToGrid w:val="0"/>
        <w:spacing w:before="120" w:after="120" w:line="259" w:lineRule="auto"/>
        <w:jc w:val="both"/>
        <w:rPr>
          <w:rFonts w:ascii="Arial" w:hAnsi="Arial" w:cs="Arial"/>
          <w:color w:val="000000" w:themeColor="text1"/>
        </w:rPr>
      </w:pPr>
      <w:r w:rsidRPr="008D2881">
        <w:rPr>
          <w:rFonts w:ascii="Arial" w:hAnsi="Arial" w:cs="Arial"/>
          <w:b/>
          <w:bCs/>
          <w:color w:val="000000" w:themeColor="text1"/>
        </w:rPr>
        <w:t>Reasonable endeavours, contracts, and sustainabilit</w:t>
      </w:r>
      <w:r w:rsidR="00F37D61" w:rsidRPr="008D2881">
        <w:rPr>
          <w:rFonts w:ascii="Arial" w:hAnsi="Arial" w:cs="Arial"/>
          <w:b/>
          <w:bCs/>
          <w:color w:val="000000" w:themeColor="text1"/>
        </w:rPr>
        <w:t>y</w:t>
      </w:r>
      <w:r w:rsidR="00F37D61" w:rsidRPr="008D2881">
        <w:rPr>
          <w:rFonts w:ascii="Arial" w:hAnsi="Arial" w:cs="Arial"/>
          <w:color w:val="000000" w:themeColor="text1"/>
        </w:rPr>
        <w:t xml:space="preserve"> – </w:t>
      </w:r>
      <w:r w:rsidRPr="008D2881">
        <w:rPr>
          <w:rFonts w:ascii="Arial" w:hAnsi="Arial" w:cs="Arial"/>
          <w:color w:val="000000" w:themeColor="text1"/>
        </w:rPr>
        <w:t>The parties agree to use all reasonable endeavours to work together in the pursuit of the vision, aims and objectives of the collaboration.</w:t>
      </w:r>
      <w:r w:rsidR="002F2CA3" w:rsidRPr="008D2881">
        <w:rPr>
          <w:rFonts w:ascii="Arial" w:hAnsi="Arial" w:cs="Arial"/>
          <w:color w:val="000000" w:themeColor="text1"/>
        </w:rPr>
        <w:t xml:space="preserve"> </w:t>
      </w:r>
      <w:r w:rsidRPr="008D2881">
        <w:rPr>
          <w:rFonts w:ascii="Arial" w:hAnsi="Arial" w:cs="Arial"/>
          <w:color w:val="000000" w:themeColor="text1"/>
        </w:rPr>
        <w:t xml:space="preserve">Any party may manage or host services on behalf of the other subject to reasonably agreed arrangements between the parties, although no agreements to novate contracts or to transfer assets or staff have been agreed at this stage. Should any such future proposals arise, these shall be set out under separate agreements. Care Quality Commission (CQC) registrations will remain as now unless agreed differently by the parties and by </w:t>
      </w:r>
      <w:r w:rsidRPr="008D2881">
        <w:rPr>
          <w:rFonts w:ascii="Arial" w:hAnsi="Arial" w:cs="Arial"/>
          <w:color w:val="000000" w:themeColor="text1"/>
        </w:rPr>
        <w:lastRenderedPageBreak/>
        <w:t>CQC. It is recognised that the sustainability and capacity of the parties is crucial to the success of collaborations between the Trusts.  The parties therefore agree to use all reasonable endeavours to support the sustainability of other parties, including, where required, reasonable reimbursements for management and clinical time devoted to the collaboration.</w:t>
      </w:r>
    </w:p>
    <w:p w14:paraId="276C8E95" w14:textId="77777777" w:rsidR="005B150E" w:rsidRPr="005B150E" w:rsidRDefault="005B150E" w:rsidP="00532C3D">
      <w:pPr>
        <w:pStyle w:val="ListParagraph"/>
        <w:jc w:val="both"/>
        <w:rPr>
          <w:rFonts w:ascii="Arial" w:hAnsi="Arial" w:cs="Arial"/>
          <w:color w:val="000000"/>
        </w:rPr>
      </w:pPr>
    </w:p>
    <w:p w14:paraId="4627B81E" w14:textId="0281CC82" w:rsidR="00287CD3" w:rsidRPr="00287CD3" w:rsidRDefault="00287CD3" w:rsidP="00532C3D">
      <w:pPr>
        <w:pStyle w:val="ListParagraph"/>
        <w:numPr>
          <w:ilvl w:val="0"/>
          <w:numId w:val="3"/>
        </w:numPr>
        <w:snapToGrid w:val="0"/>
        <w:spacing w:before="120" w:after="240" w:line="259" w:lineRule="auto"/>
        <w:ind w:left="357" w:hanging="357"/>
        <w:contextualSpacing w:val="0"/>
        <w:jc w:val="both"/>
        <w:rPr>
          <w:rFonts w:ascii="Arial" w:hAnsi="Arial" w:cs="Arial"/>
          <w:color w:val="000000" w:themeColor="text1"/>
        </w:rPr>
      </w:pPr>
      <w:r>
        <w:rPr>
          <w:rFonts w:ascii="Arial" w:hAnsi="Arial" w:cs="Arial"/>
          <w:b/>
          <w:bCs/>
          <w:color w:val="000000"/>
        </w:rPr>
        <w:t>Governance Model</w:t>
      </w:r>
      <w:r w:rsidR="005B150E">
        <w:rPr>
          <w:rFonts w:ascii="Arial" w:hAnsi="Arial" w:cs="Arial"/>
          <w:color w:val="000000"/>
        </w:rPr>
        <w:t xml:space="preserve"> – </w:t>
      </w:r>
      <w:r w:rsidR="005B150E" w:rsidRPr="005B150E">
        <w:rPr>
          <w:rFonts w:ascii="Arial" w:hAnsi="Arial" w:cs="Arial"/>
          <w:color w:val="000000"/>
        </w:rPr>
        <w:t xml:space="preserve">The </w:t>
      </w:r>
      <w:r w:rsidR="0001549A">
        <w:rPr>
          <w:rFonts w:ascii="Arial" w:hAnsi="Arial" w:cs="Arial"/>
          <w:color w:val="000000"/>
        </w:rPr>
        <w:t>c</w:t>
      </w:r>
      <w:r w:rsidR="005B150E" w:rsidRPr="005B150E">
        <w:rPr>
          <w:rFonts w:ascii="Arial" w:hAnsi="Arial" w:cs="Arial"/>
          <w:color w:val="000000"/>
        </w:rPr>
        <w:t xml:space="preserve">ollaborative will adopt a shared board leadership model, acting via </w:t>
      </w:r>
      <w:r w:rsidR="009D173B">
        <w:rPr>
          <w:rFonts w:ascii="Arial" w:hAnsi="Arial" w:cs="Arial"/>
          <w:color w:val="000000"/>
        </w:rPr>
        <w:t xml:space="preserve">a mechanism of </w:t>
      </w:r>
      <w:r w:rsidR="005B150E" w:rsidRPr="005B150E">
        <w:rPr>
          <w:rFonts w:ascii="Arial" w:hAnsi="Arial" w:cs="Arial"/>
          <w:color w:val="000000"/>
        </w:rPr>
        <w:t>delegated authority from the two Foundation Trust Boards</w:t>
      </w:r>
      <w:r w:rsidR="0026378F">
        <w:rPr>
          <w:rFonts w:ascii="Arial" w:hAnsi="Arial" w:cs="Arial"/>
          <w:color w:val="000000"/>
        </w:rPr>
        <w:t>.</w:t>
      </w:r>
      <w:r>
        <w:rPr>
          <w:rFonts w:ascii="Arial" w:hAnsi="Arial" w:cs="Arial"/>
          <w:color w:val="000000"/>
        </w:rPr>
        <w:t xml:space="preserve"> </w:t>
      </w:r>
      <w:r w:rsidR="005B150E" w:rsidRPr="00287CD3">
        <w:rPr>
          <w:rFonts w:ascii="Arial" w:hAnsi="Arial" w:cs="Arial"/>
          <w:color w:val="000000"/>
        </w:rPr>
        <w:t xml:space="preserve">To achieve this, a joint sub-committee of the two Boards (JS-C) will be set up to </w:t>
      </w:r>
      <w:r w:rsidR="005B150E" w:rsidRPr="00287CD3">
        <w:rPr>
          <w:rFonts w:ascii="Arial" w:hAnsi="Arial" w:cs="Arial"/>
          <w:color w:val="000000" w:themeColor="text1"/>
        </w:rPr>
        <w:t>steer collaboration development</w:t>
      </w:r>
      <w:r w:rsidR="00466435" w:rsidRPr="00287CD3">
        <w:rPr>
          <w:rFonts w:ascii="Arial" w:hAnsi="Arial" w:cs="Arial"/>
          <w:color w:val="000000" w:themeColor="text1"/>
        </w:rPr>
        <w:t xml:space="preserve">: </w:t>
      </w:r>
    </w:p>
    <w:tbl>
      <w:tblPr>
        <w:tblStyle w:val="TableGrid"/>
        <w:tblW w:w="9493" w:type="dxa"/>
        <w:tblLook w:val="04A0" w:firstRow="1" w:lastRow="0" w:firstColumn="1" w:lastColumn="0" w:noHBand="0" w:noVBand="1"/>
      </w:tblPr>
      <w:tblGrid>
        <w:gridCol w:w="2689"/>
        <w:gridCol w:w="6804"/>
      </w:tblGrid>
      <w:tr w:rsidR="009D173B" w14:paraId="0C24F298" w14:textId="77777777" w:rsidTr="0026378F">
        <w:tc>
          <w:tcPr>
            <w:tcW w:w="9493" w:type="dxa"/>
            <w:gridSpan w:val="2"/>
            <w:shd w:val="clear" w:color="auto" w:fill="DEEAF6" w:themeFill="accent5" w:themeFillTint="33"/>
          </w:tcPr>
          <w:p w14:paraId="385E13A8" w14:textId="2494842B" w:rsidR="009D173B" w:rsidRPr="009D173B" w:rsidRDefault="009D173B" w:rsidP="00532C3D">
            <w:pPr>
              <w:snapToGrid w:val="0"/>
              <w:spacing w:before="120" w:after="120" w:line="259" w:lineRule="auto"/>
              <w:jc w:val="both"/>
              <w:rPr>
                <w:rFonts w:ascii="Arial" w:hAnsi="Arial" w:cs="Arial"/>
                <w:b/>
                <w:bCs/>
                <w:color w:val="000000" w:themeColor="text1"/>
                <w:sz w:val="21"/>
                <w:szCs w:val="21"/>
              </w:rPr>
            </w:pPr>
            <w:r w:rsidRPr="009D173B">
              <w:rPr>
                <w:rFonts w:ascii="Arial" w:hAnsi="Arial" w:cs="Arial"/>
                <w:b/>
                <w:bCs/>
                <w:color w:val="000000" w:themeColor="text1"/>
                <w:sz w:val="21"/>
                <w:szCs w:val="21"/>
              </w:rPr>
              <w:t>Joint Sub-Committee</w:t>
            </w:r>
          </w:p>
        </w:tc>
      </w:tr>
      <w:tr w:rsidR="009D173B" w14:paraId="0214E2B9" w14:textId="77777777" w:rsidTr="0026378F">
        <w:tc>
          <w:tcPr>
            <w:tcW w:w="2689" w:type="dxa"/>
            <w:shd w:val="clear" w:color="auto" w:fill="DEEAF6" w:themeFill="accent5" w:themeFillTint="33"/>
          </w:tcPr>
          <w:p w14:paraId="7FA7053E" w14:textId="214728F1" w:rsidR="009D173B" w:rsidRPr="009D173B" w:rsidRDefault="009D173B" w:rsidP="00532C3D">
            <w:pPr>
              <w:snapToGrid w:val="0"/>
              <w:spacing w:before="120" w:after="120" w:line="259" w:lineRule="auto"/>
              <w:jc w:val="both"/>
              <w:rPr>
                <w:rFonts w:ascii="Arial" w:hAnsi="Arial" w:cs="Arial"/>
                <w:b/>
                <w:bCs/>
                <w:color w:val="000000" w:themeColor="text1"/>
                <w:sz w:val="21"/>
                <w:szCs w:val="21"/>
              </w:rPr>
            </w:pPr>
            <w:r w:rsidRPr="009D173B">
              <w:rPr>
                <w:rFonts w:ascii="Arial" w:hAnsi="Arial" w:cs="Arial"/>
                <w:b/>
                <w:bCs/>
                <w:color w:val="000000" w:themeColor="text1"/>
                <w:sz w:val="21"/>
                <w:szCs w:val="21"/>
              </w:rPr>
              <w:t>Area</w:t>
            </w:r>
          </w:p>
        </w:tc>
        <w:tc>
          <w:tcPr>
            <w:tcW w:w="6804" w:type="dxa"/>
            <w:shd w:val="clear" w:color="auto" w:fill="DEEAF6" w:themeFill="accent5" w:themeFillTint="33"/>
          </w:tcPr>
          <w:p w14:paraId="458107CB" w14:textId="1517268D" w:rsidR="009D173B" w:rsidRPr="009D173B" w:rsidRDefault="009D173B" w:rsidP="00532C3D">
            <w:pPr>
              <w:snapToGrid w:val="0"/>
              <w:spacing w:before="120" w:after="120" w:line="259" w:lineRule="auto"/>
              <w:jc w:val="both"/>
              <w:rPr>
                <w:rFonts w:ascii="Arial" w:hAnsi="Arial" w:cs="Arial"/>
                <w:b/>
                <w:bCs/>
                <w:color w:val="000000" w:themeColor="text1"/>
                <w:sz w:val="21"/>
                <w:szCs w:val="21"/>
              </w:rPr>
            </w:pPr>
            <w:r w:rsidRPr="009D173B">
              <w:rPr>
                <w:rFonts w:ascii="Arial" w:hAnsi="Arial" w:cs="Arial"/>
                <w:b/>
                <w:bCs/>
                <w:color w:val="000000" w:themeColor="text1"/>
                <w:sz w:val="21"/>
                <w:szCs w:val="21"/>
              </w:rPr>
              <w:t>Detail</w:t>
            </w:r>
          </w:p>
        </w:tc>
      </w:tr>
      <w:tr w:rsidR="009D173B" w14:paraId="3550669A" w14:textId="77777777" w:rsidTr="0026378F">
        <w:tc>
          <w:tcPr>
            <w:tcW w:w="2689" w:type="dxa"/>
            <w:shd w:val="clear" w:color="auto" w:fill="F2F2F2" w:themeFill="background1" w:themeFillShade="F2"/>
          </w:tcPr>
          <w:p w14:paraId="764A7CDD" w14:textId="5BB37C82" w:rsidR="009D173B" w:rsidRPr="009D173B" w:rsidRDefault="009D173B" w:rsidP="00532C3D">
            <w:pPr>
              <w:snapToGrid w:val="0"/>
              <w:spacing w:before="120" w:after="120" w:line="259" w:lineRule="auto"/>
              <w:jc w:val="both"/>
              <w:rPr>
                <w:rFonts w:ascii="Arial" w:hAnsi="Arial" w:cs="Arial"/>
                <w:b/>
                <w:bCs/>
                <w:color w:val="000000" w:themeColor="text1"/>
                <w:sz w:val="21"/>
                <w:szCs w:val="21"/>
              </w:rPr>
            </w:pPr>
            <w:r w:rsidRPr="009D173B">
              <w:rPr>
                <w:rFonts w:ascii="Arial" w:hAnsi="Arial" w:cs="Arial"/>
                <w:b/>
                <w:bCs/>
                <w:color w:val="000000" w:themeColor="text1"/>
                <w:sz w:val="21"/>
                <w:szCs w:val="21"/>
              </w:rPr>
              <w:t>Chair and Membership</w:t>
            </w:r>
          </w:p>
        </w:tc>
        <w:tc>
          <w:tcPr>
            <w:tcW w:w="6804" w:type="dxa"/>
          </w:tcPr>
          <w:p w14:paraId="7087DF70" w14:textId="77777777" w:rsidR="009D173B" w:rsidRPr="009D173B" w:rsidRDefault="009D173B" w:rsidP="00532C3D">
            <w:pPr>
              <w:pStyle w:val="ListParagraph"/>
              <w:numPr>
                <w:ilvl w:val="0"/>
                <w:numId w:val="36"/>
              </w:numPr>
              <w:snapToGrid w:val="0"/>
              <w:spacing w:before="120" w:after="120" w:line="259" w:lineRule="auto"/>
              <w:jc w:val="both"/>
              <w:rPr>
                <w:rFonts w:ascii="Arial" w:hAnsi="Arial" w:cs="Arial"/>
                <w:color w:val="000000" w:themeColor="text1"/>
                <w:sz w:val="21"/>
                <w:szCs w:val="21"/>
              </w:rPr>
            </w:pPr>
            <w:r w:rsidRPr="009D173B">
              <w:rPr>
                <w:rFonts w:ascii="Arial" w:hAnsi="Arial" w:cs="Arial"/>
                <w:color w:val="000000" w:themeColor="text1"/>
                <w:sz w:val="21"/>
                <w:szCs w:val="21"/>
              </w:rPr>
              <w:t>Representatives from each Trust, including Executive and Non-Executives</w:t>
            </w:r>
          </w:p>
          <w:p w14:paraId="22A52A31" w14:textId="57DB116A" w:rsidR="009D173B" w:rsidRPr="009D173B" w:rsidRDefault="009D173B" w:rsidP="00532C3D">
            <w:pPr>
              <w:pStyle w:val="ListParagraph"/>
              <w:numPr>
                <w:ilvl w:val="0"/>
                <w:numId w:val="36"/>
              </w:numPr>
              <w:snapToGrid w:val="0"/>
              <w:spacing w:before="120" w:after="120" w:line="259" w:lineRule="auto"/>
              <w:jc w:val="both"/>
              <w:rPr>
                <w:rFonts w:ascii="Arial" w:hAnsi="Arial" w:cs="Arial"/>
                <w:color w:val="000000" w:themeColor="text1"/>
                <w:sz w:val="21"/>
                <w:szCs w:val="21"/>
              </w:rPr>
            </w:pPr>
            <w:r w:rsidRPr="009D173B">
              <w:rPr>
                <w:rFonts w:ascii="Arial" w:hAnsi="Arial" w:cs="Arial"/>
                <w:color w:val="000000" w:themeColor="text1"/>
                <w:sz w:val="21"/>
                <w:szCs w:val="21"/>
              </w:rPr>
              <w:t>Chaired by one of the Trust Chief Executive Officers</w:t>
            </w:r>
          </w:p>
        </w:tc>
      </w:tr>
      <w:tr w:rsidR="009D173B" w14:paraId="7D651A85" w14:textId="77777777" w:rsidTr="0026378F">
        <w:tc>
          <w:tcPr>
            <w:tcW w:w="2689" w:type="dxa"/>
            <w:shd w:val="clear" w:color="auto" w:fill="F2F2F2" w:themeFill="background1" w:themeFillShade="F2"/>
          </w:tcPr>
          <w:p w14:paraId="687D02C0" w14:textId="1AA61DDE" w:rsidR="009D173B" w:rsidRPr="009D173B" w:rsidRDefault="009D173B" w:rsidP="00532C3D">
            <w:pPr>
              <w:snapToGrid w:val="0"/>
              <w:spacing w:before="120" w:after="120" w:line="259" w:lineRule="auto"/>
              <w:jc w:val="both"/>
              <w:rPr>
                <w:rFonts w:ascii="Arial" w:hAnsi="Arial" w:cs="Arial"/>
                <w:b/>
                <w:bCs/>
                <w:color w:val="000000" w:themeColor="text1"/>
                <w:sz w:val="21"/>
                <w:szCs w:val="21"/>
              </w:rPr>
            </w:pPr>
            <w:r w:rsidRPr="009D173B">
              <w:rPr>
                <w:rFonts w:ascii="Arial" w:hAnsi="Arial" w:cs="Arial"/>
                <w:b/>
                <w:bCs/>
                <w:color w:val="000000" w:themeColor="text1"/>
                <w:sz w:val="21"/>
                <w:szCs w:val="21"/>
              </w:rPr>
              <w:t>Function</w:t>
            </w:r>
          </w:p>
        </w:tc>
        <w:tc>
          <w:tcPr>
            <w:tcW w:w="6804" w:type="dxa"/>
          </w:tcPr>
          <w:p w14:paraId="1EDF73AB" w14:textId="321100A6" w:rsidR="009D173B" w:rsidRPr="009D173B" w:rsidRDefault="009D173B" w:rsidP="00532C3D">
            <w:pPr>
              <w:pStyle w:val="ListParagraph"/>
              <w:numPr>
                <w:ilvl w:val="0"/>
                <w:numId w:val="37"/>
              </w:numPr>
              <w:snapToGrid w:val="0"/>
              <w:spacing w:before="120" w:after="120" w:line="259" w:lineRule="auto"/>
              <w:jc w:val="both"/>
              <w:rPr>
                <w:rFonts w:ascii="Arial" w:hAnsi="Arial" w:cs="Arial"/>
                <w:color w:val="000000" w:themeColor="text1"/>
                <w:sz w:val="21"/>
                <w:szCs w:val="21"/>
              </w:rPr>
            </w:pPr>
            <w:r w:rsidRPr="009D173B">
              <w:rPr>
                <w:rFonts w:ascii="Arial" w:hAnsi="Arial" w:cs="Arial"/>
                <w:color w:val="000000" w:themeColor="text1"/>
                <w:sz w:val="21"/>
                <w:szCs w:val="21"/>
              </w:rPr>
              <w:t>Oversee a programme/project board comprising senior leads and senior responsible officers of finalised workstreams.</w:t>
            </w:r>
          </w:p>
        </w:tc>
      </w:tr>
      <w:tr w:rsidR="009D173B" w14:paraId="5ABFD841" w14:textId="77777777" w:rsidTr="0026378F">
        <w:tc>
          <w:tcPr>
            <w:tcW w:w="2689" w:type="dxa"/>
            <w:shd w:val="clear" w:color="auto" w:fill="F2F2F2" w:themeFill="background1" w:themeFillShade="F2"/>
          </w:tcPr>
          <w:p w14:paraId="2AB75163" w14:textId="7DAFF07B" w:rsidR="009D173B" w:rsidRPr="009D173B" w:rsidRDefault="009D173B" w:rsidP="00532C3D">
            <w:pPr>
              <w:snapToGrid w:val="0"/>
              <w:spacing w:before="120" w:after="120" w:line="259" w:lineRule="auto"/>
              <w:jc w:val="both"/>
              <w:rPr>
                <w:rFonts w:ascii="Arial" w:hAnsi="Arial" w:cs="Arial"/>
                <w:b/>
                <w:bCs/>
                <w:color w:val="000000" w:themeColor="text1"/>
                <w:sz w:val="21"/>
                <w:szCs w:val="21"/>
              </w:rPr>
            </w:pPr>
            <w:r w:rsidRPr="009D173B">
              <w:rPr>
                <w:rFonts w:ascii="Arial" w:hAnsi="Arial" w:cs="Arial"/>
                <w:b/>
                <w:bCs/>
                <w:color w:val="000000" w:themeColor="text1"/>
                <w:sz w:val="21"/>
                <w:szCs w:val="21"/>
              </w:rPr>
              <w:t>Reporting</w:t>
            </w:r>
          </w:p>
        </w:tc>
        <w:tc>
          <w:tcPr>
            <w:tcW w:w="6804" w:type="dxa"/>
          </w:tcPr>
          <w:p w14:paraId="7F012A9D" w14:textId="77777777" w:rsidR="009D173B" w:rsidRPr="009D173B" w:rsidRDefault="009D173B" w:rsidP="00532C3D">
            <w:pPr>
              <w:pStyle w:val="ListParagraph"/>
              <w:numPr>
                <w:ilvl w:val="0"/>
                <w:numId w:val="37"/>
              </w:numPr>
              <w:snapToGrid w:val="0"/>
              <w:spacing w:before="120" w:after="120" w:line="259" w:lineRule="auto"/>
              <w:jc w:val="both"/>
              <w:rPr>
                <w:rFonts w:ascii="Arial" w:hAnsi="Arial" w:cs="Arial"/>
                <w:color w:val="000000" w:themeColor="text1"/>
                <w:sz w:val="21"/>
                <w:szCs w:val="21"/>
              </w:rPr>
            </w:pPr>
            <w:r w:rsidRPr="009D173B">
              <w:rPr>
                <w:rFonts w:ascii="Arial" w:hAnsi="Arial" w:cs="Arial"/>
                <w:color w:val="000000" w:themeColor="text1"/>
                <w:sz w:val="21"/>
                <w:szCs w:val="21"/>
              </w:rPr>
              <w:t xml:space="preserve">Report to each of the Trust Boards and system boards and minutes of discussions will always be taken. </w:t>
            </w:r>
          </w:p>
          <w:p w14:paraId="55B9FA30" w14:textId="6E62E249" w:rsidR="009D173B" w:rsidRPr="009D173B" w:rsidRDefault="009D173B" w:rsidP="00532C3D">
            <w:pPr>
              <w:pStyle w:val="ListParagraph"/>
              <w:numPr>
                <w:ilvl w:val="0"/>
                <w:numId w:val="37"/>
              </w:numPr>
              <w:snapToGrid w:val="0"/>
              <w:spacing w:before="120" w:after="120" w:line="259" w:lineRule="auto"/>
              <w:jc w:val="both"/>
              <w:rPr>
                <w:rFonts w:ascii="Arial" w:hAnsi="Arial" w:cs="Arial"/>
                <w:color w:val="000000" w:themeColor="text1"/>
                <w:sz w:val="21"/>
                <w:szCs w:val="21"/>
              </w:rPr>
            </w:pPr>
            <w:r w:rsidRPr="009D173B">
              <w:rPr>
                <w:rFonts w:ascii="Arial" w:hAnsi="Arial" w:cs="Arial"/>
                <w:color w:val="000000" w:themeColor="text1"/>
                <w:sz w:val="21"/>
                <w:szCs w:val="21"/>
              </w:rPr>
              <w:t xml:space="preserve">The joint sub-committee can submit proposals for decision-making to the OHFT and OUHFT Trust Boards. </w:t>
            </w:r>
          </w:p>
        </w:tc>
      </w:tr>
    </w:tbl>
    <w:p w14:paraId="37BA715E" w14:textId="77777777" w:rsidR="005B150E" w:rsidRPr="009D173B" w:rsidRDefault="005B150E" w:rsidP="00532C3D">
      <w:pPr>
        <w:jc w:val="both"/>
        <w:rPr>
          <w:rFonts w:ascii="Arial" w:hAnsi="Arial" w:cs="Arial"/>
          <w:color w:val="000000" w:themeColor="text1"/>
        </w:rPr>
      </w:pPr>
    </w:p>
    <w:p w14:paraId="3A80176B" w14:textId="21A2AD15" w:rsidR="005B150E" w:rsidRPr="005B150E" w:rsidRDefault="005B150E" w:rsidP="00532C3D">
      <w:pPr>
        <w:pStyle w:val="ListParagraph"/>
        <w:numPr>
          <w:ilvl w:val="0"/>
          <w:numId w:val="3"/>
        </w:numPr>
        <w:snapToGrid w:val="0"/>
        <w:spacing w:before="120" w:after="120" w:line="259" w:lineRule="auto"/>
        <w:jc w:val="both"/>
        <w:rPr>
          <w:rFonts w:ascii="Arial" w:hAnsi="Arial" w:cs="Arial"/>
          <w:color w:val="000000" w:themeColor="text1"/>
        </w:rPr>
      </w:pPr>
      <w:r w:rsidRPr="005B150E">
        <w:rPr>
          <w:rFonts w:ascii="Arial" w:hAnsi="Arial" w:cs="Arial"/>
          <w:b/>
          <w:bCs/>
          <w:color w:val="000000" w:themeColor="text1"/>
        </w:rPr>
        <w:t>Underpinning Board Governance</w:t>
      </w:r>
      <w:r>
        <w:rPr>
          <w:rFonts w:ascii="Arial" w:hAnsi="Arial" w:cs="Arial"/>
          <w:color w:val="000000" w:themeColor="text1"/>
        </w:rPr>
        <w:t xml:space="preserve"> – </w:t>
      </w:r>
      <w:r w:rsidRPr="005B150E">
        <w:rPr>
          <w:rFonts w:ascii="Arial" w:hAnsi="Arial" w:cs="Arial"/>
          <w:color w:val="000000" w:themeColor="text1"/>
        </w:rPr>
        <w:t>The Boards of both OHFT and OUHFT will be required to take a set of actions to provide the appropriate foundations for the work of the Joint Sub</w:t>
      </w:r>
      <w:r w:rsidR="0026378F">
        <w:rPr>
          <w:rFonts w:ascii="Arial" w:hAnsi="Arial" w:cs="Arial"/>
          <w:color w:val="000000" w:themeColor="text1"/>
        </w:rPr>
        <w:t>-</w:t>
      </w:r>
      <w:r w:rsidRPr="005B150E">
        <w:rPr>
          <w:rFonts w:ascii="Arial" w:hAnsi="Arial" w:cs="Arial"/>
          <w:color w:val="000000" w:themeColor="text1"/>
        </w:rPr>
        <w:t>Committee. These will include providing:</w:t>
      </w:r>
      <w:r w:rsidR="003D588E">
        <w:rPr>
          <w:rFonts w:ascii="Arial" w:hAnsi="Arial" w:cs="Arial"/>
          <w:color w:val="000000" w:themeColor="text1"/>
        </w:rPr>
        <w:t xml:space="preserve"> </w:t>
      </w:r>
    </w:p>
    <w:p w14:paraId="394D8CD3" w14:textId="60D6FEA5" w:rsidR="005B150E" w:rsidRPr="002A32E7" w:rsidRDefault="005B150E" w:rsidP="00532C3D">
      <w:pPr>
        <w:pStyle w:val="ListParagraph"/>
        <w:numPr>
          <w:ilvl w:val="0"/>
          <w:numId w:val="34"/>
        </w:numPr>
        <w:snapToGrid w:val="0"/>
        <w:spacing w:before="360" w:after="60"/>
        <w:ind w:left="714" w:hanging="357"/>
        <w:contextualSpacing w:val="0"/>
        <w:jc w:val="both"/>
        <w:rPr>
          <w:rFonts w:ascii="Arial" w:hAnsi="Arial" w:cs="Arial"/>
          <w:color w:val="000000"/>
        </w:rPr>
      </w:pPr>
      <w:r w:rsidRPr="002A32E7">
        <w:rPr>
          <w:rFonts w:ascii="Arial" w:hAnsi="Arial" w:cs="Arial"/>
          <w:color w:val="000000"/>
        </w:rPr>
        <w:t xml:space="preserve">Formal Board approval to establish a </w:t>
      </w:r>
      <w:r w:rsidR="0026378F">
        <w:rPr>
          <w:rFonts w:ascii="Arial" w:hAnsi="Arial" w:cs="Arial"/>
          <w:color w:val="000000"/>
        </w:rPr>
        <w:t>J</w:t>
      </w:r>
      <w:r w:rsidRPr="002A32E7">
        <w:rPr>
          <w:rFonts w:ascii="Arial" w:hAnsi="Arial" w:cs="Arial"/>
          <w:color w:val="000000"/>
        </w:rPr>
        <w:t xml:space="preserve">oint </w:t>
      </w:r>
      <w:r w:rsidR="0026378F">
        <w:rPr>
          <w:rFonts w:ascii="Arial" w:hAnsi="Arial" w:cs="Arial"/>
          <w:color w:val="000000"/>
        </w:rPr>
        <w:t>S</w:t>
      </w:r>
      <w:r w:rsidRPr="002A32E7">
        <w:rPr>
          <w:rFonts w:ascii="Arial" w:hAnsi="Arial" w:cs="Arial"/>
          <w:color w:val="000000"/>
        </w:rPr>
        <w:t>ub-</w:t>
      </w:r>
      <w:r w:rsidR="0026378F">
        <w:rPr>
          <w:rFonts w:ascii="Arial" w:hAnsi="Arial" w:cs="Arial"/>
          <w:color w:val="000000"/>
        </w:rPr>
        <w:t>C</w:t>
      </w:r>
      <w:r w:rsidRPr="002A32E7">
        <w:rPr>
          <w:rFonts w:ascii="Arial" w:hAnsi="Arial" w:cs="Arial"/>
          <w:color w:val="000000"/>
        </w:rPr>
        <w:t xml:space="preserve">ommittee </w:t>
      </w:r>
    </w:p>
    <w:p w14:paraId="6F203D43" w14:textId="77777777" w:rsidR="005B150E" w:rsidRPr="002A32E7" w:rsidRDefault="005B150E" w:rsidP="00532C3D">
      <w:pPr>
        <w:numPr>
          <w:ilvl w:val="0"/>
          <w:numId w:val="34"/>
        </w:numPr>
        <w:snapToGrid w:val="0"/>
        <w:spacing w:before="60" w:after="60"/>
        <w:jc w:val="both"/>
        <w:rPr>
          <w:rFonts w:ascii="Arial" w:hAnsi="Arial" w:cs="Arial"/>
          <w:color w:val="000000"/>
        </w:rPr>
      </w:pPr>
      <w:r w:rsidRPr="002A32E7">
        <w:rPr>
          <w:rFonts w:ascii="Arial" w:hAnsi="Arial" w:cs="Arial"/>
          <w:color w:val="000000"/>
        </w:rPr>
        <w:t>Confirmation of the membership of the committee and approval of the Terms of Reference</w:t>
      </w:r>
    </w:p>
    <w:p w14:paraId="189E685C" w14:textId="7DF87B6B" w:rsidR="000622B7" w:rsidRPr="002A32E7" w:rsidRDefault="005B150E" w:rsidP="00532C3D">
      <w:pPr>
        <w:numPr>
          <w:ilvl w:val="0"/>
          <w:numId w:val="34"/>
        </w:numPr>
        <w:snapToGrid w:val="0"/>
        <w:spacing w:before="60" w:after="60"/>
        <w:jc w:val="both"/>
        <w:rPr>
          <w:rFonts w:ascii="Arial" w:hAnsi="Arial" w:cs="Arial"/>
          <w:color w:val="000000"/>
        </w:rPr>
      </w:pPr>
      <w:r w:rsidRPr="002A32E7">
        <w:rPr>
          <w:rFonts w:ascii="Arial" w:hAnsi="Arial" w:cs="Arial"/>
          <w:color w:val="000000"/>
        </w:rPr>
        <w:t>Confirmation of the assurance process for ensuring compliance with regulatory requirements, including the approach for the escalation of risks in a timely way (</w:t>
      </w:r>
      <w:r w:rsidR="0026378F">
        <w:rPr>
          <w:rFonts w:ascii="Arial" w:hAnsi="Arial" w:cs="Arial"/>
          <w:color w:val="000000"/>
        </w:rPr>
        <w:t>making</w:t>
      </w:r>
      <w:r w:rsidRPr="002A32E7">
        <w:rPr>
          <w:rFonts w:ascii="Arial" w:hAnsi="Arial" w:cs="Arial"/>
          <w:color w:val="000000"/>
        </w:rPr>
        <w:t xml:space="preserve"> use of existing processes/reporting mechanisms).</w:t>
      </w:r>
    </w:p>
    <w:p w14:paraId="421E9490" w14:textId="77777777" w:rsidR="000622B7" w:rsidRPr="008D2881" w:rsidRDefault="000622B7" w:rsidP="00532C3D">
      <w:pPr>
        <w:pStyle w:val="ListParagraph"/>
        <w:jc w:val="both"/>
        <w:rPr>
          <w:rFonts w:ascii="Arial" w:hAnsi="Arial" w:cs="Arial"/>
          <w:color w:val="000000" w:themeColor="text1"/>
        </w:rPr>
      </w:pPr>
    </w:p>
    <w:p w14:paraId="43FAA5A5" w14:textId="3897447C" w:rsidR="000622B7" w:rsidRPr="008D2881" w:rsidRDefault="000622B7" w:rsidP="00532C3D">
      <w:pPr>
        <w:pStyle w:val="ListParagraph"/>
        <w:numPr>
          <w:ilvl w:val="0"/>
          <w:numId w:val="3"/>
        </w:numPr>
        <w:spacing w:after="200" w:line="276" w:lineRule="auto"/>
        <w:jc w:val="both"/>
        <w:rPr>
          <w:rFonts w:ascii="Arial" w:hAnsi="Arial" w:cs="Arial"/>
          <w:color w:val="000000" w:themeColor="text1"/>
        </w:rPr>
      </w:pPr>
      <w:r w:rsidRPr="008D2881">
        <w:rPr>
          <w:rFonts w:ascii="Arial" w:hAnsi="Arial" w:cs="Arial"/>
          <w:b/>
          <w:bCs/>
          <w:color w:val="000000" w:themeColor="text1"/>
        </w:rPr>
        <w:t>Termination of MoU</w:t>
      </w:r>
      <w:r w:rsidRPr="008D2881">
        <w:rPr>
          <w:rFonts w:ascii="Arial" w:hAnsi="Arial" w:cs="Arial"/>
          <w:color w:val="000000" w:themeColor="text1"/>
        </w:rPr>
        <w:t xml:space="preserve"> – The ultimate sanction for any party that does not wish to continue operating jointly with the other party is to withdraw itself from the MoU arrangement. This MoU can be terminated by mutual agreement and/or if it is superseded by a subsequent agreement.  The parties shall continue to remain bound by its Confidentiality and Data Protection clauses as described </w:t>
      </w:r>
      <w:r w:rsidR="00652994">
        <w:rPr>
          <w:rFonts w:ascii="Arial" w:hAnsi="Arial" w:cs="Arial"/>
          <w:color w:val="000000" w:themeColor="text1"/>
        </w:rPr>
        <w:t>below</w:t>
      </w:r>
      <w:r w:rsidRPr="008D2881">
        <w:rPr>
          <w:rFonts w:ascii="Arial" w:hAnsi="Arial" w:cs="Arial"/>
          <w:color w:val="000000" w:themeColor="text1"/>
        </w:rPr>
        <w:t>.</w:t>
      </w:r>
    </w:p>
    <w:p w14:paraId="1DD9B4D2" w14:textId="77777777" w:rsidR="000622B7" w:rsidRPr="008D2881" w:rsidRDefault="000622B7" w:rsidP="00532C3D">
      <w:pPr>
        <w:pStyle w:val="ListParagraph"/>
        <w:spacing w:after="200" w:line="276" w:lineRule="auto"/>
        <w:ind w:left="360"/>
        <w:jc w:val="both"/>
        <w:rPr>
          <w:rFonts w:ascii="Arial" w:hAnsi="Arial" w:cs="Arial"/>
          <w:color w:val="000000" w:themeColor="text1"/>
        </w:rPr>
      </w:pPr>
    </w:p>
    <w:p w14:paraId="21C2CD5B" w14:textId="77777777" w:rsidR="00A53901" w:rsidRPr="008D2881" w:rsidRDefault="00A53901" w:rsidP="00532C3D">
      <w:pPr>
        <w:pStyle w:val="ListParagraph"/>
        <w:jc w:val="both"/>
        <w:rPr>
          <w:rFonts w:ascii="Arial" w:hAnsi="Arial" w:cs="Arial"/>
          <w:color w:val="000000" w:themeColor="text1"/>
        </w:rPr>
      </w:pPr>
    </w:p>
    <w:p w14:paraId="0A141206" w14:textId="3E3715C9" w:rsidR="009A50B5" w:rsidRPr="009A50B5" w:rsidRDefault="000622B7" w:rsidP="00532C3D">
      <w:pPr>
        <w:pStyle w:val="ListParagraph"/>
        <w:numPr>
          <w:ilvl w:val="0"/>
          <w:numId w:val="3"/>
        </w:numPr>
        <w:spacing w:after="200" w:line="276" w:lineRule="auto"/>
        <w:jc w:val="both"/>
        <w:rPr>
          <w:rFonts w:ascii="Arial" w:hAnsi="Arial" w:cs="Arial"/>
          <w:color w:val="000000" w:themeColor="text1"/>
        </w:rPr>
      </w:pPr>
      <w:r w:rsidRPr="008D2881">
        <w:rPr>
          <w:rFonts w:ascii="Arial" w:hAnsi="Arial" w:cs="Arial"/>
          <w:b/>
          <w:bCs/>
          <w:color w:val="000000" w:themeColor="text1"/>
        </w:rPr>
        <w:lastRenderedPageBreak/>
        <w:t>Programme Oversight</w:t>
      </w:r>
      <w:r w:rsidR="009A50B5">
        <w:rPr>
          <w:rFonts w:ascii="Arial" w:hAnsi="Arial" w:cs="Arial"/>
          <w:b/>
          <w:bCs/>
          <w:color w:val="000000" w:themeColor="text1"/>
        </w:rPr>
        <w:t xml:space="preserve"> Group</w:t>
      </w:r>
      <w:r w:rsidRPr="008D2881">
        <w:rPr>
          <w:rFonts w:ascii="Arial" w:hAnsi="Arial" w:cs="Arial"/>
          <w:color w:val="000000" w:themeColor="text1"/>
        </w:rPr>
        <w:t xml:space="preserve"> </w:t>
      </w:r>
      <w:r w:rsidRPr="009A50B5">
        <w:rPr>
          <w:rFonts w:ascii="Arial" w:hAnsi="Arial" w:cs="Arial"/>
          <w:color w:val="000000" w:themeColor="text1"/>
        </w:rPr>
        <w:t xml:space="preserve">– </w:t>
      </w:r>
      <w:r w:rsidR="009A50B5" w:rsidRPr="009A50B5">
        <w:rPr>
          <w:rFonts w:ascii="Arial" w:hAnsi="Arial" w:cs="Arial"/>
        </w:rPr>
        <w:t xml:space="preserve">The </w:t>
      </w:r>
      <w:r w:rsidR="0001549A">
        <w:rPr>
          <w:rFonts w:ascii="Arial" w:hAnsi="Arial" w:cs="Arial"/>
        </w:rPr>
        <w:t>c</w:t>
      </w:r>
      <w:r w:rsidR="009A50B5" w:rsidRPr="009A50B5">
        <w:rPr>
          <w:rFonts w:ascii="Arial" w:hAnsi="Arial" w:cs="Arial"/>
        </w:rPr>
        <w:t xml:space="preserve">ollaborative and all related programmes will be overseen by a Programme Oversight Group which will meet fortnightly to </w:t>
      </w:r>
      <w:r w:rsidR="009A50B5" w:rsidRPr="00EE638D">
        <w:rPr>
          <w:rFonts w:ascii="Arial" w:hAnsi="Arial" w:cs="Arial"/>
        </w:rPr>
        <w:t xml:space="preserve">provide leadership, </w:t>
      </w:r>
      <w:proofErr w:type="gramStart"/>
      <w:r w:rsidR="009A50B5" w:rsidRPr="00EE638D">
        <w:rPr>
          <w:rFonts w:ascii="Arial" w:hAnsi="Arial" w:cs="Arial"/>
        </w:rPr>
        <w:t>oversight</w:t>
      </w:r>
      <w:proofErr w:type="gramEnd"/>
      <w:r w:rsidR="009A50B5" w:rsidRPr="00EE638D">
        <w:rPr>
          <w:rFonts w:ascii="Arial" w:hAnsi="Arial" w:cs="Arial"/>
        </w:rPr>
        <w:t xml:space="preserve"> and monitor progress.</w:t>
      </w:r>
      <w:r w:rsidR="004E69A1" w:rsidRPr="00EE638D">
        <w:rPr>
          <w:rFonts w:ascii="Arial" w:hAnsi="Arial" w:cs="Arial"/>
        </w:rPr>
        <w:t xml:space="preserve"> The Programme Oversight Group will oversee the delivery/working groups ensuring that they maximise use of resources, avoid duplication of effort, and create the foundation for future collaborative teams.</w:t>
      </w:r>
      <w:r w:rsidR="009A50B5" w:rsidRPr="00EE638D">
        <w:rPr>
          <w:rFonts w:ascii="Arial" w:hAnsi="Arial" w:cs="Arial"/>
        </w:rPr>
        <w:t xml:space="preserve"> The membership</w:t>
      </w:r>
      <w:r w:rsidR="009A50B5" w:rsidRPr="009A50B5">
        <w:rPr>
          <w:rFonts w:ascii="Arial" w:hAnsi="Arial" w:cs="Arial"/>
        </w:rPr>
        <w:t xml:space="preserve"> across both organisations will be as follows:</w:t>
      </w:r>
    </w:p>
    <w:p w14:paraId="3F04314B" w14:textId="77777777" w:rsidR="009A50B5" w:rsidRDefault="009A50B5" w:rsidP="00532C3D">
      <w:pPr>
        <w:pStyle w:val="ListParagraph"/>
        <w:snapToGrid w:val="0"/>
        <w:spacing w:beforeLines="40" w:before="96" w:after="40"/>
        <w:ind w:left="360"/>
        <w:jc w:val="both"/>
        <w:rPr>
          <w:rFonts w:ascii="Arial" w:hAnsi="Arial" w:cs="Arial"/>
        </w:rPr>
      </w:pPr>
    </w:p>
    <w:tbl>
      <w:tblPr>
        <w:tblStyle w:val="TableGrid"/>
        <w:tblW w:w="9274" w:type="dxa"/>
        <w:tblInd w:w="360" w:type="dxa"/>
        <w:tblLook w:val="04A0" w:firstRow="1" w:lastRow="0" w:firstColumn="1" w:lastColumn="0" w:noHBand="0" w:noVBand="1"/>
      </w:tblPr>
      <w:tblGrid>
        <w:gridCol w:w="1903"/>
        <w:gridCol w:w="7371"/>
      </w:tblGrid>
      <w:tr w:rsidR="009A50B5" w14:paraId="26CEDBE2" w14:textId="77777777" w:rsidTr="007425F7">
        <w:tc>
          <w:tcPr>
            <w:tcW w:w="9274" w:type="dxa"/>
            <w:gridSpan w:val="2"/>
            <w:shd w:val="clear" w:color="auto" w:fill="DEEAF6" w:themeFill="accent5" w:themeFillTint="33"/>
          </w:tcPr>
          <w:p w14:paraId="1EE3DE2B" w14:textId="77777777" w:rsidR="009A50B5" w:rsidRPr="003D348E" w:rsidRDefault="009A50B5" w:rsidP="00532C3D">
            <w:pPr>
              <w:pStyle w:val="ListParagraph"/>
              <w:snapToGrid w:val="0"/>
              <w:spacing w:before="60" w:after="60"/>
              <w:ind w:left="0"/>
              <w:contextualSpacing w:val="0"/>
              <w:jc w:val="both"/>
              <w:rPr>
                <w:rFonts w:ascii="Arial" w:hAnsi="Arial" w:cs="Arial"/>
                <w:b/>
                <w:bCs/>
              </w:rPr>
            </w:pPr>
            <w:r>
              <w:rPr>
                <w:rFonts w:ascii="Arial" w:hAnsi="Arial" w:cs="Arial"/>
                <w:b/>
                <w:bCs/>
              </w:rPr>
              <w:t>Provider Collaborative Programme Oversight Group</w:t>
            </w:r>
          </w:p>
        </w:tc>
      </w:tr>
      <w:tr w:rsidR="009A50B5" w14:paraId="1B43E883" w14:textId="77777777" w:rsidTr="007425F7">
        <w:tc>
          <w:tcPr>
            <w:tcW w:w="1903" w:type="dxa"/>
            <w:shd w:val="clear" w:color="auto" w:fill="DEEAF6" w:themeFill="accent5" w:themeFillTint="33"/>
          </w:tcPr>
          <w:p w14:paraId="68D632C8" w14:textId="77777777" w:rsidR="009A50B5" w:rsidRPr="003D348E" w:rsidRDefault="009A50B5" w:rsidP="00532C3D">
            <w:pPr>
              <w:pStyle w:val="ListParagraph"/>
              <w:snapToGrid w:val="0"/>
              <w:spacing w:before="40" w:after="40"/>
              <w:ind w:left="0"/>
              <w:contextualSpacing w:val="0"/>
              <w:jc w:val="both"/>
              <w:rPr>
                <w:rFonts w:ascii="Arial" w:hAnsi="Arial" w:cs="Arial"/>
                <w:b/>
                <w:bCs/>
              </w:rPr>
            </w:pPr>
            <w:r w:rsidRPr="003D348E">
              <w:rPr>
                <w:rFonts w:ascii="Arial" w:hAnsi="Arial" w:cs="Arial"/>
                <w:b/>
                <w:bCs/>
              </w:rPr>
              <w:t xml:space="preserve">Organisation </w:t>
            </w:r>
          </w:p>
        </w:tc>
        <w:tc>
          <w:tcPr>
            <w:tcW w:w="7371" w:type="dxa"/>
            <w:shd w:val="clear" w:color="auto" w:fill="DEEAF6" w:themeFill="accent5" w:themeFillTint="33"/>
          </w:tcPr>
          <w:p w14:paraId="7C672002" w14:textId="77777777" w:rsidR="009A50B5" w:rsidRPr="003D348E" w:rsidRDefault="009A50B5" w:rsidP="00532C3D">
            <w:pPr>
              <w:pStyle w:val="ListParagraph"/>
              <w:snapToGrid w:val="0"/>
              <w:spacing w:before="40" w:after="40"/>
              <w:ind w:left="0"/>
              <w:contextualSpacing w:val="0"/>
              <w:jc w:val="both"/>
              <w:rPr>
                <w:rFonts w:ascii="Arial" w:hAnsi="Arial" w:cs="Arial"/>
                <w:b/>
                <w:bCs/>
              </w:rPr>
            </w:pPr>
            <w:r w:rsidRPr="003D348E">
              <w:rPr>
                <w:rFonts w:ascii="Arial" w:hAnsi="Arial" w:cs="Arial"/>
                <w:b/>
                <w:bCs/>
              </w:rPr>
              <w:t>Role</w:t>
            </w:r>
          </w:p>
        </w:tc>
      </w:tr>
      <w:tr w:rsidR="009A50B5" w14:paraId="1D2E504A" w14:textId="77777777" w:rsidTr="007425F7">
        <w:tc>
          <w:tcPr>
            <w:tcW w:w="1903" w:type="dxa"/>
            <w:vMerge w:val="restart"/>
            <w:shd w:val="clear" w:color="auto" w:fill="F2F2F2" w:themeFill="background1" w:themeFillShade="F2"/>
          </w:tcPr>
          <w:p w14:paraId="173B9FC4" w14:textId="77777777" w:rsidR="009A50B5" w:rsidRPr="003D348E" w:rsidRDefault="009A50B5" w:rsidP="00532C3D">
            <w:pPr>
              <w:pStyle w:val="ListParagraph"/>
              <w:snapToGrid w:val="0"/>
              <w:spacing w:before="240" w:after="40"/>
              <w:ind w:left="0"/>
              <w:contextualSpacing w:val="0"/>
              <w:jc w:val="both"/>
              <w:rPr>
                <w:rFonts w:ascii="Arial" w:hAnsi="Arial" w:cs="Arial"/>
                <w:b/>
                <w:bCs/>
              </w:rPr>
            </w:pPr>
            <w:r w:rsidRPr="003D348E">
              <w:rPr>
                <w:rFonts w:ascii="Arial" w:hAnsi="Arial" w:cs="Arial"/>
                <w:b/>
                <w:bCs/>
              </w:rPr>
              <w:t>Oxford Health</w:t>
            </w:r>
          </w:p>
        </w:tc>
        <w:tc>
          <w:tcPr>
            <w:tcW w:w="7371" w:type="dxa"/>
          </w:tcPr>
          <w:p w14:paraId="656CE231" w14:textId="77777777" w:rsidR="009A50B5" w:rsidRPr="003D348E" w:rsidRDefault="009A50B5" w:rsidP="00532C3D">
            <w:pPr>
              <w:pStyle w:val="ListParagraph"/>
              <w:snapToGrid w:val="0"/>
              <w:spacing w:before="40" w:after="40"/>
              <w:ind w:left="0"/>
              <w:contextualSpacing w:val="0"/>
              <w:jc w:val="both"/>
              <w:rPr>
                <w:rFonts w:ascii="Arial" w:hAnsi="Arial" w:cs="Arial"/>
              </w:rPr>
            </w:pPr>
            <w:r w:rsidRPr="003D348E">
              <w:rPr>
                <w:rFonts w:ascii="Arial" w:hAnsi="Arial" w:cs="Arial"/>
              </w:rPr>
              <w:t>Chief Executive</w:t>
            </w:r>
          </w:p>
        </w:tc>
      </w:tr>
      <w:tr w:rsidR="009A50B5" w14:paraId="67D4425F" w14:textId="77777777" w:rsidTr="007425F7">
        <w:tc>
          <w:tcPr>
            <w:tcW w:w="1903" w:type="dxa"/>
            <w:vMerge/>
            <w:shd w:val="clear" w:color="auto" w:fill="F2F2F2" w:themeFill="background1" w:themeFillShade="F2"/>
          </w:tcPr>
          <w:p w14:paraId="14CADC3C" w14:textId="77777777" w:rsidR="009A50B5" w:rsidRDefault="009A50B5" w:rsidP="00532C3D">
            <w:pPr>
              <w:pStyle w:val="ListParagraph"/>
              <w:snapToGrid w:val="0"/>
              <w:spacing w:before="240" w:after="40"/>
              <w:ind w:left="0"/>
              <w:contextualSpacing w:val="0"/>
              <w:jc w:val="both"/>
              <w:rPr>
                <w:rFonts w:ascii="Arial" w:hAnsi="Arial" w:cs="Arial"/>
              </w:rPr>
            </w:pPr>
          </w:p>
        </w:tc>
        <w:tc>
          <w:tcPr>
            <w:tcW w:w="7371" w:type="dxa"/>
          </w:tcPr>
          <w:p w14:paraId="456FA9DC" w14:textId="77777777" w:rsidR="009A50B5" w:rsidRPr="003D348E" w:rsidRDefault="009A50B5" w:rsidP="00532C3D">
            <w:pPr>
              <w:snapToGrid w:val="0"/>
              <w:spacing w:before="40" w:after="40"/>
              <w:jc w:val="both"/>
            </w:pPr>
            <w:r w:rsidRPr="00864FCC">
              <w:rPr>
                <w:rFonts w:ascii="Arial" w:hAnsi="Arial" w:cs="Arial"/>
                <w:shd w:val="clear" w:color="auto" w:fill="FFFFFF"/>
              </w:rPr>
              <w:t>Executive Managing Director for Community, Primary and Dental Care</w:t>
            </w:r>
          </w:p>
        </w:tc>
      </w:tr>
      <w:tr w:rsidR="009A50B5" w14:paraId="6E0834D6" w14:textId="77777777" w:rsidTr="007425F7">
        <w:tc>
          <w:tcPr>
            <w:tcW w:w="1903" w:type="dxa"/>
            <w:vMerge/>
            <w:shd w:val="clear" w:color="auto" w:fill="F2F2F2" w:themeFill="background1" w:themeFillShade="F2"/>
          </w:tcPr>
          <w:p w14:paraId="55033477" w14:textId="77777777" w:rsidR="009A50B5" w:rsidRDefault="009A50B5" w:rsidP="00532C3D">
            <w:pPr>
              <w:pStyle w:val="ListParagraph"/>
              <w:snapToGrid w:val="0"/>
              <w:spacing w:before="240" w:after="40"/>
              <w:ind w:left="0"/>
              <w:contextualSpacing w:val="0"/>
              <w:jc w:val="both"/>
              <w:rPr>
                <w:rFonts w:ascii="Arial" w:hAnsi="Arial" w:cs="Arial"/>
              </w:rPr>
            </w:pPr>
          </w:p>
        </w:tc>
        <w:tc>
          <w:tcPr>
            <w:tcW w:w="7371" w:type="dxa"/>
          </w:tcPr>
          <w:p w14:paraId="7700A007" w14:textId="77777777" w:rsidR="009A50B5" w:rsidRPr="003D348E" w:rsidRDefault="009A50B5" w:rsidP="00532C3D">
            <w:pPr>
              <w:pStyle w:val="ListParagraph"/>
              <w:snapToGrid w:val="0"/>
              <w:spacing w:before="40" w:after="40"/>
              <w:ind w:left="0"/>
              <w:contextualSpacing w:val="0"/>
              <w:jc w:val="both"/>
              <w:rPr>
                <w:rFonts w:ascii="Arial" w:hAnsi="Arial" w:cs="Arial"/>
              </w:rPr>
            </w:pPr>
            <w:r w:rsidRPr="003D348E">
              <w:rPr>
                <w:rFonts w:ascii="Arial" w:hAnsi="Arial" w:cs="Arial"/>
              </w:rPr>
              <w:t xml:space="preserve">Executive Director for Digital and Transformation </w:t>
            </w:r>
          </w:p>
        </w:tc>
      </w:tr>
      <w:tr w:rsidR="009A50B5" w14:paraId="073372FF" w14:textId="77777777" w:rsidTr="007425F7">
        <w:tc>
          <w:tcPr>
            <w:tcW w:w="1903" w:type="dxa"/>
            <w:vMerge/>
            <w:shd w:val="clear" w:color="auto" w:fill="F2F2F2" w:themeFill="background1" w:themeFillShade="F2"/>
          </w:tcPr>
          <w:p w14:paraId="4BDFDF2A" w14:textId="77777777" w:rsidR="009A50B5" w:rsidRDefault="009A50B5" w:rsidP="00532C3D">
            <w:pPr>
              <w:pStyle w:val="ListParagraph"/>
              <w:snapToGrid w:val="0"/>
              <w:spacing w:before="240" w:after="40"/>
              <w:ind w:left="0"/>
              <w:contextualSpacing w:val="0"/>
              <w:jc w:val="both"/>
              <w:rPr>
                <w:rFonts w:ascii="Arial" w:hAnsi="Arial" w:cs="Arial"/>
              </w:rPr>
            </w:pPr>
          </w:p>
        </w:tc>
        <w:tc>
          <w:tcPr>
            <w:tcW w:w="7371" w:type="dxa"/>
          </w:tcPr>
          <w:p w14:paraId="66813DF9" w14:textId="77777777" w:rsidR="009A50B5" w:rsidRPr="003D348E" w:rsidRDefault="009A50B5" w:rsidP="00532C3D">
            <w:pPr>
              <w:pStyle w:val="ListParagraph"/>
              <w:snapToGrid w:val="0"/>
              <w:spacing w:before="40" w:after="40"/>
              <w:ind w:left="0"/>
              <w:contextualSpacing w:val="0"/>
              <w:jc w:val="both"/>
              <w:rPr>
                <w:rFonts w:ascii="Arial" w:hAnsi="Arial" w:cs="Arial"/>
              </w:rPr>
            </w:pPr>
            <w:r w:rsidRPr="003D348E">
              <w:rPr>
                <w:rFonts w:ascii="Arial" w:hAnsi="Arial" w:cs="Arial"/>
              </w:rPr>
              <w:t xml:space="preserve">Director of Finance </w:t>
            </w:r>
          </w:p>
        </w:tc>
      </w:tr>
      <w:tr w:rsidR="00A703B0" w14:paraId="1A2458AC" w14:textId="77777777" w:rsidTr="007425F7">
        <w:tc>
          <w:tcPr>
            <w:tcW w:w="1903" w:type="dxa"/>
            <w:vMerge/>
            <w:shd w:val="clear" w:color="auto" w:fill="F2F2F2" w:themeFill="background1" w:themeFillShade="F2"/>
          </w:tcPr>
          <w:p w14:paraId="0B7B022B" w14:textId="77777777" w:rsidR="00A703B0" w:rsidRDefault="00A703B0" w:rsidP="00532C3D">
            <w:pPr>
              <w:pStyle w:val="ListParagraph"/>
              <w:snapToGrid w:val="0"/>
              <w:spacing w:before="240" w:after="40"/>
              <w:ind w:left="0"/>
              <w:contextualSpacing w:val="0"/>
              <w:jc w:val="both"/>
              <w:rPr>
                <w:rFonts w:ascii="Arial" w:hAnsi="Arial" w:cs="Arial"/>
              </w:rPr>
            </w:pPr>
          </w:p>
        </w:tc>
        <w:tc>
          <w:tcPr>
            <w:tcW w:w="7371" w:type="dxa"/>
          </w:tcPr>
          <w:p w14:paraId="090EDC41" w14:textId="7C55B8F9" w:rsidR="00A703B0" w:rsidRPr="003D348E" w:rsidRDefault="00A703B0" w:rsidP="00532C3D">
            <w:pPr>
              <w:pStyle w:val="ListParagraph"/>
              <w:snapToGrid w:val="0"/>
              <w:spacing w:before="40" w:after="40"/>
              <w:ind w:left="0"/>
              <w:contextualSpacing w:val="0"/>
              <w:jc w:val="both"/>
              <w:rPr>
                <w:rFonts w:ascii="Arial" w:hAnsi="Arial" w:cs="Arial"/>
              </w:rPr>
            </w:pPr>
            <w:r>
              <w:rPr>
                <w:rFonts w:ascii="Arial" w:hAnsi="Arial" w:cs="Arial"/>
              </w:rPr>
              <w:t xml:space="preserve">Director of Strategy and Partnerships </w:t>
            </w:r>
          </w:p>
        </w:tc>
      </w:tr>
      <w:tr w:rsidR="009A50B5" w14:paraId="3DFDC1DB" w14:textId="77777777" w:rsidTr="007425F7">
        <w:tc>
          <w:tcPr>
            <w:tcW w:w="1903" w:type="dxa"/>
            <w:vMerge/>
            <w:shd w:val="clear" w:color="auto" w:fill="F2F2F2" w:themeFill="background1" w:themeFillShade="F2"/>
          </w:tcPr>
          <w:p w14:paraId="5BCF4593" w14:textId="77777777" w:rsidR="009A50B5" w:rsidRDefault="009A50B5" w:rsidP="00532C3D">
            <w:pPr>
              <w:pStyle w:val="ListParagraph"/>
              <w:snapToGrid w:val="0"/>
              <w:spacing w:before="240" w:after="40"/>
              <w:ind w:left="0"/>
              <w:contextualSpacing w:val="0"/>
              <w:jc w:val="both"/>
              <w:rPr>
                <w:rFonts w:ascii="Arial" w:hAnsi="Arial" w:cs="Arial"/>
              </w:rPr>
            </w:pPr>
          </w:p>
        </w:tc>
        <w:tc>
          <w:tcPr>
            <w:tcW w:w="7371" w:type="dxa"/>
          </w:tcPr>
          <w:p w14:paraId="39AD074C" w14:textId="77777777" w:rsidR="009A50B5" w:rsidRPr="003D348E" w:rsidRDefault="009A50B5" w:rsidP="00532C3D">
            <w:pPr>
              <w:pStyle w:val="ListParagraph"/>
              <w:snapToGrid w:val="0"/>
              <w:spacing w:before="40" w:after="40"/>
              <w:ind w:left="0"/>
              <w:contextualSpacing w:val="0"/>
              <w:jc w:val="both"/>
              <w:rPr>
                <w:rFonts w:ascii="Arial" w:hAnsi="Arial" w:cs="Arial"/>
              </w:rPr>
            </w:pPr>
            <w:r>
              <w:rPr>
                <w:rFonts w:ascii="Arial" w:hAnsi="Arial" w:cs="Arial"/>
              </w:rPr>
              <w:t>Strategy and System Partnerships Manager</w:t>
            </w:r>
          </w:p>
        </w:tc>
      </w:tr>
      <w:tr w:rsidR="009A50B5" w:rsidRPr="008D2881" w14:paraId="49496C01" w14:textId="77777777" w:rsidTr="007425F7">
        <w:tc>
          <w:tcPr>
            <w:tcW w:w="1903" w:type="dxa"/>
            <w:vMerge w:val="restart"/>
            <w:shd w:val="clear" w:color="auto" w:fill="F2F2F2" w:themeFill="background1" w:themeFillShade="F2"/>
          </w:tcPr>
          <w:p w14:paraId="4B02C0D4" w14:textId="77777777" w:rsidR="009A50B5" w:rsidRPr="008D2881" w:rsidRDefault="009A50B5" w:rsidP="00532C3D">
            <w:pPr>
              <w:pStyle w:val="ListParagraph"/>
              <w:snapToGrid w:val="0"/>
              <w:spacing w:before="240" w:after="40"/>
              <w:ind w:left="0"/>
              <w:contextualSpacing w:val="0"/>
              <w:jc w:val="both"/>
              <w:rPr>
                <w:rFonts w:ascii="Arial" w:hAnsi="Arial" w:cs="Arial"/>
                <w:b/>
                <w:bCs/>
              </w:rPr>
            </w:pPr>
            <w:r w:rsidRPr="008D2881">
              <w:rPr>
                <w:rFonts w:ascii="Arial" w:hAnsi="Arial" w:cs="Arial"/>
                <w:b/>
                <w:bCs/>
              </w:rPr>
              <w:t>Oxford University Hospitals</w:t>
            </w:r>
          </w:p>
        </w:tc>
        <w:tc>
          <w:tcPr>
            <w:tcW w:w="7371" w:type="dxa"/>
          </w:tcPr>
          <w:p w14:paraId="43AC6FCA" w14:textId="77777777" w:rsidR="009A50B5" w:rsidRPr="008D2881" w:rsidRDefault="009A50B5" w:rsidP="00532C3D">
            <w:pPr>
              <w:pStyle w:val="ListParagraph"/>
              <w:snapToGrid w:val="0"/>
              <w:spacing w:before="40" w:after="40"/>
              <w:ind w:left="0"/>
              <w:contextualSpacing w:val="0"/>
              <w:jc w:val="both"/>
              <w:rPr>
                <w:rFonts w:ascii="Arial" w:hAnsi="Arial" w:cs="Arial"/>
              </w:rPr>
            </w:pPr>
            <w:r w:rsidRPr="008D2881">
              <w:rPr>
                <w:rFonts w:ascii="Arial" w:hAnsi="Arial" w:cs="Arial"/>
              </w:rPr>
              <w:t>Chief Executive</w:t>
            </w:r>
          </w:p>
        </w:tc>
      </w:tr>
      <w:tr w:rsidR="009A50B5" w:rsidRPr="008D2881" w14:paraId="6515FDE2" w14:textId="77777777" w:rsidTr="007425F7">
        <w:tc>
          <w:tcPr>
            <w:tcW w:w="1903" w:type="dxa"/>
            <w:vMerge/>
            <w:shd w:val="clear" w:color="auto" w:fill="F2F2F2" w:themeFill="background1" w:themeFillShade="F2"/>
          </w:tcPr>
          <w:p w14:paraId="20C1311D" w14:textId="77777777" w:rsidR="009A50B5" w:rsidRPr="008D2881" w:rsidRDefault="009A50B5" w:rsidP="00532C3D">
            <w:pPr>
              <w:pStyle w:val="ListParagraph"/>
              <w:snapToGrid w:val="0"/>
              <w:spacing w:before="40" w:after="40"/>
              <w:ind w:left="0"/>
              <w:contextualSpacing w:val="0"/>
              <w:jc w:val="both"/>
              <w:rPr>
                <w:rFonts w:ascii="Arial" w:hAnsi="Arial" w:cs="Arial"/>
              </w:rPr>
            </w:pPr>
          </w:p>
        </w:tc>
        <w:tc>
          <w:tcPr>
            <w:tcW w:w="7371" w:type="dxa"/>
          </w:tcPr>
          <w:p w14:paraId="2E85FBB4" w14:textId="77777777" w:rsidR="009A50B5" w:rsidRPr="008D2881" w:rsidRDefault="009A50B5" w:rsidP="00532C3D">
            <w:pPr>
              <w:pStyle w:val="ListParagraph"/>
              <w:snapToGrid w:val="0"/>
              <w:spacing w:before="40" w:after="40"/>
              <w:ind w:left="0"/>
              <w:contextualSpacing w:val="0"/>
              <w:jc w:val="both"/>
              <w:rPr>
                <w:rFonts w:ascii="Arial" w:hAnsi="Arial" w:cs="Arial"/>
              </w:rPr>
            </w:pPr>
            <w:r w:rsidRPr="008D2881">
              <w:rPr>
                <w:rFonts w:ascii="Arial" w:hAnsi="Arial" w:cs="Arial"/>
              </w:rPr>
              <w:t>Chief Nurse</w:t>
            </w:r>
          </w:p>
        </w:tc>
      </w:tr>
      <w:tr w:rsidR="009A50B5" w:rsidRPr="008D2881" w14:paraId="5CB032FE" w14:textId="77777777" w:rsidTr="007425F7">
        <w:tc>
          <w:tcPr>
            <w:tcW w:w="1903" w:type="dxa"/>
            <w:vMerge/>
            <w:shd w:val="clear" w:color="auto" w:fill="F2F2F2" w:themeFill="background1" w:themeFillShade="F2"/>
          </w:tcPr>
          <w:p w14:paraId="17B9AA9C" w14:textId="77777777" w:rsidR="009A50B5" w:rsidRPr="008D2881" w:rsidRDefault="009A50B5" w:rsidP="00532C3D">
            <w:pPr>
              <w:pStyle w:val="ListParagraph"/>
              <w:snapToGrid w:val="0"/>
              <w:spacing w:before="40" w:after="40"/>
              <w:ind w:left="0"/>
              <w:contextualSpacing w:val="0"/>
              <w:jc w:val="both"/>
              <w:rPr>
                <w:rFonts w:ascii="Arial" w:hAnsi="Arial" w:cs="Arial"/>
              </w:rPr>
            </w:pPr>
          </w:p>
        </w:tc>
        <w:tc>
          <w:tcPr>
            <w:tcW w:w="7371" w:type="dxa"/>
          </w:tcPr>
          <w:p w14:paraId="48D2DE8A" w14:textId="77777777" w:rsidR="009A50B5" w:rsidRPr="008D2881" w:rsidRDefault="009A50B5" w:rsidP="00532C3D">
            <w:pPr>
              <w:pStyle w:val="ListParagraph"/>
              <w:snapToGrid w:val="0"/>
              <w:spacing w:before="40" w:after="40"/>
              <w:ind w:left="0"/>
              <w:contextualSpacing w:val="0"/>
              <w:jc w:val="both"/>
              <w:rPr>
                <w:rFonts w:ascii="Arial" w:hAnsi="Arial" w:cs="Arial"/>
              </w:rPr>
            </w:pPr>
            <w:r w:rsidRPr="008D2881">
              <w:rPr>
                <w:rFonts w:ascii="Arial" w:hAnsi="Arial" w:cs="Arial"/>
              </w:rPr>
              <w:t>Chief Digital and Partnerships Officer</w:t>
            </w:r>
          </w:p>
        </w:tc>
      </w:tr>
      <w:tr w:rsidR="009A50B5" w:rsidRPr="008D2881" w14:paraId="36BCA70D" w14:textId="77777777" w:rsidTr="007425F7">
        <w:tc>
          <w:tcPr>
            <w:tcW w:w="1903" w:type="dxa"/>
            <w:vMerge/>
            <w:shd w:val="clear" w:color="auto" w:fill="F2F2F2" w:themeFill="background1" w:themeFillShade="F2"/>
          </w:tcPr>
          <w:p w14:paraId="6EA11276" w14:textId="77777777" w:rsidR="009A50B5" w:rsidRPr="008D2881" w:rsidRDefault="009A50B5" w:rsidP="00532C3D">
            <w:pPr>
              <w:pStyle w:val="ListParagraph"/>
              <w:snapToGrid w:val="0"/>
              <w:spacing w:before="40" w:after="40"/>
              <w:ind w:left="0"/>
              <w:contextualSpacing w:val="0"/>
              <w:jc w:val="both"/>
              <w:rPr>
                <w:rFonts w:ascii="Arial" w:hAnsi="Arial" w:cs="Arial"/>
              </w:rPr>
            </w:pPr>
          </w:p>
        </w:tc>
        <w:tc>
          <w:tcPr>
            <w:tcW w:w="7371" w:type="dxa"/>
          </w:tcPr>
          <w:p w14:paraId="344E310E" w14:textId="77777777" w:rsidR="009A50B5" w:rsidRPr="008D2881" w:rsidRDefault="009A50B5" w:rsidP="00532C3D">
            <w:pPr>
              <w:pStyle w:val="ListParagraph"/>
              <w:snapToGrid w:val="0"/>
              <w:spacing w:before="40" w:after="40"/>
              <w:ind w:left="0"/>
              <w:contextualSpacing w:val="0"/>
              <w:jc w:val="both"/>
              <w:rPr>
                <w:rFonts w:ascii="Arial" w:hAnsi="Arial" w:cs="Arial"/>
              </w:rPr>
            </w:pPr>
            <w:r w:rsidRPr="008D2881">
              <w:rPr>
                <w:rFonts w:ascii="Arial" w:hAnsi="Arial" w:cs="Arial"/>
              </w:rPr>
              <w:t>Chief Financial Officer</w:t>
            </w:r>
          </w:p>
        </w:tc>
      </w:tr>
      <w:tr w:rsidR="009A50B5" w:rsidRPr="008D2881" w14:paraId="632D1FFC" w14:textId="77777777" w:rsidTr="007425F7">
        <w:tc>
          <w:tcPr>
            <w:tcW w:w="1903" w:type="dxa"/>
            <w:vMerge/>
            <w:shd w:val="clear" w:color="auto" w:fill="F2F2F2" w:themeFill="background1" w:themeFillShade="F2"/>
          </w:tcPr>
          <w:p w14:paraId="7E6163B4" w14:textId="77777777" w:rsidR="009A50B5" w:rsidRPr="008D2881" w:rsidRDefault="009A50B5" w:rsidP="00532C3D">
            <w:pPr>
              <w:pStyle w:val="ListParagraph"/>
              <w:snapToGrid w:val="0"/>
              <w:spacing w:before="40" w:after="40"/>
              <w:ind w:left="0"/>
              <w:contextualSpacing w:val="0"/>
              <w:jc w:val="both"/>
              <w:rPr>
                <w:rFonts w:ascii="Arial" w:hAnsi="Arial" w:cs="Arial"/>
              </w:rPr>
            </w:pPr>
          </w:p>
        </w:tc>
        <w:tc>
          <w:tcPr>
            <w:tcW w:w="7371" w:type="dxa"/>
          </w:tcPr>
          <w:p w14:paraId="793AE341" w14:textId="77777777" w:rsidR="009A50B5" w:rsidRPr="008D2881" w:rsidRDefault="009A50B5" w:rsidP="00532C3D">
            <w:pPr>
              <w:pStyle w:val="ListParagraph"/>
              <w:snapToGrid w:val="0"/>
              <w:spacing w:before="40" w:after="40"/>
              <w:ind w:left="0"/>
              <w:contextualSpacing w:val="0"/>
              <w:jc w:val="both"/>
              <w:rPr>
                <w:rFonts w:ascii="Arial" w:hAnsi="Arial" w:cs="Arial"/>
              </w:rPr>
            </w:pPr>
            <w:r w:rsidRPr="008D2881">
              <w:rPr>
                <w:rFonts w:ascii="Arial" w:hAnsi="Arial" w:cs="Arial"/>
              </w:rPr>
              <w:t xml:space="preserve">Director of Strategy and Partnerships </w:t>
            </w:r>
          </w:p>
        </w:tc>
      </w:tr>
    </w:tbl>
    <w:p w14:paraId="2BBF4538" w14:textId="77777777" w:rsidR="00A53901" w:rsidRPr="009A50B5" w:rsidRDefault="00A53901" w:rsidP="00532C3D">
      <w:pPr>
        <w:jc w:val="both"/>
        <w:rPr>
          <w:rFonts w:ascii="Arial" w:hAnsi="Arial" w:cs="Arial"/>
          <w:color w:val="000000" w:themeColor="text1"/>
        </w:rPr>
      </w:pPr>
    </w:p>
    <w:p w14:paraId="35D2C096" w14:textId="0B206BCD" w:rsidR="00172FD5" w:rsidRPr="008D2881" w:rsidRDefault="000622B7" w:rsidP="00532C3D">
      <w:pPr>
        <w:pStyle w:val="ListParagraph"/>
        <w:numPr>
          <w:ilvl w:val="0"/>
          <w:numId w:val="3"/>
        </w:numPr>
        <w:spacing w:after="200" w:line="276" w:lineRule="auto"/>
        <w:jc w:val="both"/>
        <w:rPr>
          <w:rFonts w:ascii="Arial" w:hAnsi="Arial" w:cs="Arial"/>
        </w:rPr>
      </w:pPr>
      <w:r w:rsidRPr="008D2881">
        <w:rPr>
          <w:rFonts w:ascii="Arial" w:hAnsi="Arial" w:cs="Arial"/>
          <w:b/>
          <w:bCs/>
          <w:color w:val="000000" w:themeColor="text1"/>
        </w:rPr>
        <w:t>Clinical and Operational involvement</w:t>
      </w:r>
      <w:r w:rsidRPr="008D2881">
        <w:rPr>
          <w:rFonts w:ascii="Arial" w:hAnsi="Arial" w:cs="Arial"/>
          <w:color w:val="000000" w:themeColor="text1"/>
        </w:rPr>
        <w:t xml:space="preserve"> – </w:t>
      </w:r>
      <w:r w:rsidR="00172FD5" w:rsidRPr="008D2881">
        <w:rPr>
          <w:rFonts w:ascii="Arial" w:hAnsi="Arial" w:cs="Arial"/>
          <w:color w:val="000000" w:themeColor="text1"/>
        </w:rPr>
        <w:t>Both Trusts will provide operational and clinical leadership to support the development of joined-up care pathway</w:t>
      </w:r>
      <w:r w:rsidRPr="008D2881">
        <w:rPr>
          <w:rFonts w:ascii="Arial" w:hAnsi="Arial" w:cs="Arial"/>
          <w:color w:val="000000" w:themeColor="text1"/>
        </w:rPr>
        <w:t xml:space="preserve">s. </w:t>
      </w:r>
    </w:p>
    <w:p w14:paraId="64B565BE" w14:textId="77777777" w:rsidR="00A53901" w:rsidRPr="00A53901" w:rsidRDefault="00A53901" w:rsidP="00532C3D">
      <w:pPr>
        <w:jc w:val="both"/>
        <w:rPr>
          <w:rFonts w:ascii="Arial" w:hAnsi="Arial" w:cs="Arial"/>
          <w:color w:val="000000" w:themeColor="text1"/>
          <w:sz w:val="26"/>
          <w:szCs w:val="26"/>
        </w:rPr>
      </w:pPr>
    </w:p>
    <w:p w14:paraId="5723AD68" w14:textId="05E4BCF1" w:rsidR="008D2881" w:rsidRDefault="00172FD5" w:rsidP="00532C3D">
      <w:pPr>
        <w:jc w:val="both"/>
        <w:rPr>
          <w:rFonts w:ascii="Arial" w:hAnsi="Arial" w:cs="Arial"/>
          <w:b/>
          <w:bCs/>
          <w:color w:val="000000" w:themeColor="text1"/>
          <w:sz w:val="26"/>
          <w:szCs w:val="26"/>
          <w:u w:val="single"/>
        </w:rPr>
      </w:pPr>
      <w:r w:rsidRPr="002F2CA3">
        <w:rPr>
          <w:rFonts w:ascii="Arial" w:hAnsi="Arial" w:cs="Arial"/>
          <w:b/>
          <w:bCs/>
          <w:color w:val="000000" w:themeColor="text1"/>
          <w:sz w:val="26"/>
          <w:szCs w:val="26"/>
          <w:u w:val="single"/>
        </w:rPr>
        <w:t>Confidentiality and Data Protection</w:t>
      </w:r>
    </w:p>
    <w:p w14:paraId="333111B7" w14:textId="7C815ABD" w:rsidR="008D2881" w:rsidRDefault="008D2881" w:rsidP="00532C3D">
      <w:pPr>
        <w:jc w:val="both"/>
        <w:rPr>
          <w:rFonts w:ascii="Arial" w:hAnsi="Arial" w:cs="Arial"/>
          <w:b/>
          <w:bCs/>
          <w:color w:val="000000" w:themeColor="text1"/>
          <w:sz w:val="26"/>
          <w:szCs w:val="26"/>
          <w:u w:val="single"/>
        </w:rPr>
      </w:pPr>
    </w:p>
    <w:p w14:paraId="0C308F9C" w14:textId="3E020640" w:rsidR="008D2881" w:rsidRDefault="008D2881" w:rsidP="00532C3D">
      <w:pPr>
        <w:pStyle w:val="ListParagraph"/>
        <w:numPr>
          <w:ilvl w:val="0"/>
          <w:numId w:val="3"/>
        </w:numPr>
        <w:spacing w:after="200" w:line="276" w:lineRule="auto"/>
        <w:jc w:val="both"/>
        <w:rPr>
          <w:rFonts w:ascii="Arial" w:hAnsi="Arial" w:cs="Arial"/>
          <w:color w:val="000000" w:themeColor="text1"/>
        </w:rPr>
      </w:pPr>
      <w:r w:rsidRPr="008D2881">
        <w:rPr>
          <w:rFonts w:ascii="Arial" w:hAnsi="Arial" w:cs="Arial"/>
          <w:color w:val="000000" w:themeColor="text1"/>
        </w:rPr>
        <w:t>This section alone shall be legally binding upon the parties.</w:t>
      </w:r>
    </w:p>
    <w:p w14:paraId="6EB69007" w14:textId="77777777" w:rsidR="008D2881" w:rsidRDefault="008D2881" w:rsidP="00532C3D">
      <w:pPr>
        <w:pStyle w:val="ListParagraph"/>
        <w:spacing w:after="200" w:line="276" w:lineRule="auto"/>
        <w:ind w:left="360"/>
        <w:jc w:val="both"/>
        <w:rPr>
          <w:rFonts w:ascii="Arial" w:hAnsi="Arial" w:cs="Arial"/>
          <w:color w:val="000000" w:themeColor="text1"/>
        </w:rPr>
      </w:pPr>
    </w:p>
    <w:p w14:paraId="316554DF" w14:textId="74EB9142" w:rsidR="008D2881" w:rsidRPr="008D2881" w:rsidRDefault="008D2881" w:rsidP="00532C3D">
      <w:pPr>
        <w:pStyle w:val="ListParagraph"/>
        <w:numPr>
          <w:ilvl w:val="0"/>
          <w:numId w:val="3"/>
        </w:numPr>
        <w:spacing w:after="200" w:line="276" w:lineRule="auto"/>
        <w:jc w:val="both"/>
        <w:rPr>
          <w:rFonts w:ascii="Arial" w:hAnsi="Arial" w:cs="Arial"/>
          <w:color w:val="000000" w:themeColor="text1"/>
        </w:rPr>
      </w:pPr>
      <w:r w:rsidRPr="008D2881">
        <w:rPr>
          <w:rFonts w:ascii="Arial" w:hAnsi="Arial" w:cs="Arial"/>
        </w:rPr>
        <w:t>For the purposes of any applicable data protection legislation the Parties shall be the data controller of any Personal Data (as defined in the UK General Data Protection Regulation (UK GDPR)) created in connection with the conduct or performance of the principles of this MoU.</w:t>
      </w:r>
    </w:p>
    <w:p w14:paraId="1C6507D8" w14:textId="77777777" w:rsidR="008D2881" w:rsidRPr="008D2881" w:rsidRDefault="008D2881" w:rsidP="00532C3D">
      <w:pPr>
        <w:pStyle w:val="ListParagraph"/>
        <w:ind w:left="360"/>
        <w:jc w:val="both"/>
        <w:rPr>
          <w:rFonts w:ascii="Arial" w:hAnsi="Arial" w:cs="Arial"/>
        </w:rPr>
      </w:pPr>
    </w:p>
    <w:p w14:paraId="1DD34A85" w14:textId="77777777" w:rsidR="008D2881" w:rsidRPr="008D2881" w:rsidRDefault="008D2881" w:rsidP="00532C3D">
      <w:pPr>
        <w:pStyle w:val="ListParagraph"/>
        <w:numPr>
          <w:ilvl w:val="0"/>
          <w:numId w:val="3"/>
        </w:numPr>
        <w:jc w:val="both"/>
        <w:rPr>
          <w:rFonts w:ascii="Arial" w:hAnsi="Arial" w:cs="Arial"/>
        </w:rPr>
      </w:pPr>
      <w:r w:rsidRPr="008D2881">
        <w:rPr>
          <w:rFonts w:ascii="Arial" w:hAnsi="Arial" w:cs="Arial"/>
        </w:rPr>
        <w:t>Where appropriate the Parties agree to use all reasonable efforts to assist each other to comply with their respective responsibilities under any applicable data protection legislation. For the avoidance of doubt, this may include providing other Parties with reasonable assistance in complying with subject access requests and consulting with other Parties, as appropriate, prior to the disclosure of any Personal Data (as defined in the UK GDPR) created in connection with the conduct or performance of this MoU in relation to such requests.</w:t>
      </w:r>
    </w:p>
    <w:p w14:paraId="4DDE7F72" w14:textId="77777777" w:rsidR="008D2881" w:rsidRPr="008D2881" w:rsidRDefault="008D2881" w:rsidP="00532C3D">
      <w:pPr>
        <w:pStyle w:val="ListParagraph"/>
        <w:jc w:val="both"/>
        <w:rPr>
          <w:rFonts w:ascii="Arial" w:hAnsi="Arial" w:cs="Arial"/>
        </w:rPr>
      </w:pPr>
    </w:p>
    <w:p w14:paraId="5C5749C3" w14:textId="77777777" w:rsidR="008D2881" w:rsidRPr="008D2881" w:rsidRDefault="008D2881" w:rsidP="00532C3D">
      <w:pPr>
        <w:pStyle w:val="ListParagraph"/>
        <w:numPr>
          <w:ilvl w:val="0"/>
          <w:numId w:val="3"/>
        </w:numPr>
        <w:jc w:val="both"/>
        <w:rPr>
          <w:rFonts w:ascii="Arial" w:hAnsi="Arial" w:cs="Arial"/>
        </w:rPr>
      </w:pPr>
      <w:r w:rsidRPr="008D2881">
        <w:rPr>
          <w:rFonts w:ascii="Arial" w:hAnsi="Arial" w:cs="Arial"/>
        </w:rPr>
        <w:t xml:space="preserve">All Parties will adhere to all applicable statutory requirements regarding data protection and confidentiality. The Parties agree to co-operate with one another </w:t>
      </w:r>
      <w:r w:rsidRPr="008D2881">
        <w:rPr>
          <w:rFonts w:ascii="Arial" w:hAnsi="Arial" w:cs="Arial"/>
        </w:rPr>
        <w:lastRenderedPageBreak/>
        <w:t>with its respective statutory obligations under the Freedom of Information Act 2000 and Environmental Information Regulations 2004.</w:t>
      </w:r>
    </w:p>
    <w:p w14:paraId="1BB59A14" w14:textId="77777777" w:rsidR="008D2881" w:rsidRPr="008D2881" w:rsidRDefault="008D2881" w:rsidP="00532C3D">
      <w:pPr>
        <w:pStyle w:val="ListParagraph"/>
        <w:jc w:val="both"/>
        <w:rPr>
          <w:rFonts w:ascii="Arial" w:hAnsi="Arial" w:cs="Arial"/>
          <w:color w:val="000000"/>
        </w:rPr>
      </w:pPr>
    </w:p>
    <w:p w14:paraId="3785E320" w14:textId="77777777" w:rsidR="008D2881" w:rsidRPr="008D2881" w:rsidRDefault="008D2881" w:rsidP="00532C3D">
      <w:pPr>
        <w:pStyle w:val="ListParagraph"/>
        <w:numPr>
          <w:ilvl w:val="0"/>
          <w:numId w:val="3"/>
        </w:numPr>
        <w:jc w:val="both"/>
        <w:rPr>
          <w:rFonts w:ascii="Arial" w:hAnsi="Arial" w:cs="Arial"/>
        </w:rPr>
      </w:pPr>
      <w:r w:rsidRPr="008D2881">
        <w:rPr>
          <w:rFonts w:ascii="Arial" w:hAnsi="Arial" w:cs="Arial"/>
          <w:color w:val="000000"/>
        </w:rPr>
        <w:t xml:space="preserve">The Parties that are subject to this MoU agree to provide in a timely manner and without restriction all information requested and required by the relevant designated Business Intelligence project team (either internal team or external contractor) to carry out the work including but not limited to relevant detailed financial, activity, workforce and estates related information pertaining to the proposed </w:t>
      </w:r>
      <w:proofErr w:type="gramStart"/>
      <w:r w:rsidRPr="008D2881">
        <w:rPr>
          <w:rFonts w:ascii="Arial" w:hAnsi="Arial" w:cs="Arial"/>
          <w:color w:val="000000"/>
        </w:rPr>
        <w:t>changes;</w:t>
      </w:r>
      <w:proofErr w:type="gramEnd"/>
    </w:p>
    <w:p w14:paraId="266726F5" w14:textId="77777777" w:rsidR="008D2881" w:rsidRPr="008D2881" w:rsidRDefault="008D2881" w:rsidP="00532C3D">
      <w:pPr>
        <w:pStyle w:val="ListParagraph"/>
        <w:jc w:val="both"/>
        <w:rPr>
          <w:rFonts w:ascii="Arial" w:hAnsi="Arial" w:cs="Arial"/>
          <w:color w:val="000000"/>
        </w:rPr>
      </w:pPr>
    </w:p>
    <w:p w14:paraId="5B962231" w14:textId="77777777" w:rsidR="008D2881" w:rsidRPr="008D2881" w:rsidRDefault="008D2881" w:rsidP="00532C3D">
      <w:pPr>
        <w:pStyle w:val="ListParagraph"/>
        <w:numPr>
          <w:ilvl w:val="0"/>
          <w:numId w:val="3"/>
        </w:numPr>
        <w:jc w:val="both"/>
        <w:rPr>
          <w:rFonts w:ascii="Arial" w:hAnsi="Arial" w:cs="Arial"/>
        </w:rPr>
      </w:pPr>
      <w:r w:rsidRPr="008D2881">
        <w:rPr>
          <w:rFonts w:ascii="Arial" w:hAnsi="Arial" w:cs="Arial"/>
          <w:color w:val="000000"/>
        </w:rPr>
        <w:t xml:space="preserve">The Parties shall not disclose any Confidential Information of the other Parties to any third party without the prior written consent of the other </w:t>
      </w:r>
      <w:proofErr w:type="gramStart"/>
      <w:r w:rsidRPr="008D2881">
        <w:rPr>
          <w:rFonts w:ascii="Arial" w:hAnsi="Arial" w:cs="Arial"/>
          <w:color w:val="000000"/>
        </w:rPr>
        <w:t>Parties;</w:t>
      </w:r>
      <w:proofErr w:type="gramEnd"/>
    </w:p>
    <w:p w14:paraId="29AA863F" w14:textId="77777777" w:rsidR="008D2881" w:rsidRPr="008D2881" w:rsidRDefault="008D2881" w:rsidP="00532C3D">
      <w:pPr>
        <w:pStyle w:val="ListParagraph"/>
        <w:jc w:val="both"/>
        <w:rPr>
          <w:rFonts w:ascii="Arial" w:hAnsi="Arial" w:cs="Arial"/>
        </w:rPr>
      </w:pPr>
    </w:p>
    <w:p w14:paraId="2B5DDB7D" w14:textId="5FA9CF96" w:rsidR="008D2881" w:rsidRPr="008D2881" w:rsidRDefault="008D2881" w:rsidP="00532C3D">
      <w:pPr>
        <w:pStyle w:val="ListParagraph"/>
        <w:numPr>
          <w:ilvl w:val="0"/>
          <w:numId w:val="3"/>
        </w:numPr>
        <w:jc w:val="both"/>
        <w:rPr>
          <w:rFonts w:ascii="Arial" w:hAnsi="Arial" w:cs="Arial"/>
        </w:rPr>
      </w:pPr>
      <w:r w:rsidRPr="008D2881">
        <w:rPr>
          <w:rFonts w:ascii="Arial" w:hAnsi="Arial" w:cs="Arial"/>
        </w:rPr>
        <w:t>For the avoidance of doubt, nothing in this MoU shall be construed as preventing any rights or obligations that the Parties may have under the Public Interest Disclosure Act (1998) and / or any obligations that the Parties have or may have to raise concerns about any malpractice with regulatory or other appropriate statutory bodies pursuant to his professional and ethical obligations including those obligations set out in the guidance issued by regulatory or other appropriate statutory bodies from time to time. This shall not apply to any information which is already in the public domain (other than by a breach of this Agreement), or where disclosure is required by law or in relation to any information which is lawfully requested by government or NHS England.</w:t>
      </w:r>
    </w:p>
    <w:p w14:paraId="3007952C" w14:textId="77777777" w:rsidR="00A53901" w:rsidRPr="008D2881" w:rsidRDefault="00A53901" w:rsidP="00532C3D">
      <w:pPr>
        <w:jc w:val="both"/>
        <w:rPr>
          <w:rFonts w:ascii="Arial" w:hAnsi="Arial" w:cs="Arial"/>
          <w:color w:val="000000" w:themeColor="text1"/>
        </w:rPr>
      </w:pPr>
    </w:p>
    <w:p w14:paraId="2FEAB12B" w14:textId="397B3051" w:rsidR="00172FD5" w:rsidRPr="00A53901" w:rsidRDefault="00172FD5" w:rsidP="00532C3D">
      <w:pPr>
        <w:pStyle w:val="ListParagraph"/>
        <w:numPr>
          <w:ilvl w:val="0"/>
          <w:numId w:val="3"/>
        </w:numPr>
        <w:jc w:val="both"/>
        <w:rPr>
          <w:rFonts w:ascii="Arial" w:hAnsi="Arial" w:cs="Arial"/>
          <w:color w:val="000000" w:themeColor="text1"/>
        </w:rPr>
      </w:pPr>
      <w:r w:rsidRPr="00A53901">
        <w:rPr>
          <w:rFonts w:ascii="Arial" w:hAnsi="Arial" w:cs="Arial"/>
          <w:color w:val="000000" w:themeColor="text1"/>
        </w:rPr>
        <w:t>This agreement shall not restrict the ability of each party to fulfil their lawful obligations with respect to patient care, safeguarding, data protection legislation and other circumstances where the sharing of confidential information is required by law;</w:t>
      </w:r>
      <w:r w:rsidR="00A11416">
        <w:rPr>
          <w:rFonts w:ascii="Arial" w:hAnsi="Arial" w:cs="Arial"/>
          <w:color w:val="000000" w:themeColor="text1"/>
        </w:rPr>
        <w:t xml:space="preserve"> </w:t>
      </w:r>
      <w:r w:rsidRPr="00A53901">
        <w:rPr>
          <w:rFonts w:ascii="Arial" w:hAnsi="Arial" w:cs="Arial"/>
          <w:color w:val="000000" w:themeColor="text1"/>
        </w:rPr>
        <w:t>This agreement does not affect any arrangements already in place between the parties to share confidential patient and staff information;</w:t>
      </w:r>
      <w:r w:rsidR="00A53901">
        <w:rPr>
          <w:rFonts w:ascii="Arial" w:hAnsi="Arial" w:cs="Arial"/>
          <w:color w:val="000000" w:themeColor="text1"/>
        </w:rPr>
        <w:t xml:space="preserve"> </w:t>
      </w:r>
      <w:r w:rsidRPr="00A53901">
        <w:rPr>
          <w:rFonts w:ascii="Arial" w:hAnsi="Arial" w:cs="Arial"/>
          <w:color w:val="000000" w:themeColor="text1"/>
        </w:rPr>
        <w:t>This MoU does not commit any party to funding any other party without prior agreement;</w:t>
      </w:r>
      <w:r w:rsidR="00A53901" w:rsidRPr="00A53901">
        <w:rPr>
          <w:rFonts w:ascii="Arial" w:hAnsi="Arial" w:cs="Arial"/>
          <w:color w:val="000000" w:themeColor="text1"/>
        </w:rPr>
        <w:t xml:space="preserve"> </w:t>
      </w:r>
      <w:r w:rsidRPr="00A53901">
        <w:rPr>
          <w:rFonts w:ascii="Arial" w:hAnsi="Arial" w:cs="Arial"/>
          <w:color w:val="000000" w:themeColor="text1"/>
        </w:rPr>
        <w:t>This MoU shall not be construed as to create a legal partnership between the parties.</w:t>
      </w:r>
    </w:p>
    <w:p w14:paraId="31C77B33" w14:textId="77777777" w:rsidR="000622B7" w:rsidRDefault="000622B7" w:rsidP="00532C3D">
      <w:pPr>
        <w:jc w:val="both"/>
        <w:rPr>
          <w:rFonts w:ascii="Arial" w:hAnsi="Arial" w:cs="Arial"/>
          <w:b/>
          <w:bCs/>
          <w:color w:val="000000" w:themeColor="text1"/>
          <w:sz w:val="26"/>
          <w:szCs w:val="26"/>
        </w:rPr>
      </w:pPr>
    </w:p>
    <w:p w14:paraId="1CF9FD76" w14:textId="77777777" w:rsidR="000622B7" w:rsidRDefault="000622B7" w:rsidP="00532C3D">
      <w:pPr>
        <w:jc w:val="both"/>
        <w:rPr>
          <w:rFonts w:ascii="Arial" w:hAnsi="Arial" w:cs="Arial"/>
          <w:b/>
          <w:bCs/>
          <w:color w:val="000000" w:themeColor="text1"/>
          <w:sz w:val="26"/>
          <w:szCs w:val="26"/>
        </w:rPr>
      </w:pPr>
    </w:p>
    <w:p w14:paraId="3EFB9225" w14:textId="4CCE2F50" w:rsidR="00172FD5" w:rsidRPr="00A53901" w:rsidRDefault="00172FD5" w:rsidP="00532C3D">
      <w:pPr>
        <w:jc w:val="both"/>
        <w:rPr>
          <w:rFonts w:ascii="Arial" w:hAnsi="Arial" w:cs="Arial"/>
          <w:b/>
          <w:bCs/>
          <w:color w:val="000000" w:themeColor="text1"/>
          <w:sz w:val="26"/>
          <w:szCs w:val="26"/>
        </w:rPr>
      </w:pPr>
      <w:r w:rsidRPr="00A53901">
        <w:rPr>
          <w:rFonts w:ascii="Arial" w:hAnsi="Arial" w:cs="Arial"/>
          <w:b/>
          <w:bCs/>
          <w:color w:val="000000" w:themeColor="text1"/>
          <w:sz w:val="26"/>
          <w:szCs w:val="26"/>
        </w:rPr>
        <w:t>Signatures</w:t>
      </w:r>
    </w:p>
    <w:tbl>
      <w:tblPr>
        <w:tblStyle w:val="TableGrid"/>
        <w:tblW w:w="0" w:type="auto"/>
        <w:tblLook w:val="04A0" w:firstRow="1" w:lastRow="0" w:firstColumn="1" w:lastColumn="0" w:noHBand="0" w:noVBand="1"/>
      </w:tblPr>
      <w:tblGrid>
        <w:gridCol w:w="3964"/>
        <w:gridCol w:w="5052"/>
      </w:tblGrid>
      <w:tr w:rsidR="00172FD5" w:rsidRPr="00172FD5" w14:paraId="412FB029" w14:textId="77777777" w:rsidTr="00F75610">
        <w:tc>
          <w:tcPr>
            <w:tcW w:w="3964" w:type="dxa"/>
          </w:tcPr>
          <w:p w14:paraId="1C0CADFA" w14:textId="3540AE02" w:rsidR="00172FD5" w:rsidRPr="00172FD5" w:rsidRDefault="00172FD5" w:rsidP="00CB5A07">
            <w:pPr>
              <w:rPr>
                <w:rFonts w:ascii="Arial" w:hAnsi="Arial" w:cs="Arial"/>
                <w:color w:val="000000" w:themeColor="text1"/>
                <w:sz w:val="24"/>
                <w:szCs w:val="24"/>
              </w:rPr>
            </w:pPr>
            <w:r w:rsidRPr="00172FD5">
              <w:rPr>
                <w:rFonts w:ascii="Arial" w:hAnsi="Arial" w:cs="Arial"/>
                <w:color w:val="000000" w:themeColor="text1"/>
                <w:sz w:val="24"/>
                <w:szCs w:val="24"/>
              </w:rPr>
              <w:t xml:space="preserve">XX </w:t>
            </w:r>
            <w:proofErr w:type="spellStart"/>
            <w:r w:rsidRPr="00172FD5">
              <w:rPr>
                <w:rFonts w:ascii="Arial" w:hAnsi="Arial" w:cs="Arial"/>
                <w:color w:val="000000" w:themeColor="text1"/>
                <w:sz w:val="24"/>
                <w:szCs w:val="24"/>
              </w:rPr>
              <w:t>XX</w:t>
            </w:r>
            <w:proofErr w:type="spellEnd"/>
            <w:r w:rsidRPr="00172FD5">
              <w:rPr>
                <w:rFonts w:ascii="Arial" w:hAnsi="Arial" w:cs="Arial"/>
                <w:color w:val="000000" w:themeColor="text1"/>
                <w:sz w:val="24"/>
                <w:szCs w:val="24"/>
              </w:rPr>
              <w:t xml:space="preserve"> on behalf of Oxford University Hospitals NHS Foundation Trust</w:t>
            </w:r>
          </w:p>
        </w:tc>
        <w:tc>
          <w:tcPr>
            <w:tcW w:w="5052" w:type="dxa"/>
          </w:tcPr>
          <w:p w14:paraId="63262D2F" w14:textId="77777777" w:rsidR="00172FD5" w:rsidRPr="00172FD5" w:rsidRDefault="00172FD5" w:rsidP="00532C3D">
            <w:pPr>
              <w:jc w:val="both"/>
              <w:rPr>
                <w:rFonts w:ascii="Arial" w:hAnsi="Arial" w:cs="Arial"/>
                <w:color w:val="000000" w:themeColor="text1"/>
                <w:sz w:val="24"/>
                <w:szCs w:val="24"/>
              </w:rPr>
            </w:pPr>
          </w:p>
          <w:p w14:paraId="4AA05A50" w14:textId="77777777" w:rsidR="00172FD5" w:rsidRPr="00172FD5" w:rsidRDefault="00172FD5" w:rsidP="00532C3D">
            <w:pPr>
              <w:jc w:val="both"/>
              <w:rPr>
                <w:rFonts w:ascii="Arial" w:hAnsi="Arial" w:cs="Arial"/>
                <w:color w:val="000000" w:themeColor="text1"/>
                <w:sz w:val="24"/>
                <w:szCs w:val="24"/>
              </w:rPr>
            </w:pPr>
          </w:p>
          <w:p w14:paraId="04B57AAB" w14:textId="40E53C22" w:rsidR="00172FD5" w:rsidRPr="00172FD5" w:rsidRDefault="00172FD5" w:rsidP="00532C3D">
            <w:pPr>
              <w:jc w:val="both"/>
              <w:rPr>
                <w:rFonts w:ascii="Arial" w:hAnsi="Arial" w:cs="Arial"/>
                <w:color w:val="000000" w:themeColor="text1"/>
                <w:sz w:val="24"/>
                <w:szCs w:val="24"/>
              </w:rPr>
            </w:pPr>
            <w:r w:rsidRPr="00172FD5">
              <w:rPr>
                <w:rFonts w:ascii="Arial" w:hAnsi="Arial" w:cs="Arial"/>
                <w:color w:val="000000" w:themeColor="text1"/>
                <w:sz w:val="24"/>
                <w:szCs w:val="24"/>
              </w:rPr>
              <w:t>Date</w:t>
            </w:r>
            <w:r w:rsidR="00A53901">
              <w:rPr>
                <w:rFonts w:ascii="Arial" w:hAnsi="Arial" w:cs="Arial"/>
                <w:color w:val="000000" w:themeColor="text1"/>
                <w:sz w:val="24"/>
                <w:szCs w:val="24"/>
              </w:rPr>
              <w:t>:</w:t>
            </w:r>
          </w:p>
        </w:tc>
      </w:tr>
      <w:tr w:rsidR="00172FD5" w:rsidRPr="00172FD5" w14:paraId="2F29E2E2" w14:textId="77777777" w:rsidTr="00F75610">
        <w:tc>
          <w:tcPr>
            <w:tcW w:w="3964" w:type="dxa"/>
          </w:tcPr>
          <w:p w14:paraId="786ED995" w14:textId="2D3279AA" w:rsidR="00172FD5" w:rsidRPr="00172FD5" w:rsidRDefault="00172FD5" w:rsidP="00532C3D">
            <w:pPr>
              <w:jc w:val="both"/>
              <w:rPr>
                <w:rFonts w:ascii="Arial" w:hAnsi="Arial" w:cs="Arial"/>
                <w:color w:val="000000" w:themeColor="text1"/>
                <w:sz w:val="24"/>
                <w:szCs w:val="24"/>
              </w:rPr>
            </w:pPr>
            <w:r w:rsidRPr="00172FD5">
              <w:rPr>
                <w:rFonts w:ascii="Arial" w:hAnsi="Arial" w:cs="Arial"/>
                <w:color w:val="000000" w:themeColor="text1"/>
                <w:sz w:val="24"/>
                <w:szCs w:val="24"/>
              </w:rPr>
              <w:t xml:space="preserve">XX </w:t>
            </w:r>
            <w:proofErr w:type="spellStart"/>
            <w:r w:rsidRPr="00172FD5">
              <w:rPr>
                <w:rFonts w:ascii="Arial" w:hAnsi="Arial" w:cs="Arial"/>
                <w:color w:val="000000" w:themeColor="text1"/>
                <w:sz w:val="24"/>
                <w:szCs w:val="24"/>
              </w:rPr>
              <w:t>XX</w:t>
            </w:r>
            <w:proofErr w:type="spellEnd"/>
            <w:r w:rsidRPr="00172FD5">
              <w:rPr>
                <w:rFonts w:ascii="Arial" w:hAnsi="Arial" w:cs="Arial"/>
                <w:color w:val="000000" w:themeColor="text1"/>
                <w:sz w:val="24"/>
                <w:szCs w:val="24"/>
              </w:rPr>
              <w:t xml:space="preserve"> on behalf of Oxford Health NHS Foundation Trust</w:t>
            </w:r>
          </w:p>
          <w:p w14:paraId="4F9E2C2E" w14:textId="77777777" w:rsidR="00172FD5" w:rsidRPr="00172FD5" w:rsidRDefault="00172FD5" w:rsidP="00532C3D">
            <w:pPr>
              <w:jc w:val="both"/>
              <w:rPr>
                <w:rFonts w:ascii="Arial" w:hAnsi="Arial" w:cs="Arial"/>
                <w:color w:val="000000" w:themeColor="text1"/>
                <w:sz w:val="24"/>
                <w:szCs w:val="24"/>
              </w:rPr>
            </w:pPr>
          </w:p>
        </w:tc>
        <w:tc>
          <w:tcPr>
            <w:tcW w:w="5052" w:type="dxa"/>
          </w:tcPr>
          <w:p w14:paraId="0211AEB7" w14:textId="77777777" w:rsidR="00172FD5" w:rsidRPr="00172FD5" w:rsidRDefault="00172FD5" w:rsidP="00532C3D">
            <w:pPr>
              <w:jc w:val="both"/>
              <w:rPr>
                <w:rFonts w:ascii="Arial" w:hAnsi="Arial" w:cs="Arial"/>
                <w:color w:val="000000" w:themeColor="text1"/>
                <w:sz w:val="24"/>
                <w:szCs w:val="24"/>
              </w:rPr>
            </w:pPr>
          </w:p>
          <w:p w14:paraId="6D37C3DB" w14:textId="77777777" w:rsidR="00172FD5" w:rsidRPr="00172FD5" w:rsidRDefault="00172FD5" w:rsidP="00532C3D">
            <w:pPr>
              <w:jc w:val="both"/>
              <w:rPr>
                <w:rFonts w:ascii="Arial" w:hAnsi="Arial" w:cs="Arial"/>
                <w:color w:val="000000" w:themeColor="text1"/>
                <w:sz w:val="24"/>
                <w:szCs w:val="24"/>
              </w:rPr>
            </w:pPr>
          </w:p>
          <w:p w14:paraId="0F619F53" w14:textId="77777777" w:rsidR="00172FD5" w:rsidRPr="00172FD5" w:rsidRDefault="00172FD5" w:rsidP="00532C3D">
            <w:pPr>
              <w:jc w:val="both"/>
              <w:rPr>
                <w:rFonts w:ascii="Arial" w:hAnsi="Arial" w:cs="Arial"/>
                <w:color w:val="000000" w:themeColor="text1"/>
                <w:sz w:val="24"/>
                <w:szCs w:val="24"/>
              </w:rPr>
            </w:pPr>
            <w:r w:rsidRPr="00172FD5">
              <w:rPr>
                <w:rFonts w:ascii="Arial" w:hAnsi="Arial" w:cs="Arial"/>
                <w:color w:val="000000" w:themeColor="text1"/>
                <w:sz w:val="24"/>
                <w:szCs w:val="24"/>
              </w:rPr>
              <w:t>Date:</w:t>
            </w:r>
          </w:p>
        </w:tc>
      </w:tr>
    </w:tbl>
    <w:p w14:paraId="6546924C" w14:textId="77777777" w:rsidR="0026378F" w:rsidRDefault="0026378F" w:rsidP="00532C3D">
      <w:pPr>
        <w:snapToGrid w:val="0"/>
        <w:spacing w:beforeLines="40" w:before="96" w:after="40"/>
        <w:jc w:val="both"/>
        <w:rPr>
          <w:rFonts w:ascii="Arial" w:hAnsi="Arial" w:cs="Arial"/>
          <w:b/>
          <w:bCs/>
          <w:color w:val="000000" w:themeColor="text1"/>
          <w:sz w:val="28"/>
          <w:szCs w:val="28"/>
        </w:rPr>
      </w:pPr>
    </w:p>
    <w:p w14:paraId="48890B3C" w14:textId="5E60A794" w:rsidR="00037B65" w:rsidRDefault="00037B65" w:rsidP="00532C3D">
      <w:pPr>
        <w:snapToGrid w:val="0"/>
        <w:spacing w:beforeLines="40" w:before="96" w:after="40"/>
        <w:jc w:val="both"/>
        <w:rPr>
          <w:rFonts w:ascii="Arial" w:hAnsi="Arial" w:cs="Arial"/>
          <w:b/>
          <w:bCs/>
        </w:rPr>
      </w:pPr>
    </w:p>
    <w:p w14:paraId="3D09C8C9" w14:textId="3B68A6B4" w:rsidR="00037B65" w:rsidRDefault="00037B65" w:rsidP="00532C3D">
      <w:pPr>
        <w:snapToGrid w:val="0"/>
        <w:spacing w:beforeLines="40" w:before="96" w:after="40"/>
        <w:jc w:val="both"/>
        <w:rPr>
          <w:rFonts w:ascii="Arial" w:hAnsi="Arial" w:cs="Arial"/>
          <w:b/>
          <w:bCs/>
        </w:rPr>
      </w:pPr>
    </w:p>
    <w:p w14:paraId="36556BC0" w14:textId="616EA39C" w:rsidR="00037B65" w:rsidRPr="001534C5" w:rsidRDefault="00037B65" w:rsidP="00532C3D">
      <w:pPr>
        <w:snapToGrid w:val="0"/>
        <w:spacing w:beforeLines="40" w:before="96" w:after="40"/>
        <w:jc w:val="both"/>
        <w:rPr>
          <w:rFonts w:ascii="Arial" w:hAnsi="Arial" w:cs="Arial"/>
          <w:b/>
          <w:bCs/>
        </w:rPr>
      </w:pPr>
    </w:p>
    <w:sectPr w:rsidR="00037B65" w:rsidRPr="001534C5">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91ED3" w14:textId="77777777" w:rsidR="00425E4B" w:rsidRDefault="00425E4B" w:rsidP="00873AF2">
      <w:r>
        <w:separator/>
      </w:r>
    </w:p>
  </w:endnote>
  <w:endnote w:type="continuationSeparator" w:id="0">
    <w:p w14:paraId="615EDECE" w14:textId="77777777" w:rsidR="00425E4B" w:rsidRDefault="00425E4B" w:rsidP="0087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4831543"/>
      <w:docPartObj>
        <w:docPartGallery w:val="Page Numbers (Bottom of Page)"/>
        <w:docPartUnique/>
      </w:docPartObj>
    </w:sdtPr>
    <w:sdtEndPr>
      <w:rPr>
        <w:rStyle w:val="PageNumber"/>
      </w:rPr>
    </w:sdtEndPr>
    <w:sdtContent>
      <w:p w14:paraId="24531A1C" w14:textId="38E8FF45" w:rsidR="00CD7692" w:rsidRDefault="00CD7692" w:rsidP="00F636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899CD9" w14:textId="77777777" w:rsidR="00CD7692" w:rsidRDefault="00CD7692" w:rsidP="00CD76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507648867"/>
      <w:docPartObj>
        <w:docPartGallery w:val="Page Numbers (Bottom of Page)"/>
        <w:docPartUnique/>
      </w:docPartObj>
    </w:sdtPr>
    <w:sdtEndPr>
      <w:rPr>
        <w:rStyle w:val="PageNumber"/>
      </w:rPr>
    </w:sdtEndPr>
    <w:sdtContent>
      <w:p w14:paraId="38BD07D4" w14:textId="64117FBD" w:rsidR="00CD7692" w:rsidRPr="00CD7692" w:rsidRDefault="00CD7692" w:rsidP="00F636CB">
        <w:pPr>
          <w:pStyle w:val="Footer"/>
          <w:framePr w:wrap="none" w:vAnchor="text" w:hAnchor="margin" w:xAlign="right" w:y="1"/>
          <w:rPr>
            <w:rStyle w:val="PageNumber"/>
            <w:rFonts w:ascii="Arial" w:hAnsi="Arial" w:cs="Arial"/>
          </w:rPr>
        </w:pPr>
        <w:r w:rsidRPr="00CD7692">
          <w:rPr>
            <w:rStyle w:val="PageNumber"/>
            <w:rFonts w:ascii="Arial" w:hAnsi="Arial" w:cs="Arial"/>
          </w:rPr>
          <w:fldChar w:fldCharType="begin"/>
        </w:r>
        <w:r w:rsidRPr="00CD7692">
          <w:rPr>
            <w:rStyle w:val="PageNumber"/>
            <w:rFonts w:ascii="Arial" w:hAnsi="Arial" w:cs="Arial"/>
          </w:rPr>
          <w:instrText xml:space="preserve"> PAGE </w:instrText>
        </w:r>
        <w:r w:rsidRPr="00CD7692">
          <w:rPr>
            <w:rStyle w:val="PageNumber"/>
            <w:rFonts w:ascii="Arial" w:hAnsi="Arial" w:cs="Arial"/>
          </w:rPr>
          <w:fldChar w:fldCharType="separate"/>
        </w:r>
        <w:r w:rsidRPr="00CD7692">
          <w:rPr>
            <w:rStyle w:val="PageNumber"/>
            <w:rFonts w:ascii="Arial" w:hAnsi="Arial" w:cs="Arial"/>
            <w:noProof/>
          </w:rPr>
          <w:t>1</w:t>
        </w:r>
        <w:r w:rsidRPr="00CD7692">
          <w:rPr>
            <w:rStyle w:val="PageNumber"/>
            <w:rFonts w:ascii="Arial" w:hAnsi="Arial" w:cs="Arial"/>
          </w:rPr>
          <w:fldChar w:fldCharType="end"/>
        </w:r>
      </w:p>
    </w:sdtContent>
  </w:sdt>
  <w:p w14:paraId="1F0FB5C5" w14:textId="77777777" w:rsidR="00CD7692" w:rsidRPr="00CD7692" w:rsidRDefault="00CD7692" w:rsidP="00CD7692">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999F5" w14:textId="77777777" w:rsidR="00425E4B" w:rsidRDefault="00425E4B" w:rsidP="00873AF2">
      <w:r>
        <w:separator/>
      </w:r>
    </w:p>
  </w:footnote>
  <w:footnote w:type="continuationSeparator" w:id="0">
    <w:p w14:paraId="63C68620" w14:textId="77777777" w:rsidR="00425E4B" w:rsidRDefault="00425E4B" w:rsidP="00873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8ADF" w14:textId="4D27FB0D" w:rsidR="00873AF2" w:rsidRDefault="00CD7692" w:rsidP="00CD7692">
    <w:pPr>
      <w:pStyle w:val="Header"/>
    </w:pPr>
    <w:r w:rsidRPr="00CD7692">
      <w:rPr>
        <w:rFonts w:ascii="Arial" w:hAnsi="Arial" w:cs="Arial"/>
        <w:b/>
        <w:bCs/>
        <w:sz w:val="21"/>
        <w:szCs w:val="21"/>
      </w:rPr>
      <w:t>DRAFT V.0</w:t>
    </w:r>
    <w:r w:rsidR="00E42A62">
      <w:rPr>
        <w:rFonts w:ascii="Arial" w:hAnsi="Arial" w:cs="Arial"/>
        <w:b/>
        <w:bCs/>
        <w:sz w:val="21"/>
        <w:szCs w:val="21"/>
      </w:rPr>
      <w:t>7</w:t>
    </w:r>
    <w:r w:rsidR="00C539EE">
      <w:tab/>
    </w:r>
    <w:r w:rsidR="00C539EE">
      <w:tab/>
    </w:r>
    <w:r w:rsidR="00C539EE">
      <w:rPr>
        <w:noProof/>
      </w:rPr>
      <w:drawing>
        <wp:inline distT="0" distB="0" distL="0" distR="0" wp14:anchorId="5D0036B7" wp14:editId="54FFBC69">
          <wp:extent cx="1452409" cy="376307"/>
          <wp:effectExtent l="0" t="0" r="0" b="508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991" cy="390708"/>
                  </a:xfrm>
                  <a:prstGeom prst="rect">
                    <a:avLst/>
                  </a:prstGeom>
                  <a:noFill/>
                </pic:spPr>
              </pic:pic>
            </a:graphicData>
          </a:graphic>
        </wp:inline>
      </w:drawing>
    </w:r>
    <w:r w:rsidR="00C539EE">
      <w:t xml:space="preserve">    </w:t>
    </w:r>
    <w:r w:rsidR="00C539EE">
      <w:rPr>
        <w:noProof/>
      </w:rPr>
      <w:drawing>
        <wp:inline distT="0" distB="0" distL="0" distR="0" wp14:anchorId="6D3F6883" wp14:editId="34996BAB">
          <wp:extent cx="766158" cy="377527"/>
          <wp:effectExtent l="0" t="0" r="0" b="3810"/>
          <wp:docPr id="2" name="Picture 7" descr="Text&#10;&#10;Description automatically generated with medium confidence">
            <a:extLst xmlns:a="http://schemas.openxmlformats.org/drawingml/2006/main">
              <a:ext uri="{FF2B5EF4-FFF2-40B4-BE49-F238E27FC236}">
                <a16:creationId xmlns:a16="http://schemas.microsoft.com/office/drawing/2014/main" id="{09C03944-E48C-44EE-BA17-4B12314012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Text&#10;&#10;Description automatically generated with medium confidence">
                    <a:extLst>
                      <a:ext uri="{FF2B5EF4-FFF2-40B4-BE49-F238E27FC236}">
                        <a16:creationId xmlns:a16="http://schemas.microsoft.com/office/drawing/2014/main" id="{09C03944-E48C-44EE-BA17-4B1231401206}"/>
                      </a:ext>
                    </a:extLst>
                  </pic:cNvPr>
                  <pic:cNvPicPr>
                    <a:picLocks noChangeAspect="1"/>
                  </pic:cNvPicPr>
                </pic:nvPicPr>
                <pic:blipFill>
                  <a:blip r:embed="rId2"/>
                  <a:stretch>
                    <a:fillRect/>
                  </a:stretch>
                </pic:blipFill>
                <pic:spPr>
                  <a:xfrm>
                    <a:off x="0" y="0"/>
                    <a:ext cx="809291" cy="398781"/>
                  </a:xfrm>
                  <a:prstGeom prst="rect">
                    <a:avLst/>
                  </a:prstGeom>
                </pic:spPr>
              </pic:pic>
            </a:graphicData>
          </a:graphic>
        </wp:inline>
      </w:drawing>
    </w:r>
    <w:r w:rsidR="00873AF2">
      <w:tab/>
    </w:r>
    <w:r w:rsidR="00873AF2">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BD4"/>
    <w:multiLevelType w:val="hybridMultilevel"/>
    <w:tmpl w:val="296C6202"/>
    <w:lvl w:ilvl="0" w:tplc="57BE7226">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4A1072"/>
    <w:multiLevelType w:val="hybridMultilevel"/>
    <w:tmpl w:val="20085BB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01891E5F"/>
    <w:multiLevelType w:val="hybridMultilevel"/>
    <w:tmpl w:val="B9B03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B10FD6"/>
    <w:multiLevelType w:val="hybridMultilevel"/>
    <w:tmpl w:val="4AAABCB4"/>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4" w15:restartNumberingAfterBreak="0">
    <w:nsid w:val="07197C4A"/>
    <w:multiLevelType w:val="hybridMultilevel"/>
    <w:tmpl w:val="6B7E5472"/>
    <w:lvl w:ilvl="0" w:tplc="2E1C309C">
      <w:start w:val="1"/>
      <w:numFmt w:val="decimal"/>
      <w:lvlText w:val="%1."/>
      <w:lvlJc w:val="left"/>
      <w:pPr>
        <w:ind w:left="360" w:hanging="360"/>
      </w:pPr>
      <w:rPr>
        <w:rFonts w:hint="default"/>
        <w:b w:val="0"/>
        <w:bCs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86D7BCB"/>
    <w:multiLevelType w:val="hybridMultilevel"/>
    <w:tmpl w:val="D8FA7244"/>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09250DEF"/>
    <w:multiLevelType w:val="hybridMultilevel"/>
    <w:tmpl w:val="5808C5F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94D7A78"/>
    <w:multiLevelType w:val="hybridMultilevel"/>
    <w:tmpl w:val="FA4E4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A372152"/>
    <w:multiLevelType w:val="hybridMultilevel"/>
    <w:tmpl w:val="60E80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2E5B2A"/>
    <w:multiLevelType w:val="hybridMultilevel"/>
    <w:tmpl w:val="519C304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E562C01"/>
    <w:multiLevelType w:val="hybridMultilevel"/>
    <w:tmpl w:val="BB8A4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F450DFB"/>
    <w:multiLevelType w:val="hybridMultilevel"/>
    <w:tmpl w:val="F042A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22A3A"/>
    <w:multiLevelType w:val="hybridMultilevel"/>
    <w:tmpl w:val="40627E4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2EB005C"/>
    <w:multiLevelType w:val="multilevel"/>
    <w:tmpl w:val="D3C0EC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2A4071"/>
    <w:multiLevelType w:val="hybridMultilevel"/>
    <w:tmpl w:val="C63A5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84B17C0"/>
    <w:multiLevelType w:val="hybridMultilevel"/>
    <w:tmpl w:val="952656C0"/>
    <w:lvl w:ilvl="0" w:tplc="03FA0C38">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1B5D69AE"/>
    <w:multiLevelType w:val="hybridMultilevel"/>
    <w:tmpl w:val="F4EC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BF4478"/>
    <w:multiLevelType w:val="hybridMultilevel"/>
    <w:tmpl w:val="FD1E2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5308C8"/>
    <w:multiLevelType w:val="hybridMultilevel"/>
    <w:tmpl w:val="6924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BC2E41"/>
    <w:multiLevelType w:val="hybridMultilevel"/>
    <w:tmpl w:val="6C9E7700"/>
    <w:lvl w:ilvl="0" w:tplc="08090005">
      <w:start w:val="1"/>
      <w:numFmt w:val="bullet"/>
      <w:lvlText w:val=""/>
      <w:lvlJc w:val="left"/>
      <w:pPr>
        <w:ind w:left="1308" w:hanging="360"/>
      </w:pPr>
      <w:rPr>
        <w:rFonts w:ascii="Wingdings" w:hAnsi="Wingding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0" w15:restartNumberingAfterBreak="0">
    <w:nsid w:val="2A1A5302"/>
    <w:multiLevelType w:val="hybridMultilevel"/>
    <w:tmpl w:val="6A5A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7437A"/>
    <w:multiLevelType w:val="multilevel"/>
    <w:tmpl w:val="CEFA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9C7BC2"/>
    <w:multiLevelType w:val="hybridMultilevel"/>
    <w:tmpl w:val="1B305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9B3F5A"/>
    <w:multiLevelType w:val="hybridMultilevel"/>
    <w:tmpl w:val="30B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22597"/>
    <w:multiLevelType w:val="multilevel"/>
    <w:tmpl w:val="F402B432"/>
    <w:lvl w:ilvl="0">
      <w:start w:val="1"/>
      <w:numFmt w:val="decimal"/>
      <w:pStyle w:val="Heading1"/>
      <w:lvlText w:val="%1."/>
      <w:lvlJc w:val="left"/>
      <w:pPr>
        <w:ind w:left="643" w:hanging="360"/>
      </w:pPr>
      <w:rPr>
        <w:rFonts w:hint="default"/>
        <w:color w:val="auto"/>
      </w:rPr>
    </w:lvl>
    <w:lvl w:ilvl="1">
      <w:start w:val="1"/>
      <w:numFmt w:val="decimal"/>
      <w:pStyle w:val="NumberedNormal"/>
      <w:lvlText w:val="%1.%2."/>
      <w:lvlJc w:val="left"/>
      <w:pPr>
        <w:ind w:left="1080" w:hanging="648"/>
      </w:pPr>
      <w:rPr>
        <w:rFonts w:ascii="Times New Roman" w:hAnsi="Times New Roman" w:cs="Times New Roman" w:hint="default"/>
        <w:color w:val="auto"/>
      </w:rPr>
    </w:lvl>
    <w:lvl w:ilvl="2">
      <w:start w:val="1"/>
      <w:numFmt w:val="decimal"/>
      <w:lvlText w:val="%1.%2.%3."/>
      <w:lvlJc w:val="left"/>
      <w:pPr>
        <w:ind w:left="1856"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140300"/>
    <w:multiLevelType w:val="hybridMultilevel"/>
    <w:tmpl w:val="8A729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5F1B35"/>
    <w:multiLevelType w:val="hybridMultilevel"/>
    <w:tmpl w:val="E83A9D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456E90"/>
    <w:multiLevelType w:val="hybridMultilevel"/>
    <w:tmpl w:val="B9DA7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29A30C6"/>
    <w:multiLevelType w:val="hybridMultilevel"/>
    <w:tmpl w:val="9BC671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6BC4085"/>
    <w:multiLevelType w:val="hybridMultilevel"/>
    <w:tmpl w:val="D2DE1E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C613360"/>
    <w:multiLevelType w:val="hybridMultilevel"/>
    <w:tmpl w:val="2FC2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464EB"/>
    <w:multiLevelType w:val="hybridMultilevel"/>
    <w:tmpl w:val="C082BA34"/>
    <w:lvl w:ilvl="0" w:tplc="08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1A842C2"/>
    <w:multiLevelType w:val="hybridMultilevel"/>
    <w:tmpl w:val="892A7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1C77EC"/>
    <w:multiLevelType w:val="hybridMultilevel"/>
    <w:tmpl w:val="CEB0AEC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4" w15:restartNumberingAfterBreak="0">
    <w:nsid w:val="665C32FC"/>
    <w:multiLevelType w:val="multilevel"/>
    <w:tmpl w:val="4886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351586"/>
    <w:multiLevelType w:val="hybridMultilevel"/>
    <w:tmpl w:val="D2EEA4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A82F50"/>
    <w:multiLevelType w:val="hybridMultilevel"/>
    <w:tmpl w:val="BA420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FA27BB2"/>
    <w:multiLevelType w:val="hybridMultilevel"/>
    <w:tmpl w:val="3CE45B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193CA2"/>
    <w:multiLevelType w:val="hybridMultilevel"/>
    <w:tmpl w:val="C0840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93773F3"/>
    <w:multiLevelType w:val="hybridMultilevel"/>
    <w:tmpl w:val="27C04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A513D3F"/>
    <w:multiLevelType w:val="hybridMultilevel"/>
    <w:tmpl w:val="B930E5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554B3A"/>
    <w:multiLevelType w:val="hybridMultilevel"/>
    <w:tmpl w:val="6828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B10A49"/>
    <w:multiLevelType w:val="hybridMultilevel"/>
    <w:tmpl w:val="8238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4"/>
  </w:num>
  <w:num w:numId="4">
    <w:abstractNumId w:val="36"/>
  </w:num>
  <w:num w:numId="5">
    <w:abstractNumId w:val="17"/>
  </w:num>
  <w:num w:numId="6">
    <w:abstractNumId w:val="39"/>
  </w:num>
  <w:num w:numId="7">
    <w:abstractNumId w:val="2"/>
  </w:num>
  <w:num w:numId="8">
    <w:abstractNumId w:val="16"/>
  </w:num>
  <w:num w:numId="9">
    <w:abstractNumId w:val="24"/>
  </w:num>
  <w:num w:numId="10">
    <w:abstractNumId w:val="20"/>
  </w:num>
  <w:num w:numId="11">
    <w:abstractNumId w:val="15"/>
  </w:num>
  <w:num w:numId="12">
    <w:abstractNumId w:val="12"/>
  </w:num>
  <w:num w:numId="13">
    <w:abstractNumId w:val="27"/>
  </w:num>
  <w:num w:numId="14">
    <w:abstractNumId w:val="10"/>
  </w:num>
  <w:num w:numId="15">
    <w:abstractNumId w:val="6"/>
  </w:num>
  <w:num w:numId="16">
    <w:abstractNumId w:val="19"/>
  </w:num>
  <w:num w:numId="17">
    <w:abstractNumId w:val="35"/>
  </w:num>
  <w:num w:numId="18">
    <w:abstractNumId w:val="37"/>
  </w:num>
  <w:num w:numId="19">
    <w:abstractNumId w:val="26"/>
  </w:num>
  <w:num w:numId="20">
    <w:abstractNumId w:val="5"/>
  </w:num>
  <w:num w:numId="21">
    <w:abstractNumId w:val="25"/>
  </w:num>
  <w:num w:numId="22">
    <w:abstractNumId w:val="38"/>
  </w:num>
  <w:num w:numId="23">
    <w:abstractNumId w:val="7"/>
  </w:num>
  <w:num w:numId="24">
    <w:abstractNumId w:val="33"/>
  </w:num>
  <w:num w:numId="25">
    <w:abstractNumId w:val="41"/>
  </w:num>
  <w:num w:numId="26">
    <w:abstractNumId w:val="9"/>
  </w:num>
  <w:num w:numId="27">
    <w:abstractNumId w:val="3"/>
  </w:num>
  <w:num w:numId="28">
    <w:abstractNumId w:val="23"/>
  </w:num>
  <w:num w:numId="29">
    <w:abstractNumId w:val="28"/>
  </w:num>
  <w:num w:numId="30">
    <w:abstractNumId w:val="40"/>
  </w:num>
  <w:num w:numId="31">
    <w:abstractNumId w:val="11"/>
  </w:num>
  <w:num w:numId="32">
    <w:abstractNumId w:val="18"/>
  </w:num>
  <w:num w:numId="33">
    <w:abstractNumId w:val="34"/>
  </w:num>
  <w:num w:numId="34">
    <w:abstractNumId w:val="31"/>
  </w:num>
  <w:num w:numId="35">
    <w:abstractNumId w:val="22"/>
  </w:num>
  <w:num w:numId="36">
    <w:abstractNumId w:val="32"/>
  </w:num>
  <w:num w:numId="37">
    <w:abstractNumId w:val="8"/>
  </w:num>
  <w:num w:numId="38">
    <w:abstractNumId w:val="13"/>
  </w:num>
  <w:num w:numId="39">
    <w:abstractNumId w:val="13"/>
  </w:num>
  <w:num w:numId="40">
    <w:abstractNumId w:val="42"/>
  </w:num>
  <w:num w:numId="41">
    <w:abstractNumId w:val="1"/>
  </w:num>
  <w:num w:numId="42">
    <w:abstractNumId w:val="14"/>
  </w:num>
  <w:num w:numId="43">
    <w:abstractNumId w:val="3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F2"/>
    <w:rsid w:val="0001549A"/>
    <w:rsid w:val="00020470"/>
    <w:rsid w:val="00020EE1"/>
    <w:rsid w:val="00022CE4"/>
    <w:rsid w:val="00037B65"/>
    <w:rsid w:val="00040A2B"/>
    <w:rsid w:val="0004397C"/>
    <w:rsid w:val="00050D01"/>
    <w:rsid w:val="000622B7"/>
    <w:rsid w:val="000707BC"/>
    <w:rsid w:val="00072C7A"/>
    <w:rsid w:val="00093720"/>
    <w:rsid w:val="000A502B"/>
    <w:rsid w:val="001534C5"/>
    <w:rsid w:val="0016069A"/>
    <w:rsid w:val="001664B2"/>
    <w:rsid w:val="00171062"/>
    <w:rsid w:val="00172FD5"/>
    <w:rsid w:val="00226E33"/>
    <w:rsid w:val="0026378F"/>
    <w:rsid w:val="002648A9"/>
    <w:rsid w:val="00287CD3"/>
    <w:rsid w:val="00293642"/>
    <w:rsid w:val="002A32E7"/>
    <w:rsid w:val="002D107B"/>
    <w:rsid w:val="002F2CA3"/>
    <w:rsid w:val="00307B93"/>
    <w:rsid w:val="00354E65"/>
    <w:rsid w:val="003B0267"/>
    <w:rsid w:val="003C5F11"/>
    <w:rsid w:val="003D348E"/>
    <w:rsid w:val="003D588E"/>
    <w:rsid w:val="003E4108"/>
    <w:rsid w:val="003F05A8"/>
    <w:rsid w:val="00412FF3"/>
    <w:rsid w:val="00425E4B"/>
    <w:rsid w:val="004332EC"/>
    <w:rsid w:val="004635D7"/>
    <w:rsid w:val="00466435"/>
    <w:rsid w:val="00494B7B"/>
    <w:rsid w:val="00494F2C"/>
    <w:rsid w:val="004A1190"/>
    <w:rsid w:val="004A4A17"/>
    <w:rsid w:val="004B4D13"/>
    <w:rsid w:val="004B558C"/>
    <w:rsid w:val="004E69A1"/>
    <w:rsid w:val="005056E7"/>
    <w:rsid w:val="00523621"/>
    <w:rsid w:val="00532C3D"/>
    <w:rsid w:val="005365A8"/>
    <w:rsid w:val="00557344"/>
    <w:rsid w:val="00561FDE"/>
    <w:rsid w:val="00567AE5"/>
    <w:rsid w:val="00584E63"/>
    <w:rsid w:val="00590299"/>
    <w:rsid w:val="005922B0"/>
    <w:rsid w:val="005A22AF"/>
    <w:rsid w:val="005B150E"/>
    <w:rsid w:val="005B1D12"/>
    <w:rsid w:val="005B3727"/>
    <w:rsid w:val="005D0296"/>
    <w:rsid w:val="005D4C9F"/>
    <w:rsid w:val="005D611C"/>
    <w:rsid w:val="00605B70"/>
    <w:rsid w:val="00652581"/>
    <w:rsid w:val="00652994"/>
    <w:rsid w:val="0065370C"/>
    <w:rsid w:val="00666865"/>
    <w:rsid w:val="00671154"/>
    <w:rsid w:val="006756CA"/>
    <w:rsid w:val="00681FF0"/>
    <w:rsid w:val="006D2468"/>
    <w:rsid w:val="006D32DB"/>
    <w:rsid w:val="006F2484"/>
    <w:rsid w:val="007157CF"/>
    <w:rsid w:val="0072194D"/>
    <w:rsid w:val="00766975"/>
    <w:rsid w:val="0078385D"/>
    <w:rsid w:val="00796788"/>
    <w:rsid w:val="007A6F59"/>
    <w:rsid w:val="007B65D2"/>
    <w:rsid w:val="00831BD9"/>
    <w:rsid w:val="00864FCC"/>
    <w:rsid w:val="00873AF2"/>
    <w:rsid w:val="00881604"/>
    <w:rsid w:val="008847EC"/>
    <w:rsid w:val="008D2881"/>
    <w:rsid w:val="00916C23"/>
    <w:rsid w:val="00935FF1"/>
    <w:rsid w:val="00961BD0"/>
    <w:rsid w:val="00962885"/>
    <w:rsid w:val="009673F5"/>
    <w:rsid w:val="009734D6"/>
    <w:rsid w:val="0097384D"/>
    <w:rsid w:val="009A50B5"/>
    <w:rsid w:val="009D173B"/>
    <w:rsid w:val="009F03C1"/>
    <w:rsid w:val="009F73B6"/>
    <w:rsid w:val="00A11416"/>
    <w:rsid w:val="00A13996"/>
    <w:rsid w:val="00A13C58"/>
    <w:rsid w:val="00A163CD"/>
    <w:rsid w:val="00A53901"/>
    <w:rsid w:val="00A703B0"/>
    <w:rsid w:val="00A97D2C"/>
    <w:rsid w:val="00AC55AD"/>
    <w:rsid w:val="00AE25A5"/>
    <w:rsid w:val="00B60C55"/>
    <w:rsid w:val="00B7518C"/>
    <w:rsid w:val="00B81F7F"/>
    <w:rsid w:val="00C539EE"/>
    <w:rsid w:val="00C76673"/>
    <w:rsid w:val="00CB5A07"/>
    <w:rsid w:val="00CD7692"/>
    <w:rsid w:val="00CD7E7C"/>
    <w:rsid w:val="00D02E8D"/>
    <w:rsid w:val="00D43FAE"/>
    <w:rsid w:val="00D6083B"/>
    <w:rsid w:val="00DA2742"/>
    <w:rsid w:val="00E30551"/>
    <w:rsid w:val="00E3257B"/>
    <w:rsid w:val="00E37B08"/>
    <w:rsid w:val="00E419BD"/>
    <w:rsid w:val="00E42A62"/>
    <w:rsid w:val="00E43CD0"/>
    <w:rsid w:val="00E53B18"/>
    <w:rsid w:val="00EC366D"/>
    <w:rsid w:val="00EE638D"/>
    <w:rsid w:val="00EF4111"/>
    <w:rsid w:val="00F35579"/>
    <w:rsid w:val="00F37D61"/>
    <w:rsid w:val="00F42728"/>
    <w:rsid w:val="00F60AC0"/>
    <w:rsid w:val="00F70C31"/>
    <w:rsid w:val="00F77422"/>
    <w:rsid w:val="00F83A45"/>
    <w:rsid w:val="00FB17A7"/>
    <w:rsid w:val="00FD157F"/>
    <w:rsid w:val="00FD566E"/>
    <w:rsid w:val="00FE0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A25C0"/>
  <w15:chartTrackingRefBased/>
  <w15:docId w15:val="{65013AC0-331D-884E-9385-B85928304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88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13996"/>
    <w:pPr>
      <w:keepNext/>
      <w:keepLines/>
      <w:numPr>
        <w:numId w:val="9"/>
      </w:numPr>
      <w:spacing w:before="480" w:line="276" w:lineRule="auto"/>
      <w:contextualSpacing/>
      <w:outlineLvl w:val="0"/>
    </w:pPr>
    <w:rPr>
      <w:rFonts w:ascii="Arial" w:eastAsiaTheme="majorEastAsia" w:hAnsi="Arial" w:cstheme="majorBidi"/>
      <w:b/>
      <w:bCs/>
      <w:color w:val="000000" w:themeColor="tex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AF2"/>
    <w:pPr>
      <w:tabs>
        <w:tab w:val="center" w:pos="4513"/>
        <w:tab w:val="right" w:pos="9026"/>
      </w:tabs>
    </w:pPr>
  </w:style>
  <w:style w:type="character" w:customStyle="1" w:styleId="HeaderChar">
    <w:name w:val="Header Char"/>
    <w:basedOn w:val="DefaultParagraphFont"/>
    <w:link w:val="Header"/>
    <w:uiPriority w:val="99"/>
    <w:rsid w:val="00873AF2"/>
  </w:style>
  <w:style w:type="paragraph" w:styleId="Footer">
    <w:name w:val="footer"/>
    <w:basedOn w:val="Normal"/>
    <w:link w:val="FooterChar"/>
    <w:uiPriority w:val="99"/>
    <w:unhideWhenUsed/>
    <w:rsid w:val="00873AF2"/>
    <w:pPr>
      <w:tabs>
        <w:tab w:val="center" w:pos="4513"/>
        <w:tab w:val="right" w:pos="9026"/>
      </w:tabs>
    </w:pPr>
  </w:style>
  <w:style w:type="character" w:customStyle="1" w:styleId="FooterChar">
    <w:name w:val="Footer Char"/>
    <w:basedOn w:val="DefaultParagraphFont"/>
    <w:link w:val="Footer"/>
    <w:uiPriority w:val="99"/>
    <w:rsid w:val="00873AF2"/>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73AF2"/>
    <w:pPr>
      <w:ind w:left="720"/>
      <w:contextualSpacing/>
    </w:pPr>
  </w:style>
  <w:style w:type="character" w:customStyle="1" w:styleId="Heading1Char">
    <w:name w:val="Heading 1 Char"/>
    <w:basedOn w:val="DefaultParagraphFont"/>
    <w:link w:val="Heading1"/>
    <w:uiPriority w:val="9"/>
    <w:rsid w:val="00A13996"/>
    <w:rPr>
      <w:rFonts w:ascii="Arial" w:eastAsiaTheme="majorEastAsia" w:hAnsi="Arial" w:cstheme="majorBidi"/>
      <w:b/>
      <w:bCs/>
      <w:color w:val="000000" w:themeColor="text1"/>
      <w:sz w:val="26"/>
      <w:szCs w:val="28"/>
    </w:rPr>
  </w:style>
  <w:style w:type="paragraph" w:customStyle="1" w:styleId="NumberedNormal">
    <w:name w:val="Numbered Normal"/>
    <w:basedOn w:val="Normal"/>
    <w:link w:val="NumberedNormalChar"/>
    <w:qFormat/>
    <w:rsid w:val="00A13996"/>
    <w:pPr>
      <w:numPr>
        <w:ilvl w:val="1"/>
        <w:numId w:val="9"/>
      </w:numPr>
      <w:spacing w:before="120" w:after="120" w:line="276" w:lineRule="auto"/>
    </w:pPr>
    <w:rPr>
      <w:rFonts w:ascii="Arial" w:eastAsiaTheme="majorEastAsia" w:hAnsi="Arial" w:cstheme="majorBidi"/>
      <w:color w:val="000000" w:themeColor="text1"/>
      <w:sz w:val="26"/>
      <w:szCs w:val="28"/>
    </w:rPr>
  </w:style>
  <w:style w:type="character" w:customStyle="1" w:styleId="NumberedNormalChar">
    <w:name w:val="Numbered Normal Char"/>
    <w:basedOn w:val="Heading1Char"/>
    <w:link w:val="NumberedNormal"/>
    <w:rsid w:val="00A13996"/>
    <w:rPr>
      <w:rFonts w:ascii="Arial" w:eastAsiaTheme="majorEastAsia" w:hAnsi="Arial" w:cstheme="majorBidi"/>
      <w:b w:val="0"/>
      <w:bCs w:val="0"/>
      <w:color w:val="000000" w:themeColor="text1"/>
      <w:sz w:val="26"/>
      <w:szCs w:val="2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F60AC0"/>
  </w:style>
  <w:style w:type="table" w:styleId="TableGrid">
    <w:name w:val="Table Grid"/>
    <w:basedOn w:val="TableNormal"/>
    <w:uiPriority w:val="39"/>
    <w:rsid w:val="00F60A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D7692"/>
  </w:style>
  <w:style w:type="paragraph" w:styleId="Revision">
    <w:name w:val="Revision"/>
    <w:hidden/>
    <w:uiPriority w:val="99"/>
    <w:semiHidden/>
    <w:rsid w:val="006756CA"/>
  </w:style>
  <w:style w:type="character" w:styleId="CommentReference">
    <w:name w:val="annotation reference"/>
    <w:basedOn w:val="DefaultParagraphFont"/>
    <w:uiPriority w:val="99"/>
    <w:semiHidden/>
    <w:unhideWhenUsed/>
    <w:rsid w:val="006756CA"/>
    <w:rPr>
      <w:sz w:val="16"/>
      <w:szCs w:val="16"/>
    </w:rPr>
  </w:style>
  <w:style w:type="paragraph" w:styleId="CommentText">
    <w:name w:val="annotation text"/>
    <w:basedOn w:val="Normal"/>
    <w:link w:val="CommentTextChar"/>
    <w:uiPriority w:val="99"/>
    <w:semiHidden/>
    <w:unhideWhenUsed/>
    <w:rsid w:val="006756CA"/>
    <w:rPr>
      <w:sz w:val="20"/>
      <w:szCs w:val="20"/>
    </w:rPr>
  </w:style>
  <w:style w:type="character" w:customStyle="1" w:styleId="CommentTextChar">
    <w:name w:val="Comment Text Char"/>
    <w:basedOn w:val="DefaultParagraphFont"/>
    <w:link w:val="CommentText"/>
    <w:uiPriority w:val="99"/>
    <w:semiHidden/>
    <w:rsid w:val="006756CA"/>
    <w:rPr>
      <w:sz w:val="20"/>
      <w:szCs w:val="20"/>
    </w:rPr>
  </w:style>
  <w:style w:type="paragraph" w:styleId="CommentSubject">
    <w:name w:val="annotation subject"/>
    <w:basedOn w:val="CommentText"/>
    <w:next w:val="CommentText"/>
    <w:link w:val="CommentSubjectChar"/>
    <w:uiPriority w:val="99"/>
    <w:semiHidden/>
    <w:unhideWhenUsed/>
    <w:rsid w:val="006756CA"/>
    <w:rPr>
      <w:b/>
      <w:bCs/>
    </w:rPr>
  </w:style>
  <w:style w:type="character" w:customStyle="1" w:styleId="CommentSubjectChar">
    <w:name w:val="Comment Subject Char"/>
    <w:basedOn w:val="CommentTextChar"/>
    <w:link w:val="CommentSubject"/>
    <w:uiPriority w:val="99"/>
    <w:semiHidden/>
    <w:rsid w:val="006756CA"/>
    <w:rPr>
      <w:b/>
      <w:bCs/>
      <w:sz w:val="20"/>
      <w:szCs w:val="20"/>
    </w:rPr>
  </w:style>
  <w:style w:type="character" w:customStyle="1" w:styleId="apple-converted-space">
    <w:name w:val="apple-converted-space"/>
    <w:basedOn w:val="DefaultParagraphFont"/>
    <w:rsid w:val="00916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453753">
      <w:bodyDiv w:val="1"/>
      <w:marLeft w:val="0"/>
      <w:marRight w:val="0"/>
      <w:marTop w:val="0"/>
      <w:marBottom w:val="0"/>
      <w:divBdr>
        <w:top w:val="none" w:sz="0" w:space="0" w:color="auto"/>
        <w:left w:val="none" w:sz="0" w:space="0" w:color="auto"/>
        <w:bottom w:val="none" w:sz="0" w:space="0" w:color="auto"/>
        <w:right w:val="none" w:sz="0" w:space="0" w:color="auto"/>
      </w:divBdr>
    </w:div>
    <w:div w:id="1206795888">
      <w:bodyDiv w:val="1"/>
      <w:marLeft w:val="0"/>
      <w:marRight w:val="0"/>
      <w:marTop w:val="0"/>
      <w:marBottom w:val="0"/>
      <w:divBdr>
        <w:top w:val="none" w:sz="0" w:space="0" w:color="auto"/>
        <w:left w:val="none" w:sz="0" w:space="0" w:color="auto"/>
        <w:bottom w:val="none" w:sz="0" w:space="0" w:color="auto"/>
        <w:right w:val="none" w:sz="0" w:space="0" w:color="auto"/>
      </w:divBdr>
      <w:divsChild>
        <w:div w:id="649939214">
          <w:marLeft w:val="0"/>
          <w:marRight w:val="0"/>
          <w:marTop w:val="0"/>
          <w:marBottom w:val="0"/>
          <w:divBdr>
            <w:top w:val="none" w:sz="0" w:space="0" w:color="auto"/>
            <w:left w:val="none" w:sz="0" w:space="0" w:color="auto"/>
            <w:bottom w:val="none" w:sz="0" w:space="0" w:color="auto"/>
            <w:right w:val="none" w:sz="0" w:space="0" w:color="auto"/>
          </w:divBdr>
          <w:divsChild>
            <w:div w:id="1854413604">
              <w:marLeft w:val="0"/>
              <w:marRight w:val="0"/>
              <w:marTop w:val="0"/>
              <w:marBottom w:val="0"/>
              <w:divBdr>
                <w:top w:val="none" w:sz="0" w:space="0" w:color="auto"/>
                <w:left w:val="none" w:sz="0" w:space="0" w:color="auto"/>
                <w:bottom w:val="none" w:sz="0" w:space="0" w:color="auto"/>
                <w:right w:val="none" w:sz="0" w:space="0" w:color="auto"/>
              </w:divBdr>
            </w:div>
            <w:div w:id="846212967">
              <w:marLeft w:val="0"/>
              <w:marRight w:val="0"/>
              <w:marTop w:val="0"/>
              <w:marBottom w:val="0"/>
              <w:divBdr>
                <w:top w:val="none" w:sz="0" w:space="0" w:color="auto"/>
                <w:left w:val="none" w:sz="0" w:space="0" w:color="auto"/>
                <w:bottom w:val="none" w:sz="0" w:space="0" w:color="auto"/>
                <w:right w:val="none" w:sz="0" w:space="0" w:color="auto"/>
              </w:divBdr>
            </w:div>
            <w:div w:id="677078911">
              <w:marLeft w:val="0"/>
              <w:marRight w:val="0"/>
              <w:marTop w:val="0"/>
              <w:marBottom w:val="0"/>
              <w:divBdr>
                <w:top w:val="none" w:sz="0" w:space="0" w:color="auto"/>
                <w:left w:val="none" w:sz="0" w:space="0" w:color="auto"/>
                <w:bottom w:val="none" w:sz="0" w:space="0" w:color="auto"/>
                <w:right w:val="none" w:sz="0" w:space="0" w:color="auto"/>
              </w:divBdr>
            </w:div>
            <w:div w:id="406532688">
              <w:marLeft w:val="0"/>
              <w:marRight w:val="0"/>
              <w:marTop w:val="0"/>
              <w:marBottom w:val="0"/>
              <w:divBdr>
                <w:top w:val="none" w:sz="0" w:space="0" w:color="auto"/>
                <w:left w:val="none" w:sz="0" w:space="0" w:color="auto"/>
                <w:bottom w:val="none" w:sz="0" w:space="0" w:color="auto"/>
                <w:right w:val="none" w:sz="0" w:space="0" w:color="auto"/>
              </w:divBdr>
            </w:div>
            <w:div w:id="1094202546">
              <w:marLeft w:val="0"/>
              <w:marRight w:val="0"/>
              <w:marTop w:val="0"/>
              <w:marBottom w:val="0"/>
              <w:divBdr>
                <w:top w:val="none" w:sz="0" w:space="0" w:color="auto"/>
                <w:left w:val="none" w:sz="0" w:space="0" w:color="auto"/>
                <w:bottom w:val="none" w:sz="0" w:space="0" w:color="auto"/>
                <w:right w:val="none" w:sz="0" w:space="0" w:color="auto"/>
              </w:divBdr>
            </w:div>
            <w:div w:id="586966824">
              <w:marLeft w:val="0"/>
              <w:marRight w:val="0"/>
              <w:marTop w:val="0"/>
              <w:marBottom w:val="0"/>
              <w:divBdr>
                <w:top w:val="none" w:sz="0" w:space="0" w:color="auto"/>
                <w:left w:val="none" w:sz="0" w:space="0" w:color="auto"/>
                <w:bottom w:val="none" w:sz="0" w:space="0" w:color="auto"/>
                <w:right w:val="none" w:sz="0" w:space="0" w:color="auto"/>
              </w:divBdr>
            </w:div>
            <w:div w:id="2139176005">
              <w:marLeft w:val="0"/>
              <w:marRight w:val="0"/>
              <w:marTop w:val="0"/>
              <w:marBottom w:val="0"/>
              <w:divBdr>
                <w:top w:val="none" w:sz="0" w:space="0" w:color="auto"/>
                <w:left w:val="none" w:sz="0" w:space="0" w:color="auto"/>
                <w:bottom w:val="none" w:sz="0" w:space="0" w:color="auto"/>
                <w:right w:val="none" w:sz="0" w:space="0" w:color="auto"/>
              </w:divBdr>
            </w:div>
            <w:div w:id="1071847290">
              <w:marLeft w:val="0"/>
              <w:marRight w:val="0"/>
              <w:marTop w:val="0"/>
              <w:marBottom w:val="0"/>
              <w:divBdr>
                <w:top w:val="none" w:sz="0" w:space="0" w:color="auto"/>
                <w:left w:val="none" w:sz="0" w:space="0" w:color="auto"/>
                <w:bottom w:val="none" w:sz="0" w:space="0" w:color="auto"/>
                <w:right w:val="none" w:sz="0" w:space="0" w:color="auto"/>
              </w:divBdr>
            </w:div>
            <w:div w:id="913780968">
              <w:marLeft w:val="0"/>
              <w:marRight w:val="0"/>
              <w:marTop w:val="0"/>
              <w:marBottom w:val="0"/>
              <w:divBdr>
                <w:top w:val="none" w:sz="0" w:space="0" w:color="auto"/>
                <w:left w:val="none" w:sz="0" w:space="0" w:color="auto"/>
                <w:bottom w:val="none" w:sz="0" w:space="0" w:color="auto"/>
                <w:right w:val="none" w:sz="0" w:space="0" w:color="auto"/>
              </w:divBdr>
            </w:div>
            <w:div w:id="1472213245">
              <w:marLeft w:val="0"/>
              <w:marRight w:val="0"/>
              <w:marTop w:val="0"/>
              <w:marBottom w:val="0"/>
              <w:divBdr>
                <w:top w:val="none" w:sz="0" w:space="0" w:color="auto"/>
                <w:left w:val="none" w:sz="0" w:space="0" w:color="auto"/>
                <w:bottom w:val="none" w:sz="0" w:space="0" w:color="auto"/>
                <w:right w:val="none" w:sz="0" w:space="0" w:color="auto"/>
              </w:divBdr>
            </w:div>
            <w:div w:id="2090956576">
              <w:marLeft w:val="0"/>
              <w:marRight w:val="0"/>
              <w:marTop w:val="0"/>
              <w:marBottom w:val="0"/>
              <w:divBdr>
                <w:top w:val="none" w:sz="0" w:space="0" w:color="auto"/>
                <w:left w:val="none" w:sz="0" w:space="0" w:color="auto"/>
                <w:bottom w:val="none" w:sz="0" w:space="0" w:color="auto"/>
                <w:right w:val="none" w:sz="0" w:space="0" w:color="auto"/>
              </w:divBdr>
            </w:div>
            <w:div w:id="9466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9963">
      <w:bodyDiv w:val="1"/>
      <w:marLeft w:val="0"/>
      <w:marRight w:val="0"/>
      <w:marTop w:val="0"/>
      <w:marBottom w:val="0"/>
      <w:divBdr>
        <w:top w:val="none" w:sz="0" w:space="0" w:color="auto"/>
        <w:left w:val="none" w:sz="0" w:space="0" w:color="auto"/>
        <w:bottom w:val="none" w:sz="0" w:space="0" w:color="auto"/>
        <w:right w:val="none" w:sz="0" w:space="0" w:color="auto"/>
      </w:divBdr>
    </w:div>
    <w:div w:id="1387336399">
      <w:bodyDiv w:val="1"/>
      <w:marLeft w:val="0"/>
      <w:marRight w:val="0"/>
      <w:marTop w:val="0"/>
      <w:marBottom w:val="0"/>
      <w:divBdr>
        <w:top w:val="none" w:sz="0" w:space="0" w:color="auto"/>
        <w:left w:val="none" w:sz="0" w:space="0" w:color="auto"/>
        <w:bottom w:val="none" w:sz="0" w:space="0" w:color="auto"/>
        <w:right w:val="none" w:sz="0" w:space="0" w:color="auto"/>
      </w:divBdr>
    </w:div>
    <w:div w:id="16159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Hannah (RTH) OUH</dc:creator>
  <cp:keywords/>
  <dc:description/>
  <cp:lastModifiedBy>Cahill Benjamin (RNU) Oxford Health</cp:lastModifiedBy>
  <cp:revision>5</cp:revision>
  <dcterms:created xsi:type="dcterms:W3CDTF">2022-03-21T13:27:00Z</dcterms:created>
  <dcterms:modified xsi:type="dcterms:W3CDTF">2022-03-21T13:35:00Z</dcterms:modified>
</cp:coreProperties>
</file>