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40D4" w14:textId="77777777" w:rsidR="005D3499" w:rsidRPr="004D0692" w:rsidRDefault="001058A7" w:rsidP="004D0692">
      <w:pPr>
        <w:ind w:right="-900"/>
        <w:jc w:val="right"/>
        <w:rPr>
          <w:rFonts w:ascii="Segoe UI" w:hAnsi="Segoe UI" w:cs="Segoe UI"/>
          <w:lang w:val="en-GB"/>
        </w:rPr>
      </w:pPr>
      <w:r w:rsidRPr="00913639">
        <w:rPr>
          <w:noProof/>
          <w:lang w:val="en-GB" w:eastAsia="en-GB"/>
        </w:rPr>
        <w:drawing>
          <wp:inline distT="0" distB="0" distL="0" distR="0" wp14:anchorId="6420959E" wp14:editId="5118B726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DD6EA" w14:textId="77777777" w:rsidR="005E2583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3A2A96F1" w14:textId="6209710F" w:rsidR="002821F8" w:rsidRPr="00FA3993" w:rsidRDefault="00B50D5E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14:paraId="0EED5D6B" w14:textId="4A4533F5"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43257862" w14:textId="1F4332F4" w:rsidR="005D3499" w:rsidRPr="00FA3993" w:rsidRDefault="00090926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70419" wp14:editId="3EB64C12">
                <wp:simplePos x="0" y="0"/>
                <wp:positionH relativeFrom="column">
                  <wp:posOffset>5259400</wp:posOffset>
                </wp:positionH>
                <wp:positionV relativeFrom="paragraph">
                  <wp:posOffset>20371</wp:posOffset>
                </wp:positionV>
                <wp:extent cx="1371600" cy="571500"/>
                <wp:effectExtent l="8255" t="10795" r="10795" b="825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BE13" w14:textId="092A2B4A" w:rsidR="00781566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BOD </w:t>
                            </w:r>
                            <w:r w:rsidR="00090926">
                              <w:rPr>
                                <w:rFonts w:ascii="Segoe UI" w:hAnsi="Segoe UI" w:cs="Segoe UI"/>
                                <w:b/>
                              </w:rPr>
                              <w:t>13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/20</w:t>
                            </w:r>
                            <w:r w:rsidR="0097530A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  <w:r w:rsidR="001975F0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</w:p>
                          <w:p w14:paraId="6C95D97C" w14:textId="6E73E0F4" w:rsidR="00FA3993" w:rsidRPr="00FA3993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090926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0419" id="Rectangle 10" o:spid="_x0000_s1026" style="position:absolute;left:0;text-align:left;margin-left:414.15pt;margin-top:1.6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Gc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">
                <v:textbox inset="0,0,0,0">
                  <w:txbxContent>
                    <w:p w14:paraId="7E71BE13" w14:textId="092A2B4A" w:rsidR="00781566" w:rsidRDefault="00FA399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 xml:space="preserve">BOD </w:t>
                      </w:r>
                      <w:r w:rsidR="00090926">
                        <w:rPr>
                          <w:rFonts w:ascii="Segoe UI" w:hAnsi="Segoe UI" w:cs="Segoe UI"/>
                          <w:b/>
                        </w:rPr>
                        <w:t>13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/20</w:t>
                      </w:r>
                      <w:r w:rsidR="0097530A">
                        <w:rPr>
                          <w:rFonts w:ascii="Segoe UI" w:hAnsi="Segoe UI" w:cs="Segoe UI"/>
                          <w:b/>
                        </w:rPr>
                        <w:t>2</w:t>
                      </w:r>
                      <w:r w:rsidR="001975F0">
                        <w:rPr>
                          <w:rFonts w:ascii="Segoe UI" w:hAnsi="Segoe UI" w:cs="Segoe UI"/>
                          <w:b/>
                        </w:rPr>
                        <w:t>2</w:t>
                      </w:r>
                    </w:p>
                    <w:p w14:paraId="6C95D97C" w14:textId="6E73E0F4" w:rsidR="00FA3993" w:rsidRPr="00FA3993" w:rsidRDefault="00FA3993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 w:rsidR="00090926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5D3499" w:rsidRPr="00FA3993">
        <w:rPr>
          <w:rFonts w:ascii="Segoe UI" w:hAnsi="Segoe UI" w:cs="Segoe UI"/>
          <w:sz w:val="28"/>
          <w:u w:val="none"/>
        </w:rPr>
        <w:t>Board</w:t>
      </w:r>
      <w:r w:rsidR="002821F8" w:rsidRPr="00FA3993">
        <w:rPr>
          <w:rFonts w:ascii="Segoe UI" w:hAnsi="Segoe UI" w:cs="Segoe UI"/>
          <w:sz w:val="28"/>
          <w:u w:val="none"/>
        </w:rPr>
        <w:t xml:space="preserve"> of Directors</w:t>
      </w:r>
    </w:p>
    <w:p w14:paraId="0F882F61" w14:textId="77777777" w:rsidR="005D3499" w:rsidRPr="00FA3993" w:rsidRDefault="005D3499" w:rsidP="00A85311">
      <w:pPr>
        <w:rPr>
          <w:rFonts w:ascii="Segoe UI" w:hAnsi="Segoe UI" w:cs="Segoe UI"/>
          <w:b/>
        </w:rPr>
      </w:pPr>
    </w:p>
    <w:p w14:paraId="768E65AA" w14:textId="09582ED8" w:rsidR="005D3499" w:rsidRPr="00FA3993" w:rsidRDefault="009F33F6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30</w:t>
      </w:r>
      <w:r w:rsidRPr="009F33F6">
        <w:rPr>
          <w:rFonts w:ascii="Segoe UI" w:hAnsi="Segoe UI" w:cs="Segoe UI"/>
          <w:b/>
          <w:vertAlign w:val="superscript"/>
        </w:rPr>
        <w:t>th</w:t>
      </w:r>
      <w:r>
        <w:rPr>
          <w:rFonts w:ascii="Segoe UI" w:hAnsi="Segoe UI" w:cs="Segoe UI"/>
          <w:b/>
        </w:rPr>
        <w:t xml:space="preserve"> March</w:t>
      </w:r>
      <w:r w:rsidR="005C4203">
        <w:rPr>
          <w:rFonts w:ascii="Segoe UI" w:hAnsi="Segoe UI" w:cs="Segoe UI"/>
          <w:b/>
        </w:rPr>
        <w:t xml:space="preserve"> 2022</w:t>
      </w:r>
    </w:p>
    <w:p w14:paraId="4FDF2B42" w14:textId="77777777" w:rsidR="005D3499" w:rsidRPr="00FA3993" w:rsidRDefault="005D3499">
      <w:pPr>
        <w:jc w:val="center"/>
        <w:rPr>
          <w:rFonts w:ascii="Segoe UI" w:hAnsi="Segoe UI" w:cs="Segoe UI"/>
          <w:b/>
        </w:rPr>
      </w:pPr>
    </w:p>
    <w:p w14:paraId="3F8B7099" w14:textId="743C8DF3" w:rsidR="005D3499" w:rsidRPr="00FA3993" w:rsidRDefault="00D90129" w:rsidP="00FD227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Integrated Performance Report (IPR)</w:t>
      </w:r>
      <w:r w:rsidR="001A47DC">
        <w:rPr>
          <w:rFonts w:ascii="Segoe UI" w:hAnsi="Segoe UI" w:cs="Segoe UI"/>
          <w:b/>
        </w:rPr>
        <w:t xml:space="preserve"> and IPR Supporting Report</w:t>
      </w:r>
    </w:p>
    <w:p w14:paraId="636B6D74" w14:textId="77777777" w:rsidR="005D3499" w:rsidRPr="00FA3993" w:rsidRDefault="005D3499">
      <w:pPr>
        <w:rPr>
          <w:rFonts w:ascii="Segoe UI" w:hAnsi="Segoe UI" w:cs="Segoe UI"/>
          <w:b/>
        </w:rPr>
      </w:pPr>
    </w:p>
    <w:p w14:paraId="2B52ED1C" w14:textId="04F91391" w:rsidR="00241A66" w:rsidRDefault="00292613" w:rsidP="00241A66">
      <w:pPr>
        <w:jc w:val="center"/>
        <w:rPr>
          <w:rFonts w:ascii="Segoe UI" w:hAnsi="Segoe UI" w:cs="Segoe UI"/>
        </w:rPr>
      </w:pPr>
      <w:r w:rsidRPr="00FA3993">
        <w:rPr>
          <w:rFonts w:ascii="Segoe UI" w:hAnsi="Segoe UI" w:cs="Segoe UI"/>
          <w:b/>
          <w:u w:val="single"/>
        </w:rPr>
        <w:t xml:space="preserve">For: </w:t>
      </w:r>
      <w:r w:rsidR="00D90129">
        <w:rPr>
          <w:rFonts w:ascii="Segoe UI" w:hAnsi="Segoe UI" w:cs="Segoe UI"/>
          <w:b/>
          <w:u w:val="single"/>
        </w:rPr>
        <w:t>Information &amp; Assurance</w:t>
      </w:r>
    </w:p>
    <w:p w14:paraId="03F145BF" w14:textId="77777777" w:rsidR="00292613" w:rsidRPr="00FA3993" w:rsidRDefault="00292613">
      <w:pPr>
        <w:rPr>
          <w:rFonts w:ascii="Segoe UI" w:hAnsi="Segoe UI" w:cs="Segoe UI"/>
          <w:b/>
        </w:rPr>
      </w:pPr>
    </w:p>
    <w:p w14:paraId="5A0D5DCB" w14:textId="77777777" w:rsidR="007A2CF0" w:rsidRPr="00101A8F" w:rsidRDefault="007A2CF0" w:rsidP="007A2CF0">
      <w:pPr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Executive Summary</w:t>
      </w:r>
      <w:r w:rsidR="00101A8F">
        <w:rPr>
          <w:rFonts w:ascii="Segoe UI" w:hAnsi="Segoe UI" w:cs="Segoe UI"/>
          <w:b/>
        </w:rPr>
        <w:t xml:space="preserve"> </w:t>
      </w:r>
    </w:p>
    <w:p w14:paraId="0EA2FDC5" w14:textId="78F0EEE9" w:rsidR="00D90129" w:rsidRDefault="00D90129" w:rsidP="00D90129">
      <w:pPr>
        <w:jc w:val="both"/>
        <w:rPr>
          <w:rFonts w:ascii="Segoe UI" w:hAnsi="Segoe UI" w:cs="Segoe UI"/>
          <w:iCs/>
        </w:rPr>
      </w:pPr>
    </w:p>
    <w:p w14:paraId="0C09A630" w14:textId="289739D1" w:rsidR="0015530E" w:rsidRDefault="0015530E" w:rsidP="00D901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Integrated Performance Report (IPR) </w:t>
      </w:r>
      <w:r w:rsidR="001A47DC">
        <w:rPr>
          <w:rFonts w:ascii="Arial" w:hAnsi="Arial" w:cs="Arial"/>
        </w:rPr>
        <w:t xml:space="preserve">report </w:t>
      </w:r>
      <w:r w:rsidR="00B10BF3">
        <w:rPr>
          <w:rFonts w:ascii="Arial" w:hAnsi="Arial" w:cs="Arial"/>
        </w:rPr>
        <w:t>provides</w:t>
      </w:r>
      <w:r>
        <w:rPr>
          <w:rFonts w:ascii="Arial" w:hAnsi="Arial" w:cs="Arial"/>
        </w:rPr>
        <w:t xml:space="preserve"> the Board of Directors with a </w:t>
      </w:r>
      <w:r w:rsidR="004E5389">
        <w:rPr>
          <w:rFonts w:ascii="Arial" w:hAnsi="Arial" w:cs="Arial"/>
        </w:rPr>
        <w:t>Trust wide view of the</w:t>
      </w:r>
      <w:r w:rsidR="006F269A">
        <w:rPr>
          <w:rFonts w:ascii="Arial" w:hAnsi="Arial" w:cs="Arial"/>
        </w:rPr>
        <w:t xml:space="preserve"> strategic</w:t>
      </w:r>
      <w:r w:rsidR="004E5389">
        <w:rPr>
          <w:rFonts w:ascii="Arial" w:hAnsi="Arial" w:cs="Arial"/>
        </w:rPr>
        <w:t xml:space="preserve"> domains of Operational Performance, Quality</w:t>
      </w:r>
      <w:r w:rsidR="00C81390">
        <w:rPr>
          <w:rFonts w:ascii="Arial" w:hAnsi="Arial" w:cs="Arial"/>
        </w:rPr>
        <w:t>, People, Finance and Research</w:t>
      </w:r>
      <w:r w:rsidR="00A663C9">
        <w:rPr>
          <w:rFonts w:ascii="Arial" w:hAnsi="Arial" w:cs="Arial"/>
        </w:rPr>
        <w:t xml:space="preserve"> &amp; Education</w:t>
      </w:r>
      <w:r w:rsidR="00C628E2">
        <w:rPr>
          <w:rFonts w:ascii="Arial" w:hAnsi="Arial" w:cs="Arial"/>
        </w:rPr>
        <w:t xml:space="preserve"> in a ‘joined up’ way</w:t>
      </w:r>
      <w:r w:rsidR="00C81390">
        <w:rPr>
          <w:rFonts w:ascii="Arial" w:hAnsi="Arial" w:cs="Arial"/>
        </w:rPr>
        <w:t xml:space="preserve">.  </w:t>
      </w:r>
    </w:p>
    <w:p w14:paraId="10EE4E54" w14:textId="213FB0ED" w:rsidR="00030459" w:rsidRDefault="00030459" w:rsidP="00D90129">
      <w:pPr>
        <w:rPr>
          <w:rFonts w:ascii="Arial" w:hAnsi="Arial" w:cs="Arial"/>
        </w:rPr>
      </w:pPr>
    </w:p>
    <w:p w14:paraId="237347B8" w14:textId="179AF2AA" w:rsidR="00030459" w:rsidRDefault="00030459" w:rsidP="008C38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IPR supporting report </w:t>
      </w:r>
      <w:r w:rsidR="00C62DBE">
        <w:rPr>
          <w:rFonts w:ascii="Arial" w:hAnsi="Arial" w:cs="Arial"/>
        </w:rPr>
        <w:t>provides</w:t>
      </w:r>
      <w:r w:rsidR="00F22116">
        <w:rPr>
          <w:rFonts w:ascii="Arial" w:hAnsi="Arial" w:cs="Arial"/>
        </w:rPr>
        <w:t xml:space="preserve"> further,</w:t>
      </w:r>
      <w:r w:rsidR="00C62DBE">
        <w:rPr>
          <w:rFonts w:ascii="Arial" w:hAnsi="Arial" w:cs="Arial"/>
        </w:rPr>
        <w:t xml:space="preserve"> more detailed</w:t>
      </w:r>
      <w:r w:rsidR="00F22116">
        <w:rPr>
          <w:rFonts w:ascii="Arial" w:hAnsi="Arial" w:cs="Arial"/>
        </w:rPr>
        <w:t>,</w:t>
      </w:r>
      <w:r w:rsidR="00C62DBE">
        <w:rPr>
          <w:rFonts w:ascii="Arial" w:hAnsi="Arial" w:cs="Arial"/>
        </w:rPr>
        <w:t xml:space="preserve"> </w:t>
      </w:r>
      <w:r w:rsidR="00F22116">
        <w:rPr>
          <w:rFonts w:ascii="Arial" w:hAnsi="Arial" w:cs="Arial"/>
        </w:rPr>
        <w:t>information and assurance</w:t>
      </w:r>
      <w:r w:rsidR="00C62DBE">
        <w:rPr>
          <w:rFonts w:ascii="Arial" w:hAnsi="Arial" w:cs="Arial"/>
        </w:rPr>
        <w:t xml:space="preserve"> in relation to </w:t>
      </w:r>
      <w:r w:rsidR="008C389C" w:rsidRPr="008C389C">
        <w:rPr>
          <w:rFonts w:ascii="Arial" w:hAnsi="Arial" w:cs="Arial"/>
        </w:rPr>
        <w:t>COVID-19</w:t>
      </w:r>
      <w:r w:rsidR="008C389C">
        <w:rPr>
          <w:rFonts w:ascii="Arial" w:hAnsi="Arial" w:cs="Arial"/>
        </w:rPr>
        <w:t>, p</w:t>
      </w:r>
      <w:r w:rsidR="008C389C" w:rsidRPr="008C389C">
        <w:rPr>
          <w:rFonts w:ascii="Arial" w:hAnsi="Arial" w:cs="Arial"/>
        </w:rPr>
        <w:t xml:space="preserve">atient </w:t>
      </w:r>
      <w:r w:rsidR="008C389C">
        <w:rPr>
          <w:rFonts w:ascii="Arial" w:hAnsi="Arial" w:cs="Arial"/>
        </w:rPr>
        <w:t>a</w:t>
      </w:r>
      <w:r w:rsidR="008C389C" w:rsidRPr="008C389C">
        <w:rPr>
          <w:rFonts w:ascii="Arial" w:hAnsi="Arial" w:cs="Arial"/>
        </w:rPr>
        <w:t xml:space="preserve">ctivity and </w:t>
      </w:r>
      <w:r w:rsidR="008C389C">
        <w:rPr>
          <w:rFonts w:ascii="Arial" w:hAnsi="Arial" w:cs="Arial"/>
        </w:rPr>
        <w:t>d</w:t>
      </w:r>
      <w:r w:rsidR="008C389C" w:rsidRPr="008C389C">
        <w:rPr>
          <w:rFonts w:ascii="Arial" w:hAnsi="Arial" w:cs="Arial"/>
        </w:rPr>
        <w:t>emand</w:t>
      </w:r>
      <w:r w:rsidR="008C389C">
        <w:rPr>
          <w:rFonts w:ascii="Arial" w:hAnsi="Arial" w:cs="Arial"/>
        </w:rPr>
        <w:t xml:space="preserve">, </w:t>
      </w:r>
      <w:r w:rsidR="00F22116">
        <w:rPr>
          <w:rFonts w:ascii="Arial" w:hAnsi="Arial" w:cs="Arial"/>
        </w:rPr>
        <w:t>patients waits and c</w:t>
      </w:r>
      <w:r w:rsidR="008C389C" w:rsidRPr="008C389C">
        <w:rPr>
          <w:rFonts w:ascii="Arial" w:hAnsi="Arial" w:cs="Arial"/>
        </w:rPr>
        <w:t>ontractual KPI Performance </w:t>
      </w:r>
    </w:p>
    <w:p w14:paraId="63499607" w14:textId="190D66DB" w:rsidR="002F68D2" w:rsidRDefault="002F68D2" w:rsidP="00D90129">
      <w:pPr>
        <w:rPr>
          <w:rFonts w:ascii="Arial" w:hAnsi="Arial" w:cs="Arial"/>
        </w:rPr>
      </w:pPr>
    </w:p>
    <w:p w14:paraId="322FB102" w14:textId="4F4E39E2" w:rsidR="002F68D2" w:rsidRDefault="00F22116" w:rsidP="00D901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Both reports have </w:t>
      </w:r>
      <w:r w:rsidR="002F68D2">
        <w:rPr>
          <w:rFonts w:ascii="Arial" w:hAnsi="Arial" w:cs="Arial"/>
        </w:rPr>
        <w:t xml:space="preserve">been updated to include statistical process control charts (SPC) that show performance over time and </w:t>
      </w:r>
      <w:r w:rsidR="002D3D1D">
        <w:rPr>
          <w:rFonts w:ascii="Arial" w:hAnsi="Arial" w:cs="Arial"/>
        </w:rPr>
        <w:t>where available, a small selection of nationally available indicators to show how the Trust compares with its peers.</w:t>
      </w:r>
    </w:p>
    <w:p w14:paraId="6085FF8F" w14:textId="0FAA0D69" w:rsidR="00A663C9" w:rsidRDefault="00A663C9" w:rsidP="00D90129">
      <w:pPr>
        <w:rPr>
          <w:rFonts w:ascii="Arial" w:hAnsi="Arial" w:cs="Arial"/>
        </w:rPr>
      </w:pPr>
    </w:p>
    <w:p w14:paraId="56F3CCE1" w14:textId="6CF346C2" w:rsidR="00EB5C3A" w:rsidRPr="00FF5475" w:rsidRDefault="007535CA" w:rsidP="00D90129">
      <w:pPr>
        <w:rPr>
          <w:rFonts w:ascii="Arial" w:hAnsi="Arial" w:cs="Arial"/>
          <w:b/>
          <w:bCs/>
          <w:u w:val="single"/>
        </w:rPr>
      </w:pPr>
      <w:r w:rsidRPr="00FF5475">
        <w:rPr>
          <w:rFonts w:ascii="Arial" w:hAnsi="Arial" w:cs="Arial"/>
          <w:b/>
          <w:bCs/>
          <w:u w:val="single"/>
        </w:rPr>
        <w:t xml:space="preserve">IPR </w:t>
      </w:r>
      <w:r w:rsidR="00896E0E" w:rsidRPr="00FF5475">
        <w:rPr>
          <w:rFonts w:ascii="Arial" w:hAnsi="Arial" w:cs="Arial"/>
          <w:b/>
          <w:bCs/>
          <w:u w:val="single"/>
        </w:rPr>
        <w:t xml:space="preserve">- </w:t>
      </w:r>
      <w:r w:rsidR="00EB5C3A" w:rsidRPr="00FF5475">
        <w:rPr>
          <w:rFonts w:ascii="Arial" w:hAnsi="Arial" w:cs="Arial"/>
          <w:b/>
          <w:bCs/>
          <w:u w:val="single"/>
        </w:rPr>
        <w:t>Performance Summary</w:t>
      </w:r>
    </w:p>
    <w:p w14:paraId="409B7A8F" w14:textId="1F4E28AA" w:rsidR="001933A1" w:rsidRPr="00372D77" w:rsidRDefault="001933A1" w:rsidP="00D90129">
      <w:pPr>
        <w:rPr>
          <w:rFonts w:ascii="Arial" w:hAnsi="Arial" w:cs="Arial"/>
          <w:b/>
          <w:bCs/>
        </w:rPr>
      </w:pPr>
    </w:p>
    <w:p w14:paraId="147AC87E" w14:textId="314EFE3D" w:rsidR="001933A1" w:rsidRPr="00372D77" w:rsidRDefault="00632969" w:rsidP="00D90129">
      <w:pPr>
        <w:rPr>
          <w:rFonts w:ascii="Arial" w:hAnsi="Arial" w:cs="Arial"/>
          <w:b/>
          <w:bCs/>
        </w:rPr>
      </w:pPr>
      <w:r w:rsidRPr="00372D77">
        <w:rPr>
          <w:rFonts w:ascii="Arial" w:hAnsi="Arial" w:cs="Arial"/>
          <w:b/>
          <w:bCs/>
        </w:rPr>
        <w:t>Delivery o</w:t>
      </w:r>
      <w:r w:rsidR="001933A1" w:rsidRPr="00372D77">
        <w:rPr>
          <w:rFonts w:ascii="Arial" w:hAnsi="Arial" w:cs="Arial"/>
          <w:b/>
          <w:bCs/>
        </w:rPr>
        <w:t>f the National Oversight Framework</w:t>
      </w:r>
    </w:p>
    <w:p w14:paraId="367FCFDC" w14:textId="6056061C" w:rsidR="001933A1" w:rsidRPr="00372D77" w:rsidRDefault="001933A1" w:rsidP="00D90129">
      <w:pPr>
        <w:rPr>
          <w:rFonts w:ascii="Arial" w:hAnsi="Arial" w:cs="Arial"/>
          <w:b/>
          <w:bCs/>
        </w:rPr>
      </w:pPr>
    </w:p>
    <w:p w14:paraId="5445F6F4" w14:textId="2696885E" w:rsidR="0015530E" w:rsidRPr="00282923" w:rsidRDefault="001933A1" w:rsidP="00D90129">
      <w:pPr>
        <w:rPr>
          <w:rFonts w:ascii="Arial" w:hAnsi="Arial" w:cs="Arial"/>
        </w:rPr>
      </w:pPr>
      <w:r w:rsidRPr="00372D77">
        <w:rPr>
          <w:rFonts w:ascii="Arial" w:hAnsi="Arial" w:cs="Arial"/>
        </w:rPr>
        <w:t xml:space="preserve">The Trust </w:t>
      </w:r>
      <w:r w:rsidR="0063336D" w:rsidRPr="00372D77">
        <w:rPr>
          <w:rFonts w:ascii="Arial" w:hAnsi="Arial" w:cs="Arial"/>
        </w:rPr>
        <w:t xml:space="preserve">is performing well against all </w:t>
      </w:r>
      <w:r w:rsidR="00AE7742" w:rsidRPr="00372D77">
        <w:rPr>
          <w:rFonts w:ascii="Arial" w:hAnsi="Arial" w:cs="Arial"/>
        </w:rPr>
        <w:t xml:space="preserve">targeted metrics with the exception of </w:t>
      </w:r>
      <w:r w:rsidR="006A5736">
        <w:rPr>
          <w:rFonts w:ascii="Arial" w:hAnsi="Arial" w:cs="Arial"/>
          <w:b/>
          <w:bCs/>
        </w:rPr>
        <w:t xml:space="preserve">Inappropriate OAPS bed days used (Oxon).  </w:t>
      </w:r>
      <w:r w:rsidR="00CE1D0A" w:rsidRPr="00372D77">
        <w:rPr>
          <w:rFonts w:ascii="Arial" w:hAnsi="Arial" w:cs="Arial"/>
        </w:rPr>
        <w:t xml:space="preserve">The Trust </w:t>
      </w:r>
      <w:r w:rsidR="00AF49EF">
        <w:rPr>
          <w:rFonts w:ascii="Arial" w:hAnsi="Arial" w:cs="Arial"/>
        </w:rPr>
        <w:t>used</w:t>
      </w:r>
      <w:r w:rsidR="00A44118">
        <w:rPr>
          <w:rFonts w:ascii="Arial" w:hAnsi="Arial" w:cs="Arial"/>
        </w:rPr>
        <w:t xml:space="preserve"> 84 bed days in February for Oxon CCG patients</w:t>
      </w:r>
      <w:r w:rsidR="005A17AB" w:rsidRPr="00372D77">
        <w:rPr>
          <w:rFonts w:ascii="Arial" w:hAnsi="Arial" w:cs="Arial"/>
        </w:rPr>
        <w:t xml:space="preserve">.  </w:t>
      </w:r>
      <w:r w:rsidR="00E749DB" w:rsidRPr="00372D77">
        <w:rPr>
          <w:rFonts w:ascii="Arial" w:hAnsi="Arial" w:cs="Arial"/>
        </w:rPr>
        <w:t xml:space="preserve">This is </w:t>
      </w:r>
      <w:r w:rsidR="007A40E9" w:rsidRPr="00372D77">
        <w:rPr>
          <w:rFonts w:ascii="Arial" w:hAnsi="Arial" w:cs="Arial"/>
        </w:rPr>
        <w:t>due to ongoing service delivery challenges</w:t>
      </w:r>
      <w:r w:rsidR="00136C80" w:rsidRPr="00372D77">
        <w:rPr>
          <w:rFonts w:ascii="Arial" w:hAnsi="Arial" w:cs="Arial"/>
        </w:rPr>
        <w:t xml:space="preserve"> </w:t>
      </w:r>
      <w:r w:rsidR="00B0704D">
        <w:rPr>
          <w:rFonts w:ascii="Arial" w:hAnsi="Arial" w:cs="Arial"/>
        </w:rPr>
        <w:t xml:space="preserve">with reduced bed capacity as a result of Infection Prevention Control </w:t>
      </w:r>
      <w:r w:rsidR="00B0704D" w:rsidRPr="00282923">
        <w:rPr>
          <w:rFonts w:ascii="Arial" w:hAnsi="Arial" w:cs="Arial"/>
        </w:rPr>
        <w:t xml:space="preserve">(IPC) guidance.  </w:t>
      </w:r>
    </w:p>
    <w:p w14:paraId="0389A21F" w14:textId="521D3D27" w:rsidR="00FF5475" w:rsidRPr="00282923" w:rsidRDefault="00FF5475" w:rsidP="00D90129">
      <w:pPr>
        <w:rPr>
          <w:rFonts w:ascii="Arial" w:hAnsi="Arial" w:cs="Arial"/>
        </w:rPr>
      </w:pPr>
    </w:p>
    <w:p w14:paraId="46BFDC5B" w14:textId="03DFF5DD" w:rsidR="00FF5475" w:rsidRPr="00282923" w:rsidRDefault="00FF5475" w:rsidP="00D90129">
      <w:pPr>
        <w:rPr>
          <w:rFonts w:ascii="Arial" w:hAnsi="Arial" w:cs="Arial"/>
          <w:b/>
          <w:bCs/>
        </w:rPr>
      </w:pPr>
      <w:r w:rsidRPr="00282923">
        <w:rPr>
          <w:rFonts w:ascii="Arial" w:hAnsi="Arial" w:cs="Arial"/>
          <w:b/>
          <w:bCs/>
        </w:rPr>
        <w:t>SE Regional Performance and how we compare</w:t>
      </w:r>
    </w:p>
    <w:p w14:paraId="41E7C640" w14:textId="73AD4A1B" w:rsidR="00FF5475" w:rsidRPr="00282923" w:rsidRDefault="00FF5475" w:rsidP="00D90129">
      <w:pPr>
        <w:rPr>
          <w:rFonts w:ascii="Arial" w:hAnsi="Arial" w:cs="Arial"/>
        </w:rPr>
      </w:pPr>
    </w:p>
    <w:p w14:paraId="1DDDFFF3" w14:textId="4B75641E" w:rsidR="003149DA" w:rsidRPr="00914AE7" w:rsidRDefault="005A16AD" w:rsidP="00914AE7">
      <w:pPr>
        <w:pStyle w:val="ListParagraph"/>
        <w:numPr>
          <w:ilvl w:val="0"/>
          <w:numId w:val="12"/>
        </w:numPr>
        <w:rPr>
          <w:rFonts w:ascii="Arial" w:hAnsi="Arial" w:cs="Arial"/>
          <w:lang w:val="en-GB"/>
        </w:rPr>
      </w:pPr>
      <w:r w:rsidRPr="005A16AD">
        <w:rPr>
          <w:rFonts w:ascii="Arial" w:hAnsi="Arial" w:cs="Arial"/>
          <w:lang w:val="en-GB"/>
        </w:rPr>
        <w:t xml:space="preserve">Oxford Health </w:t>
      </w:r>
      <w:r w:rsidRPr="005A16AD">
        <w:rPr>
          <w:rFonts w:ascii="Arial" w:hAnsi="Arial" w:cs="Arial"/>
          <w:b/>
          <w:bCs/>
          <w:lang w:val="en-GB"/>
        </w:rPr>
        <w:t>adult bed occupancy</w:t>
      </w:r>
      <w:r w:rsidRPr="005A16AD">
        <w:rPr>
          <w:rFonts w:ascii="Arial" w:hAnsi="Arial" w:cs="Arial"/>
          <w:lang w:val="en-GB"/>
        </w:rPr>
        <w:t xml:space="preserve"> was among the lowest in the region, averaging 86% </w:t>
      </w:r>
      <w:r w:rsidR="00170318">
        <w:rPr>
          <w:rFonts w:ascii="Arial" w:hAnsi="Arial" w:cs="Arial"/>
          <w:lang w:val="en-GB"/>
        </w:rPr>
        <w:t xml:space="preserve">of the beds available </w:t>
      </w:r>
      <w:r w:rsidRPr="005A16AD">
        <w:rPr>
          <w:rFonts w:ascii="Arial" w:hAnsi="Arial" w:cs="Arial"/>
          <w:lang w:val="en-GB"/>
        </w:rPr>
        <w:t xml:space="preserve">over the past 12 weeks compared to the region average of 95.7%. </w:t>
      </w:r>
      <w:r w:rsidR="008B0A71">
        <w:rPr>
          <w:rFonts w:ascii="Arial" w:hAnsi="Arial" w:cs="Arial"/>
          <w:lang w:val="en-GB"/>
        </w:rPr>
        <w:t xml:space="preserve"> </w:t>
      </w:r>
    </w:p>
    <w:p w14:paraId="14EF0065" w14:textId="77777777" w:rsidR="008E498D" w:rsidRPr="008E498D" w:rsidRDefault="008E498D" w:rsidP="008E498D">
      <w:pPr>
        <w:pStyle w:val="ListParagraph"/>
        <w:rPr>
          <w:rFonts w:ascii="Arial" w:hAnsi="Arial" w:cs="Arial"/>
          <w:highlight w:val="yellow"/>
          <w:lang w:val="en-GB"/>
        </w:rPr>
      </w:pPr>
    </w:p>
    <w:p w14:paraId="6B0892CD" w14:textId="77777777" w:rsidR="00010A9D" w:rsidRPr="00010A9D" w:rsidRDefault="00010A9D" w:rsidP="00010A9D">
      <w:pPr>
        <w:pStyle w:val="ListParagraph"/>
        <w:numPr>
          <w:ilvl w:val="0"/>
          <w:numId w:val="12"/>
        </w:numPr>
        <w:rPr>
          <w:rFonts w:ascii="Arial" w:hAnsi="Arial" w:cs="Arial"/>
          <w:lang w:val="en-GB"/>
        </w:rPr>
      </w:pPr>
      <w:r w:rsidRPr="00010A9D">
        <w:rPr>
          <w:rFonts w:ascii="Arial" w:hAnsi="Arial" w:cs="Arial"/>
          <w:lang w:val="en-GB"/>
        </w:rPr>
        <w:t xml:space="preserve">Oxford Health </w:t>
      </w:r>
      <w:r w:rsidRPr="00010A9D">
        <w:rPr>
          <w:rFonts w:ascii="Arial" w:hAnsi="Arial" w:cs="Arial"/>
          <w:b/>
          <w:bCs/>
          <w:lang w:val="en-GB"/>
        </w:rPr>
        <w:t>older adult bed occupancy</w:t>
      </w:r>
      <w:r w:rsidRPr="00010A9D">
        <w:rPr>
          <w:rFonts w:ascii="Arial" w:hAnsi="Arial" w:cs="Arial"/>
          <w:lang w:val="en-GB"/>
        </w:rPr>
        <w:t xml:space="preserve"> was among the highest in the region, averaging 92% over the past 12 weeks compared to the region average of 88.3%.  </w:t>
      </w:r>
    </w:p>
    <w:p w14:paraId="2AA61BA9" w14:textId="77777777" w:rsidR="00010A9D" w:rsidRPr="00282923" w:rsidRDefault="00010A9D" w:rsidP="00010A9D">
      <w:pPr>
        <w:pStyle w:val="ListParagraph"/>
        <w:rPr>
          <w:rFonts w:ascii="Arial" w:hAnsi="Arial" w:cs="Arial"/>
          <w:lang w:val="en-GB"/>
        </w:rPr>
      </w:pPr>
    </w:p>
    <w:p w14:paraId="2B13D1D5" w14:textId="2B28604D" w:rsidR="00010A9D" w:rsidRPr="00282923" w:rsidRDefault="00010A9D" w:rsidP="00010A9D">
      <w:pPr>
        <w:pStyle w:val="ListParagraph"/>
        <w:numPr>
          <w:ilvl w:val="0"/>
          <w:numId w:val="12"/>
        </w:numPr>
        <w:rPr>
          <w:rFonts w:ascii="Arial" w:hAnsi="Arial" w:cs="Arial"/>
          <w:lang w:val="en-GB"/>
        </w:rPr>
      </w:pPr>
      <w:r w:rsidRPr="00010A9D">
        <w:rPr>
          <w:rFonts w:ascii="Arial" w:hAnsi="Arial" w:cs="Arial"/>
          <w:lang w:val="en-GB"/>
        </w:rPr>
        <w:t xml:space="preserve">Oxford Health </w:t>
      </w:r>
      <w:r w:rsidRPr="00010A9D">
        <w:rPr>
          <w:rFonts w:ascii="Arial" w:hAnsi="Arial" w:cs="Arial"/>
          <w:b/>
          <w:bCs/>
          <w:lang w:val="en-GB"/>
        </w:rPr>
        <w:t>P</w:t>
      </w:r>
      <w:r w:rsidRPr="00282923">
        <w:rPr>
          <w:rFonts w:ascii="Arial" w:hAnsi="Arial" w:cs="Arial"/>
          <w:b/>
          <w:bCs/>
          <w:lang w:val="en-GB"/>
        </w:rPr>
        <w:t xml:space="preserve">sychiatric </w:t>
      </w:r>
      <w:r w:rsidRPr="00010A9D">
        <w:rPr>
          <w:rFonts w:ascii="Arial" w:hAnsi="Arial" w:cs="Arial"/>
          <w:b/>
          <w:bCs/>
          <w:lang w:val="en-GB"/>
        </w:rPr>
        <w:t>ICU bed occupancy</w:t>
      </w:r>
      <w:r w:rsidRPr="00010A9D">
        <w:rPr>
          <w:rFonts w:ascii="Arial" w:hAnsi="Arial" w:cs="Arial"/>
          <w:lang w:val="en-GB"/>
        </w:rPr>
        <w:t xml:space="preserve"> was among the lowest in the region, averaging 68% over the past 12 weeks compared to the region average of 78%.  </w:t>
      </w:r>
    </w:p>
    <w:p w14:paraId="47033187" w14:textId="77777777" w:rsidR="00010A9D" w:rsidRPr="00282923" w:rsidRDefault="00010A9D" w:rsidP="005470E3">
      <w:pPr>
        <w:rPr>
          <w:rFonts w:ascii="Arial" w:hAnsi="Arial" w:cs="Arial"/>
          <w:lang w:val="en-GB"/>
        </w:rPr>
      </w:pPr>
    </w:p>
    <w:p w14:paraId="4508A2E4" w14:textId="06C8C787" w:rsidR="005470E3" w:rsidRPr="00282923" w:rsidRDefault="005470E3" w:rsidP="005470E3">
      <w:pPr>
        <w:pStyle w:val="ListParagraph"/>
        <w:numPr>
          <w:ilvl w:val="0"/>
          <w:numId w:val="12"/>
        </w:numPr>
        <w:rPr>
          <w:rFonts w:ascii="Arial" w:hAnsi="Arial" w:cs="Arial"/>
          <w:lang w:val="en-GB"/>
        </w:rPr>
      </w:pPr>
      <w:r w:rsidRPr="005470E3">
        <w:rPr>
          <w:rFonts w:ascii="Arial" w:hAnsi="Arial" w:cs="Arial"/>
          <w:lang w:val="en-GB"/>
        </w:rPr>
        <w:t xml:space="preserve">The number of </w:t>
      </w:r>
      <w:r w:rsidRPr="005470E3">
        <w:rPr>
          <w:rFonts w:ascii="Arial" w:hAnsi="Arial" w:cs="Arial"/>
          <w:b/>
          <w:bCs/>
          <w:lang w:val="en-GB"/>
        </w:rPr>
        <w:t>people awaiting admission</w:t>
      </w:r>
      <w:r w:rsidRPr="00282923">
        <w:rPr>
          <w:rFonts w:ascii="Arial" w:hAnsi="Arial" w:cs="Arial"/>
          <w:lang w:val="en-GB"/>
        </w:rPr>
        <w:t xml:space="preserve"> in Oxford Health</w:t>
      </w:r>
      <w:r w:rsidRPr="005470E3">
        <w:rPr>
          <w:rFonts w:ascii="Arial" w:hAnsi="Arial" w:cs="Arial"/>
          <w:lang w:val="en-GB"/>
        </w:rPr>
        <w:t xml:space="preserve"> is low in the region, averaging 3 people over the past 12 weeks.  The highest number of patients awaiting admission is in Sussex Partnership averaging 24 people. </w:t>
      </w:r>
    </w:p>
    <w:p w14:paraId="5F9B3180" w14:textId="77777777" w:rsidR="005470E3" w:rsidRPr="00282923" w:rsidRDefault="005470E3" w:rsidP="008827D2">
      <w:pPr>
        <w:rPr>
          <w:rFonts w:ascii="Arial" w:hAnsi="Arial" w:cs="Arial"/>
          <w:lang w:val="en-GB"/>
        </w:rPr>
      </w:pPr>
    </w:p>
    <w:p w14:paraId="24AB4AFA" w14:textId="1B1741BC" w:rsidR="008827D2" w:rsidRPr="00282923" w:rsidRDefault="008827D2" w:rsidP="00FC110D">
      <w:pPr>
        <w:pStyle w:val="ListParagraph"/>
        <w:numPr>
          <w:ilvl w:val="0"/>
          <w:numId w:val="12"/>
        </w:numPr>
        <w:rPr>
          <w:rFonts w:ascii="Arial" w:hAnsi="Arial" w:cs="Arial"/>
          <w:lang w:val="en-GB"/>
        </w:rPr>
      </w:pPr>
      <w:r w:rsidRPr="008827D2">
        <w:rPr>
          <w:rFonts w:ascii="Arial" w:hAnsi="Arial" w:cs="Arial"/>
          <w:lang w:val="en-GB"/>
        </w:rPr>
        <w:t xml:space="preserve">Oxford Health had low numbers of </w:t>
      </w:r>
      <w:r w:rsidRPr="008827D2">
        <w:rPr>
          <w:rFonts w:ascii="Arial" w:hAnsi="Arial" w:cs="Arial"/>
          <w:b/>
          <w:bCs/>
          <w:lang w:val="en-GB"/>
        </w:rPr>
        <w:t>inappropriate out of area placements</w:t>
      </w:r>
      <w:r w:rsidRPr="008827D2">
        <w:rPr>
          <w:rFonts w:ascii="Arial" w:hAnsi="Arial" w:cs="Arial"/>
          <w:lang w:val="en-GB"/>
        </w:rPr>
        <w:t xml:space="preserve"> over the past 12 weeks; averaging 1 per week.</w:t>
      </w:r>
      <w:r w:rsidRPr="00282923">
        <w:rPr>
          <w:rFonts w:ascii="Arial" w:hAnsi="Arial" w:cs="Arial"/>
          <w:lang w:val="en-GB"/>
        </w:rPr>
        <w:t xml:space="preserve">  </w:t>
      </w:r>
      <w:r w:rsidRPr="008827D2">
        <w:rPr>
          <w:rFonts w:ascii="Arial" w:hAnsi="Arial" w:cs="Arial"/>
          <w:lang w:val="en-GB"/>
        </w:rPr>
        <w:t>Across 8 providers the total  number of people awaiting admission is 38 on average each week.   On average, 3% of inappropriate OAPs in the region relate to Oxford Health.</w:t>
      </w:r>
    </w:p>
    <w:p w14:paraId="66419AD1" w14:textId="77777777" w:rsidR="008827D2" w:rsidRPr="00282923" w:rsidRDefault="008827D2" w:rsidP="00282923">
      <w:pPr>
        <w:rPr>
          <w:rFonts w:ascii="Arial" w:hAnsi="Arial" w:cs="Arial"/>
          <w:lang w:val="en-GB"/>
        </w:rPr>
      </w:pPr>
    </w:p>
    <w:p w14:paraId="6ABEF9CF" w14:textId="77777777" w:rsidR="00282923" w:rsidRPr="00282923" w:rsidRDefault="00282923" w:rsidP="00282923">
      <w:pPr>
        <w:pStyle w:val="ListParagraph"/>
        <w:numPr>
          <w:ilvl w:val="0"/>
          <w:numId w:val="12"/>
        </w:numPr>
        <w:rPr>
          <w:rFonts w:ascii="Arial" w:hAnsi="Arial" w:cs="Arial"/>
          <w:lang w:val="en-GB"/>
        </w:rPr>
      </w:pPr>
      <w:r w:rsidRPr="00282923">
        <w:rPr>
          <w:rFonts w:ascii="Arial" w:hAnsi="Arial" w:cs="Arial"/>
          <w:b/>
          <w:bCs/>
          <w:lang w:val="en-GB"/>
        </w:rPr>
        <w:t>136 suite availability</w:t>
      </w:r>
      <w:r w:rsidRPr="00282923">
        <w:rPr>
          <w:rFonts w:ascii="Arial" w:hAnsi="Arial" w:cs="Arial"/>
          <w:lang w:val="en-GB"/>
        </w:rPr>
        <w:t xml:space="preserve"> in Oxford Health is one of the highest in the region averaging 68% availability over the past 12 weeks compared to the regional average of 35%.</w:t>
      </w:r>
    </w:p>
    <w:p w14:paraId="036311A1" w14:textId="77777777" w:rsidR="001D276C" w:rsidRDefault="001D276C" w:rsidP="00D90129">
      <w:pPr>
        <w:rPr>
          <w:rFonts w:ascii="Arial" w:hAnsi="Arial" w:cs="Arial"/>
        </w:rPr>
      </w:pPr>
    </w:p>
    <w:p w14:paraId="2AC194B3" w14:textId="139C3404" w:rsidR="003E0F7E" w:rsidRPr="007F1D70" w:rsidRDefault="00274347" w:rsidP="00D90129">
      <w:pPr>
        <w:rPr>
          <w:rFonts w:ascii="Arial" w:hAnsi="Arial" w:cs="Arial"/>
          <w:b/>
          <w:bCs/>
        </w:rPr>
      </w:pPr>
      <w:r w:rsidRPr="007F1D70">
        <w:rPr>
          <w:rFonts w:ascii="Arial" w:hAnsi="Arial" w:cs="Arial"/>
          <w:b/>
          <w:bCs/>
        </w:rPr>
        <w:t>Delivery of strategic objective</w:t>
      </w:r>
      <w:r w:rsidR="007674AA" w:rsidRPr="007F1D70">
        <w:rPr>
          <w:rFonts w:ascii="Arial" w:hAnsi="Arial" w:cs="Arial"/>
          <w:b/>
          <w:bCs/>
        </w:rPr>
        <w:t>s</w:t>
      </w:r>
      <w:r w:rsidRPr="007F1D70">
        <w:rPr>
          <w:rFonts w:ascii="Arial" w:hAnsi="Arial" w:cs="Arial"/>
          <w:b/>
          <w:bCs/>
        </w:rPr>
        <w:t xml:space="preserve"> (O</w:t>
      </w:r>
      <w:r w:rsidR="007674AA" w:rsidRPr="007F1D70">
        <w:rPr>
          <w:rFonts w:ascii="Arial" w:hAnsi="Arial" w:cs="Arial"/>
          <w:b/>
          <w:bCs/>
        </w:rPr>
        <w:t>bjective Key Results (OKRs</w:t>
      </w:r>
      <w:r w:rsidRPr="007F1D70">
        <w:rPr>
          <w:rFonts w:ascii="Arial" w:hAnsi="Arial" w:cs="Arial"/>
          <w:b/>
          <w:bCs/>
        </w:rPr>
        <w:t>)</w:t>
      </w:r>
    </w:p>
    <w:p w14:paraId="08226C74" w14:textId="2BA7488D" w:rsidR="00274347" w:rsidRPr="007F1D70" w:rsidRDefault="00274347" w:rsidP="00D90129">
      <w:pPr>
        <w:rPr>
          <w:rFonts w:ascii="Arial" w:hAnsi="Arial" w:cs="Arial"/>
          <w:b/>
          <w:bCs/>
        </w:rPr>
      </w:pPr>
    </w:p>
    <w:p w14:paraId="4B971BB8" w14:textId="13E67C2F" w:rsidR="00274347" w:rsidRPr="007F1D70" w:rsidRDefault="00274347" w:rsidP="0027434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F1D70">
        <w:rPr>
          <w:rFonts w:ascii="Arial" w:hAnsi="Arial" w:cs="Arial"/>
          <w:b/>
          <w:bCs/>
        </w:rPr>
        <w:t xml:space="preserve">Quality: </w:t>
      </w:r>
      <w:r w:rsidRPr="007F1D70">
        <w:rPr>
          <w:rFonts w:ascii="Arial" w:hAnsi="Arial" w:cs="Arial"/>
        </w:rPr>
        <w:t>The</w:t>
      </w:r>
      <w:r w:rsidR="0002357B" w:rsidRPr="007F1D70">
        <w:rPr>
          <w:rFonts w:ascii="Arial" w:hAnsi="Arial" w:cs="Arial"/>
        </w:rPr>
        <w:t xml:space="preserve">re are 10 </w:t>
      </w:r>
      <w:r w:rsidR="00A35D30" w:rsidRPr="007F1D70">
        <w:rPr>
          <w:rFonts w:ascii="Arial" w:hAnsi="Arial" w:cs="Arial"/>
        </w:rPr>
        <w:t>Q</w:t>
      </w:r>
      <w:r w:rsidR="008A4418" w:rsidRPr="007F1D70">
        <w:rPr>
          <w:rFonts w:ascii="Arial" w:hAnsi="Arial" w:cs="Arial"/>
        </w:rPr>
        <w:t xml:space="preserve">uality OKRs, the Trust is not achieving </w:t>
      </w:r>
      <w:r w:rsidR="00072EA8" w:rsidRPr="007F1D70">
        <w:rPr>
          <w:rFonts w:ascii="Arial" w:hAnsi="Arial" w:cs="Arial"/>
        </w:rPr>
        <w:t>6</w:t>
      </w:r>
      <w:r w:rsidR="008A4418" w:rsidRPr="007F1D70">
        <w:rPr>
          <w:rFonts w:ascii="Arial" w:hAnsi="Arial" w:cs="Arial"/>
        </w:rPr>
        <w:t xml:space="preserve"> which are</w:t>
      </w:r>
      <w:r w:rsidR="001B7616" w:rsidRPr="007F1D70">
        <w:rPr>
          <w:rFonts w:ascii="Arial" w:hAnsi="Arial" w:cs="Arial"/>
        </w:rPr>
        <w:t>:</w:t>
      </w:r>
    </w:p>
    <w:p w14:paraId="52E525E5" w14:textId="77777777" w:rsidR="002A3234" w:rsidRPr="007F1D70" w:rsidRDefault="002A3234" w:rsidP="002A3234">
      <w:pPr>
        <w:pStyle w:val="ListParagraph"/>
        <w:rPr>
          <w:rFonts w:ascii="Arial" w:hAnsi="Arial" w:cs="Arial"/>
        </w:rPr>
      </w:pPr>
    </w:p>
    <w:p w14:paraId="6FB01EF4" w14:textId="77777777" w:rsidR="00BC297D" w:rsidRPr="007F1D70" w:rsidRDefault="00BC297D" w:rsidP="002A323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7F1D70">
        <w:rPr>
          <w:rFonts w:ascii="Arial" w:hAnsi="Arial" w:cs="Arial"/>
        </w:rPr>
        <w:t>Clinical supervision compliance</w:t>
      </w:r>
    </w:p>
    <w:p w14:paraId="0D556157" w14:textId="4996CA2E" w:rsidR="002A3234" w:rsidRPr="007F1D70" w:rsidRDefault="00040A00" w:rsidP="002A323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7F1D70">
        <w:rPr>
          <w:rFonts w:ascii="Arial" w:hAnsi="Arial" w:cs="Arial"/>
        </w:rPr>
        <w:t>Reduction in use of Prone restraint</w:t>
      </w:r>
    </w:p>
    <w:p w14:paraId="4CBE914D" w14:textId="1C80A688" w:rsidR="00F1137A" w:rsidRPr="007F1D70" w:rsidRDefault="00F1137A" w:rsidP="002A323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7F1D70">
        <w:rPr>
          <w:rFonts w:ascii="Arial" w:hAnsi="Arial" w:cs="Arial"/>
        </w:rPr>
        <w:t>Patient safety partners employed to be part of the governance structure</w:t>
      </w:r>
    </w:p>
    <w:p w14:paraId="56A960E7" w14:textId="074B5CDF" w:rsidR="005C6E0B" w:rsidRPr="007F1D70" w:rsidRDefault="005C6E0B" w:rsidP="002A323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7F1D70">
        <w:rPr>
          <w:rFonts w:ascii="Arial" w:hAnsi="Arial" w:cs="Arial"/>
        </w:rPr>
        <w:t>Lester Tool completion in</w:t>
      </w:r>
      <w:r w:rsidR="00FA708D" w:rsidRPr="007F1D70">
        <w:rPr>
          <w:rFonts w:ascii="Arial" w:hAnsi="Arial" w:cs="Arial"/>
        </w:rPr>
        <w:t xml:space="preserve"> the</w:t>
      </w:r>
      <w:r w:rsidRPr="007F1D70">
        <w:rPr>
          <w:rFonts w:ascii="Arial" w:hAnsi="Arial" w:cs="Arial"/>
        </w:rPr>
        <w:t xml:space="preserve"> community</w:t>
      </w:r>
    </w:p>
    <w:p w14:paraId="71367C8C" w14:textId="4AF99009" w:rsidR="00FA708D" w:rsidRPr="007F1D70" w:rsidRDefault="00FA708D" w:rsidP="002A323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7F1D70">
        <w:rPr>
          <w:rFonts w:ascii="Arial" w:hAnsi="Arial" w:cs="Arial"/>
        </w:rPr>
        <w:t>Evidence patients have been involved in their care plans</w:t>
      </w:r>
    </w:p>
    <w:p w14:paraId="6317770B" w14:textId="3E2A4DFB" w:rsidR="00FA708D" w:rsidRDefault="00BC297D" w:rsidP="002A323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7F1D70">
        <w:rPr>
          <w:rFonts w:ascii="Arial" w:hAnsi="Arial" w:cs="Arial"/>
        </w:rPr>
        <w:t>Autism e-learning training compliance</w:t>
      </w:r>
      <w:r w:rsidR="003C30F1" w:rsidRPr="007F1D70">
        <w:rPr>
          <w:rFonts w:ascii="Arial" w:hAnsi="Arial" w:cs="Arial"/>
        </w:rPr>
        <w:t xml:space="preserve">.  </w:t>
      </w:r>
    </w:p>
    <w:p w14:paraId="77FE7D82" w14:textId="67CEE982" w:rsidR="00234DF1" w:rsidRDefault="00234DF1" w:rsidP="00234DF1">
      <w:pPr>
        <w:rPr>
          <w:rFonts w:ascii="Arial" w:hAnsi="Arial" w:cs="Arial"/>
        </w:rPr>
      </w:pPr>
    </w:p>
    <w:p w14:paraId="07E11D5C" w14:textId="26362FCC" w:rsidR="00234DF1" w:rsidRDefault="003246F4" w:rsidP="00234DF1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8 additional OKRs </w:t>
      </w:r>
      <w:r w:rsidR="009C604F">
        <w:rPr>
          <w:rFonts w:ascii="Arial" w:hAnsi="Arial" w:cs="Arial"/>
        </w:rPr>
        <w:t xml:space="preserve">relating to </w:t>
      </w:r>
      <w:r w:rsidR="007146D9">
        <w:rPr>
          <w:rFonts w:ascii="Arial" w:hAnsi="Arial" w:cs="Arial"/>
        </w:rPr>
        <w:t>pressure ulcers, length of stay</w:t>
      </w:r>
      <w:r w:rsidR="009C604F">
        <w:rPr>
          <w:rFonts w:ascii="Arial" w:hAnsi="Arial" w:cs="Arial"/>
        </w:rPr>
        <w:t xml:space="preserve">, </w:t>
      </w:r>
      <w:r w:rsidR="007146D9">
        <w:rPr>
          <w:rFonts w:ascii="Arial" w:hAnsi="Arial" w:cs="Arial"/>
        </w:rPr>
        <w:t xml:space="preserve">DToC and </w:t>
      </w:r>
      <w:r w:rsidR="009C604F">
        <w:rPr>
          <w:rFonts w:ascii="Arial" w:hAnsi="Arial" w:cs="Arial"/>
        </w:rPr>
        <w:t xml:space="preserve">post discharge follow up </w:t>
      </w:r>
      <w:r>
        <w:rPr>
          <w:rFonts w:ascii="Arial" w:hAnsi="Arial" w:cs="Arial"/>
        </w:rPr>
        <w:t>have been added to the report this month</w:t>
      </w:r>
      <w:r w:rsidR="007A7740">
        <w:rPr>
          <w:rFonts w:ascii="Arial" w:hAnsi="Arial" w:cs="Arial"/>
        </w:rPr>
        <w:t xml:space="preserve"> subject to exec approval</w:t>
      </w:r>
      <w:r w:rsidR="000A09D6">
        <w:rPr>
          <w:rFonts w:ascii="Arial" w:hAnsi="Arial" w:cs="Arial"/>
        </w:rPr>
        <w:t>. Targets are still to be confirmed for the majority</w:t>
      </w:r>
      <w:r w:rsidR="002674FB">
        <w:rPr>
          <w:rFonts w:ascii="Arial" w:hAnsi="Arial" w:cs="Arial"/>
        </w:rPr>
        <w:t xml:space="preserve">.  </w:t>
      </w:r>
    </w:p>
    <w:p w14:paraId="10D5FAC5" w14:textId="77777777" w:rsidR="00401339" w:rsidRPr="007F1D70" w:rsidRDefault="00401339" w:rsidP="00401339">
      <w:pPr>
        <w:pStyle w:val="ListParagraph"/>
        <w:rPr>
          <w:rFonts w:ascii="Arial" w:hAnsi="Arial" w:cs="Arial"/>
        </w:rPr>
      </w:pPr>
    </w:p>
    <w:p w14:paraId="0CD63990" w14:textId="72C9A505" w:rsidR="00943BBB" w:rsidRPr="007F1D70" w:rsidRDefault="00FE5FAF" w:rsidP="0027434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F1D70">
        <w:rPr>
          <w:rFonts w:ascii="Arial" w:hAnsi="Arial" w:cs="Arial"/>
          <w:b/>
          <w:bCs/>
        </w:rPr>
        <w:t>People:</w:t>
      </w:r>
      <w:r w:rsidRPr="007F1D70">
        <w:rPr>
          <w:rFonts w:ascii="Arial" w:hAnsi="Arial" w:cs="Arial"/>
        </w:rPr>
        <w:t xml:space="preserve"> The</w:t>
      </w:r>
      <w:r w:rsidR="0066536E" w:rsidRPr="007F1D70">
        <w:rPr>
          <w:rFonts w:ascii="Arial" w:hAnsi="Arial" w:cs="Arial"/>
        </w:rPr>
        <w:t xml:space="preserve">re are 9 </w:t>
      </w:r>
      <w:r w:rsidR="00A35D30" w:rsidRPr="007F1D70">
        <w:rPr>
          <w:rFonts w:ascii="Arial" w:hAnsi="Arial" w:cs="Arial"/>
        </w:rPr>
        <w:t>People OKRs, the Trust is not a</w:t>
      </w:r>
      <w:r w:rsidR="00401339" w:rsidRPr="007F1D70">
        <w:rPr>
          <w:rFonts w:ascii="Arial" w:hAnsi="Arial" w:cs="Arial"/>
        </w:rPr>
        <w:t xml:space="preserve">chieving </w:t>
      </w:r>
      <w:r w:rsidR="001B7616" w:rsidRPr="007F1D70">
        <w:rPr>
          <w:rFonts w:ascii="Arial" w:hAnsi="Arial" w:cs="Arial"/>
        </w:rPr>
        <w:t>4 which are</w:t>
      </w:r>
      <w:r w:rsidR="00BC297D" w:rsidRPr="007F1D70">
        <w:rPr>
          <w:rFonts w:ascii="Arial" w:hAnsi="Arial" w:cs="Arial"/>
        </w:rPr>
        <w:t>:</w:t>
      </w:r>
    </w:p>
    <w:p w14:paraId="5E78D16A" w14:textId="77777777" w:rsidR="004614A3" w:rsidRPr="007F1D70" w:rsidRDefault="004614A3" w:rsidP="004614A3">
      <w:pPr>
        <w:pStyle w:val="ListParagraph"/>
        <w:rPr>
          <w:rFonts w:ascii="Arial" w:hAnsi="Arial" w:cs="Arial"/>
        </w:rPr>
      </w:pPr>
    </w:p>
    <w:p w14:paraId="0E3C56B1" w14:textId="0A182D09" w:rsidR="00BC297D" w:rsidRPr="007F1D70" w:rsidRDefault="004614A3" w:rsidP="00BC297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7F1D70">
        <w:rPr>
          <w:rFonts w:ascii="Arial" w:hAnsi="Arial" w:cs="Arial"/>
        </w:rPr>
        <w:t>Staff sickness</w:t>
      </w:r>
    </w:p>
    <w:p w14:paraId="5C846512" w14:textId="324E7D91" w:rsidR="004614A3" w:rsidRPr="007F1D70" w:rsidRDefault="004614A3" w:rsidP="00BC297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7F1D70">
        <w:rPr>
          <w:rFonts w:ascii="Arial" w:hAnsi="Arial" w:cs="Arial"/>
        </w:rPr>
        <w:t>Turnover</w:t>
      </w:r>
    </w:p>
    <w:p w14:paraId="732595CB" w14:textId="7F444EC1" w:rsidR="004614A3" w:rsidRPr="007F1D70" w:rsidRDefault="004614A3" w:rsidP="004614A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7F1D70">
        <w:rPr>
          <w:rFonts w:ascii="Arial" w:hAnsi="Arial" w:cs="Arial"/>
        </w:rPr>
        <w:t>P</w:t>
      </w:r>
      <w:r w:rsidR="007674AA" w:rsidRPr="007F1D70">
        <w:rPr>
          <w:rFonts w:ascii="Arial" w:hAnsi="Arial" w:cs="Arial"/>
        </w:rPr>
        <w:t>ersonal Development Review (PDR)</w:t>
      </w:r>
      <w:r w:rsidRPr="007F1D70">
        <w:rPr>
          <w:rFonts w:ascii="Arial" w:hAnsi="Arial" w:cs="Arial"/>
        </w:rPr>
        <w:t xml:space="preserve"> compliance</w:t>
      </w:r>
    </w:p>
    <w:p w14:paraId="438AAD89" w14:textId="1FDB55CA" w:rsidR="004614A3" w:rsidRPr="007F1D70" w:rsidRDefault="004614A3" w:rsidP="004614A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7F1D70">
        <w:rPr>
          <w:rFonts w:ascii="Arial" w:hAnsi="Arial" w:cs="Arial"/>
        </w:rPr>
        <w:t>PPST compliance</w:t>
      </w:r>
    </w:p>
    <w:p w14:paraId="3C76F223" w14:textId="77777777" w:rsidR="00D836CB" w:rsidRPr="007F1D70" w:rsidRDefault="00D836CB" w:rsidP="00E46DF2">
      <w:pPr>
        <w:pStyle w:val="ListParagraph"/>
        <w:ind w:left="1440"/>
        <w:rPr>
          <w:rFonts w:ascii="Arial" w:hAnsi="Arial" w:cs="Arial"/>
        </w:rPr>
      </w:pPr>
    </w:p>
    <w:p w14:paraId="71867190" w14:textId="6291477C" w:rsidR="004907CD" w:rsidRDefault="000F2BDA" w:rsidP="00757E0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F1D70">
        <w:rPr>
          <w:rFonts w:ascii="Arial" w:hAnsi="Arial" w:cs="Arial"/>
          <w:b/>
          <w:bCs/>
        </w:rPr>
        <w:t>Sustainability</w:t>
      </w:r>
      <w:r w:rsidRPr="007F1D70">
        <w:rPr>
          <w:rFonts w:ascii="Arial" w:hAnsi="Arial" w:cs="Arial"/>
        </w:rPr>
        <w:t>: The</w:t>
      </w:r>
      <w:r w:rsidR="002B0386" w:rsidRPr="007F1D70">
        <w:rPr>
          <w:rFonts w:ascii="Arial" w:hAnsi="Arial" w:cs="Arial"/>
        </w:rPr>
        <w:t xml:space="preserve">re are </w:t>
      </w:r>
      <w:r w:rsidR="00D82AD0" w:rsidRPr="007F1D70">
        <w:rPr>
          <w:rFonts w:ascii="Arial" w:hAnsi="Arial" w:cs="Arial"/>
        </w:rPr>
        <w:t>6 Sustainability OKRs, the</w:t>
      </w:r>
      <w:r w:rsidRPr="007F1D70">
        <w:rPr>
          <w:rFonts w:ascii="Arial" w:hAnsi="Arial" w:cs="Arial"/>
        </w:rPr>
        <w:t xml:space="preserve"> Trust is </w:t>
      </w:r>
      <w:r w:rsidR="00D82AD0" w:rsidRPr="007F1D70">
        <w:rPr>
          <w:rFonts w:ascii="Arial" w:hAnsi="Arial" w:cs="Arial"/>
        </w:rPr>
        <w:t xml:space="preserve">not </w:t>
      </w:r>
      <w:r w:rsidRPr="007F1D70">
        <w:rPr>
          <w:rFonts w:ascii="Arial" w:hAnsi="Arial" w:cs="Arial"/>
        </w:rPr>
        <w:t xml:space="preserve">achieving </w:t>
      </w:r>
      <w:r w:rsidR="00D82AD0" w:rsidRPr="007F1D70">
        <w:rPr>
          <w:rFonts w:ascii="Arial" w:hAnsi="Arial" w:cs="Arial"/>
        </w:rPr>
        <w:t>2:</w:t>
      </w:r>
      <w:r w:rsidR="004907CD" w:rsidRPr="007F1D70">
        <w:rPr>
          <w:rFonts w:ascii="Arial" w:hAnsi="Arial" w:cs="Arial"/>
        </w:rPr>
        <w:t xml:space="preserve"> </w:t>
      </w:r>
      <w:r w:rsidR="002A3234" w:rsidRPr="007F1D70">
        <w:rPr>
          <w:rFonts w:ascii="Arial" w:hAnsi="Arial" w:cs="Arial"/>
        </w:rPr>
        <w:t xml:space="preserve"> </w:t>
      </w:r>
    </w:p>
    <w:p w14:paraId="7A70383C" w14:textId="77777777" w:rsidR="00234DF1" w:rsidRPr="007F1D70" w:rsidRDefault="00234DF1" w:rsidP="00234DF1">
      <w:pPr>
        <w:pStyle w:val="ListParagraph"/>
        <w:rPr>
          <w:rFonts w:ascii="Arial" w:hAnsi="Arial" w:cs="Arial"/>
        </w:rPr>
      </w:pPr>
    </w:p>
    <w:p w14:paraId="028D1639" w14:textId="62F136B0" w:rsidR="00E172B0" w:rsidRPr="007F1D70" w:rsidRDefault="001238F0" w:rsidP="004907C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7F1D70">
        <w:rPr>
          <w:rFonts w:ascii="Arial" w:hAnsi="Arial" w:cs="Arial"/>
        </w:rPr>
        <w:t xml:space="preserve">Delivery </w:t>
      </w:r>
      <w:r w:rsidR="00B64288" w:rsidRPr="007F1D70">
        <w:rPr>
          <w:rFonts w:ascii="Arial" w:hAnsi="Arial" w:cs="Arial"/>
        </w:rPr>
        <w:t>of the cost improvement plan (CIP)</w:t>
      </w:r>
    </w:p>
    <w:p w14:paraId="5A0D745C" w14:textId="02B14B67" w:rsidR="001238F0" w:rsidRPr="007F1D70" w:rsidRDefault="001238F0" w:rsidP="004907C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7F1D70">
        <w:rPr>
          <w:rFonts w:ascii="Arial" w:hAnsi="Arial" w:cs="Arial"/>
        </w:rPr>
        <w:t>Achievement of all 8 targets NOF measures</w:t>
      </w:r>
    </w:p>
    <w:p w14:paraId="289FC122" w14:textId="1E2C31C3" w:rsidR="001846A7" w:rsidRPr="007F1D70" w:rsidRDefault="001846A7" w:rsidP="001846A7">
      <w:pPr>
        <w:rPr>
          <w:rFonts w:ascii="Arial" w:hAnsi="Arial" w:cs="Arial"/>
        </w:rPr>
      </w:pPr>
    </w:p>
    <w:p w14:paraId="207DB99E" w14:textId="72715DEE" w:rsidR="001846A7" w:rsidRPr="007F1D70" w:rsidRDefault="001846A7" w:rsidP="001846A7">
      <w:pPr>
        <w:rPr>
          <w:rFonts w:ascii="Arial" w:hAnsi="Arial" w:cs="Arial"/>
        </w:rPr>
      </w:pPr>
      <w:r w:rsidRPr="007F1D70">
        <w:rPr>
          <w:rFonts w:ascii="Arial" w:hAnsi="Arial" w:cs="Arial"/>
        </w:rPr>
        <w:t>Please see the report for further information and plans to address.</w:t>
      </w:r>
    </w:p>
    <w:p w14:paraId="6B338743" w14:textId="77777777" w:rsidR="000D5CA7" w:rsidRDefault="000D5CA7" w:rsidP="00A477AC">
      <w:pPr>
        <w:rPr>
          <w:rFonts w:ascii="Arial" w:hAnsi="Arial" w:cs="Arial"/>
          <w:b/>
          <w:bCs/>
          <w:u w:val="single"/>
        </w:rPr>
      </w:pPr>
    </w:p>
    <w:p w14:paraId="6A19AF30" w14:textId="4930AB96" w:rsidR="00A477AC" w:rsidRPr="00FF5475" w:rsidRDefault="00A477AC" w:rsidP="00A477AC">
      <w:pPr>
        <w:rPr>
          <w:rFonts w:ascii="Arial" w:hAnsi="Arial" w:cs="Arial"/>
          <w:b/>
          <w:bCs/>
          <w:u w:val="single"/>
        </w:rPr>
      </w:pPr>
      <w:r w:rsidRPr="00FF5475">
        <w:rPr>
          <w:rFonts w:ascii="Arial" w:hAnsi="Arial" w:cs="Arial"/>
          <w:b/>
          <w:bCs/>
          <w:u w:val="single"/>
        </w:rPr>
        <w:t>IPR Supporting Report</w:t>
      </w:r>
      <w:r w:rsidR="001C0E43" w:rsidRPr="00FF5475">
        <w:rPr>
          <w:rFonts w:ascii="Arial" w:hAnsi="Arial" w:cs="Arial"/>
          <w:b/>
          <w:bCs/>
          <w:u w:val="single"/>
        </w:rPr>
        <w:t xml:space="preserve"> - </w:t>
      </w:r>
      <w:r w:rsidRPr="00FF5475">
        <w:rPr>
          <w:rFonts w:ascii="Arial" w:hAnsi="Arial" w:cs="Arial"/>
          <w:b/>
          <w:bCs/>
          <w:u w:val="single"/>
        </w:rPr>
        <w:t>Performance Summary</w:t>
      </w:r>
    </w:p>
    <w:p w14:paraId="2128C5B1" w14:textId="3434CE26" w:rsidR="00E43917" w:rsidRDefault="00E43917" w:rsidP="00D90129">
      <w:pPr>
        <w:rPr>
          <w:rFonts w:ascii="Arial" w:hAnsi="Arial" w:cs="Arial"/>
        </w:rPr>
      </w:pPr>
    </w:p>
    <w:p w14:paraId="45424D83" w14:textId="6311A9D6" w:rsidR="002B15C1" w:rsidRDefault="002B15C1" w:rsidP="00896E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COVID-19:</w:t>
      </w:r>
      <w:r w:rsidR="00C51626">
        <w:rPr>
          <w:rFonts w:ascii="Arial" w:hAnsi="Arial" w:cs="Arial"/>
          <w:b/>
          <w:bCs/>
        </w:rPr>
        <w:t xml:space="preserve"> </w:t>
      </w:r>
    </w:p>
    <w:p w14:paraId="3339E0A1" w14:textId="4E6B4ABE" w:rsidR="00A50A18" w:rsidRDefault="00A50A18" w:rsidP="00896E0E">
      <w:pPr>
        <w:rPr>
          <w:rFonts w:ascii="Arial" w:hAnsi="Arial" w:cs="Arial"/>
          <w:b/>
          <w:bCs/>
        </w:rPr>
      </w:pPr>
    </w:p>
    <w:p w14:paraId="7BFDC195" w14:textId="6A29331F" w:rsidR="00C51626" w:rsidRPr="00C51626" w:rsidRDefault="00A50A18" w:rsidP="00C5162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51626">
        <w:rPr>
          <w:rFonts w:ascii="Arial" w:hAnsi="Arial" w:cs="Arial"/>
        </w:rPr>
        <w:t>The</w:t>
      </w:r>
      <w:r w:rsidR="00043376" w:rsidRPr="00C51626">
        <w:rPr>
          <w:rFonts w:ascii="Arial" w:hAnsi="Arial" w:cs="Arial"/>
        </w:rPr>
        <w:t xml:space="preserve"> current number of inpatients with COVID-19 </w:t>
      </w:r>
      <w:r w:rsidR="008B3C6B">
        <w:rPr>
          <w:rFonts w:ascii="Arial" w:hAnsi="Arial" w:cs="Arial"/>
        </w:rPr>
        <w:t>is</w:t>
      </w:r>
      <w:r w:rsidR="008446D2" w:rsidRPr="00C51626">
        <w:rPr>
          <w:rFonts w:ascii="Arial" w:hAnsi="Arial" w:cs="Arial"/>
        </w:rPr>
        <w:t xml:space="preserve"> </w:t>
      </w:r>
      <w:r w:rsidR="001F68EE">
        <w:rPr>
          <w:rFonts w:ascii="Arial" w:hAnsi="Arial" w:cs="Arial"/>
        </w:rPr>
        <w:t>23</w:t>
      </w:r>
      <w:r w:rsidR="008446D2" w:rsidRPr="00C51626">
        <w:rPr>
          <w:rFonts w:ascii="Arial" w:hAnsi="Arial" w:cs="Arial"/>
        </w:rPr>
        <w:t xml:space="preserve"> (at </w:t>
      </w:r>
      <w:r w:rsidR="008B3C6B">
        <w:rPr>
          <w:rFonts w:ascii="Arial" w:hAnsi="Arial" w:cs="Arial"/>
        </w:rPr>
        <w:t>22 March</w:t>
      </w:r>
      <w:r w:rsidR="008446D2" w:rsidRPr="00C51626">
        <w:rPr>
          <w:rFonts w:ascii="Arial" w:hAnsi="Arial" w:cs="Arial"/>
        </w:rPr>
        <w:t>)</w:t>
      </w:r>
    </w:p>
    <w:p w14:paraId="051F3517" w14:textId="25DCF3EC" w:rsidR="00A50A18" w:rsidRPr="00C51626" w:rsidRDefault="008446D2" w:rsidP="00C5162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51626">
        <w:rPr>
          <w:rFonts w:ascii="Arial" w:hAnsi="Arial" w:cs="Arial"/>
        </w:rPr>
        <w:t>The</w:t>
      </w:r>
      <w:r w:rsidR="00A50A18" w:rsidRPr="00C51626">
        <w:rPr>
          <w:rFonts w:ascii="Arial" w:hAnsi="Arial" w:cs="Arial"/>
        </w:rPr>
        <w:t xml:space="preserve"> cumulative number was at </w:t>
      </w:r>
      <w:r w:rsidR="00D24D15">
        <w:rPr>
          <w:rFonts w:ascii="Arial" w:hAnsi="Arial" w:cs="Arial"/>
        </w:rPr>
        <w:t>583</w:t>
      </w:r>
      <w:r w:rsidR="00A50A18" w:rsidRPr="00C51626">
        <w:rPr>
          <w:rFonts w:ascii="Arial" w:hAnsi="Arial" w:cs="Arial"/>
        </w:rPr>
        <w:t xml:space="preserve"> cases</w:t>
      </w:r>
      <w:r w:rsidR="00043376" w:rsidRPr="00C51626">
        <w:rPr>
          <w:rFonts w:ascii="Arial" w:hAnsi="Arial" w:cs="Arial"/>
        </w:rPr>
        <w:t xml:space="preserve"> on </w:t>
      </w:r>
      <w:r w:rsidR="00D24D15">
        <w:rPr>
          <w:rFonts w:ascii="Arial" w:hAnsi="Arial" w:cs="Arial"/>
        </w:rPr>
        <w:t>21 March</w:t>
      </w:r>
    </w:p>
    <w:p w14:paraId="6605C456" w14:textId="3412BA38" w:rsidR="00052D28" w:rsidRPr="00EC5D67" w:rsidRDefault="00C51626" w:rsidP="00052D28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EC5D67">
        <w:rPr>
          <w:rFonts w:ascii="Arial" w:hAnsi="Arial" w:cs="Arial"/>
        </w:rPr>
        <w:t xml:space="preserve">COVID-19 vaccination uptake at </w:t>
      </w:r>
      <w:r w:rsidR="00D24D15" w:rsidRPr="00EC5D67">
        <w:rPr>
          <w:rFonts w:ascii="Arial" w:hAnsi="Arial" w:cs="Arial"/>
        </w:rPr>
        <w:t>17 March</w:t>
      </w:r>
      <w:r w:rsidR="00D757C7" w:rsidRPr="00EC5D67">
        <w:rPr>
          <w:rFonts w:ascii="Arial" w:hAnsi="Arial" w:cs="Arial"/>
        </w:rPr>
        <w:t xml:space="preserve"> 2022</w:t>
      </w:r>
      <w:r w:rsidRPr="00EC5D67">
        <w:rPr>
          <w:rFonts w:ascii="Arial" w:hAnsi="Arial" w:cs="Arial"/>
        </w:rPr>
        <w:t>:</w:t>
      </w:r>
      <w:r w:rsidRPr="00EC5D67">
        <w:rPr>
          <w:rFonts w:ascii="Arial" w:hAnsi="Arial" w:cs="Arial"/>
          <w:b/>
          <w:bCs/>
        </w:rPr>
        <w:t xml:space="preserve"> </w:t>
      </w:r>
      <w:r w:rsidR="00EC5D67" w:rsidRPr="00EC5D67">
        <w:rPr>
          <w:rFonts w:ascii="Arial" w:hAnsi="Arial" w:cs="Arial"/>
        </w:rPr>
        <w:t>Dose 1 = 92.2%, Dose 2 = 90.3% and Dose 3 (eligible staff only) 69.7%.  Patient Facing Dose 1 = 92.3%, Dose 2 = 90.4% and Dose 3 (eligible staff only) 70.1%</w:t>
      </w:r>
    </w:p>
    <w:p w14:paraId="1D8E9E12" w14:textId="77777777" w:rsidR="00EC5D67" w:rsidRPr="00EC5D67" w:rsidRDefault="00EC5D67" w:rsidP="00EC5D67">
      <w:pPr>
        <w:pStyle w:val="ListParagraph"/>
        <w:rPr>
          <w:rFonts w:ascii="Arial" w:hAnsi="Arial" w:cs="Arial"/>
          <w:b/>
          <w:bCs/>
        </w:rPr>
      </w:pPr>
    </w:p>
    <w:p w14:paraId="7F708328" w14:textId="79AC1E25" w:rsidR="00DC1AC8" w:rsidRPr="00DC1AC8" w:rsidRDefault="00F437AA" w:rsidP="00DC1AC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Patient Activity and </w:t>
      </w:r>
      <w:r w:rsidR="005D6DE8">
        <w:rPr>
          <w:rFonts w:ascii="Arial" w:hAnsi="Arial" w:cs="Arial"/>
          <w:b/>
          <w:bCs/>
        </w:rPr>
        <w:t>Demand</w:t>
      </w:r>
      <w:r w:rsidR="0098716C">
        <w:rPr>
          <w:rFonts w:ascii="Arial" w:hAnsi="Arial" w:cs="Arial"/>
          <w:b/>
          <w:bCs/>
        </w:rPr>
        <w:t xml:space="preserve">: </w:t>
      </w:r>
      <w:r w:rsidR="0098716C">
        <w:rPr>
          <w:rFonts w:ascii="Arial" w:hAnsi="Arial" w:cs="Arial"/>
        </w:rPr>
        <w:t xml:space="preserve">The IPR </w:t>
      </w:r>
      <w:r w:rsidR="00DD6E32">
        <w:rPr>
          <w:rFonts w:ascii="Arial" w:hAnsi="Arial" w:cs="Arial"/>
        </w:rPr>
        <w:t xml:space="preserve">support report </w:t>
      </w:r>
      <w:r w:rsidR="006A5848">
        <w:rPr>
          <w:rFonts w:ascii="Arial" w:hAnsi="Arial" w:cs="Arial"/>
        </w:rPr>
        <w:t>provides an over</w:t>
      </w:r>
      <w:r w:rsidR="00CB1F7B">
        <w:rPr>
          <w:rFonts w:ascii="Arial" w:hAnsi="Arial" w:cs="Arial"/>
        </w:rPr>
        <w:t>view</w:t>
      </w:r>
      <w:r w:rsidR="006A5848">
        <w:rPr>
          <w:rFonts w:ascii="Arial" w:hAnsi="Arial" w:cs="Arial"/>
        </w:rPr>
        <w:t xml:space="preserve"> of activity levels by Directorate for referrals received, appointments delivered, inpatient admissions, inpatient length of stay and inpatient bed </w:t>
      </w:r>
      <w:r w:rsidR="00CB1F7B">
        <w:rPr>
          <w:rFonts w:ascii="Arial" w:hAnsi="Arial" w:cs="Arial"/>
        </w:rPr>
        <w:t>occupancy</w:t>
      </w:r>
      <w:r w:rsidR="006A5848">
        <w:rPr>
          <w:rFonts w:ascii="Arial" w:hAnsi="Arial" w:cs="Arial"/>
        </w:rPr>
        <w:t>.  Activity over</w:t>
      </w:r>
      <w:r w:rsidR="00FF423F">
        <w:rPr>
          <w:rFonts w:ascii="Arial" w:hAnsi="Arial" w:cs="Arial"/>
        </w:rPr>
        <w:t xml:space="preserve"> </w:t>
      </w:r>
      <w:r w:rsidR="006A5848">
        <w:rPr>
          <w:rFonts w:ascii="Arial" w:hAnsi="Arial" w:cs="Arial"/>
        </w:rPr>
        <w:t xml:space="preserve">time </w:t>
      </w:r>
      <w:r w:rsidR="00CB161A">
        <w:rPr>
          <w:rFonts w:ascii="Arial" w:hAnsi="Arial" w:cs="Arial"/>
        </w:rPr>
        <w:t>is shown using statistical process charts to indicate where activity is outside of ‘usual/expected’ levels.  Icons are used to highlight these</w:t>
      </w:r>
      <w:r w:rsidR="00DE33F2">
        <w:rPr>
          <w:rFonts w:ascii="Arial" w:hAnsi="Arial" w:cs="Arial"/>
        </w:rPr>
        <w:t xml:space="preserve"> (see slides in documents for further details).  Narrative regarding noteworthy exceptions are provided by operational services</w:t>
      </w:r>
      <w:r w:rsidR="00CB1F7B">
        <w:rPr>
          <w:rFonts w:ascii="Arial" w:hAnsi="Arial" w:cs="Arial"/>
        </w:rPr>
        <w:t>, see support document.</w:t>
      </w:r>
      <w:r w:rsidR="0098716C">
        <w:rPr>
          <w:rFonts w:ascii="Arial" w:hAnsi="Arial" w:cs="Arial"/>
        </w:rPr>
        <w:t xml:space="preserve"> </w:t>
      </w:r>
    </w:p>
    <w:p w14:paraId="1A4E4B25" w14:textId="77777777" w:rsidR="00D0776A" w:rsidRPr="00D0776A" w:rsidRDefault="00D0776A" w:rsidP="00D0776A">
      <w:pPr>
        <w:rPr>
          <w:rFonts w:ascii="Arial" w:hAnsi="Arial" w:cs="Arial"/>
        </w:rPr>
      </w:pPr>
    </w:p>
    <w:p w14:paraId="6E4DB1AF" w14:textId="6DA1EA5A" w:rsidR="00896E0E" w:rsidRPr="002B3FE9" w:rsidRDefault="00282923" w:rsidP="00896E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="00896E0E" w:rsidRPr="002B3FE9">
        <w:rPr>
          <w:rFonts w:ascii="Arial" w:hAnsi="Arial" w:cs="Arial"/>
          <w:b/>
          <w:bCs/>
        </w:rPr>
        <w:t>eferrals:</w:t>
      </w:r>
    </w:p>
    <w:p w14:paraId="35A6698E" w14:textId="77777777" w:rsidR="00896E0E" w:rsidRDefault="00896E0E" w:rsidP="00896E0E">
      <w:pPr>
        <w:rPr>
          <w:rFonts w:ascii="Arial" w:hAnsi="Arial" w:cs="Arial"/>
        </w:rPr>
      </w:pPr>
    </w:p>
    <w:p w14:paraId="4C2C447A" w14:textId="15E55024" w:rsidR="00896E0E" w:rsidRDefault="00896E0E" w:rsidP="00896E0E">
      <w:pPr>
        <w:rPr>
          <w:rFonts w:ascii="Arial" w:hAnsi="Arial" w:cs="Arial"/>
        </w:rPr>
      </w:pPr>
      <w:r w:rsidRPr="001B7E3D">
        <w:rPr>
          <w:rFonts w:ascii="Arial" w:hAnsi="Arial" w:cs="Arial"/>
        </w:rPr>
        <w:t xml:space="preserve">The Trust continues to receive a higher number of referrals than </w:t>
      </w:r>
      <w:r>
        <w:rPr>
          <w:rFonts w:ascii="Arial" w:hAnsi="Arial" w:cs="Arial"/>
        </w:rPr>
        <w:t>it has</w:t>
      </w:r>
      <w:r w:rsidRPr="001B7E3D">
        <w:rPr>
          <w:rFonts w:ascii="Arial" w:hAnsi="Arial" w:cs="Arial"/>
        </w:rPr>
        <w:t xml:space="preserve"> seen in previous years</w:t>
      </w:r>
      <w:r w:rsidR="00052D28">
        <w:rPr>
          <w:rFonts w:ascii="Arial" w:hAnsi="Arial" w:cs="Arial"/>
        </w:rPr>
        <w:t xml:space="preserve"> in some services.  These noteworthy exceptions are highlighted in the </w:t>
      </w:r>
      <w:r w:rsidR="007A37BD">
        <w:rPr>
          <w:rFonts w:ascii="Arial" w:hAnsi="Arial" w:cs="Arial"/>
        </w:rPr>
        <w:t>IPR supporting report</w:t>
      </w:r>
      <w:r w:rsidRPr="001B7E3D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Overall, referrals are </w:t>
      </w:r>
      <w:r w:rsidR="007A37BD">
        <w:rPr>
          <w:rFonts w:ascii="Arial" w:hAnsi="Arial" w:cs="Arial"/>
        </w:rPr>
        <w:t xml:space="preserve">in line </w:t>
      </w:r>
      <w:r w:rsidR="007A37BD" w:rsidRPr="00946E97">
        <w:rPr>
          <w:rFonts w:ascii="Arial" w:hAnsi="Arial" w:cs="Arial"/>
        </w:rPr>
        <w:t>with normal variation based on last 2 years</w:t>
      </w:r>
      <w:r w:rsidR="003E4881" w:rsidRPr="00946E97">
        <w:rPr>
          <w:rFonts w:ascii="Arial" w:hAnsi="Arial" w:cs="Arial"/>
        </w:rPr>
        <w:t xml:space="preserve">, with </w:t>
      </w:r>
      <w:r w:rsidR="00F67A2E" w:rsidRPr="00946E97">
        <w:rPr>
          <w:rFonts w:ascii="Arial" w:hAnsi="Arial" w:cs="Arial"/>
        </w:rPr>
        <w:t>February’s</w:t>
      </w:r>
      <w:r w:rsidR="003E4881" w:rsidRPr="00946E97">
        <w:rPr>
          <w:rFonts w:ascii="Arial" w:hAnsi="Arial" w:cs="Arial"/>
        </w:rPr>
        <w:t xml:space="preserve"> monthly referrals up </w:t>
      </w:r>
      <w:r w:rsidR="00D45408" w:rsidRPr="00946E97">
        <w:rPr>
          <w:rFonts w:ascii="Arial" w:hAnsi="Arial" w:cs="Arial"/>
        </w:rPr>
        <w:t>6</w:t>
      </w:r>
      <w:r w:rsidR="003E4881" w:rsidRPr="00946E97">
        <w:rPr>
          <w:rFonts w:ascii="Arial" w:hAnsi="Arial" w:cs="Arial"/>
        </w:rPr>
        <w:t xml:space="preserve">% compared to </w:t>
      </w:r>
      <w:r w:rsidRPr="00946E97">
        <w:rPr>
          <w:rFonts w:ascii="Arial" w:hAnsi="Arial" w:cs="Arial"/>
        </w:rPr>
        <w:t>pre-pandemic levels in 2019/2</w:t>
      </w:r>
      <w:r w:rsidR="00C15DF7" w:rsidRPr="00946E97">
        <w:rPr>
          <w:rFonts w:ascii="Arial" w:hAnsi="Arial" w:cs="Arial"/>
        </w:rPr>
        <w:t xml:space="preserve">0.  Referrals in the </w:t>
      </w:r>
      <w:r w:rsidR="00604DC4" w:rsidRPr="00946E97">
        <w:rPr>
          <w:rFonts w:ascii="Arial" w:hAnsi="Arial" w:cs="Arial"/>
        </w:rPr>
        <w:t>Bucks Adult MH</w:t>
      </w:r>
      <w:r w:rsidR="00C15DF7" w:rsidRPr="00946E97">
        <w:rPr>
          <w:rFonts w:ascii="Arial" w:hAnsi="Arial" w:cs="Arial"/>
        </w:rPr>
        <w:t xml:space="preserve"> service have been </w:t>
      </w:r>
      <w:r w:rsidR="00450244" w:rsidRPr="00946E97">
        <w:rPr>
          <w:rFonts w:ascii="Arial" w:hAnsi="Arial" w:cs="Arial"/>
        </w:rPr>
        <w:t xml:space="preserve">above average for the last </w:t>
      </w:r>
      <w:r w:rsidR="000503A6" w:rsidRPr="00946E97">
        <w:rPr>
          <w:rFonts w:ascii="Arial" w:hAnsi="Arial" w:cs="Arial"/>
        </w:rPr>
        <w:t>12</w:t>
      </w:r>
      <w:r w:rsidR="00450244" w:rsidRPr="00946E97">
        <w:rPr>
          <w:rFonts w:ascii="Arial" w:hAnsi="Arial" w:cs="Arial"/>
        </w:rPr>
        <w:t xml:space="preserve"> months.  </w:t>
      </w:r>
      <w:r w:rsidR="00995C63" w:rsidRPr="00946E97">
        <w:rPr>
          <w:rFonts w:ascii="Arial" w:hAnsi="Arial" w:cs="Arial"/>
        </w:rPr>
        <w:t xml:space="preserve">This is being monitored and </w:t>
      </w:r>
      <w:r w:rsidR="00374CEF" w:rsidRPr="00946E97">
        <w:rPr>
          <w:rFonts w:ascii="Arial" w:hAnsi="Arial" w:cs="Arial"/>
        </w:rPr>
        <w:t>further commentary</w:t>
      </w:r>
      <w:r w:rsidR="00374CEF">
        <w:rPr>
          <w:rFonts w:ascii="Arial" w:hAnsi="Arial" w:cs="Arial"/>
        </w:rPr>
        <w:t xml:space="preserve"> on sp</w:t>
      </w:r>
      <w:r w:rsidR="00946E97">
        <w:rPr>
          <w:rFonts w:ascii="Arial" w:hAnsi="Arial" w:cs="Arial"/>
        </w:rPr>
        <w:t xml:space="preserve">ecific services is included in the supporting document. </w:t>
      </w:r>
    </w:p>
    <w:p w14:paraId="0F7354BC" w14:textId="3C0872BF" w:rsidR="005824E7" w:rsidRDefault="005824E7" w:rsidP="00896E0E">
      <w:pPr>
        <w:rPr>
          <w:rFonts w:ascii="Arial" w:hAnsi="Arial" w:cs="Arial"/>
        </w:rPr>
      </w:pPr>
    </w:p>
    <w:p w14:paraId="5FC1DFE5" w14:textId="77777777" w:rsidR="005824E7" w:rsidRPr="00966D9C" w:rsidRDefault="005824E7" w:rsidP="005824E7">
      <w:pPr>
        <w:rPr>
          <w:rFonts w:ascii="Arial" w:hAnsi="Arial" w:cs="Arial"/>
          <w:b/>
          <w:bCs/>
        </w:rPr>
      </w:pPr>
      <w:r w:rsidRPr="00966D9C">
        <w:rPr>
          <w:rFonts w:ascii="Arial" w:hAnsi="Arial" w:cs="Arial"/>
          <w:b/>
          <w:bCs/>
        </w:rPr>
        <w:t>Activity:</w:t>
      </w:r>
    </w:p>
    <w:p w14:paraId="2BB73C58" w14:textId="77777777" w:rsidR="005824E7" w:rsidRPr="00966D9C" w:rsidRDefault="005824E7" w:rsidP="005824E7">
      <w:pPr>
        <w:rPr>
          <w:rFonts w:ascii="Arial" w:hAnsi="Arial" w:cs="Arial"/>
        </w:rPr>
      </w:pPr>
    </w:p>
    <w:p w14:paraId="2F92C1E1" w14:textId="35E99550" w:rsidR="005824E7" w:rsidRPr="00082BF3" w:rsidRDefault="005824E7" w:rsidP="005824E7">
      <w:pPr>
        <w:rPr>
          <w:rFonts w:ascii="Arial" w:hAnsi="Arial" w:cs="Arial"/>
        </w:rPr>
      </w:pPr>
      <w:r w:rsidRPr="00082BF3">
        <w:rPr>
          <w:rFonts w:ascii="Arial" w:hAnsi="Arial" w:cs="Arial"/>
        </w:rPr>
        <w:t xml:space="preserve">Despite shortages in available workforce, the Trust continues to deliver overall activity </w:t>
      </w:r>
      <w:r w:rsidR="00224C9E" w:rsidRPr="00082BF3">
        <w:rPr>
          <w:rFonts w:ascii="Arial" w:hAnsi="Arial" w:cs="Arial"/>
        </w:rPr>
        <w:t xml:space="preserve">in line with </w:t>
      </w:r>
      <w:r w:rsidR="00235483" w:rsidRPr="00082BF3">
        <w:rPr>
          <w:rFonts w:ascii="Arial" w:hAnsi="Arial" w:cs="Arial"/>
        </w:rPr>
        <w:t xml:space="preserve">normal/expected levels.  </w:t>
      </w:r>
      <w:r w:rsidR="00CF0D8F" w:rsidRPr="00082BF3">
        <w:rPr>
          <w:rFonts w:ascii="Arial" w:hAnsi="Arial" w:cs="Arial"/>
        </w:rPr>
        <w:t xml:space="preserve">Activity in </w:t>
      </w:r>
      <w:r w:rsidR="000068F2" w:rsidRPr="00082BF3">
        <w:rPr>
          <w:rFonts w:ascii="Arial" w:hAnsi="Arial" w:cs="Arial"/>
        </w:rPr>
        <w:t>Bucks Adult MH</w:t>
      </w:r>
      <w:r w:rsidR="00CF0D8F" w:rsidRPr="00082BF3">
        <w:rPr>
          <w:rFonts w:ascii="Arial" w:hAnsi="Arial" w:cs="Arial"/>
        </w:rPr>
        <w:t xml:space="preserve"> services </w:t>
      </w:r>
      <w:r w:rsidR="00344CCD" w:rsidRPr="00082BF3">
        <w:rPr>
          <w:rFonts w:ascii="Arial" w:hAnsi="Arial" w:cs="Arial"/>
        </w:rPr>
        <w:t xml:space="preserve">has been above average for the last 12 months.  This is a </w:t>
      </w:r>
      <w:r w:rsidR="00DD6E91" w:rsidRPr="00082BF3">
        <w:rPr>
          <w:rFonts w:ascii="Arial" w:hAnsi="Arial" w:cs="Arial"/>
        </w:rPr>
        <w:t>circa 30% increase on 19/20 volumes.</w:t>
      </w:r>
      <w:r w:rsidRPr="00082BF3">
        <w:rPr>
          <w:rFonts w:ascii="Arial" w:hAnsi="Arial" w:cs="Arial"/>
        </w:rPr>
        <w:t xml:space="preserve"> These increases are directly linked to the use of alternative ways of working that include the expanded use of telephone/digital consultations</w:t>
      </w:r>
      <w:r w:rsidR="00073D2E" w:rsidRPr="00082BF3">
        <w:rPr>
          <w:rFonts w:ascii="Arial" w:hAnsi="Arial" w:cs="Arial"/>
        </w:rPr>
        <w:t>.</w:t>
      </w:r>
      <w:r w:rsidRPr="00082BF3">
        <w:rPr>
          <w:rFonts w:ascii="Arial" w:hAnsi="Arial" w:cs="Arial"/>
        </w:rPr>
        <w:t xml:space="preserve">  </w:t>
      </w:r>
    </w:p>
    <w:p w14:paraId="2C249A46" w14:textId="77777777" w:rsidR="005824E7" w:rsidRPr="00082BF3" w:rsidRDefault="005824E7" w:rsidP="005824E7">
      <w:pPr>
        <w:rPr>
          <w:rFonts w:ascii="Arial" w:hAnsi="Arial" w:cs="Arial"/>
        </w:rPr>
      </w:pPr>
    </w:p>
    <w:p w14:paraId="133F387D" w14:textId="4F00D4C0" w:rsidR="005824E7" w:rsidRPr="00082BF3" w:rsidRDefault="005824E7" w:rsidP="005824E7">
      <w:pPr>
        <w:rPr>
          <w:rFonts w:ascii="Arial" w:hAnsi="Arial" w:cs="Arial"/>
          <w:b/>
          <w:bCs/>
        </w:rPr>
      </w:pPr>
      <w:r w:rsidRPr="00082BF3">
        <w:rPr>
          <w:rFonts w:ascii="Arial" w:hAnsi="Arial" w:cs="Arial"/>
          <w:b/>
          <w:bCs/>
        </w:rPr>
        <w:t>Admissions</w:t>
      </w:r>
      <w:r w:rsidR="00CF0F51" w:rsidRPr="00082BF3">
        <w:rPr>
          <w:rFonts w:ascii="Arial" w:hAnsi="Arial" w:cs="Arial"/>
          <w:b/>
          <w:bCs/>
        </w:rPr>
        <w:t xml:space="preserve">, </w:t>
      </w:r>
      <w:r w:rsidRPr="00082BF3">
        <w:rPr>
          <w:rFonts w:ascii="Arial" w:hAnsi="Arial" w:cs="Arial"/>
          <w:b/>
          <w:bCs/>
        </w:rPr>
        <w:t>Length of Stay (LOS)</w:t>
      </w:r>
      <w:r w:rsidR="00CF0F51" w:rsidRPr="00082BF3">
        <w:rPr>
          <w:rFonts w:ascii="Arial" w:hAnsi="Arial" w:cs="Arial"/>
          <w:b/>
          <w:bCs/>
        </w:rPr>
        <w:t xml:space="preserve"> &amp; Bed Occupancy</w:t>
      </w:r>
      <w:r w:rsidRPr="00082BF3">
        <w:rPr>
          <w:rFonts w:ascii="Arial" w:hAnsi="Arial" w:cs="Arial"/>
          <w:b/>
          <w:bCs/>
        </w:rPr>
        <w:t xml:space="preserve">: </w:t>
      </w:r>
    </w:p>
    <w:p w14:paraId="4B59FD6F" w14:textId="77777777" w:rsidR="005B2DC6" w:rsidRPr="00082BF3" w:rsidRDefault="005B2DC6" w:rsidP="005824E7">
      <w:pPr>
        <w:rPr>
          <w:rFonts w:ascii="Arial" w:hAnsi="Arial" w:cs="Arial"/>
        </w:rPr>
      </w:pPr>
    </w:p>
    <w:p w14:paraId="317B5D8B" w14:textId="611B1410" w:rsidR="005824E7" w:rsidRDefault="00EE500A" w:rsidP="005824E7">
      <w:pPr>
        <w:rPr>
          <w:rFonts w:ascii="Arial" w:hAnsi="Arial" w:cs="Arial"/>
        </w:rPr>
      </w:pPr>
      <w:r w:rsidRPr="00082BF3">
        <w:rPr>
          <w:rFonts w:ascii="Arial" w:hAnsi="Arial" w:cs="Arial"/>
        </w:rPr>
        <w:t xml:space="preserve">Overall </w:t>
      </w:r>
      <w:r w:rsidR="005824E7" w:rsidRPr="00082BF3">
        <w:rPr>
          <w:rFonts w:ascii="Arial" w:hAnsi="Arial" w:cs="Arial"/>
        </w:rPr>
        <w:t xml:space="preserve">Length of Stay (LOS) in </w:t>
      </w:r>
      <w:r w:rsidRPr="00082BF3">
        <w:rPr>
          <w:rFonts w:ascii="Arial" w:hAnsi="Arial" w:cs="Arial"/>
        </w:rPr>
        <w:t>both Adult MH and Community services has reduced.</w:t>
      </w:r>
      <w:r w:rsidR="00CF0F51" w:rsidRPr="00082BF3">
        <w:rPr>
          <w:rFonts w:ascii="Arial" w:hAnsi="Arial" w:cs="Arial"/>
        </w:rPr>
        <w:t xml:space="preserve">  Bed </w:t>
      </w:r>
      <w:r w:rsidR="00A10AE3" w:rsidRPr="00082BF3">
        <w:rPr>
          <w:rFonts w:ascii="Arial" w:hAnsi="Arial" w:cs="Arial"/>
        </w:rPr>
        <w:t>Occupancy</w:t>
      </w:r>
      <w:r w:rsidR="00CF0F51" w:rsidRPr="00082BF3">
        <w:rPr>
          <w:rFonts w:ascii="Arial" w:hAnsi="Arial" w:cs="Arial"/>
        </w:rPr>
        <w:t xml:space="preserve"> </w:t>
      </w:r>
      <w:r w:rsidR="00A10AE3" w:rsidRPr="00082BF3">
        <w:rPr>
          <w:rFonts w:ascii="Arial" w:hAnsi="Arial" w:cs="Arial"/>
        </w:rPr>
        <w:t xml:space="preserve">in many areas is lower than </w:t>
      </w:r>
      <w:r w:rsidR="00C17624" w:rsidRPr="00082BF3">
        <w:rPr>
          <w:rFonts w:ascii="Arial" w:hAnsi="Arial" w:cs="Arial"/>
        </w:rPr>
        <w:t>historical</w:t>
      </w:r>
      <w:r w:rsidR="00A10AE3" w:rsidRPr="00082BF3">
        <w:rPr>
          <w:rFonts w:ascii="Arial" w:hAnsi="Arial" w:cs="Arial"/>
        </w:rPr>
        <w:t xml:space="preserve"> levels </w:t>
      </w:r>
      <w:r w:rsidR="00595994" w:rsidRPr="00082BF3">
        <w:rPr>
          <w:rFonts w:ascii="Arial" w:hAnsi="Arial" w:cs="Arial"/>
        </w:rPr>
        <w:t>in accordance</w:t>
      </w:r>
      <w:r w:rsidR="00640B14" w:rsidRPr="00082BF3">
        <w:rPr>
          <w:rFonts w:ascii="Arial" w:hAnsi="Arial" w:cs="Arial"/>
        </w:rPr>
        <w:t xml:space="preserve"> with infection control measures.</w:t>
      </w:r>
      <w:r w:rsidR="00640B14">
        <w:rPr>
          <w:rFonts w:ascii="Arial" w:hAnsi="Arial" w:cs="Arial"/>
        </w:rPr>
        <w:t xml:space="preserve">  </w:t>
      </w:r>
      <w:r w:rsidR="00EF40BE">
        <w:rPr>
          <w:rFonts w:ascii="Arial" w:hAnsi="Arial" w:cs="Arial"/>
        </w:rPr>
        <w:t xml:space="preserve"> </w:t>
      </w:r>
      <w:r w:rsidR="00C17624">
        <w:rPr>
          <w:rFonts w:ascii="Arial" w:hAnsi="Arial" w:cs="Arial"/>
        </w:rPr>
        <w:t xml:space="preserve"> </w:t>
      </w:r>
      <w:r w:rsidR="005824E7">
        <w:rPr>
          <w:rFonts w:ascii="Arial" w:hAnsi="Arial" w:cs="Arial"/>
        </w:rPr>
        <w:t xml:space="preserve">  </w:t>
      </w:r>
    </w:p>
    <w:p w14:paraId="4714934F" w14:textId="77777777" w:rsidR="00C17216" w:rsidRDefault="00C17216" w:rsidP="005824E7">
      <w:pPr>
        <w:rPr>
          <w:rFonts w:ascii="Arial" w:hAnsi="Arial" w:cs="Arial"/>
        </w:rPr>
      </w:pPr>
    </w:p>
    <w:p w14:paraId="049E7276" w14:textId="3F1EFD47" w:rsidR="004471AA" w:rsidRPr="000C3694" w:rsidRDefault="004471AA" w:rsidP="00D90129">
      <w:pPr>
        <w:rPr>
          <w:rFonts w:ascii="Arial" w:hAnsi="Arial" w:cs="Arial"/>
        </w:rPr>
      </w:pPr>
      <w:r w:rsidRPr="000C3694">
        <w:rPr>
          <w:rFonts w:ascii="Arial" w:hAnsi="Arial" w:cs="Arial"/>
          <w:b/>
          <w:bCs/>
        </w:rPr>
        <w:t>Waiting Times</w:t>
      </w:r>
      <w:r w:rsidR="008169BA" w:rsidRPr="000C3694">
        <w:rPr>
          <w:rFonts w:ascii="Arial" w:hAnsi="Arial" w:cs="Arial"/>
          <w:b/>
          <w:bCs/>
        </w:rPr>
        <w:t>*</w:t>
      </w:r>
      <w:r w:rsidR="000C3694" w:rsidRPr="000C3694">
        <w:rPr>
          <w:rFonts w:ascii="Arial" w:hAnsi="Arial" w:cs="Arial"/>
          <w:b/>
          <w:bCs/>
        </w:rPr>
        <w:t>:</w:t>
      </w:r>
      <w:r w:rsidR="004D4496">
        <w:rPr>
          <w:rFonts w:ascii="Arial" w:hAnsi="Arial" w:cs="Arial"/>
          <w:b/>
          <w:bCs/>
        </w:rPr>
        <w:t xml:space="preserve"> </w:t>
      </w:r>
      <w:r w:rsidR="000C3694" w:rsidRPr="000C3694">
        <w:rPr>
          <w:rFonts w:ascii="Arial" w:hAnsi="Arial" w:cs="Arial"/>
        </w:rPr>
        <w:t>*</w:t>
      </w:r>
      <w:r w:rsidR="00652E61" w:rsidRPr="000C3694">
        <w:rPr>
          <w:rFonts w:ascii="Arial" w:hAnsi="Arial" w:cs="Arial"/>
          <w:sz w:val="16"/>
          <w:szCs w:val="16"/>
        </w:rPr>
        <w:t xml:space="preserve">against generic Trust wait time of </w:t>
      </w:r>
      <w:r w:rsidR="008169BA" w:rsidRPr="000C3694">
        <w:rPr>
          <w:rFonts w:ascii="Arial" w:hAnsi="Arial" w:cs="Arial"/>
          <w:sz w:val="16"/>
          <w:szCs w:val="16"/>
        </w:rPr>
        <w:t>&gt;48 hour for emergency &amp; &gt;7 days for urgent, work is underway to develop service specific waiting time standards</w:t>
      </w:r>
    </w:p>
    <w:p w14:paraId="5C19DA04" w14:textId="66CDA956" w:rsidR="00C814CC" w:rsidRPr="000C3694" w:rsidRDefault="00C814CC" w:rsidP="00D90129">
      <w:pPr>
        <w:rPr>
          <w:rFonts w:ascii="Arial" w:hAnsi="Arial" w:cs="Arial"/>
        </w:rPr>
      </w:pPr>
    </w:p>
    <w:p w14:paraId="52A70B0D" w14:textId="4B187131" w:rsidR="00D90129" w:rsidRPr="000C3694" w:rsidRDefault="00B812F8" w:rsidP="001846A7">
      <w:pPr>
        <w:rPr>
          <w:rFonts w:ascii="Arial" w:hAnsi="Arial" w:cs="Arial"/>
        </w:rPr>
      </w:pPr>
      <w:r w:rsidRPr="000C3694">
        <w:rPr>
          <w:rFonts w:ascii="Arial" w:hAnsi="Arial" w:cs="Arial"/>
        </w:rPr>
        <w:t xml:space="preserve">In </w:t>
      </w:r>
      <w:r w:rsidR="0044319B">
        <w:rPr>
          <w:rFonts w:ascii="Arial" w:hAnsi="Arial" w:cs="Arial"/>
        </w:rPr>
        <w:t>February</w:t>
      </w:r>
      <w:r w:rsidRPr="000C3694">
        <w:rPr>
          <w:rFonts w:ascii="Arial" w:hAnsi="Arial" w:cs="Arial"/>
        </w:rPr>
        <w:t>, the</w:t>
      </w:r>
      <w:r w:rsidR="00D90129" w:rsidRPr="000C3694">
        <w:rPr>
          <w:rFonts w:ascii="Arial" w:hAnsi="Arial" w:cs="Arial"/>
        </w:rPr>
        <w:t xml:space="preserve"> following </w:t>
      </w:r>
      <w:r w:rsidR="00595994">
        <w:rPr>
          <w:rFonts w:ascii="Arial" w:hAnsi="Arial" w:cs="Arial"/>
        </w:rPr>
        <w:t>areas are</w:t>
      </w:r>
      <w:r w:rsidR="00952D52" w:rsidRPr="000C3694">
        <w:rPr>
          <w:rFonts w:ascii="Arial" w:hAnsi="Arial" w:cs="Arial"/>
        </w:rPr>
        <w:t xml:space="preserve"> showing the greatest</w:t>
      </w:r>
      <w:r w:rsidR="006C5513" w:rsidRPr="000C3694">
        <w:rPr>
          <w:rFonts w:ascii="Arial" w:hAnsi="Arial" w:cs="Arial"/>
        </w:rPr>
        <w:t xml:space="preserve"> press</w:t>
      </w:r>
      <w:r w:rsidR="0062212A" w:rsidRPr="000C3694">
        <w:rPr>
          <w:rFonts w:ascii="Arial" w:hAnsi="Arial" w:cs="Arial"/>
        </w:rPr>
        <w:t>ure</w:t>
      </w:r>
      <w:r w:rsidR="003C7368" w:rsidRPr="000C3694">
        <w:rPr>
          <w:rFonts w:ascii="Arial" w:hAnsi="Arial" w:cs="Arial"/>
        </w:rPr>
        <w:t xml:space="preserve"> in relation to waiting times for </w:t>
      </w:r>
      <w:r w:rsidR="00CC171B" w:rsidRPr="000C3694">
        <w:rPr>
          <w:rFonts w:ascii="Arial" w:hAnsi="Arial" w:cs="Arial"/>
        </w:rPr>
        <w:t>emergency/</w:t>
      </w:r>
      <w:r w:rsidR="003C7368" w:rsidRPr="000C3694">
        <w:rPr>
          <w:rFonts w:ascii="Arial" w:hAnsi="Arial" w:cs="Arial"/>
        </w:rPr>
        <w:t>urgent re</w:t>
      </w:r>
      <w:r w:rsidRPr="000C3694">
        <w:rPr>
          <w:rFonts w:ascii="Arial" w:hAnsi="Arial" w:cs="Arial"/>
        </w:rPr>
        <w:t xml:space="preserve">ferrals </w:t>
      </w:r>
      <w:r w:rsidRPr="000C3694">
        <w:rPr>
          <w:rFonts w:ascii="Arial" w:hAnsi="Arial" w:cs="Arial"/>
          <w:b/>
          <w:bCs/>
        </w:rPr>
        <w:t>seen</w:t>
      </w:r>
      <w:r w:rsidRPr="000C3694">
        <w:rPr>
          <w:rFonts w:ascii="Arial" w:hAnsi="Arial" w:cs="Arial"/>
        </w:rPr>
        <w:t>.</w:t>
      </w:r>
    </w:p>
    <w:p w14:paraId="403ECFDD" w14:textId="77777777" w:rsidR="00D90129" w:rsidRPr="000C3694" w:rsidRDefault="00D90129" w:rsidP="001846A7">
      <w:pPr>
        <w:rPr>
          <w:rFonts w:ascii="Arial" w:hAnsi="Arial" w:cs="Arial"/>
        </w:rPr>
      </w:pPr>
    </w:p>
    <w:p w14:paraId="1C557069" w14:textId="0A56ABFF" w:rsidR="00A1673D" w:rsidRPr="000C3694" w:rsidRDefault="00AA0D4E" w:rsidP="001846A7">
      <w:pPr>
        <w:pStyle w:val="ListParagraph"/>
        <w:numPr>
          <w:ilvl w:val="0"/>
          <w:numId w:val="8"/>
        </w:numPr>
        <w:contextualSpacing/>
        <w:rPr>
          <w:rFonts w:ascii="Arial" w:hAnsi="Arial" w:cs="Arial"/>
        </w:rPr>
      </w:pPr>
      <w:r w:rsidRPr="000C3694">
        <w:rPr>
          <w:rFonts w:ascii="Arial" w:hAnsi="Arial" w:cs="Arial"/>
        </w:rPr>
        <w:t>Oxon and BSW C</w:t>
      </w:r>
      <w:r w:rsidR="0014655C" w:rsidRPr="000C3694">
        <w:rPr>
          <w:rFonts w:ascii="Arial" w:hAnsi="Arial" w:cs="Arial"/>
        </w:rPr>
        <w:t>hild and Adolescent Mental Health Services (CAMHS)</w:t>
      </w:r>
    </w:p>
    <w:p w14:paraId="7FEC778F" w14:textId="793F6F4B" w:rsidR="007818DC" w:rsidRDefault="00652E61" w:rsidP="007818DC">
      <w:pPr>
        <w:pStyle w:val="ListParagraph"/>
        <w:numPr>
          <w:ilvl w:val="0"/>
          <w:numId w:val="8"/>
        </w:numPr>
        <w:contextualSpacing/>
        <w:rPr>
          <w:rFonts w:ascii="Arial" w:hAnsi="Arial" w:cs="Arial"/>
        </w:rPr>
      </w:pPr>
      <w:r w:rsidRPr="000C3694">
        <w:rPr>
          <w:rFonts w:ascii="Arial" w:hAnsi="Arial" w:cs="Arial"/>
        </w:rPr>
        <w:t>Community Services Directorate</w:t>
      </w:r>
    </w:p>
    <w:p w14:paraId="4D587A9F" w14:textId="607D2BAC" w:rsidR="00E8056C" w:rsidRPr="007818DC" w:rsidRDefault="00E8056C" w:rsidP="007818DC">
      <w:pPr>
        <w:pStyle w:val="ListParagraph"/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Specialised Learning Disability Service</w:t>
      </w:r>
    </w:p>
    <w:p w14:paraId="36B1F811" w14:textId="77777777" w:rsidR="001846A7" w:rsidRPr="000C3694" w:rsidRDefault="001846A7" w:rsidP="001846A7">
      <w:pPr>
        <w:pStyle w:val="ListParagraph"/>
        <w:contextualSpacing/>
        <w:rPr>
          <w:rFonts w:ascii="Arial" w:hAnsi="Arial" w:cs="Arial"/>
        </w:rPr>
      </w:pPr>
    </w:p>
    <w:p w14:paraId="573158C4" w14:textId="7C69ACDE" w:rsidR="003B34F3" w:rsidRDefault="007818DC" w:rsidP="001846A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There continue to be pressures in both the Buckinghamshire and </w:t>
      </w:r>
      <w:r w:rsidR="003B34F3">
        <w:rPr>
          <w:rFonts w:ascii="Arial" w:hAnsi="Arial" w:cs="Arial"/>
        </w:rPr>
        <w:t>Oxfordshire</w:t>
      </w:r>
      <w:r>
        <w:rPr>
          <w:rFonts w:ascii="Arial" w:hAnsi="Arial" w:cs="Arial"/>
        </w:rPr>
        <w:t xml:space="preserve"> Children</w:t>
      </w:r>
      <w:r w:rsidR="00595994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and Young People Neuro Diagnostic Conditions </w:t>
      </w:r>
      <w:r w:rsidR="003B34F3">
        <w:rPr>
          <w:rFonts w:ascii="Arial" w:hAnsi="Arial" w:cs="Arial"/>
        </w:rPr>
        <w:t xml:space="preserve">wait times for referrals.  </w:t>
      </w:r>
    </w:p>
    <w:p w14:paraId="499CC426" w14:textId="77777777" w:rsidR="003B34F3" w:rsidRDefault="003B34F3" w:rsidP="001846A7">
      <w:pPr>
        <w:contextualSpacing/>
        <w:rPr>
          <w:rFonts w:ascii="Arial" w:hAnsi="Arial" w:cs="Arial"/>
        </w:rPr>
      </w:pPr>
    </w:p>
    <w:p w14:paraId="1B8882FE" w14:textId="1B273158" w:rsidR="0062212A" w:rsidRPr="000C3694" w:rsidRDefault="0062212A" w:rsidP="001846A7">
      <w:pPr>
        <w:contextualSpacing/>
        <w:rPr>
          <w:rFonts w:ascii="Arial" w:hAnsi="Arial" w:cs="Arial"/>
        </w:rPr>
      </w:pPr>
      <w:r w:rsidRPr="000C3694">
        <w:rPr>
          <w:rFonts w:ascii="Arial" w:hAnsi="Arial" w:cs="Arial"/>
        </w:rPr>
        <w:t xml:space="preserve">In terms of emergency and urgent patients </w:t>
      </w:r>
      <w:r w:rsidRPr="000C3694">
        <w:rPr>
          <w:rFonts w:ascii="Arial" w:hAnsi="Arial" w:cs="Arial"/>
          <w:b/>
          <w:bCs/>
        </w:rPr>
        <w:t>still waiting</w:t>
      </w:r>
      <w:r w:rsidRPr="000C3694">
        <w:rPr>
          <w:rFonts w:ascii="Arial" w:hAnsi="Arial" w:cs="Arial"/>
        </w:rPr>
        <w:t xml:space="preserve"> to be seen, the following areas are reporting the longest waits o</w:t>
      </w:r>
      <w:r w:rsidR="00B812F8" w:rsidRPr="000C3694">
        <w:rPr>
          <w:rFonts w:ascii="Arial" w:hAnsi="Arial" w:cs="Arial"/>
        </w:rPr>
        <w:t>r</w:t>
      </w:r>
      <w:r w:rsidRPr="000C3694">
        <w:rPr>
          <w:rFonts w:ascii="Arial" w:hAnsi="Arial" w:cs="Arial"/>
        </w:rPr>
        <w:t xml:space="preserve"> highest number of patients waiting;</w:t>
      </w:r>
    </w:p>
    <w:p w14:paraId="6A32B69F" w14:textId="52940B1E" w:rsidR="0062212A" w:rsidRPr="000C3694" w:rsidRDefault="0062212A" w:rsidP="001846A7">
      <w:pPr>
        <w:contextualSpacing/>
        <w:rPr>
          <w:rFonts w:ascii="Arial" w:hAnsi="Arial" w:cs="Arial"/>
        </w:rPr>
      </w:pPr>
    </w:p>
    <w:p w14:paraId="6E8490AC" w14:textId="5A8A863B" w:rsidR="00401D4E" w:rsidRPr="00DE31AF" w:rsidRDefault="003C6DD4" w:rsidP="001846A7">
      <w:pPr>
        <w:pStyle w:val="ListParagraph"/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Oxon an</w:t>
      </w:r>
      <w:r w:rsidR="004934D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401D4E" w:rsidRPr="00DE31AF">
        <w:rPr>
          <w:rFonts w:ascii="Arial" w:hAnsi="Arial" w:cs="Arial"/>
        </w:rPr>
        <w:t>B</w:t>
      </w:r>
      <w:r w:rsidR="0014655C" w:rsidRPr="00DE31AF">
        <w:rPr>
          <w:rFonts w:ascii="Arial" w:hAnsi="Arial" w:cs="Arial"/>
        </w:rPr>
        <w:t>SW</w:t>
      </w:r>
      <w:r w:rsidR="00401D4E" w:rsidRPr="00DE31AF">
        <w:rPr>
          <w:rFonts w:ascii="Arial" w:hAnsi="Arial" w:cs="Arial"/>
        </w:rPr>
        <w:t xml:space="preserve"> CAMHS</w:t>
      </w:r>
    </w:p>
    <w:p w14:paraId="6C286E0E" w14:textId="0C5C6984" w:rsidR="002B08F2" w:rsidRDefault="009902EA" w:rsidP="002B08F2">
      <w:pPr>
        <w:pStyle w:val="ListParagraph"/>
        <w:numPr>
          <w:ilvl w:val="0"/>
          <w:numId w:val="8"/>
        </w:numPr>
        <w:contextualSpacing/>
        <w:rPr>
          <w:rFonts w:ascii="Arial" w:hAnsi="Arial" w:cs="Arial"/>
        </w:rPr>
      </w:pPr>
      <w:r w:rsidRPr="00DE31AF">
        <w:rPr>
          <w:rFonts w:ascii="Arial" w:hAnsi="Arial" w:cs="Arial"/>
        </w:rPr>
        <w:t xml:space="preserve">Community Services – </w:t>
      </w:r>
      <w:r w:rsidR="002619E0" w:rsidRPr="00DE31AF">
        <w:rPr>
          <w:rFonts w:ascii="Arial" w:hAnsi="Arial" w:cs="Arial"/>
        </w:rPr>
        <w:t>Respiratory Services, Podiatry</w:t>
      </w:r>
      <w:r w:rsidR="005B4156" w:rsidRPr="00DE31AF">
        <w:rPr>
          <w:rFonts w:ascii="Arial" w:hAnsi="Arial" w:cs="Arial"/>
        </w:rPr>
        <w:t xml:space="preserve">, </w:t>
      </w:r>
      <w:r w:rsidR="00EF307A" w:rsidRPr="00DE31AF">
        <w:rPr>
          <w:rFonts w:ascii="Arial" w:hAnsi="Arial" w:cs="Arial"/>
        </w:rPr>
        <w:t>Tissue Viability</w:t>
      </w:r>
      <w:r w:rsidR="00F51B1E">
        <w:rPr>
          <w:rFonts w:ascii="Arial" w:hAnsi="Arial" w:cs="Arial"/>
        </w:rPr>
        <w:t>, Children’s Integrated Therapies</w:t>
      </w:r>
      <w:r w:rsidR="002B08F2">
        <w:rPr>
          <w:rFonts w:ascii="Arial" w:hAnsi="Arial" w:cs="Arial"/>
        </w:rPr>
        <w:t xml:space="preserve"> </w:t>
      </w:r>
    </w:p>
    <w:p w14:paraId="5CF1C93B" w14:textId="77777777" w:rsidR="006A7572" w:rsidRPr="001846A7" w:rsidRDefault="006A7572" w:rsidP="001846A7">
      <w:pPr>
        <w:spacing w:after="160" w:line="259" w:lineRule="auto"/>
        <w:ind w:left="360"/>
        <w:contextualSpacing/>
        <w:rPr>
          <w:rFonts w:ascii="Arial" w:hAnsi="Arial" w:cs="Arial"/>
        </w:rPr>
      </w:pPr>
    </w:p>
    <w:p w14:paraId="6D07A1C4" w14:textId="6CDE04C9" w:rsidR="006D43B2" w:rsidRPr="00C23811" w:rsidRDefault="005824E7" w:rsidP="00D90129">
      <w:pPr>
        <w:rPr>
          <w:rFonts w:ascii="Arial" w:hAnsi="Arial" w:cs="Arial"/>
          <w:b/>
          <w:bCs/>
        </w:rPr>
      </w:pPr>
      <w:r w:rsidRPr="00C23811">
        <w:rPr>
          <w:rFonts w:ascii="Arial" w:hAnsi="Arial" w:cs="Arial"/>
          <w:b/>
          <w:bCs/>
        </w:rPr>
        <w:t>Contractual K</w:t>
      </w:r>
      <w:r w:rsidR="00C23811">
        <w:rPr>
          <w:rFonts w:ascii="Arial" w:hAnsi="Arial" w:cs="Arial"/>
          <w:b/>
          <w:bCs/>
        </w:rPr>
        <w:t xml:space="preserve">ey </w:t>
      </w:r>
      <w:r w:rsidRPr="00C23811">
        <w:rPr>
          <w:rFonts w:ascii="Arial" w:hAnsi="Arial" w:cs="Arial"/>
          <w:b/>
          <w:bCs/>
        </w:rPr>
        <w:t>P</w:t>
      </w:r>
      <w:r w:rsidR="00C23811">
        <w:rPr>
          <w:rFonts w:ascii="Arial" w:hAnsi="Arial" w:cs="Arial"/>
          <w:b/>
          <w:bCs/>
        </w:rPr>
        <w:t xml:space="preserve">erformance </w:t>
      </w:r>
      <w:r w:rsidRPr="00C23811">
        <w:rPr>
          <w:rFonts w:ascii="Arial" w:hAnsi="Arial" w:cs="Arial"/>
          <w:b/>
          <w:bCs/>
        </w:rPr>
        <w:t>I</w:t>
      </w:r>
      <w:r w:rsidR="00C23811">
        <w:rPr>
          <w:rFonts w:ascii="Arial" w:hAnsi="Arial" w:cs="Arial"/>
          <w:b/>
          <w:bCs/>
        </w:rPr>
        <w:t>ndicator (KPI)</w:t>
      </w:r>
      <w:r w:rsidRPr="00C23811">
        <w:rPr>
          <w:rFonts w:ascii="Arial" w:hAnsi="Arial" w:cs="Arial"/>
          <w:b/>
          <w:bCs/>
        </w:rPr>
        <w:t xml:space="preserve"> Performance</w:t>
      </w:r>
    </w:p>
    <w:p w14:paraId="1334E13D" w14:textId="6EB18F17" w:rsidR="005824E7" w:rsidRPr="00C23811" w:rsidRDefault="005824E7" w:rsidP="00D90129">
      <w:pPr>
        <w:rPr>
          <w:rFonts w:ascii="Arial" w:hAnsi="Arial" w:cs="Arial"/>
        </w:rPr>
      </w:pPr>
    </w:p>
    <w:p w14:paraId="2CCB4C75" w14:textId="277F3A6D" w:rsidR="005824E7" w:rsidRDefault="005824E7" w:rsidP="00D90129">
      <w:pPr>
        <w:rPr>
          <w:rFonts w:ascii="Arial" w:hAnsi="Arial" w:cs="Arial"/>
        </w:rPr>
      </w:pPr>
      <w:r w:rsidRPr="00C23811">
        <w:rPr>
          <w:rFonts w:ascii="Arial" w:hAnsi="Arial" w:cs="Arial"/>
        </w:rPr>
        <w:t>The Trust achieved 7</w:t>
      </w:r>
      <w:r w:rsidR="0044319B">
        <w:rPr>
          <w:rFonts w:ascii="Arial" w:hAnsi="Arial" w:cs="Arial"/>
        </w:rPr>
        <w:t>7</w:t>
      </w:r>
      <w:r w:rsidRPr="00C23811">
        <w:rPr>
          <w:rFonts w:ascii="Arial" w:hAnsi="Arial" w:cs="Arial"/>
        </w:rPr>
        <w:t xml:space="preserve">% of its contractual KPIs in </w:t>
      </w:r>
      <w:r w:rsidR="0044319B">
        <w:rPr>
          <w:rFonts w:ascii="Arial" w:hAnsi="Arial" w:cs="Arial"/>
        </w:rPr>
        <w:t>February</w:t>
      </w:r>
    </w:p>
    <w:p w14:paraId="25F2892F" w14:textId="3495BD12" w:rsidR="007A2CF0" w:rsidRPr="0088096A" w:rsidRDefault="007A2CF0" w:rsidP="003F7D89">
      <w:pPr>
        <w:rPr>
          <w:rFonts w:ascii="Segoe UI" w:hAnsi="Segoe UI" w:cs="Segoe UI"/>
          <w:i/>
        </w:rPr>
      </w:pPr>
    </w:p>
    <w:p w14:paraId="7264DAC3" w14:textId="4F1AEDBF" w:rsidR="00FA3993" w:rsidRPr="00FA3993" w:rsidRDefault="00FA3993" w:rsidP="007A2CF0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Governance Route/</w:t>
      </w:r>
      <w:r w:rsidR="00745B27">
        <w:rPr>
          <w:rFonts w:ascii="Segoe UI" w:hAnsi="Segoe UI" w:cs="Segoe UI"/>
          <w:b/>
        </w:rPr>
        <w:t>Escalation</w:t>
      </w:r>
      <w:r>
        <w:rPr>
          <w:rFonts w:ascii="Segoe UI" w:hAnsi="Segoe UI" w:cs="Segoe UI"/>
          <w:b/>
        </w:rPr>
        <w:t xml:space="preserve"> Process</w:t>
      </w:r>
    </w:p>
    <w:p w14:paraId="67787F0B" w14:textId="77777777" w:rsidR="00D90129" w:rsidRPr="00D90129" w:rsidRDefault="00D90129" w:rsidP="0073522A">
      <w:pPr>
        <w:jc w:val="both"/>
        <w:rPr>
          <w:rFonts w:ascii="Segoe UI" w:hAnsi="Segoe UI" w:cs="Segoe UI"/>
          <w:bCs/>
        </w:rPr>
      </w:pPr>
    </w:p>
    <w:p w14:paraId="0BF72E6A" w14:textId="01881457" w:rsidR="00D90129" w:rsidRPr="00D90129" w:rsidRDefault="00D90129" w:rsidP="00D9012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information that forms the basis for this monthly report is presented to the Operations Management Team and Executive Management Committee on a weekly basis.  The report is also presented at the Directorate Performance Management meetings and at the Board Committees as required.</w:t>
      </w:r>
    </w:p>
    <w:p w14:paraId="1B67BD04" w14:textId="77777777" w:rsidR="00D90129" w:rsidRDefault="00D90129" w:rsidP="0073522A">
      <w:pPr>
        <w:jc w:val="both"/>
        <w:rPr>
          <w:rFonts w:ascii="Segoe UI" w:hAnsi="Segoe UI" w:cs="Segoe UI"/>
          <w:b/>
        </w:rPr>
      </w:pPr>
    </w:p>
    <w:p w14:paraId="32F36C83" w14:textId="14AEAB88" w:rsidR="0073522A" w:rsidRPr="00FA3993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14:paraId="14276737" w14:textId="5C80FEAF" w:rsidR="00D628E5" w:rsidRDefault="00D628E5" w:rsidP="0073522A">
      <w:pPr>
        <w:jc w:val="both"/>
        <w:rPr>
          <w:rFonts w:ascii="Segoe UI" w:hAnsi="Segoe UI" w:cs="Segoe UI"/>
        </w:rPr>
      </w:pPr>
    </w:p>
    <w:p w14:paraId="5BB75870" w14:textId="68A00E87" w:rsidR="00D90129" w:rsidRPr="00D90129" w:rsidRDefault="00D90129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of Directors are asked to note the contents of </w:t>
      </w:r>
      <w:r w:rsidR="00186B54">
        <w:rPr>
          <w:rFonts w:ascii="Arial" w:hAnsi="Arial" w:cs="Arial"/>
        </w:rPr>
        <w:t>this report</w:t>
      </w:r>
      <w:r>
        <w:rPr>
          <w:rFonts w:ascii="Arial" w:hAnsi="Arial" w:cs="Arial"/>
        </w:rPr>
        <w:t xml:space="preserve"> and provide further feedback </w:t>
      </w:r>
      <w:r w:rsidR="00186B54">
        <w:rPr>
          <w:rFonts w:ascii="Arial" w:hAnsi="Arial" w:cs="Arial"/>
        </w:rPr>
        <w:t>for continuous development</w:t>
      </w:r>
      <w:r>
        <w:rPr>
          <w:rFonts w:ascii="Arial" w:hAnsi="Arial" w:cs="Arial"/>
        </w:rPr>
        <w:t>.</w:t>
      </w:r>
    </w:p>
    <w:p w14:paraId="4F5E32FA" w14:textId="77777777" w:rsidR="005D3499" w:rsidRPr="00FA3993" w:rsidRDefault="005D3499">
      <w:pPr>
        <w:jc w:val="both"/>
        <w:rPr>
          <w:rFonts w:ascii="Segoe UI" w:hAnsi="Segoe UI" w:cs="Segoe UI"/>
          <w:b/>
        </w:rPr>
      </w:pPr>
    </w:p>
    <w:p w14:paraId="0731830B" w14:textId="77777777" w:rsidR="00617CF6" w:rsidRDefault="002619EF" w:rsidP="0073522A">
      <w:pPr>
        <w:ind w:left="1440" w:hanging="1440"/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Author and T</w:t>
      </w:r>
      <w:r w:rsidR="0073522A" w:rsidRPr="00FA3993">
        <w:rPr>
          <w:rFonts w:ascii="Segoe UI" w:hAnsi="Segoe UI" w:cs="Segoe UI"/>
          <w:b/>
        </w:rPr>
        <w:t>itle:</w:t>
      </w:r>
      <w:r w:rsidR="007B02FB">
        <w:rPr>
          <w:rFonts w:ascii="Segoe UI" w:hAnsi="Segoe UI" w:cs="Segoe UI"/>
          <w:b/>
        </w:rPr>
        <w:t xml:space="preserve"> </w:t>
      </w:r>
      <w:r w:rsidR="00D90129">
        <w:rPr>
          <w:rFonts w:ascii="Segoe UI" w:hAnsi="Segoe UI" w:cs="Segoe UI"/>
          <w:b/>
        </w:rPr>
        <w:t>Martyn Ward</w:t>
      </w:r>
      <w:r w:rsidR="00D90129">
        <w:rPr>
          <w:rFonts w:ascii="Segoe UI" w:hAnsi="Segoe UI" w:cs="Segoe UI"/>
        </w:rPr>
        <w:t xml:space="preserve">.  </w:t>
      </w:r>
    </w:p>
    <w:p w14:paraId="6BD6928F" w14:textId="117CEE74" w:rsidR="003F7366" w:rsidRDefault="00617CF6" w:rsidP="0073522A">
      <w:pPr>
        <w:ind w:left="1440" w:hanging="144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Executive Director – Digital &amp; Transformation</w:t>
      </w:r>
    </w:p>
    <w:p w14:paraId="00D48720" w14:textId="77777777" w:rsidR="00617CF6" w:rsidRPr="00D90129" w:rsidRDefault="00617CF6" w:rsidP="0073522A">
      <w:pPr>
        <w:ind w:left="1440" w:hanging="1440"/>
        <w:jc w:val="both"/>
        <w:rPr>
          <w:rFonts w:ascii="Segoe UI" w:hAnsi="Segoe UI" w:cs="Segoe UI"/>
          <w:b/>
          <w:bCs/>
        </w:rPr>
      </w:pPr>
    </w:p>
    <w:p w14:paraId="65D6ACD6" w14:textId="77777777" w:rsidR="00617CF6" w:rsidRDefault="0073522A" w:rsidP="00FA3993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Lead Executive Director:</w:t>
      </w:r>
      <w:r w:rsidR="007B02FB">
        <w:rPr>
          <w:rFonts w:ascii="Segoe UI" w:hAnsi="Segoe UI" w:cs="Segoe UI"/>
          <w:b/>
        </w:rPr>
        <w:t xml:space="preserve"> </w:t>
      </w:r>
      <w:r w:rsidR="00D90129">
        <w:rPr>
          <w:rFonts w:ascii="Segoe UI" w:hAnsi="Segoe UI" w:cs="Segoe UI"/>
          <w:b/>
        </w:rPr>
        <w:t xml:space="preserve">Martyn Ward.  </w:t>
      </w:r>
    </w:p>
    <w:p w14:paraId="6233BFAB" w14:textId="2B3ECE7E" w:rsidR="00030247" w:rsidRPr="00F945DB" w:rsidRDefault="00617CF6" w:rsidP="0073522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Executive Director – Digital &amp; Transformation</w:t>
      </w:r>
      <w:r w:rsidR="007B02FB">
        <w:rPr>
          <w:rFonts w:ascii="Segoe UI" w:hAnsi="Segoe UI" w:cs="Segoe UI"/>
          <w:b/>
        </w:rPr>
        <w:t xml:space="preserve"> </w:t>
      </w:r>
    </w:p>
    <w:sectPr w:rsidR="00030247" w:rsidRPr="00F945DB" w:rsidSect="001B1DC7">
      <w:footerReference w:type="default" r:id="rId12"/>
      <w:headerReference w:type="first" r:id="rId13"/>
      <w:pgSz w:w="12240" w:h="15840" w:code="1"/>
      <w:pgMar w:top="1440" w:right="1183" w:bottom="14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AF55D" w14:textId="77777777" w:rsidR="004318BC" w:rsidRDefault="004318BC" w:rsidP="005B3E3C">
      <w:r>
        <w:separator/>
      </w:r>
    </w:p>
  </w:endnote>
  <w:endnote w:type="continuationSeparator" w:id="0">
    <w:p w14:paraId="41C6F7F1" w14:textId="77777777" w:rsidR="004318BC" w:rsidRDefault="004318BC" w:rsidP="005B3E3C">
      <w:r>
        <w:continuationSeparator/>
      </w:r>
    </w:p>
  </w:endnote>
  <w:endnote w:type="continuationNotice" w:id="1">
    <w:p w14:paraId="123102DE" w14:textId="77777777" w:rsidR="004318BC" w:rsidRDefault="00431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25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46313" w14:textId="77777777" w:rsidR="000A583B" w:rsidRDefault="000A58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A9D14D" w14:textId="77777777" w:rsidR="000A583B" w:rsidRDefault="000A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ED528" w14:textId="77777777" w:rsidR="004318BC" w:rsidRDefault="004318BC" w:rsidP="005B3E3C">
      <w:r>
        <w:separator/>
      </w:r>
    </w:p>
  </w:footnote>
  <w:footnote w:type="continuationSeparator" w:id="0">
    <w:p w14:paraId="7C690ABD" w14:textId="77777777" w:rsidR="004318BC" w:rsidRDefault="004318BC" w:rsidP="005B3E3C">
      <w:r>
        <w:continuationSeparator/>
      </w:r>
    </w:p>
  </w:footnote>
  <w:footnote w:type="continuationNotice" w:id="1">
    <w:p w14:paraId="4A6BA8B9" w14:textId="77777777" w:rsidR="004318BC" w:rsidRDefault="004318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5F45" w14:textId="77777777" w:rsidR="00DB0979" w:rsidRDefault="00262F0F" w:rsidP="00262F0F">
    <w:pPr>
      <w:pStyle w:val="Header"/>
      <w:jc w:val="center"/>
      <w:rPr>
        <w:rFonts w:ascii="Segoe UI" w:hAnsi="Segoe UI" w:cs="Segoe UI"/>
        <w:b/>
        <w:i/>
      </w:rPr>
    </w:pPr>
    <w:r w:rsidRPr="00FA3993">
      <w:rPr>
        <w:rFonts w:ascii="Segoe UI" w:hAnsi="Segoe UI" w:cs="Segoe UI"/>
        <w:b/>
        <w:i/>
      </w:rPr>
      <w:t xml:space="preserve">PUBLIC </w:t>
    </w:r>
    <w:r w:rsidR="00DB0979">
      <w:rPr>
        <w:rFonts w:ascii="Segoe UI" w:hAnsi="Segoe UI" w:cs="Segoe UI"/>
        <w:b/>
        <w:i/>
      </w:rPr>
      <w:t>– NOT TO BE REMOVED UNTIL END OF BOARD MEETING</w:t>
    </w:r>
  </w:p>
  <w:p w14:paraId="41D867A1" w14:textId="52AE5C55" w:rsidR="00262F0F" w:rsidRDefault="00262F0F" w:rsidP="00D901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759F"/>
    <w:multiLevelType w:val="hybridMultilevel"/>
    <w:tmpl w:val="650AB38A"/>
    <w:lvl w:ilvl="0" w:tplc="4FFCE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A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E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09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29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C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4A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8D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8D04A6"/>
    <w:multiLevelType w:val="hybridMultilevel"/>
    <w:tmpl w:val="022C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30CC3E90"/>
    <w:multiLevelType w:val="hybridMultilevel"/>
    <w:tmpl w:val="C5BC6C92"/>
    <w:lvl w:ilvl="0" w:tplc="BDF8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25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C4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A0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C0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D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AF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ED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AA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74752B"/>
    <w:multiLevelType w:val="hybridMultilevel"/>
    <w:tmpl w:val="17BA94FE"/>
    <w:lvl w:ilvl="0" w:tplc="8DC2DC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5ECF7E66"/>
    <w:multiLevelType w:val="hybridMultilevel"/>
    <w:tmpl w:val="BBB6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57540"/>
    <w:multiLevelType w:val="hybridMultilevel"/>
    <w:tmpl w:val="E5D82088"/>
    <w:lvl w:ilvl="0" w:tplc="869CA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CA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87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2F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2A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E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4C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25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C2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4C635C"/>
    <w:multiLevelType w:val="hybridMultilevel"/>
    <w:tmpl w:val="82FEC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24F87"/>
    <w:multiLevelType w:val="hybridMultilevel"/>
    <w:tmpl w:val="83B6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034C3"/>
    <w:multiLevelType w:val="hybridMultilevel"/>
    <w:tmpl w:val="C392355E"/>
    <w:lvl w:ilvl="0" w:tplc="C3C60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61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4A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25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42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07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45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4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6A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A73585A"/>
    <w:multiLevelType w:val="hybridMultilevel"/>
    <w:tmpl w:val="5932548C"/>
    <w:lvl w:ilvl="0" w:tplc="EC088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0A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80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61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29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69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83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AA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23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AD5205D"/>
    <w:multiLevelType w:val="hybridMultilevel"/>
    <w:tmpl w:val="698C8C9A"/>
    <w:lvl w:ilvl="0" w:tplc="5BDE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03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8F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2C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CD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8D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4C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07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2B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14"/>
  </w:num>
  <w:num w:numId="12">
    <w:abstractNumId w:val="13"/>
  </w:num>
  <w:num w:numId="13">
    <w:abstractNumId w:val="0"/>
  </w:num>
  <w:num w:numId="14">
    <w:abstractNumId w:val="15"/>
  </w:num>
  <w:num w:numId="15">
    <w:abstractNumId w:val="4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068F2"/>
    <w:rsid w:val="00010A9D"/>
    <w:rsid w:val="0001608F"/>
    <w:rsid w:val="0002357B"/>
    <w:rsid w:val="0002698F"/>
    <w:rsid w:val="00030247"/>
    <w:rsid w:val="00030459"/>
    <w:rsid w:val="000312B3"/>
    <w:rsid w:val="000346B1"/>
    <w:rsid w:val="00040A00"/>
    <w:rsid w:val="00043376"/>
    <w:rsid w:val="00047FC8"/>
    <w:rsid w:val="000503A6"/>
    <w:rsid w:val="00052D28"/>
    <w:rsid w:val="0005485C"/>
    <w:rsid w:val="00056A4A"/>
    <w:rsid w:val="00065E46"/>
    <w:rsid w:val="00071842"/>
    <w:rsid w:val="00072EA8"/>
    <w:rsid w:val="00073D2E"/>
    <w:rsid w:val="00082BF3"/>
    <w:rsid w:val="00090926"/>
    <w:rsid w:val="00091439"/>
    <w:rsid w:val="00092ED2"/>
    <w:rsid w:val="000A09D6"/>
    <w:rsid w:val="000A3A29"/>
    <w:rsid w:val="000A583B"/>
    <w:rsid w:val="000A5A07"/>
    <w:rsid w:val="000B1914"/>
    <w:rsid w:val="000B420F"/>
    <w:rsid w:val="000C21A7"/>
    <w:rsid w:val="000C3694"/>
    <w:rsid w:val="000D5CA7"/>
    <w:rsid w:val="000E317C"/>
    <w:rsid w:val="000F2BDA"/>
    <w:rsid w:val="000F3138"/>
    <w:rsid w:val="000F62CE"/>
    <w:rsid w:val="00101A8F"/>
    <w:rsid w:val="001058A7"/>
    <w:rsid w:val="00112298"/>
    <w:rsid w:val="00114ECB"/>
    <w:rsid w:val="0011774B"/>
    <w:rsid w:val="001238F0"/>
    <w:rsid w:val="0012401B"/>
    <w:rsid w:val="00131FD8"/>
    <w:rsid w:val="00132D04"/>
    <w:rsid w:val="00136C80"/>
    <w:rsid w:val="00140614"/>
    <w:rsid w:val="00145747"/>
    <w:rsid w:val="0014655C"/>
    <w:rsid w:val="0015530E"/>
    <w:rsid w:val="00170318"/>
    <w:rsid w:val="001770CE"/>
    <w:rsid w:val="001846A7"/>
    <w:rsid w:val="00186B54"/>
    <w:rsid w:val="001933A1"/>
    <w:rsid w:val="001975F0"/>
    <w:rsid w:val="001A47DC"/>
    <w:rsid w:val="001B1DC7"/>
    <w:rsid w:val="001B5873"/>
    <w:rsid w:val="001B7616"/>
    <w:rsid w:val="001B7E3D"/>
    <w:rsid w:val="001C0E43"/>
    <w:rsid w:val="001C7019"/>
    <w:rsid w:val="001D276C"/>
    <w:rsid w:val="001D3EDF"/>
    <w:rsid w:val="001E530A"/>
    <w:rsid w:val="001E6AF7"/>
    <w:rsid w:val="001F6319"/>
    <w:rsid w:val="001F68EE"/>
    <w:rsid w:val="001F76ED"/>
    <w:rsid w:val="00206463"/>
    <w:rsid w:val="002071A3"/>
    <w:rsid w:val="002151F3"/>
    <w:rsid w:val="002211EA"/>
    <w:rsid w:val="00224C9E"/>
    <w:rsid w:val="002250DE"/>
    <w:rsid w:val="00227F8D"/>
    <w:rsid w:val="00227FCE"/>
    <w:rsid w:val="00231DD9"/>
    <w:rsid w:val="00234DF1"/>
    <w:rsid w:val="00235483"/>
    <w:rsid w:val="00241A66"/>
    <w:rsid w:val="0025270C"/>
    <w:rsid w:val="002619E0"/>
    <w:rsid w:val="002619EF"/>
    <w:rsid w:val="00262F0F"/>
    <w:rsid w:val="002674FB"/>
    <w:rsid w:val="00267A66"/>
    <w:rsid w:val="00274347"/>
    <w:rsid w:val="0027501C"/>
    <w:rsid w:val="002821F8"/>
    <w:rsid w:val="00282923"/>
    <w:rsid w:val="00292613"/>
    <w:rsid w:val="002A3234"/>
    <w:rsid w:val="002A4AF2"/>
    <w:rsid w:val="002A59FB"/>
    <w:rsid w:val="002A73E8"/>
    <w:rsid w:val="002A7BC6"/>
    <w:rsid w:val="002B017D"/>
    <w:rsid w:val="002B0386"/>
    <w:rsid w:val="002B08F2"/>
    <w:rsid w:val="002B15C1"/>
    <w:rsid w:val="002B3FE9"/>
    <w:rsid w:val="002B7785"/>
    <w:rsid w:val="002C2F97"/>
    <w:rsid w:val="002C46B1"/>
    <w:rsid w:val="002D3D1D"/>
    <w:rsid w:val="002E2851"/>
    <w:rsid w:val="002E6FC6"/>
    <w:rsid w:val="002F0D9E"/>
    <w:rsid w:val="002F68D2"/>
    <w:rsid w:val="00300877"/>
    <w:rsid w:val="00306AF0"/>
    <w:rsid w:val="003149DA"/>
    <w:rsid w:val="00316193"/>
    <w:rsid w:val="003246F4"/>
    <w:rsid w:val="00344CCD"/>
    <w:rsid w:val="00354C55"/>
    <w:rsid w:val="0037099D"/>
    <w:rsid w:val="00372D77"/>
    <w:rsid w:val="00374CEF"/>
    <w:rsid w:val="00376913"/>
    <w:rsid w:val="0037699B"/>
    <w:rsid w:val="00381502"/>
    <w:rsid w:val="003927AC"/>
    <w:rsid w:val="003971F6"/>
    <w:rsid w:val="003B34F3"/>
    <w:rsid w:val="003C1918"/>
    <w:rsid w:val="003C30F1"/>
    <w:rsid w:val="003C6DD4"/>
    <w:rsid w:val="003C7368"/>
    <w:rsid w:val="003D58C9"/>
    <w:rsid w:val="003E0F7E"/>
    <w:rsid w:val="003E4881"/>
    <w:rsid w:val="003F2AF4"/>
    <w:rsid w:val="003F7366"/>
    <w:rsid w:val="003F7D89"/>
    <w:rsid w:val="00401339"/>
    <w:rsid w:val="00401D4E"/>
    <w:rsid w:val="00402549"/>
    <w:rsid w:val="00402953"/>
    <w:rsid w:val="0040375E"/>
    <w:rsid w:val="004066F1"/>
    <w:rsid w:val="0041359D"/>
    <w:rsid w:val="00421CCE"/>
    <w:rsid w:val="00423419"/>
    <w:rsid w:val="00426D3F"/>
    <w:rsid w:val="004318BC"/>
    <w:rsid w:val="004326BB"/>
    <w:rsid w:val="0044319B"/>
    <w:rsid w:val="00445DD7"/>
    <w:rsid w:val="004471AA"/>
    <w:rsid w:val="00450244"/>
    <w:rsid w:val="00456DDE"/>
    <w:rsid w:val="004614A3"/>
    <w:rsid w:val="004615F8"/>
    <w:rsid w:val="00462C87"/>
    <w:rsid w:val="004655FD"/>
    <w:rsid w:val="00470696"/>
    <w:rsid w:val="004742D0"/>
    <w:rsid w:val="004821DB"/>
    <w:rsid w:val="004907CD"/>
    <w:rsid w:val="004934DE"/>
    <w:rsid w:val="0049399C"/>
    <w:rsid w:val="004A2819"/>
    <w:rsid w:val="004A30AB"/>
    <w:rsid w:val="004A3BFB"/>
    <w:rsid w:val="004B1397"/>
    <w:rsid w:val="004B2244"/>
    <w:rsid w:val="004B7358"/>
    <w:rsid w:val="004D0692"/>
    <w:rsid w:val="004D403E"/>
    <w:rsid w:val="004D4496"/>
    <w:rsid w:val="004E5389"/>
    <w:rsid w:val="004E6CDD"/>
    <w:rsid w:val="004F3F28"/>
    <w:rsid w:val="004F4BBA"/>
    <w:rsid w:val="00500453"/>
    <w:rsid w:val="005233AA"/>
    <w:rsid w:val="00523450"/>
    <w:rsid w:val="00524EA4"/>
    <w:rsid w:val="005470E3"/>
    <w:rsid w:val="00551AD9"/>
    <w:rsid w:val="00551B0F"/>
    <w:rsid w:val="0055447C"/>
    <w:rsid w:val="005659FB"/>
    <w:rsid w:val="005824E7"/>
    <w:rsid w:val="00595994"/>
    <w:rsid w:val="005A16AD"/>
    <w:rsid w:val="005A17AB"/>
    <w:rsid w:val="005A23E0"/>
    <w:rsid w:val="005A43E1"/>
    <w:rsid w:val="005A4D89"/>
    <w:rsid w:val="005A658B"/>
    <w:rsid w:val="005B2DC6"/>
    <w:rsid w:val="005B397A"/>
    <w:rsid w:val="005B3E3C"/>
    <w:rsid w:val="005B4156"/>
    <w:rsid w:val="005B7063"/>
    <w:rsid w:val="005C1AE6"/>
    <w:rsid w:val="005C3FC1"/>
    <w:rsid w:val="005C40E1"/>
    <w:rsid w:val="005C4203"/>
    <w:rsid w:val="005C6E0B"/>
    <w:rsid w:val="005D3499"/>
    <w:rsid w:val="005D6DE8"/>
    <w:rsid w:val="005E21F1"/>
    <w:rsid w:val="005E2583"/>
    <w:rsid w:val="005E2EF1"/>
    <w:rsid w:val="006032E4"/>
    <w:rsid w:val="00604DC4"/>
    <w:rsid w:val="006109A5"/>
    <w:rsid w:val="00612133"/>
    <w:rsid w:val="0061684E"/>
    <w:rsid w:val="00617CF6"/>
    <w:rsid w:val="0062212A"/>
    <w:rsid w:val="00632969"/>
    <w:rsid w:val="0063336D"/>
    <w:rsid w:val="0063463D"/>
    <w:rsid w:val="00640B14"/>
    <w:rsid w:val="006460C4"/>
    <w:rsid w:val="00651840"/>
    <w:rsid w:val="00652E61"/>
    <w:rsid w:val="00662900"/>
    <w:rsid w:val="0066536E"/>
    <w:rsid w:val="00683031"/>
    <w:rsid w:val="00695B53"/>
    <w:rsid w:val="00695B6F"/>
    <w:rsid w:val="006A06DD"/>
    <w:rsid w:val="006A5736"/>
    <w:rsid w:val="006A5848"/>
    <w:rsid w:val="006A7572"/>
    <w:rsid w:val="006B02A9"/>
    <w:rsid w:val="006B14EF"/>
    <w:rsid w:val="006C3147"/>
    <w:rsid w:val="006C5513"/>
    <w:rsid w:val="006D1A34"/>
    <w:rsid w:val="006D43B2"/>
    <w:rsid w:val="006D4BDD"/>
    <w:rsid w:val="006E3C3E"/>
    <w:rsid w:val="006E4859"/>
    <w:rsid w:val="006F269A"/>
    <w:rsid w:val="006F2F62"/>
    <w:rsid w:val="006F6C4E"/>
    <w:rsid w:val="00700753"/>
    <w:rsid w:val="007059F5"/>
    <w:rsid w:val="00707457"/>
    <w:rsid w:val="007078B1"/>
    <w:rsid w:val="007146D9"/>
    <w:rsid w:val="007222E6"/>
    <w:rsid w:val="0073096A"/>
    <w:rsid w:val="00732F63"/>
    <w:rsid w:val="00733382"/>
    <w:rsid w:val="0073522A"/>
    <w:rsid w:val="0074597D"/>
    <w:rsid w:val="00745B27"/>
    <w:rsid w:val="00750B32"/>
    <w:rsid w:val="0075130B"/>
    <w:rsid w:val="00752A99"/>
    <w:rsid w:val="007535CA"/>
    <w:rsid w:val="00757E07"/>
    <w:rsid w:val="007661B1"/>
    <w:rsid w:val="0076691E"/>
    <w:rsid w:val="007674AA"/>
    <w:rsid w:val="007769CD"/>
    <w:rsid w:val="0078032B"/>
    <w:rsid w:val="00781566"/>
    <w:rsid w:val="007818DC"/>
    <w:rsid w:val="00783CDB"/>
    <w:rsid w:val="00795C57"/>
    <w:rsid w:val="007976E7"/>
    <w:rsid w:val="007A2CF0"/>
    <w:rsid w:val="007A37BD"/>
    <w:rsid w:val="007A40E9"/>
    <w:rsid w:val="007A7740"/>
    <w:rsid w:val="007B02FB"/>
    <w:rsid w:val="007B2D01"/>
    <w:rsid w:val="007B3560"/>
    <w:rsid w:val="007B6D77"/>
    <w:rsid w:val="007C070F"/>
    <w:rsid w:val="007E5362"/>
    <w:rsid w:val="007E76A0"/>
    <w:rsid w:val="007F1D70"/>
    <w:rsid w:val="007F3F4E"/>
    <w:rsid w:val="007F4142"/>
    <w:rsid w:val="0080070F"/>
    <w:rsid w:val="00802701"/>
    <w:rsid w:val="008038A2"/>
    <w:rsid w:val="00811FE8"/>
    <w:rsid w:val="008169BA"/>
    <w:rsid w:val="008272D4"/>
    <w:rsid w:val="008350F5"/>
    <w:rsid w:val="008446D2"/>
    <w:rsid w:val="0084720C"/>
    <w:rsid w:val="008542D9"/>
    <w:rsid w:val="00863827"/>
    <w:rsid w:val="0086436B"/>
    <w:rsid w:val="00871AC9"/>
    <w:rsid w:val="00876856"/>
    <w:rsid w:val="0088096A"/>
    <w:rsid w:val="008827D2"/>
    <w:rsid w:val="008865A9"/>
    <w:rsid w:val="00894B97"/>
    <w:rsid w:val="00896E0E"/>
    <w:rsid w:val="008A2275"/>
    <w:rsid w:val="008A4418"/>
    <w:rsid w:val="008B0A71"/>
    <w:rsid w:val="008B3C4E"/>
    <w:rsid w:val="008B3C6B"/>
    <w:rsid w:val="008B564E"/>
    <w:rsid w:val="008C389C"/>
    <w:rsid w:val="008D0769"/>
    <w:rsid w:val="008E3F15"/>
    <w:rsid w:val="008E498D"/>
    <w:rsid w:val="00903537"/>
    <w:rsid w:val="00913048"/>
    <w:rsid w:val="00914771"/>
    <w:rsid w:val="00914AE7"/>
    <w:rsid w:val="00920123"/>
    <w:rsid w:val="00943BBB"/>
    <w:rsid w:val="00946E6E"/>
    <w:rsid w:val="00946E97"/>
    <w:rsid w:val="00952D52"/>
    <w:rsid w:val="009668C6"/>
    <w:rsid w:val="00966D9C"/>
    <w:rsid w:val="00974972"/>
    <w:rsid w:val="0097530A"/>
    <w:rsid w:val="009869DE"/>
    <w:rsid w:val="0098716C"/>
    <w:rsid w:val="009902EA"/>
    <w:rsid w:val="00995C63"/>
    <w:rsid w:val="009A036C"/>
    <w:rsid w:val="009A3886"/>
    <w:rsid w:val="009C604F"/>
    <w:rsid w:val="009E24F8"/>
    <w:rsid w:val="009E7FA6"/>
    <w:rsid w:val="009F33F6"/>
    <w:rsid w:val="009F40B3"/>
    <w:rsid w:val="009F5775"/>
    <w:rsid w:val="009F7567"/>
    <w:rsid w:val="00A016A0"/>
    <w:rsid w:val="00A01CAF"/>
    <w:rsid w:val="00A10AE3"/>
    <w:rsid w:val="00A12789"/>
    <w:rsid w:val="00A15A88"/>
    <w:rsid w:val="00A1673D"/>
    <w:rsid w:val="00A16A9C"/>
    <w:rsid w:val="00A2080F"/>
    <w:rsid w:val="00A20B97"/>
    <w:rsid w:val="00A35D30"/>
    <w:rsid w:val="00A438BD"/>
    <w:rsid w:val="00A44118"/>
    <w:rsid w:val="00A477AC"/>
    <w:rsid w:val="00A50A18"/>
    <w:rsid w:val="00A57842"/>
    <w:rsid w:val="00A6484E"/>
    <w:rsid w:val="00A663C9"/>
    <w:rsid w:val="00A674FB"/>
    <w:rsid w:val="00A85311"/>
    <w:rsid w:val="00A86977"/>
    <w:rsid w:val="00A94804"/>
    <w:rsid w:val="00AA0C3F"/>
    <w:rsid w:val="00AA0D4E"/>
    <w:rsid w:val="00AA1C2C"/>
    <w:rsid w:val="00AB6D9D"/>
    <w:rsid w:val="00AC041B"/>
    <w:rsid w:val="00AC3814"/>
    <w:rsid w:val="00AD5BB1"/>
    <w:rsid w:val="00AE7742"/>
    <w:rsid w:val="00AF0562"/>
    <w:rsid w:val="00AF3153"/>
    <w:rsid w:val="00AF49EF"/>
    <w:rsid w:val="00B0332F"/>
    <w:rsid w:val="00B0704D"/>
    <w:rsid w:val="00B10BF3"/>
    <w:rsid w:val="00B10FB2"/>
    <w:rsid w:val="00B177B5"/>
    <w:rsid w:val="00B26E1A"/>
    <w:rsid w:val="00B26F2C"/>
    <w:rsid w:val="00B41E28"/>
    <w:rsid w:val="00B50D5E"/>
    <w:rsid w:val="00B64288"/>
    <w:rsid w:val="00B65EDD"/>
    <w:rsid w:val="00B76723"/>
    <w:rsid w:val="00B77C46"/>
    <w:rsid w:val="00B812F8"/>
    <w:rsid w:val="00B8632D"/>
    <w:rsid w:val="00BA19E7"/>
    <w:rsid w:val="00BA3B3E"/>
    <w:rsid w:val="00BA5D2F"/>
    <w:rsid w:val="00BB510B"/>
    <w:rsid w:val="00BC152C"/>
    <w:rsid w:val="00BC297D"/>
    <w:rsid w:val="00BF3538"/>
    <w:rsid w:val="00BF4F0C"/>
    <w:rsid w:val="00BF5367"/>
    <w:rsid w:val="00C01254"/>
    <w:rsid w:val="00C06C36"/>
    <w:rsid w:val="00C07817"/>
    <w:rsid w:val="00C11AA2"/>
    <w:rsid w:val="00C14023"/>
    <w:rsid w:val="00C14E60"/>
    <w:rsid w:val="00C15DF7"/>
    <w:rsid w:val="00C17216"/>
    <w:rsid w:val="00C17624"/>
    <w:rsid w:val="00C202D2"/>
    <w:rsid w:val="00C23811"/>
    <w:rsid w:val="00C44FE7"/>
    <w:rsid w:val="00C51626"/>
    <w:rsid w:val="00C52439"/>
    <w:rsid w:val="00C62590"/>
    <w:rsid w:val="00C628E2"/>
    <w:rsid w:val="00C62DBE"/>
    <w:rsid w:val="00C63B54"/>
    <w:rsid w:val="00C660D9"/>
    <w:rsid w:val="00C67635"/>
    <w:rsid w:val="00C71005"/>
    <w:rsid w:val="00C81390"/>
    <w:rsid w:val="00C814CC"/>
    <w:rsid w:val="00C84B11"/>
    <w:rsid w:val="00C873DA"/>
    <w:rsid w:val="00CA240A"/>
    <w:rsid w:val="00CB161A"/>
    <w:rsid w:val="00CB1F7B"/>
    <w:rsid w:val="00CC171B"/>
    <w:rsid w:val="00CE1D0A"/>
    <w:rsid w:val="00CF0D8F"/>
    <w:rsid w:val="00CF0F51"/>
    <w:rsid w:val="00D029E8"/>
    <w:rsid w:val="00D07064"/>
    <w:rsid w:val="00D0776A"/>
    <w:rsid w:val="00D101CB"/>
    <w:rsid w:val="00D24D15"/>
    <w:rsid w:val="00D26F70"/>
    <w:rsid w:val="00D2779D"/>
    <w:rsid w:val="00D279FC"/>
    <w:rsid w:val="00D45408"/>
    <w:rsid w:val="00D469F7"/>
    <w:rsid w:val="00D47A39"/>
    <w:rsid w:val="00D557DE"/>
    <w:rsid w:val="00D55ADD"/>
    <w:rsid w:val="00D60B47"/>
    <w:rsid w:val="00D6270A"/>
    <w:rsid w:val="00D628E5"/>
    <w:rsid w:val="00D757C7"/>
    <w:rsid w:val="00D82AD0"/>
    <w:rsid w:val="00D83532"/>
    <w:rsid w:val="00D836CB"/>
    <w:rsid w:val="00D8544F"/>
    <w:rsid w:val="00D870AD"/>
    <w:rsid w:val="00D90129"/>
    <w:rsid w:val="00D96101"/>
    <w:rsid w:val="00D961A2"/>
    <w:rsid w:val="00DA0FA6"/>
    <w:rsid w:val="00DA6606"/>
    <w:rsid w:val="00DB024E"/>
    <w:rsid w:val="00DB0979"/>
    <w:rsid w:val="00DB161E"/>
    <w:rsid w:val="00DC1AC8"/>
    <w:rsid w:val="00DD1B6A"/>
    <w:rsid w:val="00DD33DF"/>
    <w:rsid w:val="00DD6E32"/>
    <w:rsid w:val="00DD6E91"/>
    <w:rsid w:val="00DE1293"/>
    <w:rsid w:val="00DE31AF"/>
    <w:rsid w:val="00DE33F2"/>
    <w:rsid w:val="00DE4919"/>
    <w:rsid w:val="00DE6995"/>
    <w:rsid w:val="00DE7148"/>
    <w:rsid w:val="00DF10CC"/>
    <w:rsid w:val="00E07C15"/>
    <w:rsid w:val="00E147F8"/>
    <w:rsid w:val="00E156BF"/>
    <w:rsid w:val="00E172B0"/>
    <w:rsid w:val="00E32C3E"/>
    <w:rsid w:val="00E43917"/>
    <w:rsid w:val="00E46DF2"/>
    <w:rsid w:val="00E749DB"/>
    <w:rsid w:val="00E779D5"/>
    <w:rsid w:val="00E8056C"/>
    <w:rsid w:val="00E827C5"/>
    <w:rsid w:val="00E862AE"/>
    <w:rsid w:val="00EA2D81"/>
    <w:rsid w:val="00EB5C3A"/>
    <w:rsid w:val="00EC5D67"/>
    <w:rsid w:val="00EE261A"/>
    <w:rsid w:val="00EE500A"/>
    <w:rsid w:val="00EF171A"/>
    <w:rsid w:val="00EF307A"/>
    <w:rsid w:val="00EF40BE"/>
    <w:rsid w:val="00F1137A"/>
    <w:rsid w:val="00F22116"/>
    <w:rsid w:val="00F24EB2"/>
    <w:rsid w:val="00F437AA"/>
    <w:rsid w:val="00F47202"/>
    <w:rsid w:val="00F50A07"/>
    <w:rsid w:val="00F51B1E"/>
    <w:rsid w:val="00F57119"/>
    <w:rsid w:val="00F67A2E"/>
    <w:rsid w:val="00F728E5"/>
    <w:rsid w:val="00F77C13"/>
    <w:rsid w:val="00F840EB"/>
    <w:rsid w:val="00F93420"/>
    <w:rsid w:val="00F945DB"/>
    <w:rsid w:val="00FA3993"/>
    <w:rsid w:val="00FA5118"/>
    <w:rsid w:val="00FA708D"/>
    <w:rsid w:val="00FB35C1"/>
    <w:rsid w:val="00FC13A1"/>
    <w:rsid w:val="00FC4274"/>
    <w:rsid w:val="00FD2279"/>
    <w:rsid w:val="00FE113A"/>
    <w:rsid w:val="00FE5FAF"/>
    <w:rsid w:val="00FF423F"/>
    <w:rsid w:val="00FF5475"/>
    <w:rsid w:val="403A78C3"/>
    <w:rsid w:val="5220C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97AA1F6"/>
  <w15:docId w15:val="{DB072BD7-9810-4E5F-BEFD-7B5CEB1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02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1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49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0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4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B237449814D4E9C02814710B68625" ma:contentTypeVersion="4" ma:contentTypeDescription="Create a new document." ma:contentTypeScope="" ma:versionID="1235abcc8f03abebd51c75cfbcdbb627">
  <xsd:schema xmlns:xsd="http://www.w3.org/2001/XMLSchema" xmlns:xs="http://www.w3.org/2001/XMLSchema" xmlns:p="http://schemas.microsoft.com/office/2006/metadata/properties" xmlns:ns2="250169f9-d2da-4118-b53a-263316cd62ce" targetNamespace="http://schemas.microsoft.com/office/2006/metadata/properties" ma:root="true" ma:fieldsID="a911cc9c4047fa7d51f23cad0855bf73" ns2:_="">
    <xsd:import namespace="250169f9-d2da-4118-b53a-263316cd6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169f9-d2da-4118-b53a-263316cd6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55BBC6-C31F-46E9-BE78-EF6B8E274B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6C816E-E237-4362-9086-B17B7FA5D01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250169f9-d2da-4118-b53a-263316cd62c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05AF1B-0CD2-4D9F-AA5E-234117C2E8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141C0F-2C52-4F16-A739-2B5252028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169f9-d2da-4118-b53a-263316cd6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1129</Words>
  <Characters>6177</Characters>
  <Application>Microsoft Office Word</Application>
  <DocSecurity>0</DocSecurity>
  <Lines>51</Lines>
  <Paragraphs>14</Paragraphs>
  <ScaleCrop>false</ScaleCrop>
  <Company>Oxfordshire Mental Healthcare NHS Trust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Gill Nicola (RNU) Oxford Health</cp:lastModifiedBy>
  <cp:revision>4</cp:revision>
  <cp:lastPrinted>2014-03-17T14:55:00Z</cp:lastPrinted>
  <dcterms:created xsi:type="dcterms:W3CDTF">2022-03-23T14:34:00Z</dcterms:created>
  <dcterms:modified xsi:type="dcterms:W3CDTF">2022-03-24T13:44:00Z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0x010100818B237449814D4E9C02814710B68625</vt:lpwstr>
  </property>
</Properties>
</file>