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387B" w14:textId="3A8261C2" w:rsidR="00855975" w:rsidRPr="00EA42CD" w:rsidRDefault="005D5C72" w:rsidP="005D5C72">
      <w:pPr>
        <w:pStyle w:val="IntenseQuote"/>
        <w:rPr>
          <w:rFonts w:ascii="Arial" w:hAnsi="Arial" w:cs="Arial"/>
          <w:b/>
          <w:bCs/>
          <w:i w:val="0"/>
          <w:iCs w:val="0"/>
          <w:color w:val="auto"/>
        </w:rPr>
      </w:pPr>
      <w:r w:rsidRPr="00EA42CD">
        <w:rPr>
          <w:rFonts w:ascii="Arial" w:hAnsi="Arial" w:cs="Arial"/>
          <w:b/>
          <w:bCs/>
          <w:i w:val="0"/>
          <w:iCs w:val="0"/>
          <w:color w:val="auto"/>
        </w:rPr>
        <w:t xml:space="preserve">Mental Health Long Term Plan </w:t>
      </w:r>
      <w:r w:rsidR="002E3505" w:rsidRPr="00EA42CD">
        <w:rPr>
          <w:rFonts w:ascii="Arial" w:hAnsi="Arial" w:cs="Arial"/>
          <w:b/>
          <w:bCs/>
          <w:i w:val="0"/>
          <w:iCs w:val="0"/>
          <w:color w:val="auto"/>
        </w:rPr>
        <w:t>– Board Update</w:t>
      </w:r>
    </w:p>
    <w:p w14:paraId="65FD8D4D" w14:textId="00C35726" w:rsidR="00822561" w:rsidRPr="00EA42CD" w:rsidRDefault="2EA3AD6A" w:rsidP="002E3505">
      <w:pPr>
        <w:pStyle w:val="Title"/>
        <w:rPr>
          <w:rFonts w:ascii="Arial" w:hAnsi="Arial" w:cs="Arial"/>
          <w:b/>
          <w:bCs/>
          <w:sz w:val="22"/>
          <w:szCs w:val="22"/>
          <w:u w:val="single"/>
        </w:rPr>
      </w:pPr>
      <w:r w:rsidRPr="00EA42CD">
        <w:rPr>
          <w:rFonts w:ascii="Arial" w:hAnsi="Arial" w:cs="Arial"/>
          <w:b/>
          <w:bCs/>
          <w:sz w:val="22"/>
          <w:szCs w:val="22"/>
          <w:u w:val="single"/>
        </w:rPr>
        <w:t>Executive Summary</w:t>
      </w:r>
    </w:p>
    <w:p w14:paraId="60F2F138" w14:textId="77777777" w:rsidR="002E3505" w:rsidRPr="002E3505" w:rsidRDefault="002E3505" w:rsidP="002E3505">
      <w:pPr>
        <w:spacing w:after="0" w:line="240" w:lineRule="auto"/>
      </w:pPr>
    </w:p>
    <w:p w14:paraId="2AE33C12" w14:textId="658897AA" w:rsidR="00822561" w:rsidRDefault="008D3C08" w:rsidP="002E3505">
      <w:pPr>
        <w:spacing w:after="0" w:line="240" w:lineRule="auto"/>
        <w:rPr>
          <w:rFonts w:ascii="Arial" w:hAnsi="Arial" w:cs="Arial"/>
        </w:rPr>
      </w:pPr>
      <w:r w:rsidRPr="002E3505">
        <w:rPr>
          <w:rFonts w:ascii="Arial" w:hAnsi="Arial" w:cs="Arial"/>
        </w:rPr>
        <w:t xml:space="preserve">The Long-Term Plan </w:t>
      </w:r>
      <w:r w:rsidR="008C791D">
        <w:rPr>
          <w:rFonts w:ascii="Arial" w:hAnsi="Arial" w:cs="Arial"/>
        </w:rPr>
        <w:t>(</w:t>
      </w:r>
      <w:proofErr w:type="spellStart"/>
      <w:r w:rsidR="008C791D">
        <w:rPr>
          <w:rFonts w:ascii="Arial" w:hAnsi="Arial" w:cs="Arial"/>
        </w:rPr>
        <w:t>LTP</w:t>
      </w:r>
      <w:proofErr w:type="spellEnd"/>
      <w:r w:rsidR="008C791D">
        <w:rPr>
          <w:rFonts w:ascii="Arial" w:hAnsi="Arial" w:cs="Arial"/>
        </w:rPr>
        <w:t xml:space="preserve">) </w:t>
      </w:r>
      <w:r w:rsidRPr="002E3505">
        <w:rPr>
          <w:rFonts w:ascii="Arial" w:hAnsi="Arial" w:cs="Arial"/>
        </w:rPr>
        <w:t>outlined a very promising and ambitious period for mental health patients</w:t>
      </w:r>
      <w:r w:rsidR="00BE2EAB" w:rsidRPr="002E3505">
        <w:rPr>
          <w:rFonts w:ascii="Arial" w:hAnsi="Arial" w:cs="Arial"/>
        </w:rPr>
        <w:t xml:space="preserve">, </w:t>
      </w:r>
      <w:proofErr w:type="gramStart"/>
      <w:r w:rsidR="00BE2EAB" w:rsidRPr="002E3505">
        <w:rPr>
          <w:rFonts w:ascii="Arial" w:hAnsi="Arial" w:cs="Arial"/>
        </w:rPr>
        <w:t>carers</w:t>
      </w:r>
      <w:proofErr w:type="gramEnd"/>
      <w:r w:rsidR="00BE2EAB" w:rsidRPr="002E3505">
        <w:rPr>
          <w:rFonts w:ascii="Arial" w:hAnsi="Arial" w:cs="Arial"/>
        </w:rPr>
        <w:t xml:space="preserve"> and families, as well as the staff and organisations that care for and support them. </w:t>
      </w:r>
      <w:r w:rsidR="00A23A67" w:rsidRPr="002E3505">
        <w:rPr>
          <w:rFonts w:ascii="Arial" w:hAnsi="Arial" w:cs="Arial"/>
        </w:rPr>
        <w:t xml:space="preserve">The </w:t>
      </w:r>
      <w:r w:rsidR="00C6775D" w:rsidRPr="002E3505">
        <w:rPr>
          <w:rFonts w:ascii="Arial" w:hAnsi="Arial" w:cs="Arial"/>
        </w:rPr>
        <w:t>£2.3 billion that was committed i</w:t>
      </w:r>
      <w:r w:rsidR="009700C7" w:rsidRPr="002E3505">
        <w:rPr>
          <w:rFonts w:ascii="Arial" w:hAnsi="Arial" w:cs="Arial"/>
        </w:rPr>
        <w:t>s now making its’ way to front line services and is having an impact on the care that is delivered.</w:t>
      </w:r>
    </w:p>
    <w:p w14:paraId="6443D4D8" w14:textId="77777777" w:rsidR="002E3505" w:rsidRPr="002E3505" w:rsidRDefault="002E3505" w:rsidP="002E3505">
      <w:pPr>
        <w:spacing w:after="0" w:line="240" w:lineRule="auto"/>
        <w:rPr>
          <w:rFonts w:ascii="Arial" w:hAnsi="Arial" w:cs="Arial"/>
        </w:rPr>
      </w:pPr>
    </w:p>
    <w:p w14:paraId="158E1536" w14:textId="2D7C5218" w:rsidR="2CA690CC" w:rsidRDefault="2CA690CC" w:rsidP="002E3505">
      <w:pPr>
        <w:spacing w:after="0" w:line="240" w:lineRule="auto"/>
        <w:rPr>
          <w:rFonts w:ascii="Arial" w:hAnsi="Arial" w:cs="Arial"/>
        </w:rPr>
      </w:pPr>
      <w:r w:rsidRPr="002E3505">
        <w:rPr>
          <w:rFonts w:ascii="Arial" w:hAnsi="Arial" w:cs="Arial"/>
        </w:rPr>
        <w:t xml:space="preserve">Overall, there is progress against all areas of the Long-Term plan that OHFT are leading and delivering on. There </w:t>
      </w:r>
      <w:r w:rsidR="00C52F35" w:rsidRPr="002E3505">
        <w:rPr>
          <w:rFonts w:ascii="Arial" w:hAnsi="Arial" w:cs="Arial"/>
        </w:rPr>
        <w:t>are</w:t>
      </w:r>
      <w:r w:rsidRPr="002E3505">
        <w:rPr>
          <w:rFonts w:ascii="Arial" w:hAnsi="Arial" w:cs="Arial"/>
        </w:rPr>
        <w:t xml:space="preserve"> though areas of growing concern about meeting the full ambitions</w:t>
      </w:r>
      <w:r w:rsidR="00550899" w:rsidRPr="002E3505">
        <w:rPr>
          <w:rFonts w:ascii="Arial" w:hAnsi="Arial" w:cs="Arial"/>
        </w:rPr>
        <w:t xml:space="preserve"> and objectives</w:t>
      </w:r>
      <w:r w:rsidRPr="002E3505">
        <w:rPr>
          <w:rFonts w:ascii="Arial" w:hAnsi="Arial" w:cs="Arial"/>
        </w:rPr>
        <w:t xml:space="preserve"> of the plan</w:t>
      </w:r>
      <w:r w:rsidR="00766F79" w:rsidRPr="002E3505">
        <w:rPr>
          <w:rFonts w:ascii="Arial" w:hAnsi="Arial" w:cs="Arial"/>
        </w:rPr>
        <w:t xml:space="preserve">. </w:t>
      </w:r>
    </w:p>
    <w:p w14:paraId="2CA0B195" w14:textId="77777777" w:rsidR="002E3505" w:rsidRPr="002E3505" w:rsidRDefault="002E3505" w:rsidP="002E3505">
      <w:pPr>
        <w:spacing w:after="0" w:line="240" w:lineRule="auto"/>
        <w:rPr>
          <w:rFonts w:ascii="Arial" w:hAnsi="Arial" w:cs="Arial"/>
        </w:rPr>
      </w:pPr>
    </w:p>
    <w:p w14:paraId="6C2BF050" w14:textId="2BC97E7E" w:rsidR="00D14D74" w:rsidRDefault="00D14D74" w:rsidP="002E3505">
      <w:pPr>
        <w:spacing w:after="0" w:line="240" w:lineRule="auto"/>
        <w:rPr>
          <w:rFonts w:ascii="Arial" w:hAnsi="Arial" w:cs="Arial"/>
        </w:rPr>
      </w:pPr>
      <w:r w:rsidRPr="002E3505">
        <w:rPr>
          <w:rFonts w:ascii="Arial" w:hAnsi="Arial" w:cs="Arial"/>
        </w:rPr>
        <w:t>Three significant challenges are clear</w:t>
      </w:r>
      <w:r w:rsidR="2CA690CC" w:rsidRPr="002E3505">
        <w:rPr>
          <w:rFonts w:ascii="Arial" w:hAnsi="Arial" w:cs="Arial"/>
        </w:rPr>
        <w:t xml:space="preserve"> and are crucial to tackling the implementation of the long-term plan. Firstly,</w:t>
      </w:r>
      <w:r w:rsidRPr="002E3505">
        <w:rPr>
          <w:rFonts w:ascii="Arial" w:hAnsi="Arial" w:cs="Arial"/>
        </w:rPr>
        <w:t xml:space="preserve"> the ongoing recovery from the </w:t>
      </w:r>
      <w:r w:rsidR="00E04229" w:rsidRPr="002E3505">
        <w:rPr>
          <w:rFonts w:ascii="Arial" w:hAnsi="Arial" w:cs="Arial"/>
        </w:rPr>
        <w:t xml:space="preserve">Covid 19 pandemic which has </w:t>
      </w:r>
      <w:r w:rsidR="00C54933" w:rsidRPr="002E3505">
        <w:rPr>
          <w:rFonts w:ascii="Arial" w:hAnsi="Arial" w:cs="Arial"/>
        </w:rPr>
        <w:t xml:space="preserve">hampered the progress that OHFT and partner organisations </w:t>
      </w:r>
      <w:r w:rsidR="001333C1" w:rsidRPr="002E3505">
        <w:rPr>
          <w:rFonts w:ascii="Arial" w:hAnsi="Arial" w:cs="Arial"/>
        </w:rPr>
        <w:t>have made over the last 2 years</w:t>
      </w:r>
      <w:r w:rsidR="00441FC6" w:rsidRPr="002E3505">
        <w:rPr>
          <w:rFonts w:ascii="Arial" w:hAnsi="Arial" w:cs="Arial"/>
        </w:rPr>
        <w:t xml:space="preserve">. </w:t>
      </w:r>
      <w:r w:rsidR="002F0C07" w:rsidRPr="002E3505">
        <w:rPr>
          <w:rFonts w:ascii="Arial" w:hAnsi="Arial" w:cs="Arial"/>
        </w:rPr>
        <w:t xml:space="preserve">Despite major disruption to service delivery, the commitment and resilience that staff </w:t>
      </w:r>
      <w:r w:rsidR="009C6940" w:rsidRPr="002E3505">
        <w:rPr>
          <w:rFonts w:ascii="Arial" w:hAnsi="Arial" w:cs="Arial"/>
        </w:rPr>
        <w:t xml:space="preserve">and their families </w:t>
      </w:r>
      <w:r w:rsidR="00257596" w:rsidRPr="002E3505">
        <w:rPr>
          <w:rFonts w:ascii="Arial" w:hAnsi="Arial" w:cs="Arial"/>
        </w:rPr>
        <w:t xml:space="preserve">have shown has been </w:t>
      </w:r>
      <w:r w:rsidR="001728C2" w:rsidRPr="002E3505">
        <w:rPr>
          <w:rFonts w:ascii="Arial" w:hAnsi="Arial" w:cs="Arial"/>
        </w:rPr>
        <w:t>outstanding</w:t>
      </w:r>
      <w:r w:rsidR="00257596" w:rsidRPr="002E3505">
        <w:rPr>
          <w:rFonts w:ascii="Arial" w:hAnsi="Arial" w:cs="Arial"/>
        </w:rPr>
        <w:t xml:space="preserve">. </w:t>
      </w:r>
    </w:p>
    <w:p w14:paraId="6C0667AF" w14:textId="77777777" w:rsidR="002E3505" w:rsidRPr="002E3505" w:rsidRDefault="002E3505" w:rsidP="002E3505">
      <w:pPr>
        <w:spacing w:after="0" w:line="240" w:lineRule="auto"/>
        <w:rPr>
          <w:rFonts w:ascii="Arial" w:hAnsi="Arial" w:cs="Arial"/>
        </w:rPr>
      </w:pPr>
    </w:p>
    <w:p w14:paraId="22E4DB45" w14:textId="4CC4A274" w:rsidR="008B1439" w:rsidRDefault="008B1439" w:rsidP="002E3505">
      <w:pPr>
        <w:spacing w:after="0" w:line="240" w:lineRule="auto"/>
        <w:rPr>
          <w:rFonts w:ascii="Arial" w:hAnsi="Arial" w:cs="Arial"/>
        </w:rPr>
      </w:pPr>
      <w:r w:rsidRPr="002E3505">
        <w:rPr>
          <w:rFonts w:ascii="Arial" w:hAnsi="Arial" w:cs="Arial"/>
        </w:rPr>
        <w:t xml:space="preserve">Secondly the workforce challenge that we face is not just in terms of expansion and recruiting to significant investment without a national pipeline of mental health clinicians matching the finance. But also, staff retention with an increasing sense of ‘burnout’ </w:t>
      </w:r>
      <w:r w:rsidR="005648E9" w:rsidRPr="002E3505">
        <w:rPr>
          <w:rFonts w:ascii="Arial" w:hAnsi="Arial" w:cs="Arial"/>
        </w:rPr>
        <w:t xml:space="preserve">and fatigue. </w:t>
      </w:r>
    </w:p>
    <w:p w14:paraId="2E991BFA" w14:textId="77777777" w:rsidR="002E3505" w:rsidRPr="002E3505" w:rsidRDefault="002E3505" w:rsidP="002E3505">
      <w:pPr>
        <w:spacing w:after="0" w:line="240" w:lineRule="auto"/>
        <w:rPr>
          <w:rFonts w:ascii="Arial" w:hAnsi="Arial" w:cs="Arial"/>
        </w:rPr>
      </w:pPr>
    </w:p>
    <w:p w14:paraId="667CB7A5" w14:textId="2C8992AE" w:rsidR="2CA690CC" w:rsidRDefault="2CA690CC" w:rsidP="002E3505">
      <w:pPr>
        <w:spacing w:after="0" w:line="240" w:lineRule="auto"/>
        <w:rPr>
          <w:rFonts w:ascii="Arial" w:hAnsi="Arial" w:cs="Arial"/>
        </w:rPr>
      </w:pPr>
      <w:r w:rsidRPr="002E3505">
        <w:rPr>
          <w:rFonts w:ascii="Arial" w:hAnsi="Arial" w:cs="Arial"/>
        </w:rPr>
        <w:t xml:space="preserve">Finally, the operational reality going into FY 23 in terms of financial and operational pressures that will rightly demand leadership and managerial time, away from the transformational agendas within the </w:t>
      </w:r>
      <w:proofErr w:type="spellStart"/>
      <w:r w:rsidRPr="002E3505">
        <w:rPr>
          <w:rFonts w:ascii="Arial" w:hAnsi="Arial" w:cs="Arial"/>
        </w:rPr>
        <w:t>LTP</w:t>
      </w:r>
      <w:proofErr w:type="spellEnd"/>
      <w:r w:rsidRPr="002E3505">
        <w:rPr>
          <w:rFonts w:ascii="Arial" w:hAnsi="Arial" w:cs="Arial"/>
        </w:rPr>
        <w:t>.</w:t>
      </w:r>
    </w:p>
    <w:p w14:paraId="34873534" w14:textId="77777777" w:rsidR="002E3505" w:rsidRPr="002E3505" w:rsidRDefault="002E3505" w:rsidP="002E3505">
      <w:pPr>
        <w:spacing w:after="0" w:line="240" w:lineRule="auto"/>
        <w:rPr>
          <w:rFonts w:ascii="Arial" w:hAnsi="Arial" w:cs="Arial"/>
        </w:rPr>
      </w:pPr>
    </w:p>
    <w:p w14:paraId="0B6EB279" w14:textId="0E46C9F1" w:rsidR="2CA690CC" w:rsidRPr="002E3505" w:rsidRDefault="2CA690CC" w:rsidP="002E3505">
      <w:pPr>
        <w:spacing w:after="0" w:line="240" w:lineRule="auto"/>
        <w:rPr>
          <w:rFonts w:ascii="Arial" w:hAnsi="Arial" w:cs="Arial"/>
        </w:rPr>
      </w:pPr>
      <w:r w:rsidRPr="002E3505">
        <w:rPr>
          <w:rFonts w:ascii="Arial" w:hAnsi="Arial" w:cs="Arial"/>
        </w:rPr>
        <w:t xml:space="preserve">A further contextual element that is impacting the </w:t>
      </w:r>
      <w:proofErr w:type="spellStart"/>
      <w:r w:rsidRPr="002E3505">
        <w:rPr>
          <w:rFonts w:ascii="Arial" w:hAnsi="Arial" w:cs="Arial"/>
        </w:rPr>
        <w:t>LTP</w:t>
      </w:r>
      <w:proofErr w:type="spellEnd"/>
      <w:r w:rsidRPr="002E3505">
        <w:rPr>
          <w:rFonts w:ascii="Arial" w:hAnsi="Arial" w:cs="Arial"/>
        </w:rPr>
        <w:t xml:space="preserve"> progress is the internal and external governance and leadership oversight of the </w:t>
      </w:r>
      <w:proofErr w:type="spellStart"/>
      <w:r w:rsidRPr="002E3505">
        <w:rPr>
          <w:rFonts w:ascii="Arial" w:hAnsi="Arial" w:cs="Arial"/>
        </w:rPr>
        <w:t>LTP</w:t>
      </w:r>
      <w:proofErr w:type="spellEnd"/>
      <w:r w:rsidRPr="002E3505">
        <w:rPr>
          <w:rFonts w:ascii="Arial" w:hAnsi="Arial" w:cs="Arial"/>
        </w:rPr>
        <w:t xml:space="preserve"> transformational programmes. The ongoing </w:t>
      </w:r>
      <w:r w:rsidR="008C791D">
        <w:rPr>
          <w:rFonts w:ascii="Arial" w:hAnsi="Arial" w:cs="Arial"/>
        </w:rPr>
        <w:t>development</w:t>
      </w:r>
      <w:r w:rsidRPr="002E3505">
        <w:rPr>
          <w:rFonts w:ascii="Arial" w:hAnsi="Arial" w:cs="Arial"/>
        </w:rPr>
        <w:t xml:space="preserve"> of infrastructure and tension of planning and oversight at place or ICS within Mental Health often results in duplication, </w:t>
      </w:r>
      <w:proofErr w:type="gramStart"/>
      <w:r w:rsidRPr="002E3505">
        <w:rPr>
          <w:rFonts w:ascii="Arial" w:hAnsi="Arial" w:cs="Arial"/>
        </w:rPr>
        <w:t>confusion</w:t>
      </w:r>
      <w:proofErr w:type="gramEnd"/>
      <w:r w:rsidRPr="002E3505">
        <w:rPr>
          <w:rFonts w:ascii="Arial" w:hAnsi="Arial" w:cs="Arial"/>
        </w:rPr>
        <w:t xml:space="preserve"> and inertia. </w:t>
      </w:r>
    </w:p>
    <w:p w14:paraId="0DAE3432" w14:textId="5FE87866" w:rsidR="2CA690CC" w:rsidRDefault="2CA690CC" w:rsidP="002E3505">
      <w:pPr>
        <w:spacing w:after="0" w:line="240" w:lineRule="auto"/>
        <w:rPr>
          <w:rFonts w:ascii="Arial" w:hAnsi="Arial" w:cs="Arial"/>
        </w:rPr>
      </w:pPr>
    </w:p>
    <w:p w14:paraId="745FBCEA" w14:textId="77777777" w:rsidR="00450CEC" w:rsidRPr="002E3505" w:rsidRDefault="00450CEC" w:rsidP="002E3505">
      <w:pPr>
        <w:spacing w:after="0" w:line="240" w:lineRule="auto"/>
        <w:rPr>
          <w:rFonts w:ascii="Arial" w:hAnsi="Arial" w:cs="Arial"/>
        </w:rPr>
      </w:pPr>
    </w:p>
    <w:p w14:paraId="222EC2AF" w14:textId="17DF5160" w:rsidR="00822561" w:rsidRPr="008C791D" w:rsidRDefault="00822561" w:rsidP="00450CEC">
      <w:pPr>
        <w:pStyle w:val="Title"/>
        <w:rPr>
          <w:rFonts w:ascii="Arial" w:hAnsi="Arial" w:cs="Arial"/>
          <w:b/>
          <w:bCs/>
          <w:sz w:val="22"/>
          <w:szCs w:val="22"/>
          <w:u w:val="single"/>
        </w:rPr>
      </w:pPr>
      <w:r w:rsidRPr="008C791D">
        <w:rPr>
          <w:rFonts w:ascii="Arial" w:hAnsi="Arial" w:cs="Arial"/>
          <w:b/>
          <w:bCs/>
          <w:sz w:val="22"/>
          <w:szCs w:val="22"/>
          <w:u w:val="single"/>
        </w:rPr>
        <w:t>Introduction</w:t>
      </w:r>
      <w:r w:rsidR="00F46865" w:rsidRPr="008C791D">
        <w:rPr>
          <w:rFonts w:ascii="Arial" w:hAnsi="Arial" w:cs="Arial"/>
          <w:b/>
          <w:bCs/>
          <w:sz w:val="22"/>
          <w:szCs w:val="22"/>
          <w:u w:val="single"/>
        </w:rPr>
        <w:t xml:space="preserve"> </w:t>
      </w:r>
    </w:p>
    <w:p w14:paraId="6D4186CC" w14:textId="77777777" w:rsidR="00450CEC" w:rsidRPr="00450CEC" w:rsidRDefault="00450CEC" w:rsidP="00450CEC">
      <w:pPr>
        <w:spacing w:after="0" w:line="240" w:lineRule="auto"/>
      </w:pPr>
    </w:p>
    <w:p w14:paraId="2EB6680E" w14:textId="06F73690" w:rsidR="00F46865" w:rsidRDefault="00A446D7" w:rsidP="00450CEC">
      <w:pPr>
        <w:spacing w:after="0" w:line="240" w:lineRule="auto"/>
        <w:rPr>
          <w:rFonts w:ascii="Arial" w:hAnsi="Arial" w:cs="Arial"/>
        </w:rPr>
      </w:pPr>
      <w:r w:rsidRPr="002E3505">
        <w:rPr>
          <w:rFonts w:ascii="Arial" w:hAnsi="Arial" w:cs="Arial"/>
        </w:rPr>
        <w:t xml:space="preserve">In October 2019, </w:t>
      </w:r>
      <w:r w:rsidR="008F2317" w:rsidRPr="002E3505">
        <w:rPr>
          <w:rFonts w:ascii="Arial" w:hAnsi="Arial" w:cs="Arial"/>
        </w:rPr>
        <w:t>t</w:t>
      </w:r>
      <w:r w:rsidR="009524D7" w:rsidRPr="002E3505">
        <w:rPr>
          <w:rFonts w:ascii="Arial" w:hAnsi="Arial" w:cs="Arial"/>
        </w:rPr>
        <w:t xml:space="preserve">he Board were briefed </w:t>
      </w:r>
      <w:r w:rsidR="008F2317" w:rsidRPr="002E3505">
        <w:rPr>
          <w:rFonts w:ascii="Arial" w:hAnsi="Arial" w:cs="Arial"/>
        </w:rPr>
        <w:t xml:space="preserve">on </w:t>
      </w:r>
      <w:r w:rsidR="006B7BF7" w:rsidRPr="002E3505">
        <w:rPr>
          <w:rFonts w:ascii="Arial" w:hAnsi="Arial" w:cs="Arial"/>
        </w:rPr>
        <w:t xml:space="preserve">the </w:t>
      </w:r>
      <w:proofErr w:type="gramStart"/>
      <w:r w:rsidR="006B7BF7" w:rsidRPr="002E3505">
        <w:rPr>
          <w:rFonts w:ascii="Arial" w:hAnsi="Arial" w:cs="Arial"/>
        </w:rPr>
        <w:t>Long Term</w:t>
      </w:r>
      <w:proofErr w:type="gramEnd"/>
      <w:r w:rsidR="006B7BF7" w:rsidRPr="002E3505">
        <w:rPr>
          <w:rFonts w:ascii="Arial" w:hAnsi="Arial" w:cs="Arial"/>
        </w:rPr>
        <w:t xml:space="preserve"> Plan (</w:t>
      </w:r>
      <w:proofErr w:type="spellStart"/>
      <w:r w:rsidR="006B7BF7" w:rsidRPr="002E3505">
        <w:rPr>
          <w:rFonts w:ascii="Arial" w:hAnsi="Arial" w:cs="Arial"/>
        </w:rPr>
        <w:t>LTP</w:t>
      </w:r>
      <w:proofErr w:type="spellEnd"/>
      <w:r w:rsidR="006B7BF7" w:rsidRPr="002E3505">
        <w:rPr>
          <w:rFonts w:ascii="Arial" w:hAnsi="Arial" w:cs="Arial"/>
        </w:rPr>
        <w:t xml:space="preserve">) </w:t>
      </w:r>
      <w:r w:rsidR="008F2317" w:rsidRPr="002E3505">
        <w:rPr>
          <w:rFonts w:ascii="Arial" w:hAnsi="Arial" w:cs="Arial"/>
        </w:rPr>
        <w:t xml:space="preserve">for mental health transformation and </w:t>
      </w:r>
      <w:r w:rsidR="006B7BF7" w:rsidRPr="002E3505">
        <w:rPr>
          <w:rFonts w:ascii="Arial" w:hAnsi="Arial" w:cs="Arial"/>
        </w:rPr>
        <w:t xml:space="preserve">expansion, period covering </w:t>
      </w:r>
      <w:proofErr w:type="spellStart"/>
      <w:r w:rsidR="006B7BF7" w:rsidRPr="002E3505">
        <w:rPr>
          <w:rFonts w:ascii="Arial" w:hAnsi="Arial" w:cs="Arial"/>
        </w:rPr>
        <w:t>FY20</w:t>
      </w:r>
      <w:proofErr w:type="spellEnd"/>
      <w:r w:rsidR="006B7BF7" w:rsidRPr="002E3505">
        <w:rPr>
          <w:rFonts w:ascii="Arial" w:hAnsi="Arial" w:cs="Arial"/>
        </w:rPr>
        <w:t xml:space="preserve"> (year</w:t>
      </w:r>
      <w:r w:rsidR="004469DF">
        <w:rPr>
          <w:rFonts w:ascii="Arial" w:hAnsi="Arial" w:cs="Arial"/>
        </w:rPr>
        <w:t xml:space="preserve"> </w:t>
      </w:r>
      <w:r w:rsidR="006B7BF7" w:rsidRPr="002E3505">
        <w:rPr>
          <w:rFonts w:ascii="Arial" w:hAnsi="Arial" w:cs="Arial"/>
        </w:rPr>
        <w:t xml:space="preserve">1) to </w:t>
      </w:r>
      <w:proofErr w:type="spellStart"/>
      <w:r w:rsidR="006B7BF7" w:rsidRPr="002E3505">
        <w:rPr>
          <w:rFonts w:ascii="Arial" w:hAnsi="Arial" w:cs="Arial"/>
        </w:rPr>
        <w:t>FY24</w:t>
      </w:r>
      <w:proofErr w:type="spellEnd"/>
      <w:r w:rsidR="006B7BF7" w:rsidRPr="002E3505">
        <w:rPr>
          <w:rFonts w:ascii="Arial" w:hAnsi="Arial" w:cs="Arial"/>
        </w:rPr>
        <w:t xml:space="preserve"> (year 5). A multiyear summary of planned activity, workforce and finance was provided. </w:t>
      </w:r>
      <w:r w:rsidR="00091C56" w:rsidRPr="002E3505">
        <w:rPr>
          <w:rFonts w:ascii="Arial" w:hAnsi="Arial" w:cs="Arial"/>
        </w:rPr>
        <w:t>It is now</w:t>
      </w:r>
      <w:r w:rsidR="006B7BF7" w:rsidRPr="002E3505">
        <w:rPr>
          <w:rFonts w:ascii="Arial" w:hAnsi="Arial" w:cs="Arial"/>
        </w:rPr>
        <w:t xml:space="preserve"> year </w:t>
      </w:r>
      <w:r w:rsidR="00B7723F">
        <w:rPr>
          <w:rFonts w:ascii="Arial" w:hAnsi="Arial" w:cs="Arial"/>
        </w:rPr>
        <w:t>4</w:t>
      </w:r>
      <w:r w:rsidR="006B7BF7" w:rsidRPr="002E3505">
        <w:rPr>
          <w:rFonts w:ascii="Arial" w:hAnsi="Arial" w:cs="Arial"/>
        </w:rPr>
        <w:t xml:space="preserve"> of the </w:t>
      </w:r>
      <w:proofErr w:type="spellStart"/>
      <w:r w:rsidR="006B7BF7" w:rsidRPr="002E3505">
        <w:rPr>
          <w:rFonts w:ascii="Arial" w:hAnsi="Arial" w:cs="Arial"/>
        </w:rPr>
        <w:t>LTP</w:t>
      </w:r>
      <w:proofErr w:type="spellEnd"/>
      <w:r w:rsidR="00091C56" w:rsidRPr="002E3505">
        <w:rPr>
          <w:rFonts w:ascii="Arial" w:hAnsi="Arial" w:cs="Arial"/>
        </w:rPr>
        <w:t xml:space="preserve"> and this paper serves as an update on how plans have progressed for OHFT services and the population that </w:t>
      </w:r>
      <w:r w:rsidR="00CE0FCC" w:rsidRPr="002E3505">
        <w:rPr>
          <w:rFonts w:ascii="Arial" w:hAnsi="Arial" w:cs="Arial"/>
        </w:rPr>
        <w:t>they serve</w:t>
      </w:r>
      <w:r w:rsidR="00091C56" w:rsidRPr="002E3505">
        <w:rPr>
          <w:rFonts w:ascii="Arial" w:hAnsi="Arial" w:cs="Arial"/>
        </w:rPr>
        <w:t>.</w:t>
      </w:r>
    </w:p>
    <w:p w14:paraId="256E8324" w14:textId="77777777" w:rsidR="00450CEC" w:rsidRPr="002E3505" w:rsidRDefault="00450CEC" w:rsidP="00450CEC">
      <w:pPr>
        <w:spacing w:after="0" w:line="240" w:lineRule="auto"/>
        <w:rPr>
          <w:rFonts w:ascii="Arial" w:hAnsi="Arial" w:cs="Arial"/>
        </w:rPr>
      </w:pPr>
    </w:p>
    <w:p w14:paraId="72503E22" w14:textId="315EE557" w:rsidR="000A76B5" w:rsidRPr="002E3505" w:rsidRDefault="000A76B5" w:rsidP="002E3505">
      <w:pPr>
        <w:spacing w:after="0" w:line="240" w:lineRule="auto"/>
        <w:rPr>
          <w:rFonts w:ascii="Arial" w:hAnsi="Arial" w:cs="Arial"/>
        </w:rPr>
      </w:pPr>
      <w:proofErr w:type="spellStart"/>
      <w:r w:rsidRPr="002E3505">
        <w:rPr>
          <w:rFonts w:ascii="Arial" w:hAnsi="Arial" w:cs="Arial"/>
        </w:rPr>
        <w:t>OHFT’s</w:t>
      </w:r>
      <w:proofErr w:type="spellEnd"/>
      <w:r w:rsidRPr="002E3505">
        <w:rPr>
          <w:rFonts w:ascii="Arial" w:hAnsi="Arial" w:cs="Arial"/>
        </w:rPr>
        <w:t xml:space="preserve"> vision is ‘outstanding care delivered by an outstanding team’ delivered through a focus on four strategic objectives (listed below) all of which </w:t>
      </w:r>
      <w:r w:rsidR="00F40BC3" w:rsidRPr="002E3505">
        <w:rPr>
          <w:rFonts w:ascii="Arial" w:hAnsi="Arial" w:cs="Arial"/>
        </w:rPr>
        <w:t xml:space="preserve">align to </w:t>
      </w:r>
      <w:r w:rsidR="002C08EE" w:rsidRPr="002E3505">
        <w:rPr>
          <w:rFonts w:ascii="Arial" w:hAnsi="Arial" w:cs="Arial"/>
        </w:rPr>
        <w:t>the delivery and transformation of M</w:t>
      </w:r>
      <w:r w:rsidRPr="002E3505">
        <w:rPr>
          <w:rFonts w:ascii="Arial" w:hAnsi="Arial" w:cs="Arial"/>
        </w:rPr>
        <w:t xml:space="preserve">ental Health </w:t>
      </w:r>
      <w:r w:rsidR="002C08EE" w:rsidRPr="002E3505">
        <w:rPr>
          <w:rFonts w:ascii="Arial" w:hAnsi="Arial" w:cs="Arial"/>
        </w:rPr>
        <w:t xml:space="preserve">described in the </w:t>
      </w:r>
      <w:proofErr w:type="spellStart"/>
      <w:r w:rsidR="002C08EE" w:rsidRPr="002E3505">
        <w:rPr>
          <w:rFonts w:ascii="Arial" w:hAnsi="Arial" w:cs="Arial"/>
        </w:rPr>
        <w:t>LTP</w:t>
      </w:r>
      <w:proofErr w:type="spellEnd"/>
      <w:r w:rsidR="0068425D">
        <w:rPr>
          <w:rFonts w:ascii="Arial" w:hAnsi="Arial" w:cs="Arial"/>
        </w:rPr>
        <w:t>:</w:t>
      </w:r>
    </w:p>
    <w:p w14:paraId="0B6C86BB" w14:textId="77777777" w:rsidR="000A76B5" w:rsidRPr="002E3505" w:rsidRDefault="000A76B5" w:rsidP="002E3505">
      <w:pPr>
        <w:pStyle w:val="ListParagraph"/>
        <w:numPr>
          <w:ilvl w:val="0"/>
          <w:numId w:val="3"/>
        </w:numPr>
        <w:spacing w:after="0" w:line="240" w:lineRule="auto"/>
        <w:contextualSpacing w:val="0"/>
        <w:rPr>
          <w:rFonts w:ascii="Arial" w:eastAsia="Times New Roman" w:hAnsi="Arial" w:cs="Arial"/>
        </w:rPr>
      </w:pPr>
      <w:r w:rsidRPr="002E3505">
        <w:rPr>
          <w:rFonts w:ascii="Arial" w:eastAsia="Times New Roman" w:hAnsi="Arial" w:cs="Arial"/>
        </w:rPr>
        <w:t>Deliver the best possible care and health outcomes</w:t>
      </w:r>
    </w:p>
    <w:p w14:paraId="5D796875" w14:textId="77777777" w:rsidR="000A76B5" w:rsidRPr="002E3505" w:rsidRDefault="000A76B5" w:rsidP="002E3505">
      <w:pPr>
        <w:pStyle w:val="ListParagraph"/>
        <w:numPr>
          <w:ilvl w:val="0"/>
          <w:numId w:val="3"/>
        </w:numPr>
        <w:spacing w:after="0" w:line="240" w:lineRule="auto"/>
        <w:contextualSpacing w:val="0"/>
        <w:rPr>
          <w:rFonts w:ascii="Arial" w:eastAsia="Times New Roman" w:hAnsi="Arial" w:cs="Arial"/>
        </w:rPr>
      </w:pPr>
      <w:r w:rsidRPr="002E3505">
        <w:rPr>
          <w:rFonts w:ascii="Arial" w:eastAsia="Times New Roman" w:hAnsi="Arial" w:cs="Arial"/>
        </w:rPr>
        <w:t>Be a great place to work</w:t>
      </w:r>
    </w:p>
    <w:p w14:paraId="15A93702" w14:textId="77777777" w:rsidR="000A76B5" w:rsidRPr="002E3505" w:rsidRDefault="000A76B5" w:rsidP="002E3505">
      <w:pPr>
        <w:pStyle w:val="ListParagraph"/>
        <w:numPr>
          <w:ilvl w:val="0"/>
          <w:numId w:val="3"/>
        </w:numPr>
        <w:spacing w:after="0" w:line="240" w:lineRule="auto"/>
        <w:contextualSpacing w:val="0"/>
        <w:rPr>
          <w:rFonts w:ascii="Arial" w:eastAsia="Times New Roman" w:hAnsi="Arial" w:cs="Arial"/>
        </w:rPr>
      </w:pPr>
      <w:r w:rsidRPr="002E3505">
        <w:rPr>
          <w:rFonts w:ascii="Arial" w:eastAsia="Times New Roman" w:hAnsi="Arial" w:cs="Arial"/>
        </w:rPr>
        <w:t>Make the best use of our resources and protect the environment</w:t>
      </w:r>
    </w:p>
    <w:p w14:paraId="3C426DA5" w14:textId="2090F859" w:rsidR="000A76B5" w:rsidRPr="002E3505" w:rsidRDefault="000A76B5" w:rsidP="002E3505">
      <w:pPr>
        <w:pStyle w:val="ListParagraph"/>
        <w:numPr>
          <w:ilvl w:val="0"/>
          <w:numId w:val="3"/>
        </w:numPr>
        <w:spacing w:after="0" w:line="240" w:lineRule="auto"/>
        <w:contextualSpacing w:val="0"/>
        <w:rPr>
          <w:rFonts w:ascii="Arial" w:eastAsia="Times New Roman" w:hAnsi="Arial" w:cs="Arial"/>
        </w:rPr>
      </w:pPr>
      <w:r w:rsidRPr="002E3505">
        <w:rPr>
          <w:rFonts w:ascii="Arial" w:eastAsia="Times New Roman" w:hAnsi="Arial" w:cs="Arial"/>
        </w:rPr>
        <w:t>Be a leader in healthcare research and education</w:t>
      </w:r>
      <w:r w:rsidR="0068425D">
        <w:rPr>
          <w:rFonts w:ascii="Arial" w:eastAsia="Times New Roman" w:hAnsi="Arial" w:cs="Arial"/>
        </w:rPr>
        <w:t>.</w:t>
      </w:r>
    </w:p>
    <w:p w14:paraId="48910134" w14:textId="77777777" w:rsidR="00A50B87" w:rsidRPr="002E3505" w:rsidRDefault="00A50B87" w:rsidP="002E3505">
      <w:pPr>
        <w:pStyle w:val="ListParagraph"/>
        <w:spacing w:after="0" w:line="240" w:lineRule="auto"/>
        <w:contextualSpacing w:val="0"/>
        <w:rPr>
          <w:rFonts w:ascii="Arial" w:eastAsia="Times New Roman" w:hAnsi="Arial" w:cs="Arial"/>
        </w:rPr>
      </w:pPr>
    </w:p>
    <w:p w14:paraId="75BEA761" w14:textId="77777777" w:rsidR="0068425D" w:rsidRDefault="0068425D" w:rsidP="002E3505">
      <w:pPr>
        <w:spacing w:after="0" w:line="240" w:lineRule="auto"/>
        <w:rPr>
          <w:rFonts w:ascii="Arial" w:hAnsi="Arial" w:cs="Arial"/>
        </w:rPr>
      </w:pPr>
    </w:p>
    <w:p w14:paraId="707812B7" w14:textId="74943B95" w:rsidR="00855975" w:rsidRDefault="00BA2BC9" w:rsidP="002E3505">
      <w:pPr>
        <w:spacing w:after="0" w:line="240" w:lineRule="auto"/>
        <w:rPr>
          <w:rFonts w:ascii="Arial" w:hAnsi="Arial" w:cs="Arial"/>
        </w:rPr>
      </w:pPr>
      <w:r w:rsidRPr="002E3505">
        <w:rPr>
          <w:rFonts w:ascii="Arial" w:hAnsi="Arial" w:cs="Arial"/>
        </w:rPr>
        <w:t>The Coronavirus pandemic has had a</w:t>
      </w:r>
      <w:r w:rsidR="00FD5A26" w:rsidRPr="002E3505">
        <w:rPr>
          <w:rFonts w:ascii="Arial" w:hAnsi="Arial" w:cs="Arial"/>
        </w:rPr>
        <w:t xml:space="preserve"> significant impact on the mental health of the population as well as the services that care for and support them. Despite this, service delivery has continued throughout the pandemic and the transformation of mental health services as per the </w:t>
      </w:r>
      <w:hyperlink r:id="rId10">
        <w:r w:rsidR="00FD5A26" w:rsidRPr="002E3505">
          <w:rPr>
            <w:rStyle w:val="Hyperlink"/>
            <w:rFonts w:ascii="Arial" w:hAnsi="Arial" w:cs="Arial"/>
          </w:rPr>
          <w:t>NHS Long Term Plan (</w:t>
        </w:r>
        <w:proofErr w:type="spellStart"/>
        <w:r w:rsidR="00FD5A26" w:rsidRPr="002E3505">
          <w:rPr>
            <w:rStyle w:val="Hyperlink"/>
            <w:rFonts w:ascii="Arial" w:hAnsi="Arial" w:cs="Arial"/>
          </w:rPr>
          <w:t>LTP</w:t>
        </w:r>
        <w:proofErr w:type="spellEnd"/>
        <w:r w:rsidR="00FD5A26" w:rsidRPr="002E3505">
          <w:rPr>
            <w:rStyle w:val="Hyperlink"/>
            <w:rFonts w:ascii="Arial" w:hAnsi="Arial" w:cs="Arial"/>
          </w:rPr>
          <w:t>)</w:t>
        </w:r>
      </w:hyperlink>
      <w:r w:rsidR="00FD5A26" w:rsidRPr="002E3505">
        <w:rPr>
          <w:rFonts w:ascii="Arial" w:hAnsi="Arial" w:cs="Arial"/>
        </w:rPr>
        <w:t xml:space="preserve"> is still very much relevant and underway.</w:t>
      </w:r>
      <w:r w:rsidR="00DD0BD6" w:rsidRPr="002E3505">
        <w:rPr>
          <w:rFonts w:ascii="Arial" w:hAnsi="Arial" w:cs="Arial"/>
        </w:rPr>
        <w:t xml:space="preserve"> Expectations and targets from NHS England were clearly communicated throughout the pandemic, in some instances plans were accelerated to not only enhance the mental health support on offer, but also to reduce demand and strain on other health and social care services.</w:t>
      </w:r>
      <w:r w:rsidR="00EC066A" w:rsidRPr="002E3505">
        <w:rPr>
          <w:rFonts w:ascii="Arial" w:hAnsi="Arial" w:cs="Arial"/>
        </w:rPr>
        <w:t xml:space="preserve"> This paper outlines the funding made available, high-level progress to date and risks to delivery. </w:t>
      </w:r>
    </w:p>
    <w:p w14:paraId="5C0D9AB9" w14:textId="3E89A31D" w:rsidR="00450CEC" w:rsidRDefault="00450CEC" w:rsidP="002E3505">
      <w:pPr>
        <w:spacing w:after="0" w:line="240" w:lineRule="auto"/>
        <w:rPr>
          <w:rFonts w:ascii="Arial" w:hAnsi="Arial" w:cs="Arial"/>
        </w:rPr>
      </w:pPr>
    </w:p>
    <w:p w14:paraId="41436853" w14:textId="77777777" w:rsidR="001E5543" w:rsidRPr="002E3505" w:rsidRDefault="001E5543" w:rsidP="002E3505">
      <w:pPr>
        <w:spacing w:after="0" w:line="240" w:lineRule="auto"/>
        <w:rPr>
          <w:rFonts w:ascii="Arial" w:hAnsi="Arial" w:cs="Arial"/>
        </w:rPr>
      </w:pPr>
    </w:p>
    <w:p w14:paraId="5D347631" w14:textId="1C249B70" w:rsidR="001F51DC" w:rsidRPr="001E5543" w:rsidRDefault="001F51DC" w:rsidP="002E3505">
      <w:pPr>
        <w:pStyle w:val="Title"/>
        <w:rPr>
          <w:rFonts w:ascii="Arial" w:hAnsi="Arial" w:cs="Arial"/>
          <w:b/>
          <w:bCs/>
          <w:sz w:val="22"/>
          <w:szCs w:val="22"/>
          <w:u w:val="single"/>
        </w:rPr>
      </w:pPr>
      <w:r w:rsidRPr="001E5543">
        <w:rPr>
          <w:rFonts w:ascii="Arial" w:hAnsi="Arial" w:cs="Arial"/>
          <w:b/>
          <w:bCs/>
          <w:sz w:val="22"/>
          <w:szCs w:val="22"/>
          <w:u w:val="single"/>
        </w:rPr>
        <w:t>Investment and Prioritisation</w:t>
      </w:r>
    </w:p>
    <w:p w14:paraId="4D7EFB79" w14:textId="77777777" w:rsidR="00450CEC" w:rsidRDefault="00450CEC" w:rsidP="002E3505">
      <w:pPr>
        <w:spacing w:after="0" w:line="240" w:lineRule="auto"/>
        <w:rPr>
          <w:rFonts w:ascii="Arial" w:hAnsi="Arial" w:cs="Arial"/>
        </w:rPr>
      </w:pPr>
    </w:p>
    <w:p w14:paraId="772B809B" w14:textId="2E66FD49" w:rsidR="008557A4" w:rsidRDefault="003602F0" w:rsidP="002E3505">
      <w:pPr>
        <w:spacing w:after="0" w:line="240" w:lineRule="auto"/>
        <w:rPr>
          <w:rFonts w:ascii="Arial" w:hAnsi="Arial" w:cs="Arial"/>
        </w:rPr>
      </w:pPr>
      <w:r w:rsidRPr="002E3505">
        <w:rPr>
          <w:rFonts w:ascii="Arial" w:hAnsi="Arial" w:cs="Arial"/>
        </w:rPr>
        <w:t xml:space="preserve">The </w:t>
      </w:r>
      <w:proofErr w:type="spellStart"/>
      <w:r w:rsidRPr="002E3505">
        <w:rPr>
          <w:rFonts w:ascii="Arial" w:hAnsi="Arial" w:cs="Arial"/>
        </w:rPr>
        <w:t>LTP</w:t>
      </w:r>
      <w:proofErr w:type="spellEnd"/>
      <w:r w:rsidRPr="002E3505">
        <w:rPr>
          <w:rFonts w:ascii="Arial" w:hAnsi="Arial" w:cs="Arial"/>
        </w:rPr>
        <w:t xml:space="preserve"> not only outlined the transformation and expansion required for mental health services, but it also </w:t>
      </w:r>
      <w:r w:rsidR="00D548AA" w:rsidRPr="002E3505">
        <w:rPr>
          <w:rFonts w:ascii="Arial" w:hAnsi="Arial" w:cs="Arial"/>
        </w:rPr>
        <w:t>provided</w:t>
      </w:r>
      <w:r w:rsidRPr="002E3505">
        <w:rPr>
          <w:rFonts w:ascii="Arial" w:hAnsi="Arial" w:cs="Arial"/>
        </w:rPr>
        <w:t xml:space="preserve"> systems with additional funding in the shape of </w:t>
      </w:r>
      <w:r w:rsidRPr="002E3505">
        <w:rPr>
          <w:rFonts w:ascii="Arial" w:hAnsi="Arial" w:cs="Arial"/>
          <w:b/>
          <w:bCs/>
        </w:rPr>
        <w:t>Service Development Funding (SDF</w:t>
      </w:r>
      <w:r w:rsidRPr="002E3505">
        <w:rPr>
          <w:rFonts w:ascii="Arial" w:hAnsi="Arial" w:cs="Arial"/>
        </w:rPr>
        <w:t xml:space="preserve"> or Transformation Funding) and additional recurrent funding through </w:t>
      </w:r>
      <w:r w:rsidR="00B664A5" w:rsidRPr="002E3505">
        <w:rPr>
          <w:rFonts w:ascii="Arial" w:hAnsi="Arial" w:cs="Arial"/>
        </w:rPr>
        <w:t xml:space="preserve">the </w:t>
      </w:r>
      <w:r w:rsidR="00B664A5" w:rsidRPr="002E3505">
        <w:rPr>
          <w:rFonts w:ascii="Arial" w:hAnsi="Arial" w:cs="Arial"/>
          <w:b/>
          <w:bCs/>
        </w:rPr>
        <w:t>Mental Health Investment Standard (</w:t>
      </w:r>
      <w:proofErr w:type="spellStart"/>
      <w:r w:rsidR="00B664A5" w:rsidRPr="002E3505">
        <w:rPr>
          <w:rFonts w:ascii="Arial" w:hAnsi="Arial" w:cs="Arial"/>
          <w:b/>
          <w:bCs/>
        </w:rPr>
        <w:t>MHIS</w:t>
      </w:r>
      <w:proofErr w:type="spellEnd"/>
      <w:r w:rsidR="00B664A5" w:rsidRPr="002E3505">
        <w:rPr>
          <w:rFonts w:ascii="Arial" w:hAnsi="Arial" w:cs="Arial"/>
          <w:b/>
          <w:bCs/>
        </w:rPr>
        <w:t>)</w:t>
      </w:r>
      <w:r w:rsidRPr="002E3505">
        <w:rPr>
          <w:rFonts w:ascii="Arial" w:hAnsi="Arial" w:cs="Arial"/>
          <w:b/>
          <w:bCs/>
        </w:rPr>
        <w:t>.</w:t>
      </w:r>
      <w:r w:rsidRPr="002E3505">
        <w:rPr>
          <w:rFonts w:ascii="Arial" w:hAnsi="Arial" w:cs="Arial"/>
        </w:rPr>
        <w:t xml:space="preserve"> </w:t>
      </w:r>
      <w:r w:rsidR="00C4117D" w:rsidRPr="002E3505">
        <w:rPr>
          <w:rFonts w:ascii="Arial" w:hAnsi="Arial" w:cs="Arial"/>
        </w:rPr>
        <w:t xml:space="preserve">As the </w:t>
      </w:r>
      <w:proofErr w:type="spellStart"/>
      <w:r w:rsidR="00C4117D" w:rsidRPr="002E3505">
        <w:rPr>
          <w:rFonts w:ascii="Arial" w:hAnsi="Arial" w:cs="Arial"/>
        </w:rPr>
        <w:t>MHIS</w:t>
      </w:r>
      <w:proofErr w:type="spellEnd"/>
      <w:r w:rsidR="00C4117D" w:rsidRPr="002E3505">
        <w:rPr>
          <w:rFonts w:ascii="Arial" w:hAnsi="Arial" w:cs="Arial"/>
        </w:rPr>
        <w:t xml:space="preserve"> flows from </w:t>
      </w:r>
      <w:proofErr w:type="spellStart"/>
      <w:r w:rsidR="00C4117D" w:rsidRPr="002E3505">
        <w:rPr>
          <w:rFonts w:ascii="Arial" w:hAnsi="Arial" w:cs="Arial"/>
        </w:rPr>
        <w:t>CCGs’s</w:t>
      </w:r>
      <w:proofErr w:type="spellEnd"/>
      <w:r w:rsidR="00C4117D" w:rsidRPr="002E3505">
        <w:rPr>
          <w:rFonts w:ascii="Arial" w:hAnsi="Arial" w:cs="Arial"/>
        </w:rPr>
        <w:t xml:space="preserve"> baselines, there is not a direct correlation between the indicative funding allocation in the national </w:t>
      </w:r>
      <w:proofErr w:type="spellStart"/>
      <w:r w:rsidR="00C4117D" w:rsidRPr="002E3505">
        <w:rPr>
          <w:rFonts w:ascii="Arial" w:hAnsi="Arial" w:cs="Arial"/>
        </w:rPr>
        <w:t>LTP</w:t>
      </w:r>
      <w:proofErr w:type="spellEnd"/>
      <w:r w:rsidR="00C4117D" w:rsidRPr="002E3505">
        <w:rPr>
          <w:rFonts w:ascii="Arial" w:hAnsi="Arial" w:cs="Arial"/>
        </w:rPr>
        <w:t xml:space="preserve"> “tool” which adds further complexity to financial tracking and performance expectations at regional and national levels.</w:t>
      </w:r>
      <w:r w:rsidR="00C336B5">
        <w:rPr>
          <w:rFonts w:ascii="Arial" w:hAnsi="Arial" w:cs="Arial"/>
        </w:rPr>
        <w:t xml:space="preserve"> </w:t>
      </w:r>
      <w:r w:rsidR="00301F3C" w:rsidRPr="00C336B5">
        <w:rPr>
          <w:rFonts w:ascii="Arial" w:hAnsi="Arial" w:cs="Arial"/>
        </w:rPr>
        <w:t>Figure</w:t>
      </w:r>
      <w:r w:rsidR="004709F9" w:rsidRPr="00C336B5">
        <w:rPr>
          <w:rFonts w:ascii="Arial" w:hAnsi="Arial" w:cs="Arial"/>
        </w:rPr>
        <w:t xml:space="preserve"> 1 summarises the allocation of </w:t>
      </w:r>
      <w:proofErr w:type="spellStart"/>
      <w:r w:rsidR="004709F9" w:rsidRPr="00C336B5">
        <w:rPr>
          <w:rFonts w:ascii="Arial" w:hAnsi="Arial" w:cs="Arial"/>
        </w:rPr>
        <w:t>MHIS</w:t>
      </w:r>
      <w:proofErr w:type="spellEnd"/>
      <w:r w:rsidR="004709F9" w:rsidRPr="00C336B5">
        <w:rPr>
          <w:rFonts w:ascii="Arial" w:hAnsi="Arial" w:cs="Arial"/>
        </w:rPr>
        <w:t xml:space="preserve"> in Buckinghamshire and Oxfordshire</w:t>
      </w:r>
      <w:r w:rsidR="00426DBF" w:rsidRPr="00C336B5">
        <w:rPr>
          <w:rFonts w:ascii="Arial" w:hAnsi="Arial" w:cs="Arial"/>
        </w:rPr>
        <w:t xml:space="preserve"> over the last 3 years</w:t>
      </w:r>
      <w:r w:rsidR="000424A4" w:rsidRPr="00C336B5">
        <w:rPr>
          <w:rFonts w:ascii="Arial" w:hAnsi="Arial" w:cs="Arial"/>
        </w:rPr>
        <w:t>, this was agreed at place in collaborat</w:t>
      </w:r>
      <w:r w:rsidR="005D2720" w:rsidRPr="00C336B5">
        <w:rPr>
          <w:rFonts w:ascii="Arial" w:hAnsi="Arial" w:cs="Arial"/>
        </w:rPr>
        <w:t>ion with provider and commissioners.</w:t>
      </w:r>
      <w:r w:rsidR="006A3728" w:rsidRPr="00C336B5">
        <w:rPr>
          <w:rFonts w:ascii="Arial" w:hAnsi="Arial" w:cs="Arial"/>
        </w:rPr>
        <w:t xml:space="preserve"> </w:t>
      </w:r>
    </w:p>
    <w:p w14:paraId="400FA5F2" w14:textId="77777777" w:rsidR="00C336B5" w:rsidRPr="00C336B5" w:rsidRDefault="00C336B5" w:rsidP="002E3505">
      <w:pPr>
        <w:spacing w:after="0" w:line="240" w:lineRule="auto"/>
        <w:rPr>
          <w:rFonts w:ascii="Arial" w:hAnsi="Arial" w:cs="Arial"/>
        </w:rPr>
      </w:pPr>
    </w:p>
    <w:tbl>
      <w:tblPr>
        <w:tblW w:w="9201" w:type="dxa"/>
        <w:tblLook w:val="04A0" w:firstRow="1" w:lastRow="0" w:firstColumn="1" w:lastColumn="0" w:noHBand="0" w:noVBand="1"/>
      </w:tblPr>
      <w:tblGrid>
        <w:gridCol w:w="1760"/>
        <w:gridCol w:w="1240"/>
        <w:gridCol w:w="1240"/>
        <w:gridCol w:w="1240"/>
        <w:gridCol w:w="1214"/>
        <w:gridCol w:w="1179"/>
        <w:gridCol w:w="1328"/>
      </w:tblGrid>
      <w:tr w:rsidR="00885A4E" w:rsidRPr="00450CEC" w14:paraId="5A7C8A2D" w14:textId="77777777" w:rsidTr="008C253C">
        <w:trPr>
          <w:trHeight w:val="290"/>
        </w:trPr>
        <w:tc>
          <w:tcPr>
            <w:tcW w:w="1760"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hideMark/>
          </w:tcPr>
          <w:p w14:paraId="044E2B15" w14:textId="77777777" w:rsidR="00885A4E" w:rsidRPr="00450CEC" w:rsidRDefault="00885A4E" w:rsidP="002E3505">
            <w:pPr>
              <w:spacing w:after="0" w:line="240" w:lineRule="auto"/>
              <w:jc w:val="center"/>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Workstream</w:t>
            </w:r>
          </w:p>
        </w:tc>
        <w:tc>
          <w:tcPr>
            <w:tcW w:w="3720" w:type="dxa"/>
            <w:gridSpan w:val="3"/>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5D78A89" w14:textId="77777777" w:rsidR="00885A4E" w:rsidRPr="00450CEC" w:rsidRDefault="00885A4E" w:rsidP="002E3505">
            <w:pPr>
              <w:spacing w:after="0" w:line="240" w:lineRule="auto"/>
              <w:jc w:val="center"/>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Buckinghamshire</w:t>
            </w:r>
          </w:p>
        </w:tc>
        <w:tc>
          <w:tcPr>
            <w:tcW w:w="3721" w:type="dxa"/>
            <w:gridSpan w:val="3"/>
            <w:tcBorders>
              <w:top w:val="single" w:sz="4" w:space="0" w:color="auto"/>
              <w:left w:val="nil"/>
              <w:bottom w:val="single" w:sz="4" w:space="0" w:color="auto"/>
              <w:right w:val="single" w:sz="4" w:space="0" w:color="auto"/>
            </w:tcBorders>
            <w:shd w:val="clear" w:color="000000" w:fill="B4C6E7"/>
            <w:noWrap/>
            <w:vAlign w:val="center"/>
            <w:hideMark/>
          </w:tcPr>
          <w:p w14:paraId="78EA95AA" w14:textId="77777777" w:rsidR="00885A4E" w:rsidRPr="00450CEC" w:rsidRDefault="00885A4E" w:rsidP="002E3505">
            <w:pPr>
              <w:spacing w:after="0" w:line="240" w:lineRule="auto"/>
              <w:jc w:val="center"/>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Oxfordshire</w:t>
            </w:r>
          </w:p>
        </w:tc>
      </w:tr>
      <w:tr w:rsidR="00885A4E" w:rsidRPr="00450CEC" w14:paraId="2D40E929" w14:textId="77777777" w:rsidTr="008C253C">
        <w:trPr>
          <w:trHeight w:val="290"/>
        </w:trPr>
        <w:tc>
          <w:tcPr>
            <w:tcW w:w="1760"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76CDBE14" w14:textId="77777777" w:rsidR="00885A4E" w:rsidRPr="00450CEC" w:rsidRDefault="00885A4E" w:rsidP="002E3505">
            <w:pPr>
              <w:spacing w:after="0" w:line="240" w:lineRule="auto"/>
              <w:rPr>
                <w:rFonts w:ascii="Arial" w:eastAsia="Times New Roman" w:hAnsi="Arial" w:cs="Arial"/>
                <w:color w:val="000000"/>
                <w:sz w:val="18"/>
                <w:szCs w:val="18"/>
                <w:lang w:eastAsia="en-GB"/>
              </w:rPr>
            </w:pPr>
          </w:p>
        </w:tc>
        <w:tc>
          <w:tcPr>
            <w:tcW w:w="1240" w:type="dxa"/>
            <w:tcBorders>
              <w:top w:val="nil"/>
              <w:left w:val="nil"/>
              <w:bottom w:val="single" w:sz="4" w:space="0" w:color="auto"/>
              <w:right w:val="single" w:sz="4" w:space="0" w:color="auto"/>
            </w:tcBorders>
            <w:shd w:val="clear" w:color="auto" w:fill="auto"/>
            <w:vAlign w:val="center"/>
            <w:hideMark/>
          </w:tcPr>
          <w:p w14:paraId="4E020E62" w14:textId="77777777" w:rsidR="00885A4E" w:rsidRPr="00450CEC" w:rsidRDefault="00885A4E" w:rsidP="002E3505">
            <w:pPr>
              <w:spacing w:after="0" w:line="240" w:lineRule="auto"/>
              <w:rPr>
                <w:rFonts w:ascii="Arial" w:eastAsia="Times New Roman" w:hAnsi="Arial" w:cs="Arial"/>
                <w:color w:val="000000"/>
                <w:sz w:val="18"/>
                <w:szCs w:val="18"/>
                <w:lang w:eastAsia="en-GB"/>
              </w:rPr>
            </w:pPr>
            <w:proofErr w:type="spellStart"/>
            <w:r w:rsidRPr="00450CEC">
              <w:rPr>
                <w:rFonts w:ascii="Arial" w:eastAsia="Times New Roman" w:hAnsi="Arial" w:cs="Arial"/>
                <w:color w:val="000000"/>
                <w:sz w:val="18"/>
                <w:szCs w:val="18"/>
                <w:lang w:eastAsia="en-GB"/>
              </w:rPr>
              <w:t>FY20</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3FEEAF07" w14:textId="77777777" w:rsidR="00885A4E" w:rsidRPr="00450CEC" w:rsidRDefault="00885A4E" w:rsidP="002E3505">
            <w:pPr>
              <w:spacing w:after="0" w:line="240" w:lineRule="auto"/>
              <w:rPr>
                <w:rFonts w:ascii="Arial" w:eastAsia="Times New Roman" w:hAnsi="Arial" w:cs="Arial"/>
                <w:sz w:val="18"/>
                <w:szCs w:val="18"/>
                <w:lang w:eastAsia="en-GB"/>
              </w:rPr>
            </w:pPr>
            <w:proofErr w:type="spellStart"/>
            <w:r w:rsidRPr="00450CEC">
              <w:rPr>
                <w:rFonts w:ascii="Arial" w:eastAsia="Times New Roman" w:hAnsi="Arial" w:cs="Arial"/>
                <w:sz w:val="18"/>
                <w:szCs w:val="18"/>
                <w:lang w:eastAsia="en-GB"/>
              </w:rPr>
              <w:t>FY21</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42BD68D3" w14:textId="77777777" w:rsidR="00885A4E" w:rsidRPr="00450CEC" w:rsidRDefault="00885A4E" w:rsidP="002E3505">
            <w:pPr>
              <w:spacing w:after="0" w:line="240" w:lineRule="auto"/>
              <w:rPr>
                <w:rFonts w:ascii="Arial" w:eastAsia="Times New Roman" w:hAnsi="Arial" w:cs="Arial"/>
                <w:sz w:val="18"/>
                <w:szCs w:val="18"/>
                <w:lang w:eastAsia="en-GB"/>
              </w:rPr>
            </w:pPr>
            <w:proofErr w:type="spellStart"/>
            <w:r w:rsidRPr="00450CEC">
              <w:rPr>
                <w:rFonts w:ascii="Arial" w:eastAsia="Times New Roman" w:hAnsi="Arial" w:cs="Arial"/>
                <w:sz w:val="18"/>
                <w:szCs w:val="18"/>
                <w:lang w:eastAsia="en-GB"/>
              </w:rPr>
              <w:t>FY22</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776B32DA" w14:textId="77777777" w:rsidR="00885A4E" w:rsidRPr="00450CEC" w:rsidRDefault="00885A4E" w:rsidP="002E3505">
            <w:pPr>
              <w:spacing w:after="0" w:line="240" w:lineRule="auto"/>
              <w:rPr>
                <w:rFonts w:ascii="Arial" w:eastAsia="Times New Roman" w:hAnsi="Arial" w:cs="Arial"/>
                <w:color w:val="000000"/>
                <w:sz w:val="18"/>
                <w:szCs w:val="18"/>
                <w:lang w:eastAsia="en-GB"/>
              </w:rPr>
            </w:pPr>
            <w:proofErr w:type="spellStart"/>
            <w:r w:rsidRPr="00450CEC">
              <w:rPr>
                <w:rFonts w:ascii="Arial" w:eastAsia="Times New Roman" w:hAnsi="Arial" w:cs="Arial"/>
                <w:color w:val="000000"/>
                <w:sz w:val="18"/>
                <w:szCs w:val="18"/>
                <w:lang w:eastAsia="en-GB"/>
              </w:rPr>
              <w:t>FY20</w:t>
            </w:r>
            <w:proofErr w:type="spellEnd"/>
          </w:p>
        </w:tc>
        <w:tc>
          <w:tcPr>
            <w:tcW w:w="1179" w:type="dxa"/>
            <w:tcBorders>
              <w:top w:val="nil"/>
              <w:left w:val="nil"/>
              <w:bottom w:val="single" w:sz="4" w:space="0" w:color="auto"/>
              <w:right w:val="single" w:sz="4" w:space="0" w:color="auto"/>
            </w:tcBorders>
            <w:shd w:val="clear" w:color="auto" w:fill="auto"/>
            <w:vAlign w:val="center"/>
            <w:hideMark/>
          </w:tcPr>
          <w:p w14:paraId="668ACAFB" w14:textId="77777777" w:rsidR="00885A4E" w:rsidRPr="00450CEC" w:rsidRDefault="00885A4E" w:rsidP="002E3505">
            <w:pPr>
              <w:spacing w:after="0" w:line="240" w:lineRule="auto"/>
              <w:rPr>
                <w:rFonts w:ascii="Arial" w:eastAsia="Times New Roman" w:hAnsi="Arial" w:cs="Arial"/>
                <w:sz w:val="18"/>
                <w:szCs w:val="18"/>
                <w:lang w:eastAsia="en-GB"/>
              </w:rPr>
            </w:pPr>
            <w:proofErr w:type="spellStart"/>
            <w:r w:rsidRPr="00450CEC">
              <w:rPr>
                <w:rFonts w:ascii="Arial" w:eastAsia="Times New Roman" w:hAnsi="Arial" w:cs="Arial"/>
                <w:sz w:val="18"/>
                <w:szCs w:val="18"/>
                <w:lang w:eastAsia="en-GB"/>
              </w:rPr>
              <w:t>FY21</w:t>
            </w:r>
            <w:proofErr w:type="spellEnd"/>
          </w:p>
        </w:tc>
        <w:tc>
          <w:tcPr>
            <w:tcW w:w="1328" w:type="dxa"/>
            <w:tcBorders>
              <w:top w:val="nil"/>
              <w:left w:val="nil"/>
              <w:bottom w:val="single" w:sz="4" w:space="0" w:color="auto"/>
              <w:right w:val="single" w:sz="4" w:space="0" w:color="auto"/>
            </w:tcBorders>
            <w:shd w:val="clear" w:color="auto" w:fill="auto"/>
            <w:vAlign w:val="center"/>
            <w:hideMark/>
          </w:tcPr>
          <w:p w14:paraId="7599EDB3" w14:textId="77777777" w:rsidR="00885A4E" w:rsidRPr="00450CEC" w:rsidRDefault="00885A4E" w:rsidP="002E3505">
            <w:pPr>
              <w:spacing w:after="0" w:line="240" w:lineRule="auto"/>
              <w:rPr>
                <w:rFonts w:ascii="Arial" w:eastAsia="Times New Roman" w:hAnsi="Arial" w:cs="Arial"/>
                <w:sz w:val="18"/>
                <w:szCs w:val="18"/>
                <w:lang w:eastAsia="en-GB"/>
              </w:rPr>
            </w:pPr>
            <w:proofErr w:type="spellStart"/>
            <w:r w:rsidRPr="00450CEC">
              <w:rPr>
                <w:rFonts w:ascii="Arial" w:eastAsia="Times New Roman" w:hAnsi="Arial" w:cs="Arial"/>
                <w:sz w:val="18"/>
                <w:szCs w:val="18"/>
                <w:lang w:eastAsia="en-GB"/>
              </w:rPr>
              <w:t>FY22</w:t>
            </w:r>
            <w:proofErr w:type="spellEnd"/>
          </w:p>
        </w:tc>
      </w:tr>
      <w:tr w:rsidR="00885A4E" w:rsidRPr="00450CEC" w14:paraId="1FF8697C" w14:textId="77777777" w:rsidTr="008C253C">
        <w:trPr>
          <w:trHeight w:val="290"/>
        </w:trPr>
        <w:tc>
          <w:tcPr>
            <w:tcW w:w="176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E3D8A8F" w14:textId="77777777" w:rsidR="00885A4E" w:rsidRPr="00450CEC" w:rsidRDefault="00885A4E" w:rsidP="002E3505">
            <w:pPr>
              <w:spacing w:after="0" w:line="240" w:lineRule="auto"/>
              <w:rPr>
                <w:rFonts w:ascii="Arial" w:eastAsia="Times New Roman" w:hAnsi="Arial" w:cs="Arial"/>
                <w:color w:val="000000"/>
                <w:sz w:val="18"/>
                <w:szCs w:val="18"/>
                <w:lang w:eastAsia="en-GB"/>
              </w:rPr>
            </w:pPr>
            <w:proofErr w:type="spellStart"/>
            <w:r w:rsidRPr="00450CEC">
              <w:rPr>
                <w:rFonts w:ascii="Arial" w:eastAsia="Times New Roman" w:hAnsi="Arial" w:cs="Arial"/>
                <w:color w:val="000000"/>
                <w:sz w:val="18"/>
                <w:szCs w:val="18"/>
                <w:lang w:eastAsia="en-GB"/>
              </w:rPr>
              <w:t>CYP</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09F9606D"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£0</w:t>
            </w:r>
          </w:p>
        </w:tc>
        <w:tc>
          <w:tcPr>
            <w:tcW w:w="1240" w:type="dxa"/>
            <w:tcBorders>
              <w:top w:val="nil"/>
              <w:left w:val="nil"/>
              <w:bottom w:val="single" w:sz="4" w:space="0" w:color="auto"/>
              <w:right w:val="single" w:sz="4" w:space="0" w:color="auto"/>
            </w:tcBorders>
            <w:shd w:val="clear" w:color="auto" w:fill="auto"/>
            <w:vAlign w:val="center"/>
            <w:hideMark/>
          </w:tcPr>
          <w:p w14:paraId="3EF4EC39"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£351,919</w:t>
            </w:r>
          </w:p>
        </w:tc>
        <w:tc>
          <w:tcPr>
            <w:tcW w:w="1240" w:type="dxa"/>
            <w:tcBorders>
              <w:top w:val="nil"/>
              <w:left w:val="nil"/>
              <w:bottom w:val="single" w:sz="4" w:space="0" w:color="auto"/>
              <w:right w:val="single" w:sz="4" w:space="0" w:color="auto"/>
            </w:tcBorders>
            <w:shd w:val="clear" w:color="auto" w:fill="auto"/>
            <w:vAlign w:val="center"/>
            <w:hideMark/>
          </w:tcPr>
          <w:p w14:paraId="55170A24"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£406,894</w:t>
            </w:r>
          </w:p>
        </w:tc>
        <w:tc>
          <w:tcPr>
            <w:tcW w:w="1214" w:type="dxa"/>
            <w:tcBorders>
              <w:top w:val="nil"/>
              <w:left w:val="nil"/>
              <w:bottom w:val="single" w:sz="4" w:space="0" w:color="auto"/>
              <w:right w:val="single" w:sz="4" w:space="0" w:color="auto"/>
            </w:tcBorders>
            <w:shd w:val="clear" w:color="auto" w:fill="auto"/>
            <w:vAlign w:val="center"/>
            <w:hideMark/>
          </w:tcPr>
          <w:p w14:paraId="6FECF332"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£0</w:t>
            </w:r>
          </w:p>
        </w:tc>
        <w:tc>
          <w:tcPr>
            <w:tcW w:w="1179" w:type="dxa"/>
            <w:tcBorders>
              <w:top w:val="nil"/>
              <w:left w:val="nil"/>
              <w:bottom w:val="single" w:sz="4" w:space="0" w:color="auto"/>
              <w:right w:val="single" w:sz="4" w:space="0" w:color="auto"/>
            </w:tcBorders>
            <w:shd w:val="clear" w:color="auto" w:fill="auto"/>
            <w:vAlign w:val="center"/>
            <w:hideMark/>
          </w:tcPr>
          <w:p w14:paraId="703AC97C"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£161,334</w:t>
            </w:r>
          </w:p>
        </w:tc>
        <w:tc>
          <w:tcPr>
            <w:tcW w:w="1328" w:type="dxa"/>
            <w:tcBorders>
              <w:top w:val="nil"/>
              <w:left w:val="nil"/>
              <w:bottom w:val="single" w:sz="4" w:space="0" w:color="auto"/>
              <w:right w:val="single" w:sz="4" w:space="0" w:color="auto"/>
            </w:tcBorders>
            <w:shd w:val="clear" w:color="auto" w:fill="auto"/>
            <w:vAlign w:val="center"/>
            <w:hideMark/>
          </w:tcPr>
          <w:p w14:paraId="1A5091DC"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£942,337</w:t>
            </w:r>
          </w:p>
        </w:tc>
      </w:tr>
      <w:tr w:rsidR="00885A4E" w:rsidRPr="00450CEC" w14:paraId="5C03167A" w14:textId="77777777" w:rsidTr="008C253C">
        <w:trPr>
          <w:trHeight w:val="290"/>
        </w:trPr>
        <w:tc>
          <w:tcPr>
            <w:tcW w:w="176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7F3753E" w14:textId="77777777" w:rsidR="00885A4E" w:rsidRPr="00450CEC" w:rsidRDefault="00885A4E" w:rsidP="002E3505">
            <w:pPr>
              <w:spacing w:after="0" w:line="240" w:lineRule="auto"/>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Perinatal</w:t>
            </w:r>
          </w:p>
        </w:tc>
        <w:tc>
          <w:tcPr>
            <w:tcW w:w="1240" w:type="dxa"/>
            <w:tcBorders>
              <w:top w:val="nil"/>
              <w:left w:val="nil"/>
              <w:bottom w:val="single" w:sz="4" w:space="0" w:color="auto"/>
              <w:right w:val="single" w:sz="4" w:space="0" w:color="auto"/>
            </w:tcBorders>
            <w:shd w:val="clear" w:color="auto" w:fill="auto"/>
            <w:vAlign w:val="center"/>
            <w:hideMark/>
          </w:tcPr>
          <w:p w14:paraId="71E59207"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£632,000</w:t>
            </w:r>
          </w:p>
        </w:tc>
        <w:tc>
          <w:tcPr>
            <w:tcW w:w="1240" w:type="dxa"/>
            <w:tcBorders>
              <w:top w:val="nil"/>
              <w:left w:val="nil"/>
              <w:bottom w:val="single" w:sz="4" w:space="0" w:color="auto"/>
              <w:right w:val="single" w:sz="4" w:space="0" w:color="auto"/>
            </w:tcBorders>
            <w:shd w:val="clear" w:color="auto" w:fill="auto"/>
            <w:vAlign w:val="center"/>
            <w:hideMark/>
          </w:tcPr>
          <w:p w14:paraId="0F2013D4"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£632,000</w:t>
            </w:r>
          </w:p>
        </w:tc>
        <w:tc>
          <w:tcPr>
            <w:tcW w:w="1240" w:type="dxa"/>
            <w:tcBorders>
              <w:top w:val="nil"/>
              <w:left w:val="nil"/>
              <w:bottom w:val="single" w:sz="4" w:space="0" w:color="auto"/>
              <w:right w:val="single" w:sz="4" w:space="0" w:color="auto"/>
            </w:tcBorders>
            <w:shd w:val="clear" w:color="auto" w:fill="auto"/>
            <w:vAlign w:val="center"/>
            <w:hideMark/>
          </w:tcPr>
          <w:p w14:paraId="5CA5541A"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£632,000</w:t>
            </w:r>
          </w:p>
        </w:tc>
        <w:tc>
          <w:tcPr>
            <w:tcW w:w="1214" w:type="dxa"/>
            <w:tcBorders>
              <w:top w:val="nil"/>
              <w:left w:val="nil"/>
              <w:bottom w:val="single" w:sz="4" w:space="0" w:color="auto"/>
              <w:right w:val="single" w:sz="4" w:space="0" w:color="auto"/>
            </w:tcBorders>
            <w:shd w:val="clear" w:color="auto" w:fill="auto"/>
            <w:vAlign w:val="center"/>
            <w:hideMark/>
          </w:tcPr>
          <w:p w14:paraId="4D984A1A"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£825,000</w:t>
            </w:r>
          </w:p>
        </w:tc>
        <w:tc>
          <w:tcPr>
            <w:tcW w:w="1179" w:type="dxa"/>
            <w:tcBorders>
              <w:top w:val="nil"/>
              <w:left w:val="nil"/>
              <w:bottom w:val="single" w:sz="4" w:space="0" w:color="auto"/>
              <w:right w:val="single" w:sz="4" w:space="0" w:color="auto"/>
            </w:tcBorders>
            <w:shd w:val="clear" w:color="auto" w:fill="auto"/>
            <w:vAlign w:val="center"/>
            <w:hideMark/>
          </w:tcPr>
          <w:p w14:paraId="665FAD6C"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£825,000</w:t>
            </w:r>
          </w:p>
        </w:tc>
        <w:tc>
          <w:tcPr>
            <w:tcW w:w="1328" w:type="dxa"/>
            <w:tcBorders>
              <w:top w:val="nil"/>
              <w:left w:val="nil"/>
              <w:bottom w:val="single" w:sz="4" w:space="0" w:color="auto"/>
              <w:right w:val="single" w:sz="4" w:space="0" w:color="auto"/>
            </w:tcBorders>
            <w:shd w:val="clear" w:color="auto" w:fill="auto"/>
            <w:vAlign w:val="center"/>
            <w:hideMark/>
          </w:tcPr>
          <w:p w14:paraId="7F8CEA3D"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£825,000</w:t>
            </w:r>
          </w:p>
        </w:tc>
      </w:tr>
      <w:tr w:rsidR="00885A4E" w:rsidRPr="00450CEC" w14:paraId="3CA74282" w14:textId="77777777" w:rsidTr="008C253C">
        <w:trPr>
          <w:trHeight w:val="290"/>
        </w:trPr>
        <w:tc>
          <w:tcPr>
            <w:tcW w:w="176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D822AF2" w14:textId="77777777" w:rsidR="00885A4E" w:rsidRPr="00450CEC" w:rsidRDefault="00885A4E" w:rsidP="002E3505">
            <w:pPr>
              <w:spacing w:after="0" w:line="240" w:lineRule="auto"/>
              <w:rPr>
                <w:rFonts w:ascii="Arial" w:eastAsia="Times New Roman" w:hAnsi="Arial" w:cs="Arial"/>
                <w:color w:val="000000"/>
                <w:sz w:val="18"/>
                <w:szCs w:val="18"/>
                <w:lang w:eastAsia="en-GB"/>
              </w:rPr>
            </w:pPr>
            <w:proofErr w:type="spellStart"/>
            <w:r w:rsidRPr="00450CEC">
              <w:rPr>
                <w:rFonts w:ascii="Arial" w:eastAsia="Times New Roman" w:hAnsi="Arial" w:cs="Arial"/>
                <w:color w:val="000000"/>
                <w:sz w:val="18"/>
                <w:szCs w:val="18"/>
                <w:lang w:eastAsia="en-GB"/>
              </w:rPr>
              <w:t>IAPT</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05B683F3"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£0</w:t>
            </w:r>
          </w:p>
        </w:tc>
        <w:tc>
          <w:tcPr>
            <w:tcW w:w="1240" w:type="dxa"/>
            <w:tcBorders>
              <w:top w:val="nil"/>
              <w:left w:val="nil"/>
              <w:bottom w:val="single" w:sz="4" w:space="0" w:color="auto"/>
              <w:right w:val="single" w:sz="4" w:space="0" w:color="auto"/>
            </w:tcBorders>
            <w:shd w:val="clear" w:color="auto" w:fill="auto"/>
            <w:vAlign w:val="center"/>
            <w:hideMark/>
          </w:tcPr>
          <w:p w14:paraId="45F0A278"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£1,036,596</w:t>
            </w:r>
          </w:p>
        </w:tc>
        <w:tc>
          <w:tcPr>
            <w:tcW w:w="1240" w:type="dxa"/>
            <w:tcBorders>
              <w:top w:val="nil"/>
              <w:left w:val="nil"/>
              <w:bottom w:val="single" w:sz="4" w:space="0" w:color="auto"/>
              <w:right w:val="single" w:sz="4" w:space="0" w:color="auto"/>
            </w:tcBorders>
            <w:shd w:val="clear" w:color="auto" w:fill="auto"/>
            <w:vAlign w:val="center"/>
            <w:hideMark/>
          </w:tcPr>
          <w:p w14:paraId="3B95C157"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£1,605,012</w:t>
            </w:r>
          </w:p>
        </w:tc>
        <w:tc>
          <w:tcPr>
            <w:tcW w:w="1214" w:type="dxa"/>
            <w:tcBorders>
              <w:top w:val="nil"/>
              <w:left w:val="nil"/>
              <w:bottom w:val="single" w:sz="4" w:space="0" w:color="auto"/>
              <w:right w:val="single" w:sz="4" w:space="0" w:color="auto"/>
            </w:tcBorders>
            <w:shd w:val="clear" w:color="auto" w:fill="auto"/>
            <w:vAlign w:val="center"/>
            <w:hideMark/>
          </w:tcPr>
          <w:p w14:paraId="7B270815"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£515,000</w:t>
            </w:r>
          </w:p>
        </w:tc>
        <w:tc>
          <w:tcPr>
            <w:tcW w:w="1179" w:type="dxa"/>
            <w:tcBorders>
              <w:top w:val="nil"/>
              <w:left w:val="nil"/>
              <w:bottom w:val="single" w:sz="4" w:space="0" w:color="auto"/>
              <w:right w:val="single" w:sz="4" w:space="0" w:color="auto"/>
            </w:tcBorders>
            <w:shd w:val="clear" w:color="auto" w:fill="auto"/>
            <w:vAlign w:val="center"/>
            <w:hideMark/>
          </w:tcPr>
          <w:p w14:paraId="236E19E6"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£1,360,861</w:t>
            </w:r>
          </w:p>
        </w:tc>
        <w:tc>
          <w:tcPr>
            <w:tcW w:w="1328" w:type="dxa"/>
            <w:tcBorders>
              <w:top w:val="nil"/>
              <w:left w:val="nil"/>
              <w:bottom w:val="single" w:sz="4" w:space="0" w:color="auto"/>
              <w:right w:val="single" w:sz="4" w:space="0" w:color="auto"/>
            </w:tcBorders>
            <w:shd w:val="clear" w:color="auto" w:fill="auto"/>
            <w:vAlign w:val="center"/>
            <w:hideMark/>
          </w:tcPr>
          <w:p w14:paraId="51E4413A"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£3,127,594</w:t>
            </w:r>
          </w:p>
        </w:tc>
      </w:tr>
      <w:tr w:rsidR="00885A4E" w:rsidRPr="00450CEC" w14:paraId="64C34967" w14:textId="77777777" w:rsidTr="008C253C">
        <w:trPr>
          <w:trHeight w:val="290"/>
        </w:trPr>
        <w:tc>
          <w:tcPr>
            <w:tcW w:w="176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7AF5967" w14:textId="77777777" w:rsidR="00885A4E" w:rsidRPr="00450CEC" w:rsidRDefault="00885A4E" w:rsidP="002E3505">
            <w:pPr>
              <w:spacing w:after="0" w:line="240" w:lineRule="auto"/>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Crisis</w:t>
            </w:r>
          </w:p>
        </w:tc>
        <w:tc>
          <w:tcPr>
            <w:tcW w:w="1240" w:type="dxa"/>
            <w:tcBorders>
              <w:top w:val="nil"/>
              <w:left w:val="nil"/>
              <w:bottom w:val="single" w:sz="4" w:space="0" w:color="auto"/>
              <w:right w:val="single" w:sz="4" w:space="0" w:color="auto"/>
            </w:tcBorders>
            <w:shd w:val="clear" w:color="auto" w:fill="auto"/>
            <w:vAlign w:val="center"/>
            <w:hideMark/>
          </w:tcPr>
          <w:p w14:paraId="1D05BF01"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£789,000</w:t>
            </w:r>
          </w:p>
        </w:tc>
        <w:tc>
          <w:tcPr>
            <w:tcW w:w="1240" w:type="dxa"/>
            <w:tcBorders>
              <w:top w:val="nil"/>
              <w:left w:val="nil"/>
              <w:bottom w:val="single" w:sz="4" w:space="0" w:color="auto"/>
              <w:right w:val="single" w:sz="4" w:space="0" w:color="auto"/>
            </w:tcBorders>
            <w:shd w:val="clear" w:color="auto" w:fill="auto"/>
            <w:vAlign w:val="center"/>
            <w:hideMark/>
          </w:tcPr>
          <w:p w14:paraId="007D4323"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£1,514,153</w:t>
            </w:r>
          </w:p>
        </w:tc>
        <w:tc>
          <w:tcPr>
            <w:tcW w:w="1240" w:type="dxa"/>
            <w:tcBorders>
              <w:top w:val="nil"/>
              <w:left w:val="nil"/>
              <w:bottom w:val="single" w:sz="4" w:space="0" w:color="auto"/>
              <w:right w:val="single" w:sz="4" w:space="0" w:color="auto"/>
            </w:tcBorders>
            <w:shd w:val="clear" w:color="auto" w:fill="auto"/>
            <w:vAlign w:val="center"/>
            <w:hideMark/>
          </w:tcPr>
          <w:p w14:paraId="60854AEA"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£2,493,519</w:t>
            </w:r>
          </w:p>
        </w:tc>
        <w:tc>
          <w:tcPr>
            <w:tcW w:w="1214" w:type="dxa"/>
            <w:tcBorders>
              <w:top w:val="nil"/>
              <w:left w:val="nil"/>
              <w:bottom w:val="single" w:sz="4" w:space="0" w:color="auto"/>
              <w:right w:val="single" w:sz="4" w:space="0" w:color="auto"/>
            </w:tcBorders>
            <w:shd w:val="clear" w:color="auto" w:fill="auto"/>
            <w:vAlign w:val="center"/>
            <w:hideMark/>
          </w:tcPr>
          <w:p w14:paraId="7497CB7F"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£0</w:t>
            </w:r>
          </w:p>
        </w:tc>
        <w:tc>
          <w:tcPr>
            <w:tcW w:w="1179" w:type="dxa"/>
            <w:tcBorders>
              <w:top w:val="nil"/>
              <w:left w:val="nil"/>
              <w:bottom w:val="single" w:sz="4" w:space="0" w:color="auto"/>
              <w:right w:val="single" w:sz="4" w:space="0" w:color="auto"/>
            </w:tcBorders>
            <w:shd w:val="clear" w:color="auto" w:fill="auto"/>
            <w:vAlign w:val="center"/>
            <w:hideMark/>
          </w:tcPr>
          <w:p w14:paraId="7E66C04B"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£315,766</w:t>
            </w:r>
          </w:p>
        </w:tc>
        <w:tc>
          <w:tcPr>
            <w:tcW w:w="1328" w:type="dxa"/>
            <w:tcBorders>
              <w:top w:val="nil"/>
              <w:left w:val="nil"/>
              <w:bottom w:val="single" w:sz="4" w:space="0" w:color="auto"/>
              <w:right w:val="single" w:sz="4" w:space="0" w:color="auto"/>
            </w:tcBorders>
            <w:shd w:val="clear" w:color="auto" w:fill="auto"/>
            <w:vAlign w:val="center"/>
            <w:hideMark/>
          </w:tcPr>
          <w:p w14:paraId="46EBF282"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£2,340,094</w:t>
            </w:r>
          </w:p>
        </w:tc>
      </w:tr>
      <w:tr w:rsidR="00885A4E" w:rsidRPr="00450CEC" w14:paraId="354A54F4" w14:textId="77777777" w:rsidTr="008C253C">
        <w:trPr>
          <w:trHeight w:val="290"/>
        </w:trPr>
        <w:tc>
          <w:tcPr>
            <w:tcW w:w="176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32E3EF00" w14:textId="77777777" w:rsidR="00885A4E" w:rsidRPr="00450CEC" w:rsidRDefault="00885A4E" w:rsidP="002E3505">
            <w:pPr>
              <w:spacing w:after="0" w:line="240" w:lineRule="auto"/>
              <w:rPr>
                <w:rFonts w:ascii="Arial" w:eastAsia="Times New Roman" w:hAnsi="Arial" w:cs="Arial"/>
                <w:color w:val="000000"/>
                <w:sz w:val="18"/>
                <w:szCs w:val="18"/>
                <w:lang w:eastAsia="en-GB"/>
              </w:rPr>
            </w:pPr>
            <w:proofErr w:type="spellStart"/>
            <w:r w:rsidRPr="00450CEC">
              <w:rPr>
                <w:rFonts w:ascii="Arial" w:eastAsia="Times New Roman" w:hAnsi="Arial" w:cs="Arial"/>
                <w:color w:val="000000"/>
                <w:sz w:val="18"/>
                <w:szCs w:val="18"/>
                <w:lang w:eastAsia="en-GB"/>
              </w:rPr>
              <w:t>SMI</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6D54B321"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£0</w:t>
            </w:r>
          </w:p>
        </w:tc>
        <w:tc>
          <w:tcPr>
            <w:tcW w:w="1240" w:type="dxa"/>
            <w:tcBorders>
              <w:top w:val="nil"/>
              <w:left w:val="nil"/>
              <w:bottom w:val="single" w:sz="4" w:space="0" w:color="auto"/>
              <w:right w:val="single" w:sz="4" w:space="0" w:color="auto"/>
            </w:tcBorders>
            <w:shd w:val="clear" w:color="auto" w:fill="auto"/>
            <w:vAlign w:val="center"/>
            <w:hideMark/>
          </w:tcPr>
          <w:p w14:paraId="6568FAE9"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£534,302</w:t>
            </w:r>
          </w:p>
        </w:tc>
        <w:tc>
          <w:tcPr>
            <w:tcW w:w="1240" w:type="dxa"/>
            <w:tcBorders>
              <w:top w:val="nil"/>
              <w:left w:val="nil"/>
              <w:bottom w:val="single" w:sz="4" w:space="0" w:color="auto"/>
              <w:right w:val="single" w:sz="4" w:space="0" w:color="auto"/>
            </w:tcBorders>
            <w:shd w:val="clear" w:color="auto" w:fill="auto"/>
            <w:vAlign w:val="center"/>
            <w:hideMark/>
          </w:tcPr>
          <w:p w14:paraId="076EBBA7"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£850,028</w:t>
            </w:r>
          </w:p>
        </w:tc>
        <w:tc>
          <w:tcPr>
            <w:tcW w:w="1214" w:type="dxa"/>
            <w:tcBorders>
              <w:top w:val="nil"/>
              <w:left w:val="nil"/>
              <w:bottom w:val="single" w:sz="4" w:space="0" w:color="auto"/>
              <w:right w:val="single" w:sz="4" w:space="0" w:color="auto"/>
            </w:tcBorders>
            <w:shd w:val="clear" w:color="auto" w:fill="auto"/>
            <w:vAlign w:val="center"/>
            <w:hideMark/>
          </w:tcPr>
          <w:p w14:paraId="3E21A493"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£0</w:t>
            </w:r>
          </w:p>
        </w:tc>
        <w:tc>
          <w:tcPr>
            <w:tcW w:w="1179" w:type="dxa"/>
            <w:tcBorders>
              <w:top w:val="nil"/>
              <w:left w:val="nil"/>
              <w:bottom w:val="single" w:sz="4" w:space="0" w:color="auto"/>
              <w:right w:val="single" w:sz="4" w:space="0" w:color="auto"/>
            </w:tcBorders>
            <w:shd w:val="clear" w:color="auto" w:fill="auto"/>
            <w:vAlign w:val="center"/>
            <w:hideMark/>
          </w:tcPr>
          <w:p w14:paraId="2BB36A01"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£1,115,225</w:t>
            </w:r>
          </w:p>
        </w:tc>
        <w:tc>
          <w:tcPr>
            <w:tcW w:w="1328" w:type="dxa"/>
            <w:tcBorders>
              <w:top w:val="nil"/>
              <w:left w:val="nil"/>
              <w:bottom w:val="single" w:sz="4" w:space="0" w:color="auto"/>
              <w:right w:val="single" w:sz="4" w:space="0" w:color="auto"/>
            </w:tcBorders>
            <w:shd w:val="clear" w:color="auto" w:fill="auto"/>
            <w:vAlign w:val="center"/>
            <w:hideMark/>
          </w:tcPr>
          <w:p w14:paraId="1CF67099"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£4,154,826</w:t>
            </w:r>
          </w:p>
        </w:tc>
      </w:tr>
      <w:tr w:rsidR="00885A4E" w:rsidRPr="00450CEC" w14:paraId="4EEEC124" w14:textId="77777777" w:rsidTr="008C253C">
        <w:trPr>
          <w:trHeight w:val="290"/>
        </w:trPr>
        <w:tc>
          <w:tcPr>
            <w:tcW w:w="176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FA9F764" w14:textId="77777777" w:rsidR="00885A4E" w:rsidRPr="00450CEC" w:rsidRDefault="00885A4E" w:rsidP="002E3505">
            <w:pPr>
              <w:spacing w:after="0" w:line="240" w:lineRule="auto"/>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Total</w:t>
            </w:r>
          </w:p>
        </w:tc>
        <w:tc>
          <w:tcPr>
            <w:tcW w:w="1240" w:type="dxa"/>
            <w:tcBorders>
              <w:top w:val="nil"/>
              <w:left w:val="nil"/>
              <w:bottom w:val="single" w:sz="4" w:space="0" w:color="auto"/>
              <w:right w:val="single" w:sz="4" w:space="0" w:color="auto"/>
            </w:tcBorders>
            <w:shd w:val="clear" w:color="auto" w:fill="auto"/>
            <w:vAlign w:val="center"/>
            <w:hideMark/>
          </w:tcPr>
          <w:p w14:paraId="3684C6F7"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£1,421,000</w:t>
            </w:r>
          </w:p>
        </w:tc>
        <w:tc>
          <w:tcPr>
            <w:tcW w:w="1240" w:type="dxa"/>
            <w:tcBorders>
              <w:top w:val="nil"/>
              <w:left w:val="nil"/>
              <w:bottom w:val="single" w:sz="4" w:space="0" w:color="auto"/>
              <w:right w:val="single" w:sz="4" w:space="0" w:color="auto"/>
            </w:tcBorders>
            <w:shd w:val="clear" w:color="auto" w:fill="auto"/>
            <w:vAlign w:val="center"/>
            <w:hideMark/>
          </w:tcPr>
          <w:p w14:paraId="1ED1D384"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£4,068,970</w:t>
            </w:r>
          </w:p>
        </w:tc>
        <w:tc>
          <w:tcPr>
            <w:tcW w:w="1240" w:type="dxa"/>
            <w:tcBorders>
              <w:top w:val="nil"/>
              <w:left w:val="nil"/>
              <w:bottom w:val="single" w:sz="4" w:space="0" w:color="auto"/>
              <w:right w:val="single" w:sz="4" w:space="0" w:color="auto"/>
            </w:tcBorders>
            <w:shd w:val="clear" w:color="auto" w:fill="auto"/>
            <w:vAlign w:val="center"/>
            <w:hideMark/>
          </w:tcPr>
          <w:p w14:paraId="72AC2400"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£5,987,453</w:t>
            </w:r>
          </w:p>
        </w:tc>
        <w:tc>
          <w:tcPr>
            <w:tcW w:w="1214" w:type="dxa"/>
            <w:tcBorders>
              <w:top w:val="nil"/>
              <w:left w:val="nil"/>
              <w:bottom w:val="single" w:sz="4" w:space="0" w:color="auto"/>
              <w:right w:val="single" w:sz="4" w:space="0" w:color="auto"/>
            </w:tcBorders>
            <w:shd w:val="clear" w:color="auto" w:fill="auto"/>
            <w:vAlign w:val="center"/>
            <w:hideMark/>
          </w:tcPr>
          <w:p w14:paraId="50EE04EB"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£1,340,000</w:t>
            </w:r>
          </w:p>
        </w:tc>
        <w:tc>
          <w:tcPr>
            <w:tcW w:w="1179" w:type="dxa"/>
            <w:tcBorders>
              <w:top w:val="nil"/>
              <w:left w:val="nil"/>
              <w:bottom w:val="single" w:sz="4" w:space="0" w:color="auto"/>
              <w:right w:val="single" w:sz="4" w:space="0" w:color="auto"/>
            </w:tcBorders>
            <w:shd w:val="clear" w:color="auto" w:fill="auto"/>
            <w:vAlign w:val="center"/>
            <w:hideMark/>
          </w:tcPr>
          <w:p w14:paraId="563F7B05" w14:textId="77777777"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£3,778,186</w:t>
            </w:r>
          </w:p>
        </w:tc>
        <w:tc>
          <w:tcPr>
            <w:tcW w:w="1328" w:type="dxa"/>
            <w:tcBorders>
              <w:top w:val="nil"/>
              <w:left w:val="nil"/>
              <w:bottom w:val="single" w:sz="4" w:space="0" w:color="auto"/>
              <w:right w:val="single" w:sz="4" w:space="0" w:color="auto"/>
            </w:tcBorders>
            <w:shd w:val="clear" w:color="auto" w:fill="auto"/>
            <w:vAlign w:val="center"/>
            <w:hideMark/>
          </w:tcPr>
          <w:p w14:paraId="5C5F4BE0" w14:textId="265E64B9" w:rsidR="00885A4E" w:rsidRPr="00450CEC" w:rsidRDefault="00885A4E" w:rsidP="002E3505">
            <w:pPr>
              <w:spacing w:after="0" w:line="240" w:lineRule="auto"/>
              <w:jc w:val="right"/>
              <w:rPr>
                <w:rFonts w:ascii="Arial" w:eastAsia="Times New Roman" w:hAnsi="Arial" w:cs="Arial"/>
                <w:color w:val="000000"/>
                <w:sz w:val="18"/>
                <w:szCs w:val="18"/>
                <w:lang w:eastAsia="en-GB"/>
              </w:rPr>
            </w:pPr>
            <w:r w:rsidRPr="00450CEC">
              <w:rPr>
                <w:rFonts w:ascii="Arial" w:eastAsia="Times New Roman" w:hAnsi="Arial" w:cs="Arial"/>
                <w:color w:val="000000"/>
                <w:sz w:val="18"/>
                <w:szCs w:val="18"/>
                <w:lang w:eastAsia="en-GB"/>
              </w:rPr>
              <w:t>*£11,389,851</w:t>
            </w:r>
          </w:p>
        </w:tc>
      </w:tr>
    </w:tbl>
    <w:p w14:paraId="4085D6DA" w14:textId="3336D350" w:rsidR="007C3593" w:rsidRPr="00C336B5" w:rsidRDefault="00301F3C" w:rsidP="00620F2C">
      <w:pPr>
        <w:spacing w:after="0" w:line="240" w:lineRule="auto"/>
        <w:rPr>
          <w:rFonts w:ascii="Arial" w:hAnsi="Arial" w:cs="Arial"/>
          <w:i/>
          <w:iCs/>
          <w:sz w:val="18"/>
          <w:szCs w:val="18"/>
        </w:rPr>
      </w:pPr>
      <w:r w:rsidRPr="00C336B5">
        <w:rPr>
          <w:rFonts w:ascii="Arial" w:hAnsi="Arial" w:cs="Arial"/>
          <w:b/>
          <w:bCs/>
          <w:i/>
          <w:iCs/>
          <w:sz w:val="18"/>
          <w:szCs w:val="18"/>
        </w:rPr>
        <w:t xml:space="preserve">Figure </w:t>
      </w:r>
      <w:r w:rsidR="00885A4E" w:rsidRPr="00C336B5">
        <w:rPr>
          <w:rFonts w:ascii="Arial" w:hAnsi="Arial" w:cs="Arial"/>
          <w:b/>
          <w:bCs/>
          <w:i/>
          <w:iCs/>
          <w:sz w:val="18"/>
          <w:szCs w:val="18"/>
        </w:rPr>
        <w:t>1.</w:t>
      </w:r>
      <w:r w:rsidR="00885A4E" w:rsidRPr="00C336B5">
        <w:rPr>
          <w:rFonts w:ascii="Arial" w:hAnsi="Arial" w:cs="Arial"/>
          <w:i/>
          <w:iCs/>
          <w:sz w:val="18"/>
          <w:szCs w:val="18"/>
        </w:rPr>
        <w:t xml:space="preserve"> Summary of </w:t>
      </w:r>
      <w:r w:rsidR="00417B5D" w:rsidRPr="00C336B5">
        <w:rPr>
          <w:rFonts w:ascii="Arial" w:hAnsi="Arial" w:cs="Arial"/>
          <w:i/>
          <w:iCs/>
          <w:sz w:val="18"/>
          <w:szCs w:val="18"/>
        </w:rPr>
        <w:t xml:space="preserve">cumulative </w:t>
      </w:r>
      <w:proofErr w:type="spellStart"/>
      <w:r w:rsidR="00885A4E" w:rsidRPr="00C336B5">
        <w:rPr>
          <w:rFonts w:ascii="Arial" w:hAnsi="Arial" w:cs="Arial"/>
          <w:i/>
          <w:iCs/>
          <w:sz w:val="18"/>
          <w:szCs w:val="18"/>
        </w:rPr>
        <w:t>MHIS</w:t>
      </w:r>
      <w:proofErr w:type="spellEnd"/>
      <w:r w:rsidR="00885A4E" w:rsidRPr="00C336B5">
        <w:rPr>
          <w:rFonts w:ascii="Arial" w:hAnsi="Arial" w:cs="Arial"/>
          <w:i/>
          <w:iCs/>
          <w:sz w:val="18"/>
          <w:szCs w:val="18"/>
        </w:rPr>
        <w:t xml:space="preserve"> allocation in Buckinghamshire and Oxfordshire.</w:t>
      </w:r>
    </w:p>
    <w:p w14:paraId="6DEE0F2A" w14:textId="201AFE35" w:rsidR="00885A4E" w:rsidRPr="00C336B5" w:rsidRDefault="00885A4E" w:rsidP="00620F2C">
      <w:pPr>
        <w:spacing w:after="0" w:line="240" w:lineRule="auto"/>
        <w:rPr>
          <w:rFonts w:ascii="Arial" w:hAnsi="Arial" w:cs="Arial"/>
          <w:sz w:val="18"/>
          <w:szCs w:val="18"/>
        </w:rPr>
      </w:pPr>
      <w:r w:rsidRPr="00C336B5">
        <w:rPr>
          <w:rFonts w:ascii="Arial" w:hAnsi="Arial" w:cs="Arial"/>
          <w:i/>
          <w:iCs/>
          <w:sz w:val="18"/>
          <w:szCs w:val="18"/>
        </w:rPr>
        <w:t>*</w:t>
      </w:r>
      <w:proofErr w:type="spellStart"/>
      <w:r w:rsidR="00417B5D" w:rsidRPr="00C336B5">
        <w:rPr>
          <w:rFonts w:ascii="Arial" w:hAnsi="Arial" w:cs="Arial"/>
          <w:i/>
          <w:iCs/>
          <w:sz w:val="18"/>
          <w:szCs w:val="18"/>
        </w:rPr>
        <w:t>FY22</w:t>
      </w:r>
      <w:proofErr w:type="spellEnd"/>
      <w:r w:rsidR="00417B5D" w:rsidRPr="00C336B5">
        <w:rPr>
          <w:rFonts w:ascii="Arial" w:hAnsi="Arial" w:cs="Arial"/>
          <w:i/>
          <w:iCs/>
          <w:sz w:val="18"/>
          <w:szCs w:val="18"/>
        </w:rPr>
        <w:t xml:space="preserve"> </w:t>
      </w:r>
      <w:r w:rsidR="006229EF" w:rsidRPr="00C336B5">
        <w:rPr>
          <w:rFonts w:ascii="Arial" w:hAnsi="Arial" w:cs="Arial"/>
          <w:i/>
          <w:iCs/>
          <w:sz w:val="18"/>
          <w:szCs w:val="18"/>
        </w:rPr>
        <w:t xml:space="preserve">value for Oxfordshire includes the </w:t>
      </w:r>
      <w:r w:rsidR="00301F3C" w:rsidRPr="00C336B5">
        <w:rPr>
          <w:rFonts w:ascii="Arial" w:hAnsi="Arial" w:cs="Arial"/>
          <w:i/>
          <w:iCs/>
          <w:sz w:val="18"/>
          <w:szCs w:val="18"/>
        </w:rPr>
        <w:t xml:space="preserve">additional funding to be made available </w:t>
      </w:r>
      <w:r w:rsidR="00C4117D" w:rsidRPr="00C336B5">
        <w:rPr>
          <w:rFonts w:ascii="Arial" w:hAnsi="Arial" w:cs="Arial"/>
          <w:i/>
          <w:iCs/>
          <w:sz w:val="18"/>
          <w:szCs w:val="18"/>
        </w:rPr>
        <w:t xml:space="preserve">through mediation </w:t>
      </w:r>
      <w:r w:rsidR="00301F3C" w:rsidRPr="00C336B5">
        <w:rPr>
          <w:rFonts w:ascii="Arial" w:hAnsi="Arial" w:cs="Arial"/>
          <w:i/>
          <w:iCs/>
          <w:sz w:val="18"/>
          <w:szCs w:val="18"/>
        </w:rPr>
        <w:t xml:space="preserve">for </w:t>
      </w:r>
      <w:r w:rsidR="00C4117D" w:rsidRPr="00C336B5">
        <w:rPr>
          <w:rFonts w:ascii="Arial" w:hAnsi="Arial" w:cs="Arial"/>
          <w:i/>
          <w:iCs/>
          <w:sz w:val="18"/>
          <w:szCs w:val="18"/>
        </w:rPr>
        <w:t xml:space="preserve">legacy under-commissioning, </w:t>
      </w:r>
      <w:r w:rsidR="00301F3C" w:rsidRPr="00C336B5">
        <w:rPr>
          <w:rFonts w:ascii="Arial" w:hAnsi="Arial" w:cs="Arial"/>
          <w:i/>
          <w:iCs/>
          <w:sz w:val="18"/>
          <w:szCs w:val="18"/>
        </w:rPr>
        <w:t>service developments and expansion as per 2020 agreement</w:t>
      </w:r>
      <w:r w:rsidR="00301F3C" w:rsidRPr="00C336B5">
        <w:rPr>
          <w:rFonts w:ascii="Arial" w:hAnsi="Arial" w:cs="Arial"/>
          <w:sz w:val="18"/>
          <w:szCs w:val="18"/>
        </w:rPr>
        <w:t>.</w:t>
      </w:r>
    </w:p>
    <w:p w14:paraId="58586ACD" w14:textId="1A9C5C50" w:rsidR="001F4FD7" w:rsidRPr="002E3505" w:rsidRDefault="001F4FD7" w:rsidP="002E3505">
      <w:pPr>
        <w:spacing w:after="0" w:line="240" w:lineRule="auto"/>
        <w:rPr>
          <w:rFonts w:ascii="Arial" w:hAnsi="Arial" w:cs="Arial"/>
        </w:rPr>
      </w:pPr>
    </w:p>
    <w:p w14:paraId="76E6EF9F" w14:textId="366270A2" w:rsidR="003874C6" w:rsidRPr="002E3505" w:rsidRDefault="00CF79EA" w:rsidP="002E3505">
      <w:pPr>
        <w:spacing w:after="0" w:line="240" w:lineRule="auto"/>
        <w:rPr>
          <w:rFonts w:ascii="Arial" w:hAnsi="Arial" w:cs="Arial"/>
        </w:rPr>
      </w:pPr>
      <w:r w:rsidRPr="002E3505">
        <w:rPr>
          <w:rFonts w:ascii="Arial" w:hAnsi="Arial" w:cs="Arial"/>
        </w:rPr>
        <w:t xml:space="preserve">Non recurrent </w:t>
      </w:r>
      <w:r w:rsidR="000424A4" w:rsidRPr="002E3505">
        <w:rPr>
          <w:rFonts w:ascii="Arial" w:hAnsi="Arial" w:cs="Arial"/>
          <w:b/>
          <w:bCs/>
        </w:rPr>
        <w:t xml:space="preserve">Service Development Funding </w:t>
      </w:r>
      <w:r w:rsidR="00131C57" w:rsidRPr="002E3505">
        <w:rPr>
          <w:rFonts w:ascii="Arial" w:hAnsi="Arial" w:cs="Arial"/>
          <w:b/>
          <w:bCs/>
        </w:rPr>
        <w:t>(SDF)</w:t>
      </w:r>
      <w:r w:rsidRPr="002E3505">
        <w:rPr>
          <w:rFonts w:ascii="Arial" w:hAnsi="Arial" w:cs="Arial"/>
          <w:b/>
          <w:bCs/>
        </w:rPr>
        <w:t xml:space="preserve"> </w:t>
      </w:r>
      <w:r w:rsidRPr="002E3505">
        <w:rPr>
          <w:rFonts w:ascii="Arial" w:hAnsi="Arial" w:cs="Arial"/>
        </w:rPr>
        <w:t>has been made</w:t>
      </w:r>
      <w:r w:rsidRPr="002E3505">
        <w:rPr>
          <w:rFonts w:ascii="Arial" w:hAnsi="Arial" w:cs="Arial"/>
          <w:b/>
          <w:bCs/>
        </w:rPr>
        <w:t xml:space="preserve"> </w:t>
      </w:r>
      <w:r w:rsidR="005D2720" w:rsidRPr="002E3505">
        <w:rPr>
          <w:rFonts w:ascii="Arial" w:hAnsi="Arial" w:cs="Arial"/>
        </w:rPr>
        <w:t>available to Buckinghamshire</w:t>
      </w:r>
      <w:r w:rsidR="002A088D" w:rsidRPr="002E3505">
        <w:rPr>
          <w:rFonts w:ascii="Arial" w:hAnsi="Arial" w:cs="Arial"/>
        </w:rPr>
        <w:t>,</w:t>
      </w:r>
      <w:r w:rsidR="005D2720" w:rsidRPr="002E3505">
        <w:rPr>
          <w:rFonts w:ascii="Arial" w:hAnsi="Arial" w:cs="Arial"/>
        </w:rPr>
        <w:t xml:space="preserve"> Oxfordshire</w:t>
      </w:r>
      <w:r w:rsidR="002A088D" w:rsidRPr="002E3505">
        <w:rPr>
          <w:rFonts w:ascii="Arial" w:hAnsi="Arial" w:cs="Arial"/>
        </w:rPr>
        <w:t xml:space="preserve"> and </w:t>
      </w:r>
      <w:proofErr w:type="spellStart"/>
      <w:r w:rsidR="002A088D" w:rsidRPr="002E3505">
        <w:rPr>
          <w:rFonts w:ascii="Arial" w:hAnsi="Arial" w:cs="Arial"/>
        </w:rPr>
        <w:t>BSW</w:t>
      </w:r>
      <w:proofErr w:type="spellEnd"/>
      <w:r w:rsidR="005D2720" w:rsidRPr="002E3505">
        <w:rPr>
          <w:rFonts w:ascii="Arial" w:hAnsi="Arial" w:cs="Arial"/>
        </w:rPr>
        <w:t xml:space="preserve"> in </w:t>
      </w:r>
      <w:proofErr w:type="spellStart"/>
      <w:r w:rsidR="005D2720" w:rsidRPr="002E3505">
        <w:rPr>
          <w:rFonts w:ascii="Arial" w:hAnsi="Arial" w:cs="Arial"/>
        </w:rPr>
        <w:t>FY22</w:t>
      </w:r>
      <w:proofErr w:type="spellEnd"/>
      <w:r w:rsidR="00131C57" w:rsidRPr="002E3505">
        <w:rPr>
          <w:rFonts w:ascii="Arial" w:hAnsi="Arial" w:cs="Arial"/>
        </w:rPr>
        <w:t xml:space="preserve">. SDF conditions are </w:t>
      </w:r>
      <w:r w:rsidR="00822612" w:rsidRPr="002E3505">
        <w:rPr>
          <w:rFonts w:ascii="Arial" w:hAnsi="Arial" w:cs="Arial"/>
        </w:rPr>
        <w:t>determine</w:t>
      </w:r>
      <w:r w:rsidR="00187616" w:rsidRPr="002E3505">
        <w:rPr>
          <w:rFonts w:ascii="Arial" w:hAnsi="Arial" w:cs="Arial"/>
        </w:rPr>
        <w:t>d</w:t>
      </w:r>
      <w:r w:rsidR="00131C57" w:rsidRPr="002E3505">
        <w:rPr>
          <w:rFonts w:ascii="Arial" w:hAnsi="Arial" w:cs="Arial"/>
        </w:rPr>
        <w:t xml:space="preserve"> by </w:t>
      </w:r>
      <w:proofErr w:type="spellStart"/>
      <w:r w:rsidR="00131C57" w:rsidRPr="002E3505">
        <w:rPr>
          <w:rFonts w:ascii="Arial" w:hAnsi="Arial" w:cs="Arial"/>
        </w:rPr>
        <w:t>NHSE</w:t>
      </w:r>
      <w:proofErr w:type="spellEnd"/>
      <w:r w:rsidR="00822612" w:rsidRPr="002E3505">
        <w:rPr>
          <w:rFonts w:ascii="Arial" w:hAnsi="Arial" w:cs="Arial"/>
        </w:rPr>
        <w:t xml:space="preserve"> on a national scale to outline the desired </w:t>
      </w:r>
      <w:r w:rsidR="00BF3952" w:rsidRPr="002E3505">
        <w:rPr>
          <w:rFonts w:ascii="Arial" w:hAnsi="Arial" w:cs="Arial"/>
        </w:rPr>
        <w:t xml:space="preserve">scope and impact of service transformation. The application process for each </w:t>
      </w:r>
      <w:r w:rsidR="00A373CD" w:rsidRPr="002E3505">
        <w:rPr>
          <w:rFonts w:ascii="Arial" w:hAnsi="Arial" w:cs="Arial"/>
        </w:rPr>
        <w:t xml:space="preserve">opportunity varies, meaning that there is a combination of competitive and “fair shares” </w:t>
      </w:r>
      <w:r w:rsidR="002C0D4F" w:rsidRPr="002E3505">
        <w:rPr>
          <w:rFonts w:ascii="Arial" w:hAnsi="Arial" w:cs="Arial"/>
        </w:rPr>
        <w:t>allocations</w:t>
      </w:r>
      <w:r w:rsidR="007A2B68" w:rsidRPr="002E3505">
        <w:rPr>
          <w:rFonts w:ascii="Arial" w:hAnsi="Arial" w:cs="Arial"/>
        </w:rPr>
        <w:t xml:space="preserve">. </w:t>
      </w:r>
      <w:r w:rsidR="00C4117D" w:rsidRPr="002E3505">
        <w:rPr>
          <w:rFonts w:ascii="Arial" w:hAnsi="Arial" w:cs="Arial"/>
        </w:rPr>
        <w:t xml:space="preserve">Considerable time and resource </w:t>
      </w:r>
      <w:proofErr w:type="gramStart"/>
      <w:r w:rsidR="00C4117D" w:rsidRPr="002E3505">
        <w:rPr>
          <w:rFonts w:ascii="Arial" w:hAnsi="Arial" w:cs="Arial"/>
        </w:rPr>
        <w:t>is</w:t>
      </w:r>
      <w:proofErr w:type="gramEnd"/>
      <w:r w:rsidR="00C4117D" w:rsidRPr="002E3505">
        <w:rPr>
          <w:rFonts w:ascii="Arial" w:hAnsi="Arial" w:cs="Arial"/>
        </w:rPr>
        <w:t xml:space="preserve"> expended on applying for these funds. </w:t>
      </w:r>
      <w:r w:rsidR="007A2B68" w:rsidRPr="002E3505">
        <w:rPr>
          <w:rFonts w:ascii="Arial" w:hAnsi="Arial" w:cs="Arial"/>
        </w:rPr>
        <w:t xml:space="preserve">The duration </w:t>
      </w:r>
      <w:r w:rsidR="00F245CA" w:rsidRPr="002E3505">
        <w:rPr>
          <w:rFonts w:ascii="Arial" w:hAnsi="Arial" w:cs="Arial"/>
        </w:rPr>
        <w:t xml:space="preserve">and profile of funding also varies on a </w:t>
      </w:r>
      <w:r w:rsidR="008F36AC" w:rsidRPr="002E3505">
        <w:rPr>
          <w:rFonts w:ascii="Arial" w:hAnsi="Arial" w:cs="Arial"/>
        </w:rPr>
        <w:t>case-by-case</w:t>
      </w:r>
      <w:r w:rsidR="00F245CA" w:rsidRPr="002E3505">
        <w:rPr>
          <w:rFonts w:ascii="Arial" w:hAnsi="Arial" w:cs="Arial"/>
        </w:rPr>
        <w:t xml:space="preserve"> basis, meaning that </w:t>
      </w:r>
      <w:r w:rsidR="00CB337D" w:rsidRPr="002E3505">
        <w:rPr>
          <w:rFonts w:ascii="Arial" w:hAnsi="Arial" w:cs="Arial"/>
        </w:rPr>
        <w:t xml:space="preserve">exit plans and/or </w:t>
      </w:r>
      <w:r w:rsidR="008B1B12" w:rsidRPr="002E3505">
        <w:rPr>
          <w:rFonts w:ascii="Arial" w:hAnsi="Arial" w:cs="Arial"/>
        </w:rPr>
        <w:t xml:space="preserve">funding </w:t>
      </w:r>
      <w:r w:rsidR="00CB337D" w:rsidRPr="002E3505">
        <w:rPr>
          <w:rFonts w:ascii="Arial" w:hAnsi="Arial" w:cs="Arial"/>
        </w:rPr>
        <w:t xml:space="preserve">pickup commitments need to be </w:t>
      </w:r>
      <w:r w:rsidR="008B1B12" w:rsidRPr="002E3505">
        <w:rPr>
          <w:rFonts w:ascii="Arial" w:hAnsi="Arial" w:cs="Arial"/>
        </w:rPr>
        <w:t xml:space="preserve">considered at the outset. </w:t>
      </w:r>
    </w:p>
    <w:tbl>
      <w:tblPr>
        <w:tblW w:w="9209" w:type="dxa"/>
        <w:tblLook w:val="04A0" w:firstRow="1" w:lastRow="0" w:firstColumn="1" w:lastColumn="0" w:noHBand="0" w:noVBand="1"/>
      </w:tblPr>
      <w:tblGrid>
        <w:gridCol w:w="2263"/>
        <w:gridCol w:w="2268"/>
        <w:gridCol w:w="2410"/>
        <w:gridCol w:w="2268"/>
      </w:tblGrid>
      <w:tr w:rsidR="00005335" w:rsidRPr="00620F2C" w14:paraId="6530D7C4" w14:textId="77777777" w:rsidTr="00A22A97">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5A8C9" w14:textId="77777777" w:rsidR="00005335" w:rsidRPr="00620F2C" w:rsidRDefault="00005335" w:rsidP="002E3505">
            <w:pPr>
              <w:spacing w:after="0" w:line="240" w:lineRule="auto"/>
              <w:rPr>
                <w:rFonts w:ascii="Arial" w:eastAsia="Times New Roman" w:hAnsi="Arial" w:cs="Arial"/>
                <w:b/>
                <w:bCs/>
                <w:color w:val="000000"/>
                <w:sz w:val="18"/>
                <w:szCs w:val="18"/>
                <w:lang w:eastAsia="en-GB"/>
              </w:rPr>
            </w:pPr>
            <w:r w:rsidRPr="00620F2C">
              <w:rPr>
                <w:rFonts w:ascii="Arial" w:eastAsia="Times New Roman" w:hAnsi="Arial" w:cs="Arial"/>
                <w:b/>
                <w:bCs/>
                <w:color w:val="000000"/>
                <w:sz w:val="18"/>
                <w:szCs w:val="18"/>
                <w:lang w:eastAsia="en-GB"/>
              </w:rPr>
              <w:t>County</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518F7F1" w14:textId="77777777" w:rsidR="00005335" w:rsidRPr="00620F2C" w:rsidRDefault="00005335" w:rsidP="002E3505">
            <w:pPr>
              <w:spacing w:after="0" w:line="240" w:lineRule="auto"/>
              <w:rPr>
                <w:rFonts w:ascii="Arial" w:eastAsia="Times New Roman" w:hAnsi="Arial" w:cs="Arial"/>
                <w:b/>
                <w:bCs/>
                <w:color w:val="000000"/>
                <w:sz w:val="18"/>
                <w:szCs w:val="18"/>
                <w:lang w:eastAsia="en-GB"/>
              </w:rPr>
            </w:pPr>
            <w:proofErr w:type="spellStart"/>
            <w:r w:rsidRPr="00620F2C">
              <w:rPr>
                <w:rFonts w:ascii="Arial" w:eastAsia="Times New Roman" w:hAnsi="Arial" w:cs="Arial"/>
                <w:b/>
                <w:bCs/>
                <w:color w:val="000000"/>
                <w:sz w:val="18"/>
                <w:szCs w:val="18"/>
                <w:lang w:eastAsia="en-GB"/>
              </w:rPr>
              <w:t>FY22</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9ECB8FC" w14:textId="77777777" w:rsidR="00005335" w:rsidRPr="00620F2C" w:rsidRDefault="00005335" w:rsidP="002E3505">
            <w:pPr>
              <w:spacing w:after="0" w:line="240" w:lineRule="auto"/>
              <w:rPr>
                <w:rFonts w:ascii="Arial" w:eastAsia="Times New Roman" w:hAnsi="Arial" w:cs="Arial"/>
                <w:b/>
                <w:bCs/>
                <w:color w:val="000000"/>
                <w:sz w:val="18"/>
                <w:szCs w:val="18"/>
                <w:lang w:eastAsia="en-GB"/>
              </w:rPr>
            </w:pPr>
            <w:proofErr w:type="spellStart"/>
            <w:r w:rsidRPr="00620F2C">
              <w:rPr>
                <w:rFonts w:ascii="Arial" w:eastAsia="Times New Roman" w:hAnsi="Arial" w:cs="Arial"/>
                <w:b/>
                <w:bCs/>
                <w:color w:val="000000"/>
                <w:sz w:val="18"/>
                <w:szCs w:val="18"/>
                <w:lang w:eastAsia="en-GB"/>
              </w:rPr>
              <w:t>FY23</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9816C9F" w14:textId="77777777" w:rsidR="00005335" w:rsidRPr="00620F2C" w:rsidRDefault="00005335" w:rsidP="002E3505">
            <w:pPr>
              <w:spacing w:after="0" w:line="240" w:lineRule="auto"/>
              <w:rPr>
                <w:rFonts w:ascii="Arial" w:eastAsia="Times New Roman" w:hAnsi="Arial" w:cs="Arial"/>
                <w:b/>
                <w:bCs/>
                <w:color w:val="000000"/>
                <w:sz w:val="18"/>
                <w:szCs w:val="18"/>
                <w:lang w:eastAsia="en-GB"/>
              </w:rPr>
            </w:pPr>
            <w:proofErr w:type="spellStart"/>
            <w:r w:rsidRPr="00620F2C">
              <w:rPr>
                <w:rFonts w:ascii="Arial" w:eastAsia="Times New Roman" w:hAnsi="Arial" w:cs="Arial"/>
                <w:b/>
                <w:bCs/>
                <w:color w:val="000000"/>
                <w:sz w:val="18"/>
                <w:szCs w:val="18"/>
                <w:lang w:eastAsia="en-GB"/>
              </w:rPr>
              <w:t>FY24</w:t>
            </w:r>
            <w:proofErr w:type="spellEnd"/>
          </w:p>
        </w:tc>
      </w:tr>
      <w:tr w:rsidR="00005335" w:rsidRPr="00620F2C" w14:paraId="2C2236D0" w14:textId="77777777" w:rsidTr="00A22A97">
        <w:trPr>
          <w:trHeight w:val="2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26966" w14:textId="77777777" w:rsidR="00005335" w:rsidRPr="00620F2C" w:rsidRDefault="00005335" w:rsidP="002E3505">
            <w:pPr>
              <w:spacing w:after="0" w:line="240" w:lineRule="auto"/>
              <w:jc w:val="center"/>
              <w:rPr>
                <w:rFonts w:ascii="Arial" w:eastAsia="Times New Roman" w:hAnsi="Arial" w:cs="Arial"/>
                <w:color w:val="000000"/>
                <w:sz w:val="18"/>
                <w:szCs w:val="18"/>
                <w:lang w:eastAsia="en-GB"/>
              </w:rPr>
            </w:pPr>
            <w:proofErr w:type="spellStart"/>
            <w:r w:rsidRPr="00620F2C">
              <w:rPr>
                <w:rFonts w:ascii="Arial" w:eastAsia="Times New Roman" w:hAnsi="Arial" w:cs="Arial"/>
                <w:color w:val="000000"/>
                <w:sz w:val="18"/>
                <w:szCs w:val="18"/>
                <w:lang w:eastAsia="en-GB"/>
              </w:rPr>
              <w:t>C&amp;YP</w:t>
            </w:r>
            <w:proofErr w:type="spellEnd"/>
          </w:p>
        </w:tc>
      </w:tr>
      <w:tr w:rsidR="00005335" w:rsidRPr="00620F2C" w14:paraId="6D771956"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79D8B5A"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Bucks</w:t>
            </w:r>
          </w:p>
        </w:tc>
        <w:tc>
          <w:tcPr>
            <w:tcW w:w="2268" w:type="dxa"/>
            <w:tcBorders>
              <w:top w:val="nil"/>
              <w:left w:val="nil"/>
              <w:bottom w:val="single" w:sz="4" w:space="0" w:color="auto"/>
              <w:right w:val="single" w:sz="4" w:space="0" w:color="auto"/>
            </w:tcBorders>
            <w:shd w:val="clear" w:color="auto" w:fill="auto"/>
            <w:noWrap/>
            <w:vAlign w:val="bottom"/>
            <w:hideMark/>
          </w:tcPr>
          <w:p w14:paraId="31F7C19B"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£440,379</w:t>
            </w:r>
          </w:p>
        </w:tc>
        <w:tc>
          <w:tcPr>
            <w:tcW w:w="2410" w:type="dxa"/>
            <w:tcBorders>
              <w:top w:val="nil"/>
              <w:left w:val="nil"/>
              <w:bottom w:val="single" w:sz="4" w:space="0" w:color="auto"/>
              <w:right w:val="single" w:sz="4" w:space="0" w:color="auto"/>
            </w:tcBorders>
            <w:shd w:val="clear" w:color="auto" w:fill="auto"/>
            <w:noWrap/>
            <w:vAlign w:val="bottom"/>
            <w:hideMark/>
          </w:tcPr>
          <w:p w14:paraId="08CB1CD9"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£518,010</w:t>
            </w:r>
          </w:p>
        </w:tc>
        <w:tc>
          <w:tcPr>
            <w:tcW w:w="2268" w:type="dxa"/>
            <w:tcBorders>
              <w:top w:val="nil"/>
              <w:left w:val="nil"/>
              <w:bottom w:val="single" w:sz="4" w:space="0" w:color="auto"/>
              <w:right w:val="single" w:sz="4" w:space="0" w:color="auto"/>
            </w:tcBorders>
            <w:shd w:val="clear" w:color="auto" w:fill="auto"/>
            <w:noWrap/>
            <w:vAlign w:val="bottom"/>
            <w:hideMark/>
          </w:tcPr>
          <w:p w14:paraId="731E5385"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£843,025</w:t>
            </w:r>
          </w:p>
        </w:tc>
      </w:tr>
      <w:tr w:rsidR="00005335" w:rsidRPr="00620F2C" w14:paraId="0ABBE062"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D13FA8C"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Oxon</w:t>
            </w:r>
          </w:p>
        </w:tc>
        <w:tc>
          <w:tcPr>
            <w:tcW w:w="2268" w:type="dxa"/>
            <w:tcBorders>
              <w:top w:val="nil"/>
              <w:left w:val="nil"/>
              <w:bottom w:val="single" w:sz="4" w:space="0" w:color="auto"/>
              <w:right w:val="single" w:sz="4" w:space="0" w:color="auto"/>
            </w:tcBorders>
            <w:shd w:val="clear" w:color="auto" w:fill="auto"/>
            <w:noWrap/>
            <w:vAlign w:val="bottom"/>
            <w:hideMark/>
          </w:tcPr>
          <w:p w14:paraId="527F7B8A"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£687,452</w:t>
            </w:r>
          </w:p>
        </w:tc>
        <w:tc>
          <w:tcPr>
            <w:tcW w:w="2410" w:type="dxa"/>
            <w:tcBorders>
              <w:top w:val="nil"/>
              <w:left w:val="nil"/>
              <w:bottom w:val="single" w:sz="4" w:space="0" w:color="auto"/>
              <w:right w:val="single" w:sz="4" w:space="0" w:color="auto"/>
            </w:tcBorders>
            <w:shd w:val="clear" w:color="auto" w:fill="auto"/>
            <w:noWrap/>
            <w:vAlign w:val="bottom"/>
            <w:hideMark/>
          </w:tcPr>
          <w:p w14:paraId="7FB33D30"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£668,400</w:t>
            </w:r>
          </w:p>
        </w:tc>
        <w:tc>
          <w:tcPr>
            <w:tcW w:w="2268" w:type="dxa"/>
            <w:tcBorders>
              <w:top w:val="nil"/>
              <w:left w:val="nil"/>
              <w:bottom w:val="single" w:sz="4" w:space="0" w:color="auto"/>
              <w:right w:val="single" w:sz="4" w:space="0" w:color="auto"/>
            </w:tcBorders>
            <w:shd w:val="clear" w:color="auto" w:fill="auto"/>
            <w:noWrap/>
            <w:vAlign w:val="bottom"/>
            <w:hideMark/>
          </w:tcPr>
          <w:p w14:paraId="1A3F5566"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£1,087,774</w:t>
            </w:r>
          </w:p>
        </w:tc>
      </w:tr>
      <w:tr w:rsidR="00005335" w:rsidRPr="00620F2C" w14:paraId="44CE9C80" w14:textId="77777777" w:rsidTr="00A22A97">
        <w:trPr>
          <w:trHeight w:val="2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BB729" w14:textId="77777777" w:rsidR="00005335" w:rsidRPr="00620F2C" w:rsidRDefault="00005335" w:rsidP="002E3505">
            <w:pPr>
              <w:spacing w:after="0" w:line="240" w:lineRule="auto"/>
              <w:jc w:val="center"/>
              <w:rPr>
                <w:rFonts w:ascii="Arial" w:eastAsia="Times New Roman" w:hAnsi="Arial" w:cs="Arial"/>
                <w:color w:val="000000"/>
                <w:sz w:val="18"/>
                <w:szCs w:val="18"/>
                <w:lang w:eastAsia="en-GB"/>
              </w:rPr>
            </w:pPr>
            <w:proofErr w:type="spellStart"/>
            <w:r w:rsidRPr="00620F2C">
              <w:rPr>
                <w:rFonts w:ascii="Arial" w:eastAsia="Times New Roman" w:hAnsi="Arial" w:cs="Arial"/>
                <w:color w:val="000000"/>
                <w:sz w:val="18"/>
                <w:szCs w:val="18"/>
                <w:lang w:eastAsia="en-GB"/>
              </w:rPr>
              <w:t>MHST</w:t>
            </w:r>
            <w:proofErr w:type="spellEnd"/>
          </w:p>
        </w:tc>
      </w:tr>
      <w:tr w:rsidR="00005335" w:rsidRPr="00620F2C" w14:paraId="6509FCA3"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556B6F6"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Bucks</w:t>
            </w:r>
          </w:p>
        </w:tc>
        <w:tc>
          <w:tcPr>
            <w:tcW w:w="2268" w:type="dxa"/>
            <w:tcBorders>
              <w:top w:val="nil"/>
              <w:left w:val="nil"/>
              <w:bottom w:val="single" w:sz="4" w:space="0" w:color="auto"/>
              <w:right w:val="single" w:sz="4" w:space="0" w:color="auto"/>
            </w:tcBorders>
            <w:shd w:val="clear" w:color="auto" w:fill="auto"/>
            <w:noWrap/>
            <w:vAlign w:val="bottom"/>
            <w:hideMark/>
          </w:tcPr>
          <w:p w14:paraId="2AB5DAC1"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£1,084,000</w:t>
            </w:r>
          </w:p>
        </w:tc>
        <w:tc>
          <w:tcPr>
            <w:tcW w:w="2410" w:type="dxa"/>
            <w:tcBorders>
              <w:top w:val="nil"/>
              <w:left w:val="nil"/>
              <w:bottom w:val="single" w:sz="4" w:space="0" w:color="auto"/>
              <w:right w:val="single" w:sz="4" w:space="0" w:color="auto"/>
            </w:tcBorders>
            <w:shd w:val="clear" w:color="auto" w:fill="auto"/>
            <w:noWrap/>
            <w:vAlign w:val="bottom"/>
            <w:hideMark/>
          </w:tcPr>
          <w:p w14:paraId="1D95DA5C"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£1,285,000</w:t>
            </w:r>
          </w:p>
        </w:tc>
        <w:tc>
          <w:tcPr>
            <w:tcW w:w="2268" w:type="dxa"/>
            <w:tcBorders>
              <w:top w:val="nil"/>
              <w:left w:val="nil"/>
              <w:bottom w:val="single" w:sz="4" w:space="0" w:color="auto"/>
              <w:right w:val="single" w:sz="4" w:space="0" w:color="auto"/>
            </w:tcBorders>
            <w:shd w:val="clear" w:color="auto" w:fill="auto"/>
            <w:noWrap/>
            <w:vAlign w:val="bottom"/>
            <w:hideMark/>
          </w:tcPr>
          <w:p w14:paraId="18E6B066"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£1,959,000</w:t>
            </w:r>
          </w:p>
        </w:tc>
      </w:tr>
      <w:tr w:rsidR="00005335" w:rsidRPr="00620F2C" w14:paraId="4B91FFCC"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B2DF346"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Oxon</w:t>
            </w:r>
          </w:p>
        </w:tc>
        <w:tc>
          <w:tcPr>
            <w:tcW w:w="2268" w:type="dxa"/>
            <w:tcBorders>
              <w:top w:val="nil"/>
              <w:left w:val="nil"/>
              <w:bottom w:val="single" w:sz="4" w:space="0" w:color="auto"/>
              <w:right w:val="single" w:sz="4" w:space="0" w:color="auto"/>
            </w:tcBorders>
            <w:shd w:val="clear" w:color="auto" w:fill="auto"/>
            <w:noWrap/>
            <w:vAlign w:val="bottom"/>
            <w:hideMark/>
          </w:tcPr>
          <w:p w14:paraId="3CDA9A26"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£1,411,000</w:t>
            </w:r>
          </w:p>
        </w:tc>
        <w:tc>
          <w:tcPr>
            <w:tcW w:w="2410" w:type="dxa"/>
            <w:tcBorders>
              <w:top w:val="nil"/>
              <w:left w:val="nil"/>
              <w:bottom w:val="single" w:sz="4" w:space="0" w:color="auto"/>
              <w:right w:val="single" w:sz="4" w:space="0" w:color="auto"/>
            </w:tcBorders>
            <w:shd w:val="clear" w:color="auto" w:fill="auto"/>
            <w:noWrap/>
            <w:vAlign w:val="bottom"/>
            <w:hideMark/>
          </w:tcPr>
          <w:p w14:paraId="295875DA"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£1,440,000</w:t>
            </w:r>
          </w:p>
        </w:tc>
        <w:tc>
          <w:tcPr>
            <w:tcW w:w="2268" w:type="dxa"/>
            <w:tcBorders>
              <w:top w:val="nil"/>
              <w:left w:val="nil"/>
              <w:bottom w:val="single" w:sz="4" w:space="0" w:color="auto"/>
              <w:right w:val="single" w:sz="4" w:space="0" w:color="auto"/>
            </w:tcBorders>
            <w:shd w:val="clear" w:color="auto" w:fill="auto"/>
            <w:noWrap/>
            <w:vAlign w:val="bottom"/>
            <w:hideMark/>
          </w:tcPr>
          <w:p w14:paraId="41AE0210"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£2,058,000</w:t>
            </w:r>
          </w:p>
        </w:tc>
      </w:tr>
      <w:tr w:rsidR="00005335" w:rsidRPr="00620F2C" w14:paraId="49E8C707" w14:textId="77777777" w:rsidTr="00A22A97">
        <w:trPr>
          <w:trHeight w:val="2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02BC" w14:textId="77777777" w:rsidR="00005335" w:rsidRPr="00620F2C" w:rsidRDefault="00005335" w:rsidP="002E3505">
            <w:pPr>
              <w:spacing w:after="0" w:line="240" w:lineRule="auto"/>
              <w:jc w:val="center"/>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18 - 25</w:t>
            </w:r>
          </w:p>
        </w:tc>
      </w:tr>
      <w:tr w:rsidR="00005335" w:rsidRPr="00620F2C" w14:paraId="39EC0D19"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228447E"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Bucks</w:t>
            </w:r>
          </w:p>
        </w:tc>
        <w:tc>
          <w:tcPr>
            <w:tcW w:w="2268" w:type="dxa"/>
            <w:tcBorders>
              <w:top w:val="nil"/>
              <w:left w:val="nil"/>
              <w:bottom w:val="single" w:sz="4" w:space="0" w:color="auto"/>
              <w:right w:val="single" w:sz="4" w:space="0" w:color="auto"/>
            </w:tcBorders>
            <w:shd w:val="clear" w:color="auto" w:fill="auto"/>
            <w:noWrap/>
            <w:vAlign w:val="bottom"/>
            <w:hideMark/>
          </w:tcPr>
          <w:p w14:paraId="5DD84D4B"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£131,456</w:t>
            </w:r>
          </w:p>
        </w:tc>
        <w:tc>
          <w:tcPr>
            <w:tcW w:w="2410" w:type="dxa"/>
            <w:tcBorders>
              <w:top w:val="nil"/>
              <w:left w:val="nil"/>
              <w:bottom w:val="single" w:sz="4" w:space="0" w:color="auto"/>
              <w:right w:val="single" w:sz="4" w:space="0" w:color="auto"/>
            </w:tcBorders>
            <w:shd w:val="clear" w:color="auto" w:fill="auto"/>
            <w:noWrap/>
            <w:vAlign w:val="bottom"/>
            <w:hideMark/>
          </w:tcPr>
          <w:p w14:paraId="4E1A26F1"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£240,870</w:t>
            </w:r>
          </w:p>
        </w:tc>
        <w:tc>
          <w:tcPr>
            <w:tcW w:w="2268" w:type="dxa"/>
            <w:tcBorders>
              <w:top w:val="nil"/>
              <w:left w:val="nil"/>
              <w:bottom w:val="single" w:sz="4" w:space="0" w:color="auto"/>
              <w:right w:val="single" w:sz="4" w:space="0" w:color="auto"/>
            </w:tcBorders>
            <w:shd w:val="clear" w:color="auto" w:fill="auto"/>
            <w:noWrap/>
            <w:vAlign w:val="bottom"/>
            <w:hideMark/>
          </w:tcPr>
          <w:p w14:paraId="5C54BD39"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£396,718</w:t>
            </w:r>
          </w:p>
        </w:tc>
      </w:tr>
      <w:tr w:rsidR="00005335" w:rsidRPr="00620F2C" w14:paraId="6599BE2C"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FBF464F"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Oxon</w:t>
            </w:r>
          </w:p>
        </w:tc>
        <w:tc>
          <w:tcPr>
            <w:tcW w:w="2268" w:type="dxa"/>
            <w:tcBorders>
              <w:top w:val="nil"/>
              <w:left w:val="nil"/>
              <w:bottom w:val="single" w:sz="4" w:space="0" w:color="auto"/>
              <w:right w:val="single" w:sz="4" w:space="0" w:color="auto"/>
            </w:tcBorders>
            <w:shd w:val="clear" w:color="auto" w:fill="auto"/>
            <w:noWrap/>
            <w:vAlign w:val="bottom"/>
            <w:hideMark/>
          </w:tcPr>
          <w:p w14:paraId="57F91073"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£205,210</w:t>
            </w:r>
          </w:p>
        </w:tc>
        <w:tc>
          <w:tcPr>
            <w:tcW w:w="2410" w:type="dxa"/>
            <w:tcBorders>
              <w:top w:val="nil"/>
              <w:left w:val="nil"/>
              <w:bottom w:val="single" w:sz="4" w:space="0" w:color="auto"/>
              <w:right w:val="single" w:sz="4" w:space="0" w:color="auto"/>
            </w:tcBorders>
            <w:shd w:val="clear" w:color="auto" w:fill="auto"/>
            <w:noWrap/>
            <w:vAlign w:val="bottom"/>
            <w:hideMark/>
          </w:tcPr>
          <w:p w14:paraId="08F8FE1F"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£310,800</w:t>
            </w:r>
          </w:p>
        </w:tc>
        <w:tc>
          <w:tcPr>
            <w:tcW w:w="2268" w:type="dxa"/>
            <w:tcBorders>
              <w:top w:val="nil"/>
              <w:left w:val="nil"/>
              <w:bottom w:val="single" w:sz="4" w:space="0" w:color="auto"/>
              <w:right w:val="single" w:sz="4" w:space="0" w:color="auto"/>
            </w:tcBorders>
            <w:shd w:val="clear" w:color="auto" w:fill="auto"/>
            <w:noWrap/>
            <w:vAlign w:val="bottom"/>
            <w:hideMark/>
          </w:tcPr>
          <w:p w14:paraId="5339A5C8"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£511,894</w:t>
            </w:r>
          </w:p>
        </w:tc>
      </w:tr>
      <w:tr w:rsidR="00005335" w:rsidRPr="00620F2C" w14:paraId="621D705A" w14:textId="77777777" w:rsidTr="00A22A97">
        <w:trPr>
          <w:trHeight w:val="2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199FD" w14:textId="77777777" w:rsidR="00005335" w:rsidRPr="00620F2C" w:rsidRDefault="00005335" w:rsidP="002E3505">
            <w:pPr>
              <w:spacing w:after="0" w:line="240" w:lineRule="auto"/>
              <w:jc w:val="center"/>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Maternal MH</w:t>
            </w:r>
          </w:p>
        </w:tc>
      </w:tr>
      <w:tr w:rsidR="00005335" w:rsidRPr="00620F2C" w14:paraId="68087248"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E6C06B0"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lastRenderedPageBreak/>
              <w:t>Bucks</w:t>
            </w:r>
          </w:p>
        </w:tc>
        <w:tc>
          <w:tcPr>
            <w:tcW w:w="2268" w:type="dxa"/>
            <w:tcBorders>
              <w:top w:val="nil"/>
              <w:left w:val="nil"/>
              <w:bottom w:val="single" w:sz="4" w:space="0" w:color="auto"/>
              <w:right w:val="single" w:sz="4" w:space="0" w:color="auto"/>
            </w:tcBorders>
            <w:shd w:val="clear" w:color="auto" w:fill="auto"/>
            <w:noWrap/>
            <w:vAlign w:val="bottom"/>
            <w:hideMark/>
          </w:tcPr>
          <w:p w14:paraId="3149472F"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£151,254</w:t>
            </w:r>
          </w:p>
        </w:tc>
        <w:tc>
          <w:tcPr>
            <w:tcW w:w="2410" w:type="dxa"/>
            <w:tcBorders>
              <w:top w:val="nil"/>
              <w:left w:val="nil"/>
              <w:bottom w:val="single" w:sz="4" w:space="0" w:color="auto"/>
              <w:right w:val="single" w:sz="4" w:space="0" w:color="auto"/>
            </w:tcBorders>
            <w:shd w:val="clear" w:color="auto" w:fill="auto"/>
            <w:noWrap/>
            <w:vAlign w:val="bottom"/>
            <w:hideMark/>
          </w:tcPr>
          <w:p w14:paraId="633CA738"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£0</w:t>
            </w:r>
          </w:p>
        </w:tc>
        <w:tc>
          <w:tcPr>
            <w:tcW w:w="2268" w:type="dxa"/>
            <w:tcBorders>
              <w:top w:val="nil"/>
              <w:left w:val="nil"/>
              <w:bottom w:val="single" w:sz="4" w:space="0" w:color="auto"/>
              <w:right w:val="single" w:sz="4" w:space="0" w:color="auto"/>
            </w:tcBorders>
            <w:shd w:val="clear" w:color="auto" w:fill="auto"/>
            <w:noWrap/>
            <w:vAlign w:val="bottom"/>
            <w:hideMark/>
          </w:tcPr>
          <w:p w14:paraId="28E804AF"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£0</w:t>
            </w:r>
          </w:p>
        </w:tc>
      </w:tr>
      <w:tr w:rsidR="00005335" w:rsidRPr="00620F2C" w14:paraId="241F3657"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71523A7"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Oxon</w:t>
            </w:r>
          </w:p>
        </w:tc>
        <w:tc>
          <w:tcPr>
            <w:tcW w:w="2268" w:type="dxa"/>
            <w:tcBorders>
              <w:top w:val="nil"/>
              <w:left w:val="nil"/>
              <w:bottom w:val="single" w:sz="4" w:space="0" w:color="auto"/>
              <w:right w:val="single" w:sz="4" w:space="0" w:color="auto"/>
            </w:tcBorders>
            <w:shd w:val="clear" w:color="auto" w:fill="auto"/>
            <w:noWrap/>
            <w:vAlign w:val="bottom"/>
            <w:hideMark/>
          </w:tcPr>
          <w:p w14:paraId="71057BEE"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£178,088</w:t>
            </w:r>
          </w:p>
        </w:tc>
        <w:tc>
          <w:tcPr>
            <w:tcW w:w="2410" w:type="dxa"/>
            <w:tcBorders>
              <w:top w:val="nil"/>
              <w:left w:val="nil"/>
              <w:bottom w:val="single" w:sz="4" w:space="0" w:color="auto"/>
              <w:right w:val="single" w:sz="4" w:space="0" w:color="auto"/>
            </w:tcBorders>
            <w:shd w:val="clear" w:color="auto" w:fill="auto"/>
            <w:noWrap/>
            <w:vAlign w:val="bottom"/>
            <w:hideMark/>
          </w:tcPr>
          <w:p w14:paraId="7A70577D"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£0</w:t>
            </w:r>
          </w:p>
        </w:tc>
        <w:tc>
          <w:tcPr>
            <w:tcW w:w="2268" w:type="dxa"/>
            <w:tcBorders>
              <w:top w:val="nil"/>
              <w:left w:val="nil"/>
              <w:bottom w:val="single" w:sz="4" w:space="0" w:color="auto"/>
              <w:right w:val="single" w:sz="4" w:space="0" w:color="auto"/>
            </w:tcBorders>
            <w:shd w:val="clear" w:color="auto" w:fill="auto"/>
            <w:noWrap/>
            <w:vAlign w:val="bottom"/>
            <w:hideMark/>
          </w:tcPr>
          <w:p w14:paraId="42D94455"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£0</w:t>
            </w:r>
          </w:p>
        </w:tc>
      </w:tr>
      <w:tr w:rsidR="00005335" w:rsidRPr="00620F2C" w14:paraId="79078D14" w14:textId="77777777" w:rsidTr="00A22A97">
        <w:trPr>
          <w:trHeight w:val="2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469B1" w14:textId="77777777" w:rsidR="00005335" w:rsidRPr="00620F2C" w:rsidRDefault="00005335" w:rsidP="002E3505">
            <w:pPr>
              <w:spacing w:after="0" w:line="240" w:lineRule="auto"/>
              <w:jc w:val="center"/>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Alternatives to Crisis</w:t>
            </w:r>
          </w:p>
        </w:tc>
      </w:tr>
      <w:tr w:rsidR="00005335" w:rsidRPr="00620F2C" w14:paraId="0BE85B6B"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1BC3A0B"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Bucks</w:t>
            </w:r>
          </w:p>
        </w:tc>
        <w:tc>
          <w:tcPr>
            <w:tcW w:w="2268" w:type="dxa"/>
            <w:tcBorders>
              <w:top w:val="nil"/>
              <w:left w:val="nil"/>
              <w:bottom w:val="single" w:sz="4" w:space="0" w:color="auto"/>
              <w:right w:val="single" w:sz="4" w:space="0" w:color="auto"/>
            </w:tcBorders>
            <w:shd w:val="clear" w:color="auto" w:fill="auto"/>
            <w:noWrap/>
            <w:vAlign w:val="bottom"/>
            <w:hideMark/>
          </w:tcPr>
          <w:p w14:paraId="1D0B828D"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£226,936</w:t>
            </w:r>
          </w:p>
        </w:tc>
        <w:tc>
          <w:tcPr>
            <w:tcW w:w="2410" w:type="dxa"/>
            <w:tcBorders>
              <w:top w:val="nil"/>
              <w:left w:val="nil"/>
              <w:bottom w:val="single" w:sz="4" w:space="0" w:color="auto"/>
              <w:right w:val="single" w:sz="4" w:space="0" w:color="auto"/>
            </w:tcBorders>
            <w:shd w:val="clear" w:color="auto" w:fill="auto"/>
            <w:noWrap/>
            <w:vAlign w:val="bottom"/>
            <w:hideMark/>
          </w:tcPr>
          <w:p w14:paraId="5D9C2ACC"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£305,583</w:t>
            </w:r>
          </w:p>
        </w:tc>
        <w:tc>
          <w:tcPr>
            <w:tcW w:w="2268" w:type="dxa"/>
            <w:tcBorders>
              <w:top w:val="nil"/>
              <w:left w:val="nil"/>
              <w:bottom w:val="single" w:sz="4" w:space="0" w:color="auto"/>
              <w:right w:val="single" w:sz="4" w:space="0" w:color="auto"/>
            </w:tcBorders>
            <w:shd w:val="clear" w:color="auto" w:fill="auto"/>
            <w:noWrap/>
            <w:vAlign w:val="bottom"/>
            <w:hideMark/>
          </w:tcPr>
          <w:p w14:paraId="4B22AA34"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£398,068</w:t>
            </w:r>
          </w:p>
        </w:tc>
      </w:tr>
      <w:tr w:rsidR="00005335" w:rsidRPr="00620F2C" w14:paraId="0549C10A"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C07D922"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Oxon</w:t>
            </w:r>
          </w:p>
        </w:tc>
        <w:tc>
          <w:tcPr>
            <w:tcW w:w="2268" w:type="dxa"/>
            <w:tcBorders>
              <w:top w:val="nil"/>
              <w:left w:val="nil"/>
              <w:bottom w:val="single" w:sz="4" w:space="0" w:color="auto"/>
              <w:right w:val="single" w:sz="4" w:space="0" w:color="auto"/>
            </w:tcBorders>
            <w:shd w:val="clear" w:color="auto" w:fill="auto"/>
            <w:noWrap/>
            <w:vAlign w:val="bottom"/>
            <w:hideMark/>
          </w:tcPr>
          <w:p w14:paraId="0421CF36"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£292,821</w:t>
            </w:r>
          </w:p>
        </w:tc>
        <w:tc>
          <w:tcPr>
            <w:tcW w:w="2410" w:type="dxa"/>
            <w:tcBorders>
              <w:top w:val="nil"/>
              <w:left w:val="nil"/>
              <w:bottom w:val="single" w:sz="4" w:space="0" w:color="auto"/>
              <w:right w:val="single" w:sz="4" w:space="0" w:color="auto"/>
            </w:tcBorders>
            <w:shd w:val="clear" w:color="auto" w:fill="auto"/>
            <w:noWrap/>
            <w:vAlign w:val="bottom"/>
            <w:hideMark/>
          </w:tcPr>
          <w:p w14:paraId="201706C9"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£391,773</w:t>
            </w:r>
          </w:p>
        </w:tc>
        <w:tc>
          <w:tcPr>
            <w:tcW w:w="2268" w:type="dxa"/>
            <w:tcBorders>
              <w:top w:val="nil"/>
              <w:left w:val="nil"/>
              <w:bottom w:val="single" w:sz="4" w:space="0" w:color="auto"/>
              <w:right w:val="single" w:sz="4" w:space="0" w:color="auto"/>
            </w:tcBorders>
            <w:shd w:val="clear" w:color="auto" w:fill="auto"/>
            <w:noWrap/>
            <w:vAlign w:val="bottom"/>
            <w:hideMark/>
          </w:tcPr>
          <w:p w14:paraId="2E6C2164"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£510,344</w:t>
            </w:r>
          </w:p>
        </w:tc>
      </w:tr>
      <w:tr w:rsidR="00005335" w:rsidRPr="00620F2C" w14:paraId="2336FF19" w14:textId="77777777" w:rsidTr="00A22A97">
        <w:trPr>
          <w:trHeight w:val="2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F4996" w14:textId="77777777" w:rsidR="00005335" w:rsidRPr="00620F2C" w:rsidRDefault="00005335" w:rsidP="002E3505">
            <w:pPr>
              <w:spacing w:after="0" w:line="240" w:lineRule="auto"/>
              <w:jc w:val="center"/>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Liaison &amp; Discharge Support</w:t>
            </w:r>
          </w:p>
        </w:tc>
      </w:tr>
      <w:tr w:rsidR="00005335" w:rsidRPr="00620F2C" w14:paraId="1B7824EA"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FE52273"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Bucks</w:t>
            </w:r>
          </w:p>
        </w:tc>
        <w:tc>
          <w:tcPr>
            <w:tcW w:w="2268" w:type="dxa"/>
            <w:tcBorders>
              <w:top w:val="nil"/>
              <w:left w:val="nil"/>
              <w:bottom w:val="single" w:sz="4" w:space="0" w:color="auto"/>
              <w:right w:val="single" w:sz="4" w:space="0" w:color="auto"/>
            </w:tcBorders>
            <w:shd w:val="clear" w:color="auto" w:fill="auto"/>
            <w:noWrap/>
            <w:vAlign w:val="bottom"/>
            <w:hideMark/>
          </w:tcPr>
          <w:p w14:paraId="64674A60"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£0</w:t>
            </w:r>
          </w:p>
        </w:tc>
        <w:tc>
          <w:tcPr>
            <w:tcW w:w="2410" w:type="dxa"/>
            <w:tcBorders>
              <w:top w:val="nil"/>
              <w:left w:val="nil"/>
              <w:bottom w:val="single" w:sz="4" w:space="0" w:color="auto"/>
              <w:right w:val="single" w:sz="4" w:space="0" w:color="auto"/>
            </w:tcBorders>
            <w:shd w:val="clear" w:color="auto" w:fill="auto"/>
            <w:noWrap/>
            <w:vAlign w:val="bottom"/>
            <w:hideMark/>
          </w:tcPr>
          <w:p w14:paraId="699D3258"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TBC</w:t>
            </w:r>
          </w:p>
        </w:tc>
        <w:tc>
          <w:tcPr>
            <w:tcW w:w="2268" w:type="dxa"/>
            <w:tcBorders>
              <w:top w:val="nil"/>
              <w:left w:val="nil"/>
              <w:bottom w:val="single" w:sz="4" w:space="0" w:color="auto"/>
              <w:right w:val="single" w:sz="4" w:space="0" w:color="auto"/>
            </w:tcBorders>
            <w:shd w:val="clear" w:color="auto" w:fill="auto"/>
            <w:noWrap/>
            <w:vAlign w:val="bottom"/>
            <w:hideMark/>
          </w:tcPr>
          <w:p w14:paraId="4EA14245"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TBC</w:t>
            </w:r>
          </w:p>
        </w:tc>
      </w:tr>
      <w:tr w:rsidR="00005335" w:rsidRPr="00620F2C" w14:paraId="6B1F8F29"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B2CE24C"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Oxon</w:t>
            </w:r>
          </w:p>
        </w:tc>
        <w:tc>
          <w:tcPr>
            <w:tcW w:w="2268" w:type="dxa"/>
            <w:tcBorders>
              <w:top w:val="nil"/>
              <w:left w:val="nil"/>
              <w:bottom w:val="single" w:sz="4" w:space="0" w:color="auto"/>
              <w:right w:val="single" w:sz="4" w:space="0" w:color="auto"/>
            </w:tcBorders>
            <w:shd w:val="clear" w:color="auto" w:fill="auto"/>
            <w:noWrap/>
            <w:vAlign w:val="bottom"/>
            <w:hideMark/>
          </w:tcPr>
          <w:p w14:paraId="33F26DC7"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£0</w:t>
            </w:r>
          </w:p>
        </w:tc>
        <w:tc>
          <w:tcPr>
            <w:tcW w:w="2410" w:type="dxa"/>
            <w:tcBorders>
              <w:top w:val="nil"/>
              <w:left w:val="nil"/>
              <w:bottom w:val="single" w:sz="4" w:space="0" w:color="auto"/>
              <w:right w:val="single" w:sz="4" w:space="0" w:color="auto"/>
            </w:tcBorders>
            <w:shd w:val="clear" w:color="auto" w:fill="auto"/>
            <w:noWrap/>
            <w:vAlign w:val="bottom"/>
            <w:hideMark/>
          </w:tcPr>
          <w:p w14:paraId="766A41FB"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TBC</w:t>
            </w:r>
          </w:p>
        </w:tc>
        <w:tc>
          <w:tcPr>
            <w:tcW w:w="2268" w:type="dxa"/>
            <w:tcBorders>
              <w:top w:val="nil"/>
              <w:left w:val="nil"/>
              <w:bottom w:val="single" w:sz="4" w:space="0" w:color="auto"/>
              <w:right w:val="single" w:sz="4" w:space="0" w:color="auto"/>
            </w:tcBorders>
            <w:shd w:val="clear" w:color="auto" w:fill="auto"/>
            <w:noWrap/>
            <w:vAlign w:val="bottom"/>
            <w:hideMark/>
          </w:tcPr>
          <w:p w14:paraId="65724074"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TBC</w:t>
            </w:r>
          </w:p>
        </w:tc>
      </w:tr>
      <w:tr w:rsidR="00005335" w:rsidRPr="00620F2C" w14:paraId="5DC4181B" w14:textId="77777777" w:rsidTr="00A22A97">
        <w:trPr>
          <w:trHeight w:val="2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3FCC0" w14:textId="77777777" w:rsidR="00005335" w:rsidRPr="00620F2C" w:rsidRDefault="00005335" w:rsidP="002E3505">
            <w:pPr>
              <w:spacing w:after="0" w:line="240" w:lineRule="auto"/>
              <w:jc w:val="center"/>
              <w:rPr>
                <w:rFonts w:ascii="Arial" w:eastAsia="Times New Roman" w:hAnsi="Arial" w:cs="Arial"/>
                <w:color w:val="000000"/>
                <w:sz w:val="18"/>
                <w:szCs w:val="18"/>
                <w:lang w:eastAsia="en-GB"/>
              </w:rPr>
            </w:pPr>
            <w:proofErr w:type="spellStart"/>
            <w:r w:rsidRPr="00620F2C">
              <w:rPr>
                <w:rFonts w:ascii="Arial" w:eastAsia="Times New Roman" w:hAnsi="Arial" w:cs="Arial"/>
                <w:color w:val="000000"/>
                <w:sz w:val="18"/>
                <w:szCs w:val="18"/>
                <w:lang w:eastAsia="en-GB"/>
              </w:rPr>
              <w:t>CMHF</w:t>
            </w:r>
            <w:proofErr w:type="spellEnd"/>
          </w:p>
        </w:tc>
      </w:tr>
      <w:tr w:rsidR="00005335" w:rsidRPr="00620F2C" w14:paraId="2BC14020"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6DDB327"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Bucks</w:t>
            </w:r>
          </w:p>
        </w:tc>
        <w:tc>
          <w:tcPr>
            <w:tcW w:w="2268" w:type="dxa"/>
            <w:tcBorders>
              <w:top w:val="nil"/>
              <w:left w:val="nil"/>
              <w:bottom w:val="single" w:sz="4" w:space="0" w:color="auto"/>
              <w:right w:val="single" w:sz="4" w:space="0" w:color="auto"/>
            </w:tcBorders>
            <w:shd w:val="clear" w:color="auto" w:fill="auto"/>
            <w:noWrap/>
            <w:vAlign w:val="bottom"/>
            <w:hideMark/>
          </w:tcPr>
          <w:p w14:paraId="422EB5DC"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£875,845</w:t>
            </w:r>
          </w:p>
        </w:tc>
        <w:tc>
          <w:tcPr>
            <w:tcW w:w="2410" w:type="dxa"/>
            <w:tcBorders>
              <w:top w:val="nil"/>
              <w:left w:val="nil"/>
              <w:bottom w:val="single" w:sz="4" w:space="0" w:color="auto"/>
              <w:right w:val="single" w:sz="4" w:space="0" w:color="auto"/>
            </w:tcBorders>
            <w:shd w:val="clear" w:color="auto" w:fill="auto"/>
            <w:noWrap/>
            <w:vAlign w:val="bottom"/>
            <w:hideMark/>
          </w:tcPr>
          <w:p w14:paraId="150398D5"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£2,150,896</w:t>
            </w:r>
          </w:p>
        </w:tc>
        <w:tc>
          <w:tcPr>
            <w:tcW w:w="2268" w:type="dxa"/>
            <w:tcBorders>
              <w:top w:val="nil"/>
              <w:left w:val="nil"/>
              <w:bottom w:val="single" w:sz="4" w:space="0" w:color="auto"/>
              <w:right w:val="single" w:sz="4" w:space="0" w:color="auto"/>
            </w:tcBorders>
            <w:shd w:val="clear" w:color="auto" w:fill="auto"/>
            <w:noWrap/>
            <w:vAlign w:val="bottom"/>
            <w:hideMark/>
          </w:tcPr>
          <w:p w14:paraId="460AEA09"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£2,643,390</w:t>
            </w:r>
          </w:p>
        </w:tc>
      </w:tr>
      <w:tr w:rsidR="00005335" w:rsidRPr="00620F2C" w14:paraId="09FB1B2D"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FC5D1D6"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Oxon</w:t>
            </w:r>
          </w:p>
        </w:tc>
        <w:tc>
          <w:tcPr>
            <w:tcW w:w="2268" w:type="dxa"/>
            <w:tcBorders>
              <w:top w:val="nil"/>
              <w:left w:val="nil"/>
              <w:bottom w:val="single" w:sz="4" w:space="0" w:color="auto"/>
              <w:right w:val="single" w:sz="4" w:space="0" w:color="auto"/>
            </w:tcBorders>
            <w:shd w:val="clear" w:color="auto" w:fill="auto"/>
            <w:noWrap/>
            <w:vAlign w:val="bottom"/>
            <w:hideMark/>
          </w:tcPr>
          <w:p w14:paraId="530FB9C9"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£1,130,123</w:t>
            </w:r>
          </w:p>
        </w:tc>
        <w:tc>
          <w:tcPr>
            <w:tcW w:w="2410" w:type="dxa"/>
            <w:tcBorders>
              <w:top w:val="nil"/>
              <w:left w:val="nil"/>
              <w:bottom w:val="single" w:sz="4" w:space="0" w:color="auto"/>
              <w:right w:val="single" w:sz="4" w:space="0" w:color="auto"/>
            </w:tcBorders>
            <w:shd w:val="clear" w:color="auto" w:fill="auto"/>
            <w:noWrap/>
            <w:vAlign w:val="bottom"/>
            <w:hideMark/>
          </w:tcPr>
          <w:p w14:paraId="1D5732F5"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£2,778,126</w:t>
            </w:r>
          </w:p>
        </w:tc>
        <w:tc>
          <w:tcPr>
            <w:tcW w:w="2268" w:type="dxa"/>
            <w:tcBorders>
              <w:top w:val="nil"/>
              <w:left w:val="nil"/>
              <w:bottom w:val="single" w:sz="4" w:space="0" w:color="auto"/>
              <w:right w:val="single" w:sz="4" w:space="0" w:color="auto"/>
            </w:tcBorders>
            <w:shd w:val="clear" w:color="auto" w:fill="auto"/>
            <w:noWrap/>
            <w:vAlign w:val="bottom"/>
            <w:hideMark/>
          </w:tcPr>
          <w:p w14:paraId="354A99CD"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£3,410,826</w:t>
            </w:r>
          </w:p>
        </w:tc>
      </w:tr>
      <w:tr w:rsidR="00005335" w:rsidRPr="00620F2C" w14:paraId="342D7866" w14:textId="77777777" w:rsidTr="00A22A97">
        <w:trPr>
          <w:trHeight w:val="2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E4EB0" w14:textId="77777777" w:rsidR="00005335" w:rsidRPr="00620F2C" w:rsidRDefault="00005335" w:rsidP="002E3505">
            <w:pPr>
              <w:spacing w:after="0" w:line="240" w:lineRule="auto"/>
              <w:jc w:val="center"/>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Suicide Prevention</w:t>
            </w:r>
          </w:p>
        </w:tc>
      </w:tr>
      <w:tr w:rsidR="00005335" w:rsidRPr="00620F2C" w14:paraId="1625F580"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F70BF51"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Bucks</w:t>
            </w:r>
          </w:p>
        </w:tc>
        <w:tc>
          <w:tcPr>
            <w:tcW w:w="2268" w:type="dxa"/>
            <w:tcBorders>
              <w:top w:val="nil"/>
              <w:left w:val="nil"/>
              <w:bottom w:val="single" w:sz="4" w:space="0" w:color="auto"/>
              <w:right w:val="single" w:sz="4" w:space="0" w:color="auto"/>
            </w:tcBorders>
            <w:shd w:val="clear" w:color="auto" w:fill="auto"/>
            <w:noWrap/>
            <w:vAlign w:val="bottom"/>
            <w:hideMark/>
          </w:tcPr>
          <w:p w14:paraId="336858BC"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£117,443</w:t>
            </w:r>
          </w:p>
        </w:tc>
        <w:tc>
          <w:tcPr>
            <w:tcW w:w="2410" w:type="dxa"/>
            <w:tcBorders>
              <w:top w:val="nil"/>
              <w:left w:val="nil"/>
              <w:bottom w:val="single" w:sz="4" w:space="0" w:color="auto"/>
              <w:right w:val="single" w:sz="4" w:space="0" w:color="auto"/>
            </w:tcBorders>
            <w:shd w:val="clear" w:color="auto" w:fill="auto"/>
            <w:noWrap/>
            <w:vAlign w:val="bottom"/>
            <w:hideMark/>
          </w:tcPr>
          <w:p w14:paraId="4520FF69"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£117,443</w:t>
            </w:r>
          </w:p>
        </w:tc>
        <w:tc>
          <w:tcPr>
            <w:tcW w:w="2268" w:type="dxa"/>
            <w:tcBorders>
              <w:top w:val="nil"/>
              <w:left w:val="nil"/>
              <w:bottom w:val="single" w:sz="4" w:space="0" w:color="auto"/>
              <w:right w:val="single" w:sz="4" w:space="0" w:color="auto"/>
            </w:tcBorders>
            <w:shd w:val="clear" w:color="auto" w:fill="auto"/>
            <w:noWrap/>
            <w:vAlign w:val="bottom"/>
            <w:hideMark/>
          </w:tcPr>
          <w:p w14:paraId="1DF33431"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£117,443</w:t>
            </w:r>
          </w:p>
        </w:tc>
      </w:tr>
      <w:tr w:rsidR="00005335" w:rsidRPr="00620F2C" w14:paraId="5C9C4EF8" w14:textId="77777777" w:rsidTr="00A22A97">
        <w:trPr>
          <w:trHeight w:val="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947DDBB" w14:textId="77777777" w:rsidR="00005335" w:rsidRPr="00620F2C" w:rsidRDefault="00005335" w:rsidP="002E3505">
            <w:pPr>
              <w:spacing w:after="0" w:line="240" w:lineRule="auto"/>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Oxon</w:t>
            </w:r>
          </w:p>
        </w:tc>
        <w:tc>
          <w:tcPr>
            <w:tcW w:w="2268" w:type="dxa"/>
            <w:tcBorders>
              <w:top w:val="nil"/>
              <w:left w:val="nil"/>
              <w:bottom w:val="single" w:sz="4" w:space="0" w:color="auto"/>
              <w:right w:val="single" w:sz="4" w:space="0" w:color="auto"/>
            </w:tcBorders>
            <w:shd w:val="clear" w:color="auto" w:fill="auto"/>
            <w:noWrap/>
            <w:vAlign w:val="bottom"/>
            <w:hideMark/>
          </w:tcPr>
          <w:p w14:paraId="65122B8B"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£123,728</w:t>
            </w:r>
          </w:p>
        </w:tc>
        <w:tc>
          <w:tcPr>
            <w:tcW w:w="2410" w:type="dxa"/>
            <w:tcBorders>
              <w:top w:val="nil"/>
              <w:left w:val="nil"/>
              <w:bottom w:val="single" w:sz="4" w:space="0" w:color="auto"/>
              <w:right w:val="single" w:sz="4" w:space="0" w:color="auto"/>
            </w:tcBorders>
            <w:shd w:val="clear" w:color="auto" w:fill="auto"/>
            <w:noWrap/>
            <w:vAlign w:val="bottom"/>
            <w:hideMark/>
          </w:tcPr>
          <w:p w14:paraId="051D60D2"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£123,728</w:t>
            </w:r>
          </w:p>
        </w:tc>
        <w:tc>
          <w:tcPr>
            <w:tcW w:w="2268" w:type="dxa"/>
            <w:tcBorders>
              <w:top w:val="nil"/>
              <w:left w:val="nil"/>
              <w:bottom w:val="single" w:sz="4" w:space="0" w:color="auto"/>
              <w:right w:val="single" w:sz="4" w:space="0" w:color="auto"/>
            </w:tcBorders>
            <w:shd w:val="clear" w:color="auto" w:fill="auto"/>
            <w:noWrap/>
            <w:vAlign w:val="bottom"/>
            <w:hideMark/>
          </w:tcPr>
          <w:p w14:paraId="53180C4A" w14:textId="77777777" w:rsidR="00005335" w:rsidRPr="00620F2C" w:rsidRDefault="00005335" w:rsidP="002E3505">
            <w:pPr>
              <w:spacing w:after="0" w:line="240" w:lineRule="auto"/>
              <w:jc w:val="right"/>
              <w:rPr>
                <w:rFonts w:ascii="Arial" w:eastAsia="Times New Roman" w:hAnsi="Arial" w:cs="Arial"/>
                <w:color w:val="000000"/>
                <w:sz w:val="18"/>
                <w:szCs w:val="18"/>
                <w:lang w:eastAsia="en-GB"/>
              </w:rPr>
            </w:pPr>
            <w:r w:rsidRPr="00620F2C">
              <w:rPr>
                <w:rFonts w:ascii="Arial" w:eastAsia="Times New Roman" w:hAnsi="Arial" w:cs="Arial"/>
                <w:color w:val="000000"/>
                <w:sz w:val="18"/>
                <w:szCs w:val="18"/>
                <w:lang w:eastAsia="en-GB"/>
              </w:rPr>
              <w:t>£123,728</w:t>
            </w:r>
          </w:p>
        </w:tc>
      </w:tr>
    </w:tbl>
    <w:p w14:paraId="1A8B7ED4" w14:textId="3153F8C0" w:rsidR="001F4FD7" w:rsidRPr="00620F2C" w:rsidRDefault="00847498" w:rsidP="002E3505">
      <w:pPr>
        <w:spacing w:after="0" w:line="240" w:lineRule="auto"/>
        <w:rPr>
          <w:rFonts w:ascii="Arial" w:hAnsi="Arial" w:cs="Arial"/>
          <w:i/>
          <w:iCs/>
          <w:sz w:val="18"/>
          <w:szCs w:val="18"/>
        </w:rPr>
      </w:pPr>
      <w:r w:rsidRPr="00620F2C">
        <w:rPr>
          <w:rFonts w:ascii="Arial" w:hAnsi="Arial" w:cs="Arial"/>
          <w:b/>
          <w:bCs/>
          <w:i/>
          <w:iCs/>
          <w:sz w:val="18"/>
          <w:szCs w:val="18"/>
        </w:rPr>
        <w:t>Figure 2.</w:t>
      </w:r>
      <w:r w:rsidRPr="00620F2C">
        <w:rPr>
          <w:rFonts w:ascii="Arial" w:hAnsi="Arial" w:cs="Arial"/>
          <w:i/>
          <w:iCs/>
          <w:sz w:val="18"/>
          <w:szCs w:val="18"/>
        </w:rPr>
        <w:t xml:space="preserve"> </w:t>
      </w:r>
      <w:proofErr w:type="spellStart"/>
      <w:r w:rsidR="00F31DB4" w:rsidRPr="00620F2C">
        <w:rPr>
          <w:rFonts w:ascii="Arial" w:hAnsi="Arial" w:cs="Arial"/>
          <w:i/>
          <w:iCs/>
          <w:sz w:val="18"/>
          <w:szCs w:val="18"/>
        </w:rPr>
        <w:t>FY22</w:t>
      </w:r>
      <w:proofErr w:type="spellEnd"/>
      <w:r w:rsidR="00F31DB4" w:rsidRPr="00620F2C">
        <w:rPr>
          <w:rFonts w:ascii="Arial" w:hAnsi="Arial" w:cs="Arial"/>
          <w:i/>
          <w:iCs/>
          <w:sz w:val="18"/>
          <w:szCs w:val="18"/>
        </w:rPr>
        <w:t xml:space="preserve"> </w:t>
      </w:r>
      <w:r w:rsidRPr="00620F2C">
        <w:rPr>
          <w:rFonts w:ascii="Arial" w:hAnsi="Arial" w:cs="Arial"/>
          <w:i/>
          <w:iCs/>
          <w:sz w:val="18"/>
          <w:szCs w:val="18"/>
        </w:rPr>
        <w:t xml:space="preserve">SDF </w:t>
      </w:r>
      <w:r w:rsidR="00F31DB4" w:rsidRPr="00620F2C">
        <w:rPr>
          <w:rFonts w:ascii="Arial" w:hAnsi="Arial" w:cs="Arial"/>
          <w:i/>
          <w:iCs/>
          <w:sz w:val="18"/>
          <w:szCs w:val="18"/>
        </w:rPr>
        <w:t>Summary for Buckinghamshire</w:t>
      </w:r>
      <w:r w:rsidR="00B63580" w:rsidRPr="00620F2C">
        <w:rPr>
          <w:rFonts w:ascii="Arial" w:hAnsi="Arial" w:cs="Arial"/>
          <w:i/>
          <w:iCs/>
          <w:sz w:val="18"/>
          <w:szCs w:val="18"/>
        </w:rPr>
        <w:t xml:space="preserve">, </w:t>
      </w:r>
      <w:r w:rsidR="00F31DB4" w:rsidRPr="00620F2C">
        <w:rPr>
          <w:rFonts w:ascii="Arial" w:hAnsi="Arial" w:cs="Arial"/>
          <w:i/>
          <w:iCs/>
          <w:sz w:val="18"/>
          <w:szCs w:val="18"/>
        </w:rPr>
        <w:t>Oxfordshire</w:t>
      </w:r>
      <w:r w:rsidR="00B63580" w:rsidRPr="00620F2C">
        <w:rPr>
          <w:rFonts w:ascii="Arial" w:hAnsi="Arial" w:cs="Arial"/>
          <w:i/>
          <w:iCs/>
          <w:sz w:val="18"/>
          <w:szCs w:val="18"/>
        </w:rPr>
        <w:t xml:space="preserve"> and </w:t>
      </w:r>
      <w:proofErr w:type="spellStart"/>
      <w:r w:rsidR="00B63580" w:rsidRPr="00620F2C">
        <w:rPr>
          <w:rFonts w:ascii="Arial" w:hAnsi="Arial" w:cs="Arial"/>
          <w:i/>
          <w:iCs/>
          <w:sz w:val="18"/>
          <w:szCs w:val="18"/>
        </w:rPr>
        <w:t>BSW</w:t>
      </w:r>
      <w:proofErr w:type="spellEnd"/>
      <w:r w:rsidR="00B63580" w:rsidRPr="00620F2C">
        <w:rPr>
          <w:rFonts w:ascii="Arial" w:hAnsi="Arial" w:cs="Arial"/>
          <w:i/>
          <w:iCs/>
          <w:sz w:val="18"/>
          <w:szCs w:val="18"/>
        </w:rPr>
        <w:t>.</w:t>
      </w:r>
    </w:p>
    <w:p w14:paraId="4B73EC11" w14:textId="27E40C2D" w:rsidR="00F31DB4" w:rsidRPr="00620F2C" w:rsidRDefault="00F31DB4" w:rsidP="002E3505">
      <w:pPr>
        <w:spacing w:after="0" w:line="240" w:lineRule="auto"/>
        <w:rPr>
          <w:rFonts w:ascii="Arial" w:hAnsi="Arial" w:cs="Arial"/>
          <w:i/>
          <w:iCs/>
          <w:sz w:val="18"/>
          <w:szCs w:val="18"/>
        </w:rPr>
      </w:pPr>
      <w:r w:rsidRPr="00620F2C">
        <w:rPr>
          <w:rFonts w:ascii="Arial" w:hAnsi="Arial" w:cs="Arial"/>
          <w:i/>
          <w:iCs/>
          <w:sz w:val="18"/>
          <w:szCs w:val="18"/>
        </w:rPr>
        <w:t>*</w:t>
      </w:r>
      <w:r w:rsidR="002A088D" w:rsidRPr="00620F2C">
        <w:rPr>
          <w:rFonts w:ascii="Arial" w:hAnsi="Arial" w:cs="Arial"/>
          <w:i/>
          <w:iCs/>
          <w:sz w:val="18"/>
          <w:szCs w:val="18"/>
        </w:rPr>
        <w:t>Additional</w:t>
      </w:r>
      <w:r w:rsidRPr="00620F2C">
        <w:rPr>
          <w:rFonts w:ascii="Arial" w:hAnsi="Arial" w:cs="Arial"/>
          <w:i/>
          <w:iCs/>
          <w:sz w:val="18"/>
          <w:szCs w:val="18"/>
        </w:rPr>
        <w:t xml:space="preserve"> </w:t>
      </w:r>
      <w:proofErr w:type="spellStart"/>
      <w:r w:rsidRPr="00620F2C">
        <w:rPr>
          <w:rFonts w:ascii="Arial" w:hAnsi="Arial" w:cs="Arial"/>
          <w:i/>
          <w:iCs/>
          <w:sz w:val="18"/>
          <w:szCs w:val="18"/>
        </w:rPr>
        <w:t>MHST</w:t>
      </w:r>
      <w:proofErr w:type="spellEnd"/>
      <w:r w:rsidRPr="00620F2C">
        <w:rPr>
          <w:rFonts w:ascii="Arial" w:hAnsi="Arial" w:cs="Arial"/>
          <w:i/>
          <w:iCs/>
          <w:sz w:val="18"/>
          <w:szCs w:val="18"/>
        </w:rPr>
        <w:t xml:space="preserve"> waves not confirmed </w:t>
      </w:r>
      <w:r w:rsidR="002A088D" w:rsidRPr="00620F2C">
        <w:rPr>
          <w:rFonts w:ascii="Arial" w:hAnsi="Arial" w:cs="Arial"/>
          <w:i/>
          <w:iCs/>
          <w:sz w:val="18"/>
          <w:szCs w:val="18"/>
        </w:rPr>
        <w:t xml:space="preserve">within BOB </w:t>
      </w:r>
      <w:r w:rsidRPr="00620F2C">
        <w:rPr>
          <w:rFonts w:ascii="Arial" w:hAnsi="Arial" w:cs="Arial"/>
          <w:i/>
          <w:iCs/>
          <w:sz w:val="18"/>
          <w:szCs w:val="18"/>
        </w:rPr>
        <w:t>at time of publication</w:t>
      </w:r>
    </w:p>
    <w:p w14:paraId="7262559F" w14:textId="77777777" w:rsidR="001F4FD7" w:rsidRPr="002E3505" w:rsidRDefault="001F4FD7" w:rsidP="002E3505">
      <w:pPr>
        <w:spacing w:after="0" w:line="240" w:lineRule="auto"/>
        <w:rPr>
          <w:rFonts w:ascii="Arial" w:hAnsi="Arial" w:cs="Arial"/>
        </w:rPr>
      </w:pPr>
    </w:p>
    <w:p w14:paraId="06FF0FBF" w14:textId="6C0080EC" w:rsidR="00CD6E1B" w:rsidRDefault="00CD6E1B" w:rsidP="002E3505">
      <w:pPr>
        <w:spacing w:after="0" w:line="240" w:lineRule="auto"/>
        <w:rPr>
          <w:rFonts w:ascii="Arial" w:hAnsi="Arial" w:cs="Arial"/>
        </w:rPr>
      </w:pPr>
      <w:r w:rsidRPr="002E3505">
        <w:rPr>
          <w:rFonts w:ascii="Arial" w:hAnsi="Arial" w:cs="Arial"/>
        </w:rPr>
        <w:t xml:space="preserve">To further support mental health services throughout the pandemic, </w:t>
      </w:r>
      <w:proofErr w:type="spellStart"/>
      <w:r w:rsidRPr="002E3505">
        <w:rPr>
          <w:rFonts w:ascii="Arial" w:hAnsi="Arial" w:cs="Arial"/>
        </w:rPr>
        <w:t>NHSE</w:t>
      </w:r>
      <w:proofErr w:type="spellEnd"/>
      <w:r w:rsidRPr="002E3505">
        <w:rPr>
          <w:rFonts w:ascii="Arial" w:hAnsi="Arial" w:cs="Arial"/>
        </w:rPr>
        <w:t xml:space="preserve"> announced non recurrent funding for </w:t>
      </w:r>
      <w:proofErr w:type="spellStart"/>
      <w:r w:rsidRPr="002E3505">
        <w:rPr>
          <w:rFonts w:ascii="Arial" w:hAnsi="Arial" w:cs="Arial"/>
        </w:rPr>
        <w:t>FY22</w:t>
      </w:r>
      <w:proofErr w:type="spellEnd"/>
      <w:r w:rsidRPr="002E3505">
        <w:rPr>
          <w:rFonts w:ascii="Arial" w:hAnsi="Arial" w:cs="Arial"/>
        </w:rPr>
        <w:t xml:space="preserve"> to accelerate delivery of the </w:t>
      </w:r>
      <w:proofErr w:type="spellStart"/>
      <w:r w:rsidRPr="002E3505">
        <w:rPr>
          <w:rFonts w:ascii="Arial" w:hAnsi="Arial" w:cs="Arial"/>
        </w:rPr>
        <w:t>LTP</w:t>
      </w:r>
      <w:proofErr w:type="spellEnd"/>
      <w:r w:rsidRPr="002E3505">
        <w:rPr>
          <w:rFonts w:ascii="Arial" w:hAnsi="Arial" w:cs="Arial"/>
        </w:rPr>
        <w:t xml:space="preserve"> through the national </w:t>
      </w:r>
      <w:r w:rsidRPr="002E3505">
        <w:rPr>
          <w:rFonts w:ascii="Arial" w:hAnsi="Arial" w:cs="Arial"/>
          <w:b/>
          <w:bCs/>
        </w:rPr>
        <w:t>spending review</w:t>
      </w:r>
      <w:r w:rsidRPr="002E3505">
        <w:rPr>
          <w:rFonts w:ascii="Arial" w:hAnsi="Arial" w:cs="Arial"/>
        </w:rPr>
        <w:t>, this resulted in an additional £2 million for Buckinghamshire</w:t>
      </w:r>
      <w:r w:rsidR="002A088D" w:rsidRPr="002E3505">
        <w:rPr>
          <w:rFonts w:ascii="Arial" w:hAnsi="Arial" w:cs="Arial"/>
        </w:rPr>
        <w:t xml:space="preserve">, </w:t>
      </w:r>
      <w:r w:rsidRPr="002E3505">
        <w:rPr>
          <w:rFonts w:ascii="Arial" w:hAnsi="Arial" w:cs="Arial"/>
        </w:rPr>
        <w:t>£3</w:t>
      </w:r>
      <w:r w:rsidR="003F3953">
        <w:rPr>
          <w:rFonts w:ascii="Arial" w:hAnsi="Arial" w:cs="Arial"/>
        </w:rPr>
        <w:t xml:space="preserve"> </w:t>
      </w:r>
      <w:r w:rsidRPr="002E3505">
        <w:rPr>
          <w:rFonts w:ascii="Arial" w:hAnsi="Arial" w:cs="Arial"/>
        </w:rPr>
        <w:t>million for Oxfordshire</w:t>
      </w:r>
      <w:r w:rsidR="002A088D" w:rsidRPr="002E3505">
        <w:rPr>
          <w:rFonts w:ascii="Arial" w:hAnsi="Arial" w:cs="Arial"/>
        </w:rPr>
        <w:t xml:space="preserve"> and £3.9 million for </w:t>
      </w:r>
      <w:proofErr w:type="spellStart"/>
      <w:r w:rsidR="002A088D" w:rsidRPr="002E3505">
        <w:rPr>
          <w:rFonts w:ascii="Arial" w:hAnsi="Arial" w:cs="Arial"/>
        </w:rPr>
        <w:t>BSW</w:t>
      </w:r>
      <w:proofErr w:type="spellEnd"/>
      <w:r w:rsidR="00B26B38" w:rsidRPr="002E3505">
        <w:rPr>
          <w:rFonts w:ascii="Arial" w:hAnsi="Arial" w:cs="Arial"/>
        </w:rPr>
        <w:t xml:space="preserve">. </w:t>
      </w:r>
      <w:r w:rsidR="001D1530" w:rsidRPr="002E3505">
        <w:rPr>
          <w:rFonts w:ascii="Arial" w:hAnsi="Arial" w:cs="Arial"/>
        </w:rPr>
        <w:t>There is no elective recovery fund for mental health currently.</w:t>
      </w:r>
    </w:p>
    <w:p w14:paraId="0C7F86A2" w14:textId="77777777" w:rsidR="00620F2C" w:rsidRPr="002E3505" w:rsidRDefault="00620F2C" w:rsidP="002E3505">
      <w:pPr>
        <w:spacing w:after="0" w:line="240" w:lineRule="auto"/>
        <w:rPr>
          <w:rFonts w:ascii="Arial" w:hAnsi="Arial" w:cs="Arial"/>
        </w:rPr>
      </w:pPr>
    </w:p>
    <w:p w14:paraId="4D1F3EC7" w14:textId="58D25408" w:rsidR="00DD0BD6" w:rsidRDefault="006161C6" w:rsidP="002E3505">
      <w:pPr>
        <w:spacing w:after="0" w:line="240" w:lineRule="auto"/>
        <w:rPr>
          <w:rFonts w:ascii="Arial" w:hAnsi="Arial" w:cs="Arial"/>
        </w:rPr>
      </w:pPr>
      <w:r w:rsidRPr="002E3505">
        <w:rPr>
          <w:rFonts w:ascii="Arial" w:hAnsi="Arial" w:cs="Arial"/>
        </w:rPr>
        <w:t xml:space="preserve">As welcome as the additional funding </w:t>
      </w:r>
      <w:r w:rsidR="00047E51" w:rsidRPr="002E3505">
        <w:rPr>
          <w:rFonts w:ascii="Arial" w:hAnsi="Arial" w:cs="Arial"/>
        </w:rPr>
        <w:t>streams have been</w:t>
      </w:r>
      <w:r w:rsidR="00F63E58" w:rsidRPr="002E3505">
        <w:rPr>
          <w:rFonts w:ascii="Arial" w:hAnsi="Arial" w:cs="Arial"/>
        </w:rPr>
        <w:t>,</w:t>
      </w:r>
      <w:r w:rsidR="00047E51" w:rsidRPr="002E3505">
        <w:rPr>
          <w:rFonts w:ascii="Arial" w:hAnsi="Arial" w:cs="Arial"/>
        </w:rPr>
        <w:t xml:space="preserve"> demand for investment is still greater than that available. To ensure investment was prioritised in our </w:t>
      </w:r>
      <w:r w:rsidR="00FB6F23" w:rsidRPr="002E3505">
        <w:rPr>
          <w:rFonts w:ascii="Arial" w:hAnsi="Arial" w:cs="Arial"/>
        </w:rPr>
        <w:t xml:space="preserve">“critical clinical priorities” aligned to the </w:t>
      </w:r>
      <w:r w:rsidR="00A82B43" w:rsidRPr="002E3505">
        <w:rPr>
          <w:rFonts w:ascii="Arial" w:hAnsi="Arial" w:cs="Arial"/>
        </w:rPr>
        <w:t>Long-Term</w:t>
      </w:r>
      <w:r w:rsidR="00FB6F23" w:rsidRPr="002E3505">
        <w:rPr>
          <w:rFonts w:ascii="Arial" w:hAnsi="Arial" w:cs="Arial"/>
        </w:rPr>
        <w:t xml:space="preserve"> Plan, our Clinical Directors </w:t>
      </w:r>
      <w:r w:rsidR="00E734FF" w:rsidRPr="002E3505">
        <w:rPr>
          <w:rFonts w:ascii="Arial" w:hAnsi="Arial" w:cs="Arial"/>
        </w:rPr>
        <w:t xml:space="preserve">led the development of proposals within services and developed further </w:t>
      </w:r>
      <w:r w:rsidR="0024414D" w:rsidRPr="002E3505">
        <w:rPr>
          <w:rFonts w:ascii="Arial" w:hAnsi="Arial" w:cs="Arial"/>
        </w:rPr>
        <w:t xml:space="preserve">in partnership with commissioners and other NHS and </w:t>
      </w:r>
      <w:proofErr w:type="gramStart"/>
      <w:r w:rsidR="0024414D" w:rsidRPr="002E3505">
        <w:rPr>
          <w:rFonts w:ascii="Arial" w:hAnsi="Arial" w:cs="Arial"/>
        </w:rPr>
        <w:t>non NHS</w:t>
      </w:r>
      <w:proofErr w:type="gramEnd"/>
      <w:r w:rsidR="0024414D" w:rsidRPr="002E3505">
        <w:rPr>
          <w:rFonts w:ascii="Arial" w:hAnsi="Arial" w:cs="Arial"/>
        </w:rPr>
        <w:t xml:space="preserve"> providers. </w:t>
      </w:r>
      <w:r w:rsidR="001C6312" w:rsidRPr="00620F2C">
        <w:rPr>
          <w:rFonts w:ascii="Arial" w:hAnsi="Arial" w:cs="Arial"/>
        </w:rPr>
        <w:t xml:space="preserve">Figure </w:t>
      </w:r>
      <w:r w:rsidR="00AE7578" w:rsidRPr="00620F2C">
        <w:rPr>
          <w:rFonts w:ascii="Arial" w:hAnsi="Arial" w:cs="Arial"/>
        </w:rPr>
        <w:t>3</w:t>
      </w:r>
      <w:r w:rsidR="001C6312" w:rsidRPr="00620F2C">
        <w:rPr>
          <w:rFonts w:ascii="Arial" w:hAnsi="Arial" w:cs="Arial"/>
        </w:rPr>
        <w:t xml:space="preserve"> summarises</w:t>
      </w:r>
      <w:r w:rsidR="001C6312" w:rsidRPr="002E3505">
        <w:rPr>
          <w:rFonts w:ascii="Arial" w:hAnsi="Arial" w:cs="Arial"/>
        </w:rPr>
        <w:t xml:space="preserve"> the </w:t>
      </w:r>
      <w:r w:rsidR="00CE0FCC" w:rsidRPr="002E3505">
        <w:rPr>
          <w:rFonts w:ascii="Arial" w:hAnsi="Arial" w:cs="Arial"/>
        </w:rPr>
        <w:t>decision-making</w:t>
      </w:r>
      <w:r w:rsidR="001C6312" w:rsidRPr="002E3505">
        <w:rPr>
          <w:rFonts w:ascii="Arial" w:hAnsi="Arial" w:cs="Arial"/>
        </w:rPr>
        <w:t xml:space="preserve"> process for proposals that are approved at place (county/CCG level).</w:t>
      </w:r>
      <w:r w:rsidR="0067091A" w:rsidRPr="002E3505">
        <w:rPr>
          <w:rFonts w:ascii="Arial" w:hAnsi="Arial" w:cs="Arial"/>
        </w:rPr>
        <w:t xml:space="preserve"> </w:t>
      </w:r>
    </w:p>
    <w:p w14:paraId="142ED0A9" w14:textId="6307A4F4" w:rsidR="00D40611" w:rsidRDefault="00D40611" w:rsidP="002E3505">
      <w:pPr>
        <w:spacing w:after="0" w:line="240" w:lineRule="auto"/>
        <w:rPr>
          <w:rFonts w:ascii="Arial" w:hAnsi="Arial" w:cs="Arial"/>
        </w:rPr>
      </w:pPr>
    </w:p>
    <w:p w14:paraId="3750225F" w14:textId="77777777" w:rsidR="00D40611" w:rsidRPr="002E3505" w:rsidRDefault="00D40611" w:rsidP="002E3505">
      <w:pPr>
        <w:spacing w:after="0" w:line="240" w:lineRule="auto"/>
        <w:rPr>
          <w:rFonts w:ascii="Arial" w:hAnsi="Arial" w:cs="Arial"/>
        </w:rPr>
      </w:pPr>
    </w:p>
    <w:p w14:paraId="66745B90" w14:textId="52A5D558" w:rsidR="0087076F" w:rsidRPr="00620F2C" w:rsidRDefault="001C6312" w:rsidP="002E3505">
      <w:pPr>
        <w:spacing w:after="0" w:line="240" w:lineRule="auto"/>
        <w:rPr>
          <w:rFonts w:ascii="Arial" w:hAnsi="Arial" w:cs="Arial"/>
          <w:i/>
          <w:iCs/>
          <w:sz w:val="18"/>
          <w:szCs w:val="18"/>
        </w:rPr>
      </w:pPr>
      <w:r w:rsidRPr="002E3505">
        <w:rPr>
          <w:rFonts w:ascii="Arial" w:hAnsi="Arial" w:cs="Arial"/>
          <w:noProof/>
        </w:rPr>
        <w:drawing>
          <wp:inline distT="0" distB="0" distL="0" distR="0" wp14:anchorId="78660846" wp14:editId="7938DCD0">
            <wp:extent cx="5731510" cy="29508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50845"/>
                    </a:xfrm>
                    <a:prstGeom prst="rect">
                      <a:avLst/>
                    </a:prstGeom>
                  </pic:spPr>
                </pic:pic>
              </a:graphicData>
            </a:graphic>
          </wp:inline>
        </w:drawing>
      </w:r>
      <w:r w:rsidRPr="00620F2C">
        <w:rPr>
          <w:rFonts w:ascii="Arial" w:hAnsi="Arial" w:cs="Arial"/>
          <w:b/>
          <w:bCs/>
          <w:i/>
          <w:iCs/>
          <w:sz w:val="18"/>
          <w:szCs w:val="18"/>
        </w:rPr>
        <w:t xml:space="preserve">Figure </w:t>
      </w:r>
      <w:r w:rsidR="00AE7578" w:rsidRPr="00620F2C">
        <w:rPr>
          <w:rFonts w:ascii="Arial" w:hAnsi="Arial" w:cs="Arial"/>
          <w:b/>
          <w:bCs/>
          <w:i/>
          <w:iCs/>
          <w:sz w:val="18"/>
          <w:szCs w:val="18"/>
        </w:rPr>
        <w:t>3</w:t>
      </w:r>
      <w:r w:rsidRPr="00620F2C">
        <w:rPr>
          <w:rFonts w:ascii="Arial" w:hAnsi="Arial" w:cs="Arial"/>
          <w:b/>
          <w:bCs/>
          <w:i/>
          <w:iCs/>
          <w:sz w:val="18"/>
          <w:szCs w:val="18"/>
        </w:rPr>
        <w:t>.</w:t>
      </w:r>
      <w:r w:rsidRPr="00620F2C">
        <w:rPr>
          <w:rFonts w:ascii="Arial" w:hAnsi="Arial" w:cs="Arial"/>
          <w:i/>
          <w:iCs/>
          <w:sz w:val="18"/>
          <w:szCs w:val="18"/>
        </w:rPr>
        <w:t xml:space="preserve"> Approval process for mental health proposals.</w:t>
      </w:r>
    </w:p>
    <w:p w14:paraId="72A9F7A6" w14:textId="77777777" w:rsidR="00620F2C" w:rsidRPr="00620F2C" w:rsidRDefault="0087076F" w:rsidP="002E3505">
      <w:pPr>
        <w:spacing w:after="0" w:line="240" w:lineRule="auto"/>
        <w:rPr>
          <w:rFonts w:ascii="Arial" w:hAnsi="Arial" w:cs="Arial"/>
          <w:sz w:val="18"/>
          <w:szCs w:val="18"/>
        </w:rPr>
      </w:pPr>
      <w:r w:rsidRPr="00620F2C">
        <w:rPr>
          <w:rFonts w:ascii="Arial" w:hAnsi="Arial" w:cs="Arial"/>
          <w:sz w:val="18"/>
          <w:szCs w:val="18"/>
        </w:rPr>
        <w:t xml:space="preserve">Implementation will commence throughout </w:t>
      </w:r>
      <w:proofErr w:type="spellStart"/>
      <w:r w:rsidRPr="00620F2C">
        <w:rPr>
          <w:rFonts w:ascii="Arial" w:hAnsi="Arial" w:cs="Arial"/>
          <w:sz w:val="18"/>
          <w:szCs w:val="18"/>
        </w:rPr>
        <w:t>FY22</w:t>
      </w:r>
      <w:proofErr w:type="spellEnd"/>
      <w:r w:rsidRPr="00620F2C">
        <w:rPr>
          <w:rFonts w:ascii="Arial" w:hAnsi="Arial" w:cs="Arial"/>
          <w:sz w:val="18"/>
          <w:szCs w:val="18"/>
        </w:rPr>
        <w:t xml:space="preserve"> with continued oversight </w:t>
      </w:r>
      <w:r w:rsidR="00783483" w:rsidRPr="00620F2C">
        <w:rPr>
          <w:rFonts w:ascii="Arial" w:hAnsi="Arial" w:cs="Arial"/>
          <w:sz w:val="18"/>
          <w:szCs w:val="18"/>
        </w:rPr>
        <w:t xml:space="preserve">from an Integrated Care Partnership (place/county/CCG) and Integrated Care System (BOB and </w:t>
      </w:r>
      <w:proofErr w:type="spellStart"/>
      <w:r w:rsidR="00783483" w:rsidRPr="00620F2C">
        <w:rPr>
          <w:rFonts w:ascii="Arial" w:hAnsi="Arial" w:cs="Arial"/>
          <w:sz w:val="18"/>
          <w:szCs w:val="18"/>
        </w:rPr>
        <w:t>BSW</w:t>
      </w:r>
      <w:proofErr w:type="spellEnd"/>
      <w:r w:rsidR="00783483" w:rsidRPr="00620F2C">
        <w:rPr>
          <w:rFonts w:ascii="Arial" w:hAnsi="Arial" w:cs="Arial"/>
          <w:sz w:val="18"/>
          <w:szCs w:val="18"/>
        </w:rPr>
        <w:t xml:space="preserve">) perspective. </w:t>
      </w:r>
    </w:p>
    <w:p w14:paraId="6BA7C446" w14:textId="77777777" w:rsidR="00620F2C" w:rsidRDefault="00620F2C" w:rsidP="002E3505">
      <w:pPr>
        <w:spacing w:after="0" w:line="240" w:lineRule="auto"/>
        <w:rPr>
          <w:rFonts w:ascii="Arial" w:hAnsi="Arial" w:cs="Arial"/>
          <w:noProof/>
          <w:highlight w:val="yellow"/>
        </w:rPr>
      </w:pPr>
    </w:p>
    <w:p w14:paraId="6D094C13" w14:textId="77777777" w:rsidR="00D40611" w:rsidRDefault="00D40611" w:rsidP="002E3505">
      <w:pPr>
        <w:spacing w:after="0" w:line="240" w:lineRule="auto"/>
        <w:rPr>
          <w:rFonts w:ascii="Arial" w:hAnsi="Arial" w:cs="Arial"/>
          <w:b/>
          <w:bCs/>
        </w:rPr>
      </w:pPr>
    </w:p>
    <w:p w14:paraId="73D987F0" w14:textId="77777777" w:rsidR="00D40611" w:rsidRDefault="00D40611" w:rsidP="002E3505">
      <w:pPr>
        <w:spacing w:after="0" w:line="240" w:lineRule="auto"/>
        <w:rPr>
          <w:rFonts w:ascii="Arial" w:hAnsi="Arial" w:cs="Arial"/>
          <w:b/>
          <w:bCs/>
        </w:rPr>
      </w:pPr>
    </w:p>
    <w:p w14:paraId="0567C649" w14:textId="77777777" w:rsidR="00D40611" w:rsidRDefault="00D40611" w:rsidP="002E3505">
      <w:pPr>
        <w:spacing w:after="0" w:line="240" w:lineRule="auto"/>
        <w:rPr>
          <w:rFonts w:ascii="Arial" w:hAnsi="Arial" w:cs="Arial"/>
          <w:b/>
          <w:bCs/>
        </w:rPr>
      </w:pPr>
    </w:p>
    <w:p w14:paraId="0CD71BF7" w14:textId="77777777" w:rsidR="00D40611" w:rsidRDefault="00D40611" w:rsidP="002E3505">
      <w:pPr>
        <w:spacing w:after="0" w:line="240" w:lineRule="auto"/>
        <w:rPr>
          <w:rFonts w:ascii="Arial" w:hAnsi="Arial" w:cs="Arial"/>
          <w:b/>
          <w:bCs/>
        </w:rPr>
      </w:pPr>
    </w:p>
    <w:p w14:paraId="07503F65" w14:textId="39A77374" w:rsidR="00A2532E" w:rsidRPr="002E3505" w:rsidRDefault="00A2532E" w:rsidP="002E3505">
      <w:pPr>
        <w:spacing w:after="0" w:line="240" w:lineRule="auto"/>
        <w:rPr>
          <w:rFonts w:ascii="Arial" w:hAnsi="Arial" w:cs="Arial"/>
        </w:rPr>
      </w:pPr>
      <w:r w:rsidRPr="00D40611">
        <w:rPr>
          <w:rFonts w:ascii="Arial" w:hAnsi="Arial" w:cs="Arial"/>
        </w:rPr>
        <w:lastRenderedPageBreak/>
        <w:t>F</w:t>
      </w:r>
      <w:r w:rsidR="00D40611">
        <w:rPr>
          <w:rFonts w:ascii="Arial" w:hAnsi="Arial" w:cs="Arial"/>
        </w:rPr>
        <w:t>urthermore, f</w:t>
      </w:r>
      <w:r w:rsidRPr="00D40611">
        <w:rPr>
          <w:rFonts w:ascii="Arial" w:hAnsi="Arial" w:cs="Arial"/>
        </w:rPr>
        <w:t xml:space="preserve">igure </w:t>
      </w:r>
      <w:r w:rsidR="00B020B1" w:rsidRPr="00D40611">
        <w:rPr>
          <w:rFonts w:ascii="Arial" w:hAnsi="Arial" w:cs="Arial"/>
        </w:rPr>
        <w:t>5</w:t>
      </w:r>
      <w:r w:rsidRPr="00D40611">
        <w:rPr>
          <w:rFonts w:ascii="Arial" w:hAnsi="Arial" w:cs="Arial"/>
        </w:rPr>
        <w:t xml:space="preserve"> shows the OHFT</w:t>
      </w:r>
      <w:r w:rsidRPr="002E3505">
        <w:rPr>
          <w:rFonts w:ascii="Arial" w:hAnsi="Arial" w:cs="Arial"/>
        </w:rPr>
        <w:t xml:space="preserve"> </w:t>
      </w:r>
      <w:r w:rsidR="00B020B1" w:rsidRPr="002E3505">
        <w:rPr>
          <w:rFonts w:ascii="Arial" w:hAnsi="Arial" w:cs="Arial"/>
        </w:rPr>
        <w:t>funding</w:t>
      </w:r>
      <w:r w:rsidRPr="002E3505">
        <w:rPr>
          <w:rFonts w:ascii="Arial" w:hAnsi="Arial" w:cs="Arial"/>
        </w:rPr>
        <w:t xml:space="preserve"> from </w:t>
      </w:r>
      <w:proofErr w:type="spellStart"/>
      <w:r w:rsidRPr="002E3505">
        <w:rPr>
          <w:rFonts w:ascii="Arial" w:hAnsi="Arial" w:cs="Arial"/>
        </w:rPr>
        <w:t>BSW</w:t>
      </w:r>
      <w:proofErr w:type="spellEnd"/>
      <w:r w:rsidRPr="002E3505">
        <w:rPr>
          <w:rFonts w:ascii="Arial" w:hAnsi="Arial" w:cs="Arial"/>
        </w:rPr>
        <w:t xml:space="preserve"> </w:t>
      </w:r>
      <w:proofErr w:type="spellStart"/>
      <w:r w:rsidRPr="002E3505">
        <w:rPr>
          <w:rFonts w:ascii="Arial" w:hAnsi="Arial" w:cs="Arial"/>
        </w:rPr>
        <w:t>MHIS</w:t>
      </w:r>
      <w:proofErr w:type="spellEnd"/>
      <w:r w:rsidR="00EC28B7" w:rsidRPr="002E3505">
        <w:rPr>
          <w:rFonts w:ascii="Arial" w:hAnsi="Arial" w:cs="Arial"/>
        </w:rPr>
        <w:t xml:space="preserve"> and SDF</w:t>
      </w:r>
      <w:r w:rsidR="00B020B1" w:rsidRPr="002E3505">
        <w:rPr>
          <w:rFonts w:ascii="Arial" w:hAnsi="Arial" w:cs="Arial"/>
        </w:rPr>
        <w:t>.</w:t>
      </w:r>
    </w:p>
    <w:p w14:paraId="21F08B00" w14:textId="77777777" w:rsidR="00B020B1" w:rsidRPr="002E3505" w:rsidRDefault="00B020B1" w:rsidP="002E3505">
      <w:pPr>
        <w:spacing w:after="0" w:line="240" w:lineRule="auto"/>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515"/>
        <w:gridCol w:w="1515"/>
        <w:gridCol w:w="1515"/>
        <w:gridCol w:w="1516"/>
      </w:tblGrid>
      <w:tr w:rsidR="00D11FFA" w:rsidRPr="00D40611" w14:paraId="01DEFDC4" w14:textId="783EE6F0" w:rsidTr="00E76E9A">
        <w:trPr>
          <w:trHeight w:val="423"/>
        </w:trPr>
        <w:tc>
          <w:tcPr>
            <w:tcW w:w="2955" w:type="dxa"/>
            <w:vMerge w:val="restart"/>
            <w:shd w:val="clear" w:color="auto" w:fill="B4C6E7" w:themeFill="accent1" w:themeFillTint="66"/>
            <w:noWrap/>
            <w:vAlign w:val="center"/>
            <w:hideMark/>
          </w:tcPr>
          <w:p w14:paraId="2C9CB9C5" w14:textId="7211E52E" w:rsidR="00D11FFA" w:rsidRPr="00D40611" w:rsidRDefault="00FD2AC3" w:rsidP="002E3505">
            <w:pPr>
              <w:spacing w:after="0" w:line="240" w:lineRule="auto"/>
              <w:jc w:val="center"/>
              <w:rPr>
                <w:rFonts w:ascii="Arial" w:eastAsia="Times New Roman" w:hAnsi="Arial" w:cs="Arial"/>
                <w:b/>
                <w:bCs/>
                <w:color w:val="000000"/>
                <w:sz w:val="18"/>
                <w:szCs w:val="18"/>
                <w:lang w:eastAsia="en-GB"/>
              </w:rPr>
            </w:pPr>
            <w:r w:rsidRPr="00D40611">
              <w:rPr>
                <w:rFonts w:ascii="Arial" w:eastAsia="Times New Roman" w:hAnsi="Arial" w:cs="Arial"/>
                <w:b/>
                <w:bCs/>
                <w:color w:val="000000"/>
                <w:sz w:val="18"/>
                <w:szCs w:val="18"/>
                <w:lang w:eastAsia="en-GB"/>
              </w:rPr>
              <w:t>Figure 5</w:t>
            </w:r>
          </w:p>
        </w:tc>
        <w:tc>
          <w:tcPr>
            <w:tcW w:w="6061" w:type="dxa"/>
            <w:gridSpan w:val="4"/>
            <w:shd w:val="clear" w:color="auto" w:fill="auto"/>
          </w:tcPr>
          <w:p w14:paraId="202E82D8" w14:textId="76235992" w:rsidR="00D11FFA" w:rsidRPr="00D40611" w:rsidRDefault="00F958D6" w:rsidP="002E3505">
            <w:pPr>
              <w:spacing w:after="0" w:line="240" w:lineRule="auto"/>
              <w:jc w:val="center"/>
              <w:rPr>
                <w:rFonts w:ascii="Arial" w:eastAsia="Times New Roman" w:hAnsi="Arial" w:cs="Arial"/>
                <w:color w:val="000000"/>
                <w:sz w:val="18"/>
                <w:szCs w:val="18"/>
                <w:lang w:eastAsia="en-GB"/>
              </w:rPr>
            </w:pPr>
            <w:proofErr w:type="spellStart"/>
            <w:r w:rsidRPr="00D40611">
              <w:rPr>
                <w:rFonts w:ascii="Arial" w:eastAsia="Times New Roman" w:hAnsi="Arial" w:cs="Arial"/>
                <w:color w:val="000000"/>
                <w:sz w:val="18"/>
                <w:szCs w:val="18"/>
                <w:lang w:eastAsia="en-GB"/>
              </w:rPr>
              <w:t>BSW</w:t>
            </w:r>
            <w:proofErr w:type="spellEnd"/>
            <w:r w:rsidRPr="00D40611">
              <w:rPr>
                <w:rFonts w:ascii="Arial" w:eastAsia="Times New Roman" w:hAnsi="Arial" w:cs="Arial"/>
                <w:color w:val="000000"/>
                <w:sz w:val="18"/>
                <w:szCs w:val="18"/>
                <w:lang w:eastAsia="en-GB"/>
              </w:rPr>
              <w:t xml:space="preserve"> funding profile (</w:t>
            </w:r>
            <w:r w:rsidR="00EA5D5F" w:rsidRPr="00D40611">
              <w:rPr>
                <w:rFonts w:ascii="Arial" w:eastAsia="Times New Roman" w:hAnsi="Arial" w:cs="Arial"/>
                <w:color w:val="000000"/>
                <w:sz w:val="18"/>
                <w:szCs w:val="18"/>
                <w:lang w:eastAsia="en-GB"/>
              </w:rPr>
              <w:t>cumulative)</w:t>
            </w:r>
          </w:p>
        </w:tc>
      </w:tr>
      <w:tr w:rsidR="009C4F67" w:rsidRPr="00D40611" w14:paraId="6F5E06C0" w14:textId="6EDBB98C" w:rsidTr="00F958D6">
        <w:trPr>
          <w:trHeight w:val="447"/>
        </w:trPr>
        <w:tc>
          <w:tcPr>
            <w:tcW w:w="2955" w:type="dxa"/>
            <w:vMerge/>
            <w:shd w:val="clear" w:color="auto" w:fill="B4C6E7" w:themeFill="accent1" w:themeFillTint="66"/>
            <w:vAlign w:val="center"/>
            <w:hideMark/>
          </w:tcPr>
          <w:p w14:paraId="62B9F30F" w14:textId="77777777" w:rsidR="003C5C9C" w:rsidRPr="00D40611" w:rsidRDefault="003C5C9C" w:rsidP="002E3505">
            <w:pPr>
              <w:spacing w:after="0" w:line="240" w:lineRule="auto"/>
              <w:rPr>
                <w:rFonts w:ascii="Arial" w:eastAsia="Times New Roman" w:hAnsi="Arial" w:cs="Arial"/>
                <w:b/>
                <w:bCs/>
                <w:color w:val="000000"/>
                <w:sz w:val="18"/>
                <w:szCs w:val="18"/>
                <w:lang w:eastAsia="en-GB"/>
              </w:rPr>
            </w:pPr>
          </w:p>
        </w:tc>
        <w:tc>
          <w:tcPr>
            <w:tcW w:w="1515" w:type="dxa"/>
            <w:shd w:val="clear" w:color="auto" w:fill="auto"/>
          </w:tcPr>
          <w:p w14:paraId="52A01AA1" w14:textId="3F703553" w:rsidR="003C5C9C" w:rsidRPr="00D40611" w:rsidRDefault="003C5C9C" w:rsidP="002E3505">
            <w:pPr>
              <w:spacing w:after="0" w:line="240" w:lineRule="auto"/>
              <w:rPr>
                <w:rFonts w:ascii="Arial" w:eastAsia="Times New Roman" w:hAnsi="Arial" w:cs="Arial"/>
                <w:color w:val="000000"/>
                <w:sz w:val="18"/>
                <w:szCs w:val="18"/>
                <w:lang w:eastAsia="en-GB"/>
              </w:rPr>
            </w:pPr>
            <w:proofErr w:type="spellStart"/>
            <w:r w:rsidRPr="00D40611">
              <w:rPr>
                <w:rFonts w:ascii="Arial" w:eastAsia="Times New Roman" w:hAnsi="Arial" w:cs="Arial"/>
                <w:color w:val="000000"/>
                <w:sz w:val="18"/>
                <w:szCs w:val="18"/>
                <w:lang w:eastAsia="en-GB"/>
              </w:rPr>
              <w:t>FY21</w:t>
            </w:r>
            <w:proofErr w:type="spellEnd"/>
          </w:p>
        </w:tc>
        <w:tc>
          <w:tcPr>
            <w:tcW w:w="1515" w:type="dxa"/>
            <w:shd w:val="clear" w:color="auto" w:fill="auto"/>
          </w:tcPr>
          <w:p w14:paraId="7374F073" w14:textId="477B32FB" w:rsidR="003C5C9C" w:rsidRPr="00D40611" w:rsidRDefault="003C5C9C"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FY 22</w:t>
            </w:r>
          </w:p>
        </w:tc>
        <w:tc>
          <w:tcPr>
            <w:tcW w:w="1515" w:type="dxa"/>
          </w:tcPr>
          <w:p w14:paraId="1B041888" w14:textId="5C5FB27B" w:rsidR="003C5C9C" w:rsidRPr="00D40611" w:rsidRDefault="003C5C9C"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FY 23</w:t>
            </w:r>
          </w:p>
        </w:tc>
        <w:tc>
          <w:tcPr>
            <w:tcW w:w="1516" w:type="dxa"/>
          </w:tcPr>
          <w:p w14:paraId="7E6A26FE" w14:textId="6FCC142B" w:rsidR="003C5C9C" w:rsidRPr="00D40611" w:rsidRDefault="00D11FFA"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FY 24</w:t>
            </w:r>
          </w:p>
        </w:tc>
      </w:tr>
      <w:tr w:rsidR="00DB6E40" w:rsidRPr="00D40611" w14:paraId="397C0A6B" w14:textId="77777777" w:rsidTr="00F958D6">
        <w:trPr>
          <w:trHeight w:val="290"/>
        </w:trPr>
        <w:tc>
          <w:tcPr>
            <w:tcW w:w="2955" w:type="dxa"/>
            <w:shd w:val="clear" w:color="auto" w:fill="B4C6E7" w:themeFill="accent1" w:themeFillTint="66"/>
            <w:vAlign w:val="center"/>
          </w:tcPr>
          <w:p w14:paraId="7E8FD4C0" w14:textId="08C13EB6" w:rsidR="00DB6E40" w:rsidRPr="00D40611" w:rsidRDefault="00DB6E40" w:rsidP="002E3505">
            <w:pPr>
              <w:spacing w:after="0" w:line="240" w:lineRule="auto"/>
              <w:rPr>
                <w:rFonts w:ascii="Arial" w:eastAsia="Times New Roman" w:hAnsi="Arial" w:cs="Arial"/>
                <w:b/>
                <w:bCs/>
                <w:color w:val="000000"/>
                <w:sz w:val="18"/>
                <w:szCs w:val="18"/>
                <w:lang w:eastAsia="en-GB"/>
              </w:rPr>
            </w:pPr>
            <w:proofErr w:type="spellStart"/>
            <w:r w:rsidRPr="00D40611">
              <w:rPr>
                <w:rFonts w:ascii="Arial" w:eastAsia="Times New Roman" w:hAnsi="Arial" w:cs="Arial"/>
                <w:b/>
                <w:bCs/>
                <w:color w:val="000000"/>
                <w:sz w:val="18"/>
                <w:szCs w:val="18"/>
                <w:lang w:eastAsia="en-GB"/>
              </w:rPr>
              <w:t>MHIS</w:t>
            </w:r>
            <w:proofErr w:type="spellEnd"/>
            <w:r w:rsidRPr="00D40611">
              <w:rPr>
                <w:rFonts w:ascii="Arial" w:eastAsia="Times New Roman" w:hAnsi="Arial" w:cs="Arial"/>
                <w:b/>
                <w:bCs/>
                <w:color w:val="000000"/>
                <w:sz w:val="18"/>
                <w:szCs w:val="18"/>
                <w:lang w:eastAsia="en-GB"/>
              </w:rPr>
              <w:t xml:space="preserve"> (Core uplift funding)</w:t>
            </w:r>
          </w:p>
        </w:tc>
        <w:tc>
          <w:tcPr>
            <w:tcW w:w="1515" w:type="dxa"/>
            <w:shd w:val="clear" w:color="auto" w:fill="auto"/>
            <w:vAlign w:val="bottom"/>
          </w:tcPr>
          <w:p w14:paraId="6EE1D867" w14:textId="33374024"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£699,88</w:t>
            </w:r>
          </w:p>
        </w:tc>
        <w:tc>
          <w:tcPr>
            <w:tcW w:w="1515" w:type="dxa"/>
            <w:shd w:val="clear" w:color="auto" w:fill="auto"/>
            <w:vAlign w:val="bottom"/>
          </w:tcPr>
          <w:p w14:paraId="6937D27D" w14:textId="0FFF58C1"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£1</w:t>
            </w:r>
            <w:r w:rsidR="00F97760" w:rsidRPr="00D40611">
              <w:rPr>
                <w:rFonts w:ascii="Arial" w:eastAsia="Times New Roman" w:hAnsi="Arial" w:cs="Arial"/>
                <w:color w:val="000000"/>
                <w:sz w:val="18"/>
                <w:szCs w:val="18"/>
                <w:lang w:eastAsia="en-GB"/>
              </w:rPr>
              <w:t>,</w:t>
            </w:r>
            <w:r w:rsidRPr="00D40611">
              <w:rPr>
                <w:rFonts w:ascii="Arial" w:eastAsia="Times New Roman" w:hAnsi="Arial" w:cs="Arial"/>
                <w:color w:val="000000"/>
                <w:sz w:val="18"/>
                <w:szCs w:val="18"/>
                <w:lang w:eastAsia="en-GB"/>
              </w:rPr>
              <w:t xml:space="preserve">890,944 </w:t>
            </w:r>
          </w:p>
        </w:tc>
        <w:tc>
          <w:tcPr>
            <w:tcW w:w="1515" w:type="dxa"/>
            <w:vAlign w:val="bottom"/>
          </w:tcPr>
          <w:p w14:paraId="15D3DE19" w14:textId="04C086C1"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 xml:space="preserve">£1,997,386 </w:t>
            </w:r>
          </w:p>
        </w:tc>
        <w:tc>
          <w:tcPr>
            <w:tcW w:w="1516" w:type="dxa"/>
            <w:vAlign w:val="bottom"/>
          </w:tcPr>
          <w:p w14:paraId="29CD066B" w14:textId="18A13F5C"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 xml:space="preserve">£1,997,386 </w:t>
            </w:r>
          </w:p>
        </w:tc>
      </w:tr>
      <w:tr w:rsidR="00DB6E40" w:rsidRPr="00D40611" w14:paraId="10056D82" w14:textId="6E7A7707" w:rsidTr="00F958D6">
        <w:trPr>
          <w:trHeight w:val="290"/>
        </w:trPr>
        <w:tc>
          <w:tcPr>
            <w:tcW w:w="2955" w:type="dxa"/>
            <w:shd w:val="clear" w:color="auto" w:fill="B4C6E7" w:themeFill="accent1" w:themeFillTint="66"/>
            <w:vAlign w:val="center"/>
            <w:hideMark/>
          </w:tcPr>
          <w:p w14:paraId="0535DD1A" w14:textId="11FF842F" w:rsidR="00DB6E40" w:rsidRPr="00D40611" w:rsidRDefault="00DB6E40" w:rsidP="002E3505">
            <w:pPr>
              <w:spacing w:after="0" w:line="240" w:lineRule="auto"/>
              <w:rPr>
                <w:rFonts w:ascii="Arial" w:eastAsia="Times New Roman" w:hAnsi="Arial" w:cs="Arial"/>
                <w:b/>
                <w:bCs/>
                <w:color w:val="000000"/>
                <w:sz w:val="18"/>
                <w:szCs w:val="18"/>
                <w:lang w:eastAsia="en-GB"/>
              </w:rPr>
            </w:pPr>
            <w:proofErr w:type="spellStart"/>
            <w:r w:rsidRPr="00D40611">
              <w:rPr>
                <w:rFonts w:ascii="Arial" w:eastAsia="Times New Roman" w:hAnsi="Arial" w:cs="Arial"/>
                <w:b/>
                <w:bCs/>
                <w:color w:val="000000"/>
                <w:sz w:val="18"/>
                <w:szCs w:val="18"/>
                <w:lang w:eastAsia="en-GB"/>
              </w:rPr>
              <w:t>C&amp;YP</w:t>
            </w:r>
            <w:proofErr w:type="spellEnd"/>
            <w:r w:rsidRPr="00D40611">
              <w:rPr>
                <w:rFonts w:ascii="Arial" w:eastAsia="Times New Roman" w:hAnsi="Arial" w:cs="Arial"/>
                <w:b/>
                <w:bCs/>
                <w:color w:val="000000"/>
                <w:sz w:val="18"/>
                <w:szCs w:val="18"/>
                <w:lang w:eastAsia="en-GB"/>
              </w:rPr>
              <w:t xml:space="preserve"> Community and Crisis (SDF)</w:t>
            </w:r>
          </w:p>
        </w:tc>
        <w:tc>
          <w:tcPr>
            <w:tcW w:w="1515" w:type="dxa"/>
            <w:shd w:val="clear" w:color="auto" w:fill="auto"/>
            <w:vAlign w:val="bottom"/>
          </w:tcPr>
          <w:p w14:paraId="038E770A" w14:textId="6EFEB72A"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£39,000</w:t>
            </w:r>
          </w:p>
        </w:tc>
        <w:tc>
          <w:tcPr>
            <w:tcW w:w="1515" w:type="dxa"/>
            <w:shd w:val="clear" w:color="auto" w:fill="auto"/>
            <w:vAlign w:val="bottom"/>
          </w:tcPr>
          <w:p w14:paraId="3BB6EE72" w14:textId="10313D01"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£895,105</w:t>
            </w:r>
          </w:p>
        </w:tc>
        <w:tc>
          <w:tcPr>
            <w:tcW w:w="1515" w:type="dxa"/>
          </w:tcPr>
          <w:p w14:paraId="71F225A7" w14:textId="77777777" w:rsidR="00DB6E40" w:rsidRPr="00D40611" w:rsidRDefault="00DB6E40" w:rsidP="002E3505">
            <w:pPr>
              <w:spacing w:after="0" w:line="240" w:lineRule="auto"/>
              <w:rPr>
                <w:rFonts w:ascii="Arial" w:eastAsia="Times New Roman" w:hAnsi="Arial" w:cs="Arial"/>
                <w:color w:val="000000"/>
                <w:sz w:val="18"/>
                <w:szCs w:val="18"/>
                <w:lang w:eastAsia="en-GB"/>
              </w:rPr>
            </w:pPr>
          </w:p>
          <w:p w14:paraId="292BAAD1" w14:textId="6F3C28B2"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£959158</w:t>
            </w:r>
          </w:p>
        </w:tc>
        <w:tc>
          <w:tcPr>
            <w:tcW w:w="1516" w:type="dxa"/>
          </w:tcPr>
          <w:p w14:paraId="7D0869C9" w14:textId="77777777" w:rsidR="00DB6E40" w:rsidRPr="00D40611" w:rsidRDefault="00DB6E40" w:rsidP="002E3505">
            <w:pPr>
              <w:spacing w:after="0" w:line="240" w:lineRule="auto"/>
              <w:rPr>
                <w:rFonts w:ascii="Arial" w:eastAsia="Times New Roman" w:hAnsi="Arial" w:cs="Arial"/>
                <w:color w:val="000000"/>
                <w:sz w:val="18"/>
                <w:szCs w:val="18"/>
                <w:lang w:eastAsia="en-GB"/>
              </w:rPr>
            </w:pPr>
          </w:p>
          <w:p w14:paraId="6B353A68" w14:textId="46CF3B28"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£959158</w:t>
            </w:r>
          </w:p>
        </w:tc>
      </w:tr>
      <w:tr w:rsidR="00DB6E40" w:rsidRPr="00D40611" w14:paraId="523A47E7" w14:textId="77777777" w:rsidTr="00F958D6">
        <w:trPr>
          <w:trHeight w:val="290"/>
        </w:trPr>
        <w:tc>
          <w:tcPr>
            <w:tcW w:w="2955" w:type="dxa"/>
            <w:shd w:val="clear" w:color="auto" w:fill="B4C6E7" w:themeFill="accent1" w:themeFillTint="66"/>
            <w:vAlign w:val="center"/>
          </w:tcPr>
          <w:p w14:paraId="1058F75A" w14:textId="206B5785" w:rsidR="00DB6E40" w:rsidRPr="00D40611" w:rsidRDefault="00DB6E40" w:rsidP="002E3505">
            <w:pPr>
              <w:spacing w:after="0" w:line="240" w:lineRule="auto"/>
              <w:rPr>
                <w:rFonts w:ascii="Arial" w:eastAsia="Times New Roman" w:hAnsi="Arial" w:cs="Arial"/>
                <w:b/>
                <w:bCs/>
                <w:color w:val="000000"/>
                <w:sz w:val="18"/>
                <w:szCs w:val="18"/>
                <w:lang w:eastAsia="en-GB"/>
              </w:rPr>
            </w:pPr>
            <w:proofErr w:type="spellStart"/>
            <w:r w:rsidRPr="00D40611">
              <w:rPr>
                <w:rFonts w:ascii="Arial" w:eastAsia="Times New Roman" w:hAnsi="Arial" w:cs="Arial"/>
                <w:b/>
                <w:bCs/>
                <w:color w:val="000000"/>
                <w:sz w:val="18"/>
                <w:szCs w:val="18"/>
                <w:lang w:eastAsia="en-GB"/>
              </w:rPr>
              <w:t>MHST</w:t>
            </w:r>
            <w:proofErr w:type="spellEnd"/>
            <w:r w:rsidRPr="00D40611">
              <w:rPr>
                <w:rFonts w:ascii="Arial" w:eastAsia="Times New Roman" w:hAnsi="Arial" w:cs="Arial"/>
                <w:b/>
                <w:bCs/>
                <w:color w:val="000000"/>
                <w:sz w:val="18"/>
                <w:szCs w:val="18"/>
                <w:lang w:eastAsia="en-GB"/>
              </w:rPr>
              <w:t xml:space="preserve"> (SDF)</w:t>
            </w:r>
          </w:p>
        </w:tc>
        <w:tc>
          <w:tcPr>
            <w:tcW w:w="1515" w:type="dxa"/>
            <w:shd w:val="clear" w:color="auto" w:fill="auto"/>
            <w:vAlign w:val="bottom"/>
          </w:tcPr>
          <w:p w14:paraId="4016022D" w14:textId="2085B721"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£806,967</w:t>
            </w:r>
          </w:p>
        </w:tc>
        <w:tc>
          <w:tcPr>
            <w:tcW w:w="1515" w:type="dxa"/>
            <w:shd w:val="clear" w:color="auto" w:fill="auto"/>
            <w:vAlign w:val="bottom"/>
          </w:tcPr>
          <w:p w14:paraId="275E40F4" w14:textId="115F4C50"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£1,468,638</w:t>
            </w:r>
          </w:p>
        </w:tc>
        <w:tc>
          <w:tcPr>
            <w:tcW w:w="1515" w:type="dxa"/>
          </w:tcPr>
          <w:p w14:paraId="65EEAADA" w14:textId="5FD3A23F"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TBC minimum £</w:t>
            </w:r>
            <w:proofErr w:type="spellStart"/>
            <w:r w:rsidRPr="00D40611">
              <w:rPr>
                <w:rFonts w:ascii="Arial" w:eastAsia="Times New Roman" w:hAnsi="Arial" w:cs="Arial"/>
                <w:color w:val="000000"/>
                <w:sz w:val="18"/>
                <w:szCs w:val="18"/>
                <w:lang w:eastAsia="en-GB"/>
              </w:rPr>
              <w:t>1.4m</w:t>
            </w:r>
            <w:proofErr w:type="spellEnd"/>
          </w:p>
        </w:tc>
        <w:tc>
          <w:tcPr>
            <w:tcW w:w="1516" w:type="dxa"/>
          </w:tcPr>
          <w:p w14:paraId="101D61B6" w14:textId="5833E599"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TBC minimum £</w:t>
            </w:r>
            <w:proofErr w:type="spellStart"/>
            <w:r w:rsidRPr="00D40611">
              <w:rPr>
                <w:rFonts w:ascii="Arial" w:eastAsia="Times New Roman" w:hAnsi="Arial" w:cs="Arial"/>
                <w:color w:val="000000"/>
                <w:sz w:val="18"/>
                <w:szCs w:val="18"/>
                <w:lang w:eastAsia="en-GB"/>
              </w:rPr>
              <w:t>1.4m</w:t>
            </w:r>
            <w:proofErr w:type="spellEnd"/>
          </w:p>
        </w:tc>
      </w:tr>
      <w:tr w:rsidR="00DB6E40" w:rsidRPr="00D40611" w14:paraId="24DEDDD7" w14:textId="47EB6013" w:rsidTr="00F958D6">
        <w:trPr>
          <w:trHeight w:val="290"/>
        </w:trPr>
        <w:tc>
          <w:tcPr>
            <w:tcW w:w="2955" w:type="dxa"/>
            <w:shd w:val="clear" w:color="auto" w:fill="B4C6E7" w:themeFill="accent1" w:themeFillTint="66"/>
            <w:vAlign w:val="center"/>
            <w:hideMark/>
          </w:tcPr>
          <w:p w14:paraId="3B46C9F3" w14:textId="1851B13C" w:rsidR="00DB6E40" w:rsidRPr="00D40611" w:rsidRDefault="00DB6E40" w:rsidP="002E3505">
            <w:pPr>
              <w:spacing w:after="0" w:line="240" w:lineRule="auto"/>
              <w:rPr>
                <w:rFonts w:ascii="Arial" w:eastAsia="Times New Roman" w:hAnsi="Arial" w:cs="Arial"/>
                <w:b/>
                <w:bCs/>
                <w:color w:val="000000"/>
                <w:sz w:val="18"/>
                <w:szCs w:val="18"/>
                <w:lang w:eastAsia="en-GB"/>
              </w:rPr>
            </w:pPr>
            <w:r w:rsidRPr="00D40611">
              <w:rPr>
                <w:rFonts w:ascii="Arial" w:eastAsia="Times New Roman" w:hAnsi="Arial" w:cs="Arial"/>
                <w:b/>
                <w:bCs/>
                <w:color w:val="000000"/>
                <w:sz w:val="18"/>
                <w:szCs w:val="18"/>
                <w:lang w:eastAsia="en-GB"/>
              </w:rPr>
              <w:t>Eating Disorder’s (Adult)*</w:t>
            </w:r>
          </w:p>
          <w:p w14:paraId="25BE522F" w14:textId="4613947E" w:rsidR="00DB6E40" w:rsidRPr="00D40611" w:rsidRDefault="00DB6E40" w:rsidP="002E3505">
            <w:pPr>
              <w:spacing w:after="0" w:line="240" w:lineRule="auto"/>
              <w:rPr>
                <w:rFonts w:ascii="Arial" w:eastAsia="Times New Roman" w:hAnsi="Arial" w:cs="Arial"/>
                <w:b/>
                <w:bCs/>
                <w:color w:val="000000"/>
                <w:sz w:val="18"/>
                <w:szCs w:val="18"/>
                <w:lang w:eastAsia="en-GB"/>
              </w:rPr>
            </w:pPr>
            <w:r w:rsidRPr="00D40611">
              <w:rPr>
                <w:rFonts w:ascii="Arial" w:eastAsia="Times New Roman" w:hAnsi="Arial" w:cs="Arial"/>
                <w:b/>
                <w:bCs/>
                <w:color w:val="000000"/>
                <w:sz w:val="18"/>
                <w:szCs w:val="18"/>
                <w:lang w:eastAsia="en-GB"/>
              </w:rPr>
              <w:t>Eating Disorder’s (</w:t>
            </w:r>
            <w:proofErr w:type="spellStart"/>
            <w:r w:rsidRPr="00D40611">
              <w:rPr>
                <w:rFonts w:ascii="Arial" w:eastAsia="Times New Roman" w:hAnsi="Arial" w:cs="Arial"/>
                <w:b/>
                <w:bCs/>
                <w:color w:val="000000"/>
                <w:sz w:val="18"/>
                <w:szCs w:val="18"/>
                <w:lang w:eastAsia="en-GB"/>
              </w:rPr>
              <w:t>CYP</w:t>
            </w:r>
            <w:proofErr w:type="spellEnd"/>
            <w:r w:rsidRPr="00D40611">
              <w:rPr>
                <w:rFonts w:ascii="Arial" w:eastAsia="Times New Roman" w:hAnsi="Arial" w:cs="Arial"/>
                <w:b/>
                <w:bCs/>
                <w:color w:val="000000"/>
                <w:sz w:val="18"/>
                <w:szCs w:val="18"/>
                <w:lang w:eastAsia="en-GB"/>
              </w:rPr>
              <w:t>)</w:t>
            </w:r>
            <w:r w:rsidR="00F958D6" w:rsidRPr="00D40611">
              <w:rPr>
                <w:rFonts w:ascii="Arial" w:eastAsia="Times New Roman" w:hAnsi="Arial" w:cs="Arial"/>
                <w:b/>
                <w:bCs/>
                <w:color w:val="000000"/>
                <w:sz w:val="18"/>
                <w:szCs w:val="18"/>
                <w:lang w:eastAsia="en-GB"/>
              </w:rPr>
              <w:t>*</w:t>
            </w:r>
          </w:p>
        </w:tc>
        <w:tc>
          <w:tcPr>
            <w:tcW w:w="1515" w:type="dxa"/>
            <w:shd w:val="clear" w:color="auto" w:fill="auto"/>
            <w:vAlign w:val="bottom"/>
          </w:tcPr>
          <w:p w14:paraId="5E7690B0" w14:textId="247F252D"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£0</w:t>
            </w:r>
          </w:p>
        </w:tc>
        <w:tc>
          <w:tcPr>
            <w:tcW w:w="1515" w:type="dxa"/>
            <w:shd w:val="clear" w:color="auto" w:fill="auto"/>
          </w:tcPr>
          <w:p w14:paraId="0DEC998A" w14:textId="77777777" w:rsidR="00DB6E40" w:rsidRPr="00D40611" w:rsidRDefault="00DB6E40" w:rsidP="002E3505">
            <w:pPr>
              <w:spacing w:after="0" w:line="240" w:lineRule="auto"/>
              <w:rPr>
                <w:rFonts w:ascii="Arial" w:eastAsia="Times New Roman" w:hAnsi="Arial" w:cs="Arial"/>
                <w:color w:val="000000"/>
                <w:sz w:val="18"/>
                <w:szCs w:val="18"/>
                <w:lang w:eastAsia="en-GB"/>
              </w:rPr>
            </w:pPr>
          </w:p>
          <w:p w14:paraId="564B045F" w14:textId="3F720459"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£688,447</w:t>
            </w:r>
          </w:p>
          <w:p w14:paraId="7541A42C" w14:textId="6430BDBA"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£494,553</w:t>
            </w:r>
          </w:p>
        </w:tc>
        <w:tc>
          <w:tcPr>
            <w:tcW w:w="1515" w:type="dxa"/>
          </w:tcPr>
          <w:p w14:paraId="4FCF9920" w14:textId="77777777" w:rsidR="00DB6E40" w:rsidRPr="00D40611" w:rsidRDefault="00DB6E40" w:rsidP="002E3505">
            <w:pPr>
              <w:spacing w:after="0" w:line="240" w:lineRule="auto"/>
              <w:rPr>
                <w:rFonts w:ascii="Arial" w:eastAsia="Times New Roman" w:hAnsi="Arial" w:cs="Arial"/>
                <w:color w:val="000000"/>
                <w:sz w:val="18"/>
                <w:szCs w:val="18"/>
                <w:lang w:eastAsia="en-GB"/>
              </w:rPr>
            </w:pPr>
          </w:p>
          <w:p w14:paraId="15CE85E9" w14:textId="25C393C5"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£837090</w:t>
            </w:r>
          </w:p>
          <w:p w14:paraId="5BD505D7" w14:textId="61A93599"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£503,422</w:t>
            </w:r>
          </w:p>
        </w:tc>
        <w:tc>
          <w:tcPr>
            <w:tcW w:w="1516" w:type="dxa"/>
          </w:tcPr>
          <w:p w14:paraId="59FC03F5" w14:textId="77777777" w:rsidR="00DB6E40" w:rsidRPr="00D40611" w:rsidRDefault="00DB6E40" w:rsidP="002E3505">
            <w:pPr>
              <w:spacing w:after="0" w:line="240" w:lineRule="auto"/>
              <w:rPr>
                <w:rFonts w:ascii="Arial" w:eastAsia="Times New Roman" w:hAnsi="Arial" w:cs="Arial"/>
                <w:color w:val="000000"/>
                <w:sz w:val="18"/>
                <w:szCs w:val="18"/>
                <w:lang w:eastAsia="en-GB"/>
              </w:rPr>
            </w:pPr>
          </w:p>
          <w:p w14:paraId="3430C4FE" w14:textId="77777777"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£837090</w:t>
            </w:r>
          </w:p>
          <w:p w14:paraId="2BD194FE" w14:textId="4E0208D5" w:rsidR="00DB6E40" w:rsidRPr="00D40611" w:rsidRDefault="00DB6E40" w:rsidP="002E3505">
            <w:pPr>
              <w:spacing w:after="0" w:line="240" w:lineRule="auto"/>
              <w:rPr>
                <w:rFonts w:ascii="Arial" w:eastAsia="Times New Roman" w:hAnsi="Arial" w:cs="Arial"/>
                <w:color w:val="000000"/>
                <w:sz w:val="18"/>
                <w:szCs w:val="18"/>
                <w:lang w:eastAsia="en-GB"/>
              </w:rPr>
            </w:pPr>
            <w:r w:rsidRPr="00D40611">
              <w:rPr>
                <w:rFonts w:ascii="Arial" w:eastAsia="Times New Roman" w:hAnsi="Arial" w:cs="Arial"/>
                <w:color w:val="000000"/>
                <w:sz w:val="18"/>
                <w:szCs w:val="18"/>
                <w:lang w:eastAsia="en-GB"/>
              </w:rPr>
              <w:t>£503,422</w:t>
            </w:r>
          </w:p>
        </w:tc>
      </w:tr>
      <w:tr w:rsidR="00FD2AC3" w:rsidRPr="00D40611" w14:paraId="5B0C0669" w14:textId="77777777" w:rsidTr="00F958D6">
        <w:trPr>
          <w:trHeight w:val="290"/>
        </w:trPr>
        <w:tc>
          <w:tcPr>
            <w:tcW w:w="2955" w:type="dxa"/>
            <w:shd w:val="clear" w:color="auto" w:fill="B4C6E7" w:themeFill="accent1" w:themeFillTint="66"/>
            <w:vAlign w:val="center"/>
          </w:tcPr>
          <w:p w14:paraId="74038369" w14:textId="6B333689" w:rsidR="00FD2AC3" w:rsidRPr="00D40611" w:rsidRDefault="00FD2AC3" w:rsidP="002E3505">
            <w:pPr>
              <w:spacing w:after="0" w:line="240" w:lineRule="auto"/>
              <w:rPr>
                <w:rFonts w:ascii="Arial" w:eastAsia="Times New Roman" w:hAnsi="Arial" w:cs="Arial"/>
                <w:b/>
                <w:bCs/>
                <w:color w:val="000000"/>
                <w:sz w:val="18"/>
                <w:szCs w:val="18"/>
                <w:lang w:eastAsia="en-GB"/>
              </w:rPr>
            </w:pPr>
            <w:r w:rsidRPr="00D40611">
              <w:rPr>
                <w:rFonts w:ascii="Arial" w:eastAsia="Times New Roman" w:hAnsi="Arial" w:cs="Arial"/>
                <w:b/>
                <w:bCs/>
                <w:color w:val="000000"/>
                <w:sz w:val="18"/>
                <w:szCs w:val="18"/>
                <w:lang w:eastAsia="en-GB"/>
              </w:rPr>
              <w:t>Total</w:t>
            </w:r>
          </w:p>
        </w:tc>
        <w:tc>
          <w:tcPr>
            <w:tcW w:w="1515" w:type="dxa"/>
            <w:shd w:val="clear" w:color="auto" w:fill="auto"/>
            <w:vAlign w:val="bottom"/>
          </w:tcPr>
          <w:p w14:paraId="45D5391F" w14:textId="77777777" w:rsidR="00FD2AC3" w:rsidRPr="00D40611" w:rsidRDefault="00FD2AC3" w:rsidP="002E3505">
            <w:pPr>
              <w:spacing w:after="0" w:line="240" w:lineRule="auto"/>
              <w:rPr>
                <w:rFonts w:ascii="Arial" w:eastAsia="Times New Roman" w:hAnsi="Arial" w:cs="Arial"/>
                <w:color w:val="000000"/>
                <w:sz w:val="18"/>
                <w:szCs w:val="18"/>
                <w:lang w:eastAsia="en-GB"/>
              </w:rPr>
            </w:pPr>
          </w:p>
        </w:tc>
        <w:tc>
          <w:tcPr>
            <w:tcW w:w="1515" w:type="dxa"/>
            <w:shd w:val="clear" w:color="auto" w:fill="auto"/>
          </w:tcPr>
          <w:p w14:paraId="1FFD3C58" w14:textId="77777777" w:rsidR="00FD2AC3" w:rsidRPr="00D40611" w:rsidRDefault="00FD2AC3" w:rsidP="002E3505">
            <w:pPr>
              <w:spacing w:after="0" w:line="240" w:lineRule="auto"/>
              <w:rPr>
                <w:rFonts w:ascii="Arial" w:eastAsia="Times New Roman" w:hAnsi="Arial" w:cs="Arial"/>
                <w:color w:val="000000"/>
                <w:sz w:val="18"/>
                <w:szCs w:val="18"/>
                <w:lang w:eastAsia="en-GB"/>
              </w:rPr>
            </w:pPr>
          </w:p>
        </w:tc>
        <w:tc>
          <w:tcPr>
            <w:tcW w:w="1515" w:type="dxa"/>
          </w:tcPr>
          <w:p w14:paraId="5100CCE4" w14:textId="77777777" w:rsidR="00FD2AC3" w:rsidRPr="00D40611" w:rsidRDefault="00FD2AC3" w:rsidP="002E3505">
            <w:pPr>
              <w:spacing w:after="0" w:line="240" w:lineRule="auto"/>
              <w:rPr>
                <w:rFonts w:ascii="Arial" w:eastAsia="Times New Roman" w:hAnsi="Arial" w:cs="Arial"/>
                <w:color w:val="000000"/>
                <w:sz w:val="18"/>
                <w:szCs w:val="18"/>
                <w:lang w:eastAsia="en-GB"/>
              </w:rPr>
            </w:pPr>
          </w:p>
        </w:tc>
        <w:tc>
          <w:tcPr>
            <w:tcW w:w="1516" w:type="dxa"/>
          </w:tcPr>
          <w:p w14:paraId="26C12743" w14:textId="77777777" w:rsidR="00FD2AC3" w:rsidRPr="00D40611" w:rsidRDefault="00FD2AC3" w:rsidP="002E3505">
            <w:pPr>
              <w:spacing w:after="0" w:line="240" w:lineRule="auto"/>
              <w:rPr>
                <w:rFonts w:ascii="Arial" w:eastAsia="Times New Roman" w:hAnsi="Arial" w:cs="Arial"/>
                <w:color w:val="000000"/>
                <w:sz w:val="18"/>
                <w:szCs w:val="18"/>
                <w:lang w:eastAsia="en-GB"/>
              </w:rPr>
            </w:pPr>
          </w:p>
        </w:tc>
      </w:tr>
    </w:tbl>
    <w:p w14:paraId="30D422AD" w14:textId="51103C02" w:rsidR="00A2532E" w:rsidRDefault="001F6845" w:rsidP="002E3505">
      <w:pPr>
        <w:spacing w:after="0" w:line="240" w:lineRule="auto"/>
        <w:rPr>
          <w:rFonts w:ascii="Arial" w:hAnsi="Arial" w:cs="Arial"/>
          <w:sz w:val="18"/>
          <w:szCs w:val="18"/>
        </w:rPr>
      </w:pPr>
      <w:r w:rsidRPr="00DF0050">
        <w:rPr>
          <w:rFonts w:ascii="Arial" w:hAnsi="Arial" w:cs="Arial"/>
          <w:sz w:val="18"/>
          <w:szCs w:val="18"/>
        </w:rPr>
        <w:t>*</w:t>
      </w:r>
      <w:proofErr w:type="gramStart"/>
      <w:r w:rsidRPr="00DF0050">
        <w:rPr>
          <w:rFonts w:ascii="Arial" w:hAnsi="Arial" w:cs="Arial"/>
          <w:sz w:val="18"/>
          <w:szCs w:val="18"/>
        </w:rPr>
        <w:t>although</w:t>
      </w:r>
      <w:proofErr w:type="gramEnd"/>
      <w:r w:rsidRPr="00DF0050">
        <w:rPr>
          <w:rFonts w:ascii="Arial" w:hAnsi="Arial" w:cs="Arial"/>
          <w:sz w:val="18"/>
          <w:szCs w:val="18"/>
        </w:rPr>
        <w:t xml:space="preserve"> in year funding received from Winter funding and Discharge funding pots supported ED services in </w:t>
      </w:r>
      <w:proofErr w:type="spellStart"/>
      <w:r w:rsidRPr="00DF0050">
        <w:rPr>
          <w:rFonts w:ascii="Arial" w:hAnsi="Arial" w:cs="Arial"/>
          <w:sz w:val="18"/>
          <w:szCs w:val="18"/>
        </w:rPr>
        <w:t>Fy21</w:t>
      </w:r>
      <w:proofErr w:type="spellEnd"/>
      <w:r w:rsidRPr="00DF0050">
        <w:rPr>
          <w:rFonts w:ascii="Arial" w:hAnsi="Arial" w:cs="Arial"/>
          <w:sz w:val="18"/>
          <w:szCs w:val="18"/>
        </w:rPr>
        <w:t xml:space="preserve"> </w:t>
      </w:r>
    </w:p>
    <w:p w14:paraId="76DAF243" w14:textId="77777777" w:rsidR="00DF0050" w:rsidRPr="00DF0050" w:rsidRDefault="00DF0050" w:rsidP="002E3505">
      <w:pPr>
        <w:spacing w:after="0" w:line="240" w:lineRule="auto"/>
        <w:rPr>
          <w:rFonts w:ascii="Arial" w:hAnsi="Arial" w:cs="Arial"/>
          <w:sz w:val="18"/>
          <w:szCs w:val="18"/>
        </w:rPr>
      </w:pPr>
    </w:p>
    <w:p w14:paraId="1008079C" w14:textId="7E9A6BEA" w:rsidR="00F958D6" w:rsidRDefault="004A36B7" w:rsidP="002E3505">
      <w:pPr>
        <w:spacing w:after="0" w:line="240" w:lineRule="auto"/>
        <w:rPr>
          <w:rFonts w:ascii="Arial" w:hAnsi="Arial" w:cs="Arial"/>
        </w:rPr>
      </w:pPr>
      <w:r w:rsidRPr="002E3505">
        <w:rPr>
          <w:rFonts w:ascii="Arial" w:hAnsi="Arial" w:cs="Arial"/>
        </w:rPr>
        <w:t xml:space="preserve">Considerable time and resource </w:t>
      </w:r>
      <w:r w:rsidR="00802BC1" w:rsidRPr="002E3505">
        <w:rPr>
          <w:rFonts w:ascii="Arial" w:hAnsi="Arial" w:cs="Arial"/>
        </w:rPr>
        <w:t>are</w:t>
      </w:r>
      <w:r w:rsidRPr="002E3505">
        <w:rPr>
          <w:rFonts w:ascii="Arial" w:hAnsi="Arial" w:cs="Arial"/>
        </w:rPr>
        <w:t xml:space="preserve"> expended on applying for these funds</w:t>
      </w:r>
      <w:r w:rsidR="00A5460F" w:rsidRPr="002E3505">
        <w:rPr>
          <w:rFonts w:ascii="Arial" w:hAnsi="Arial" w:cs="Arial"/>
        </w:rPr>
        <w:t xml:space="preserve"> and </w:t>
      </w:r>
      <w:proofErr w:type="gramStart"/>
      <w:r w:rsidR="00A5460F" w:rsidRPr="002E3505">
        <w:rPr>
          <w:rFonts w:ascii="Arial" w:hAnsi="Arial" w:cs="Arial"/>
        </w:rPr>
        <w:t>similar to</w:t>
      </w:r>
      <w:proofErr w:type="gramEnd"/>
      <w:r w:rsidR="00A5460F" w:rsidRPr="002E3505">
        <w:rPr>
          <w:rFonts w:ascii="Arial" w:hAnsi="Arial" w:cs="Arial"/>
        </w:rPr>
        <w:t xml:space="preserve"> the Oxfordshire and Buckinghamshire experience there has been a </w:t>
      </w:r>
      <w:r w:rsidR="002B1AC1" w:rsidRPr="002E3505">
        <w:rPr>
          <w:rFonts w:ascii="Arial" w:hAnsi="Arial" w:cs="Arial"/>
        </w:rPr>
        <w:t>significant</w:t>
      </w:r>
      <w:r w:rsidR="00A5460F" w:rsidRPr="002E3505">
        <w:rPr>
          <w:rFonts w:ascii="Arial" w:hAnsi="Arial" w:cs="Arial"/>
        </w:rPr>
        <w:t xml:space="preserve"> profiled underspend in </w:t>
      </w:r>
      <w:proofErr w:type="spellStart"/>
      <w:r w:rsidR="00A5460F" w:rsidRPr="002E3505">
        <w:rPr>
          <w:rFonts w:ascii="Arial" w:hAnsi="Arial" w:cs="Arial"/>
        </w:rPr>
        <w:t>FY22</w:t>
      </w:r>
      <w:proofErr w:type="spellEnd"/>
      <w:r w:rsidR="00A5460F" w:rsidRPr="002E3505">
        <w:rPr>
          <w:rFonts w:ascii="Arial" w:hAnsi="Arial" w:cs="Arial"/>
        </w:rPr>
        <w:t xml:space="preserve"> (£</w:t>
      </w:r>
      <w:proofErr w:type="spellStart"/>
      <w:r w:rsidR="00A5460F" w:rsidRPr="002E3505">
        <w:rPr>
          <w:rFonts w:ascii="Arial" w:hAnsi="Arial" w:cs="Arial"/>
        </w:rPr>
        <w:t>2m</w:t>
      </w:r>
      <w:proofErr w:type="spellEnd"/>
      <w:r w:rsidR="00A5460F" w:rsidRPr="002E3505">
        <w:rPr>
          <w:rFonts w:ascii="Arial" w:hAnsi="Arial" w:cs="Arial"/>
        </w:rPr>
        <w:t xml:space="preserve">+) </w:t>
      </w:r>
      <w:r w:rsidR="002B1AC1" w:rsidRPr="002E3505">
        <w:rPr>
          <w:rFonts w:ascii="Arial" w:hAnsi="Arial" w:cs="Arial"/>
        </w:rPr>
        <w:t xml:space="preserve">that will be less in </w:t>
      </w:r>
      <w:proofErr w:type="spellStart"/>
      <w:r w:rsidR="002B1AC1" w:rsidRPr="002E3505">
        <w:rPr>
          <w:rFonts w:ascii="Arial" w:hAnsi="Arial" w:cs="Arial"/>
        </w:rPr>
        <w:t>FY23</w:t>
      </w:r>
      <w:proofErr w:type="spellEnd"/>
      <w:r w:rsidR="002B1AC1" w:rsidRPr="002E3505">
        <w:rPr>
          <w:rFonts w:ascii="Arial" w:hAnsi="Arial" w:cs="Arial"/>
        </w:rPr>
        <w:t xml:space="preserve"> as the recruitment planning bears fruit. </w:t>
      </w:r>
    </w:p>
    <w:p w14:paraId="62E7664F" w14:textId="77777777" w:rsidR="00DF0050" w:rsidRPr="002E3505" w:rsidRDefault="00DF0050" w:rsidP="002E3505">
      <w:pPr>
        <w:spacing w:after="0" w:line="240" w:lineRule="auto"/>
        <w:rPr>
          <w:rFonts w:ascii="Arial" w:hAnsi="Arial" w:cs="Arial"/>
        </w:rPr>
      </w:pPr>
    </w:p>
    <w:p w14:paraId="65848305" w14:textId="624CBF5C" w:rsidR="00A5109C" w:rsidRDefault="00A1759B" w:rsidP="002E3505">
      <w:pPr>
        <w:spacing w:after="0" w:line="240" w:lineRule="auto"/>
        <w:rPr>
          <w:rFonts w:ascii="Arial" w:hAnsi="Arial" w:cs="Arial"/>
        </w:rPr>
      </w:pPr>
      <w:proofErr w:type="spellStart"/>
      <w:r w:rsidRPr="002E3505">
        <w:rPr>
          <w:rFonts w:ascii="Arial" w:hAnsi="Arial" w:cs="Arial"/>
        </w:rPr>
        <w:t>BSW</w:t>
      </w:r>
      <w:proofErr w:type="spellEnd"/>
      <w:r w:rsidRPr="002E3505">
        <w:rPr>
          <w:rFonts w:ascii="Arial" w:hAnsi="Arial" w:cs="Arial"/>
        </w:rPr>
        <w:t xml:space="preserve"> will be </w:t>
      </w:r>
      <w:r w:rsidR="00212B39" w:rsidRPr="002E3505">
        <w:rPr>
          <w:rFonts w:ascii="Arial" w:hAnsi="Arial" w:cs="Arial"/>
        </w:rPr>
        <w:t xml:space="preserve">formally adopting the ICS arrangements in the coming months, </w:t>
      </w:r>
      <w:r w:rsidR="000B636B" w:rsidRPr="002E3505">
        <w:rPr>
          <w:rFonts w:ascii="Arial" w:hAnsi="Arial" w:cs="Arial"/>
        </w:rPr>
        <w:t xml:space="preserve">and the proposed arrangements are in </w:t>
      </w:r>
      <w:r w:rsidR="000B636B" w:rsidRPr="002E3505">
        <w:rPr>
          <w:rFonts w:ascii="Arial" w:hAnsi="Arial" w:cs="Arial"/>
          <w:b/>
          <w:bCs/>
        </w:rPr>
        <w:t xml:space="preserve">figure </w:t>
      </w:r>
      <w:r w:rsidR="00FD2AC3" w:rsidRPr="002E3505">
        <w:rPr>
          <w:rFonts w:ascii="Arial" w:hAnsi="Arial" w:cs="Arial"/>
          <w:b/>
          <w:bCs/>
        </w:rPr>
        <w:t>6</w:t>
      </w:r>
      <w:r w:rsidR="000B636B" w:rsidRPr="002E3505">
        <w:rPr>
          <w:rFonts w:ascii="Arial" w:hAnsi="Arial" w:cs="Arial"/>
        </w:rPr>
        <w:t xml:space="preserve"> below. </w:t>
      </w:r>
      <w:r w:rsidR="00E520DC" w:rsidRPr="002E3505">
        <w:rPr>
          <w:rFonts w:ascii="Arial" w:hAnsi="Arial" w:cs="Arial"/>
        </w:rPr>
        <w:t xml:space="preserve">The Thrive board (circled) is the key </w:t>
      </w:r>
      <w:r w:rsidR="00392490" w:rsidRPr="002E3505">
        <w:rPr>
          <w:rFonts w:ascii="Arial" w:hAnsi="Arial" w:cs="Arial"/>
        </w:rPr>
        <w:t xml:space="preserve">body for oversight </w:t>
      </w:r>
      <w:r w:rsidR="006131DE" w:rsidRPr="002E3505">
        <w:rPr>
          <w:rFonts w:ascii="Arial" w:hAnsi="Arial" w:cs="Arial"/>
        </w:rPr>
        <w:t xml:space="preserve">and decision making </w:t>
      </w:r>
      <w:r w:rsidR="00392490" w:rsidRPr="002E3505">
        <w:rPr>
          <w:rFonts w:ascii="Arial" w:hAnsi="Arial" w:cs="Arial"/>
        </w:rPr>
        <w:t xml:space="preserve">for mental health governance, with </w:t>
      </w:r>
      <w:r w:rsidR="006131DE" w:rsidRPr="002E3505">
        <w:rPr>
          <w:rFonts w:ascii="Arial" w:hAnsi="Arial" w:cs="Arial"/>
        </w:rPr>
        <w:t>a MH finance oversight grou</w:t>
      </w:r>
      <w:r w:rsidR="00C8017E" w:rsidRPr="002E3505">
        <w:rPr>
          <w:rFonts w:ascii="Arial" w:hAnsi="Arial" w:cs="Arial"/>
        </w:rPr>
        <w:t>p</w:t>
      </w:r>
      <w:r w:rsidR="001B474F" w:rsidRPr="002E3505">
        <w:rPr>
          <w:rFonts w:ascii="Arial" w:hAnsi="Arial" w:cs="Arial"/>
        </w:rPr>
        <w:t xml:space="preserve"> &amp;</w:t>
      </w:r>
      <w:r w:rsidR="00C8017E" w:rsidRPr="002E3505">
        <w:rPr>
          <w:rFonts w:ascii="Arial" w:hAnsi="Arial" w:cs="Arial"/>
        </w:rPr>
        <w:t xml:space="preserve"> CSF </w:t>
      </w:r>
      <w:r w:rsidR="001B474F" w:rsidRPr="002E3505">
        <w:rPr>
          <w:rFonts w:ascii="Arial" w:hAnsi="Arial" w:cs="Arial"/>
        </w:rPr>
        <w:t>steering group</w:t>
      </w:r>
      <w:r w:rsidR="00C8017E" w:rsidRPr="002E3505">
        <w:rPr>
          <w:rFonts w:ascii="Arial" w:hAnsi="Arial" w:cs="Arial"/>
        </w:rPr>
        <w:t xml:space="preserve"> scrutinising proposals before approval at Thrive board.</w:t>
      </w:r>
    </w:p>
    <w:p w14:paraId="35562462" w14:textId="77777777" w:rsidR="00DF0050" w:rsidRPr="002E3505" w:rsidRDefault="00DF0050" w:rsidP="002E3505">
      <w:pPr>
        <w:spacing w:after="0" w:line="240" w:lineRule="auto"/>
        <w:rPr>
          <w:rFonts w:ascii="Arial" w:hAnsi="Arial" w:cs="Arial"/>
        </w:rPr>
      </w:pPr>
    </w:p>
    <w:p w14:paraId="3B41FE7D" w14:textId="21206359" w:rsidR="008F5686" w:rsidRDefault="00A5109C" w:rsidP="002E3505">
      <w:pPr>
        <w:spacing w:after="0" w:line="240" w:lineRule="auto"/>
        <w:rPr>
          <w:rFonts w:ascii="Arial" w:hAnsi="Arial" w:cs="Arial"/>
          <w:color w:val="000000" w:themeColor="text1"/>
          <w:u w:val="single"/>
        </w:rPr>
      </w:pPr>
      <w:r w:rsidRPr="002E3505">
        <w:rPr>
          <w:rFonts w:ascii="Arial" w:hAnsi="Arial" w:cs="Arial"/>
          <w:noProof/>
        </w:rPr>
        <mc:AlternateContent>
          <mc:Choice Requires="wps">
            <w:drawing>
              <wp:anchor distT="0" distB="0" distL="114300" distR="114300" simplePos="0" relativeHeight="251659264" behindDoc="0" locked="0" layoutInCell="1" allowOverlap="1" wp14:anchorId="1EA18ED3" wp14:editId="21B765A2">
                <wp:simplePos x="0" y="0"/>
                <wp:positionH relativeFrom="margin">
                  <wp:align>center</wp:align>
                </wp:positionH>
                <wp:positionV relativeFrom="paragraph">
                  <wp:posOffset>782955</wp:posOffset>
                </wp:positionV>
                <wp:extent cx="914400" cy="601980"/>
                <wp:effectExtent l="19050" t="19050" r="19050" b="26670"/>
                <wp:wrapNone/>
                <wp:docPr id="13" name="Oval 13"/>
                <wp:cNvGraphicFramePr/>
                <a:graphic xmlns:a="http://schemas.openxmlformats.org/drawingml/2006/main">
                  <a:graphicData uri="http://schemas.microsoft.com/office/word/2010/wordprocessingShape">
                    <wps:wsp>
                      <wps:cNvSpPr/>
                      <wps:spPr>
                        <a:xfrm>
                          <a:off x="0" y="0"/>
                          <a:ext cx="914400" cy="60198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oval id="Oval 13" style="position:absolute;margin-left:0;margin-top:61.65pt;width:1in;height:47.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red" strokeweight="2.25pt" w14:anchorId="6B64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">
                <v:stroke joinstyle="miter"/>
                <w10:wrap anchorx="margin"/>
              </v:oval>
            </w:pict>
          </mc:Fallback>
        </mc:AlternateContent>
      </w:r>
      <w:r w:rsidRPr="002E3505">
        <w:rPr>
          <w:rFonts w:ascii="Arial" w:hAnsi="Arial" w:cs="Arial"/>
          <w:noProof/>
          <w:color w:val="000000" w:themeColor="text1"/>
          <w:u w:val="single"/>
        </w:rPr>
        <w:drawing>
          <wp:inline distT="0" distB="0" distL="0" distR="0" wp14:anchorId="3B8E4332" wp14:editId="1519539D">
            <wp:extent cx="5818755" cy="3467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4935" cy="3470783"/>
                    </a:xfrm>
                    <a:prstGeom prst="rect">
                      <a:avLst/>
                    </a:prstGeom>
                    <a:noFill/>
                  </pic:spPr>
                </pic:pic>
              </a:graphicData>
            </a:graphic>
          </wp:inline>
        </w:drawing>
      </w:r>
    </w:p>
    <w:p w14:paraId="72900BD2" w14:textId="03D5D360" w:rsidR="008F5686" w:rsidRPr="0059559F" w:rsidRDefault="008F5686" w:rsidP="002E3505">
      <w:pPr>
        <w:spacing w:after="0" w:line="240" w:lineRule="auto"/>
        <w:rPr>
          <w:rFonts w:ascii="Arial" w:hAnsi="Arial" w:cs="Arial"/>
          <w:color w:val="000000" w:themeColor="text1"/>
        </w:rPr>
      </w:pPr>
    </w:p>
    <w:p w14:paraId="3D1ABDE0" w14:textId="511B1518" w:rsidR="008F5686" w:rsidRPr="0059559F" w:rsidRDefault="0059559F" w:rsidP="002E3505">
      <w:pPr>
        <w:spacing w:after="0" w:line="240" w:lineRule="auto"/>
        <w:rPr>
          <w:rFonts w:ascii="Arial" w:hAnsi="Arial" w:cs="Arial"/>
          <w:color w:val="000000" w:themeColor="text1"/>
        </w:rPr>
      </w:pPr>
      <w:r w:rsidRPr="0059559F">
        <w:rPr>
          <w:rFonts w:ascii="Arial" w:hAnsi="Arial" w:cs="Arial"/>
          <w:color w:val="000000" w:themeColor="text1"/>
        </w:rPr>
        <w:t>Governance in BOB remains in development.</w:t>
      </w:r>
    </w:p>
    <w:p w14:paraId="19B18FC6" w14:textId="4BE56FC7" w:rsidR="008F5686" w:rsidRDefault="008F5686" w:rsidP="002E3505">
      <w:pPr>
        <w:spacing w:after="0" w:line="240" w:lineRule="auto"/>
        <w:rPr>
          <w:rFonts w:ascii="Arial" w:hAnsi="Arial" w:cs="Arial"/>
          <w:color w:val="000000" w:themeColor="text1"/>
          <w:u w:val="single"/>
        </w:rPr>
      </w:pPr>
    </w:p>
    <w:p w14:paraId="3BFDFEC2" w14:textId="2005328E" w:rsidR="008F5686" w:rsidRDefault="008F5686" w:rsidP="002E3505">
      <w:pPr>
        <w:spacing w:after="0" w:line="240" w:lineRule="auto"/>
        <w:rPr>
          <w:rFonts w:ascii="Arial" w:hAnsi="Arial" w:cs="Arial"/>
          <w:color w:val="000000" w:themeColor="text1"/>
          <w:u w:val="single"/>
        </w:rPr>
      </w:pPr>
    </w:p>
    <w:p w14:paraId="02713DDE" w14:textId="4D5F1DAD" w:rsidR="0059559F" w:rsidRDefault="0059559F" w:rsidP="002E3505">
      <w:pPr>
        <w:spacing w:after="0" w:line="240" w:lineRule="auto"/>
        <w:rPr>
          <w:rFonts w:ascii="Arial" w:hAnsi="Arial" w:cs="Arial"/>
          <w:color w:val="000000" w:themeColor="text1"/>
          <w:u w:val="single"/>
        </w:rPr>
      </w:pPr>
    </w:p>
    <w:p w14:paraId="5502603F" w14:textId="050C877F" w:rsidR="0059559F" w:rsidRDefault="0059559F" w:rsidP="002E3505">
      <w:pPr>
        <w:spacing w:after="0" w:line="240" w:lineRule="auto"/>
        <w:rPr>
          <w:rFonts w:ascii="Arial" w:hAnsi="Arial" w:cs="Arial"/>
          <w:color w:val="000000" w:themeColor="text1"/>
          <w:u w:val="single"/>
        </w:rPr>
      </w:pPr>
    </w:p>
    <w:p w14:paraId="4CB6D3CD" w14:textId="77777777" w:rsidR="0059559F" w:rsidRPr="008F5686" w:rsidRDefault="0059559F" w:rsidP="002E3505">
      <w:pPr>
        <w:spacing w:after="0" w:line="240" w:lineRule="auto"/>
        <w:rPr>
          <w:rFonts w:ascii="Arial" w:hAnsi="Arial" w:cs="Arial"/>
          <w:color w:val="000000" w:themeColor="text1"/>
          <w:u w:val="single"/>
        </w:rPr>
      </w:pPr>
    </w:p>
    <w:p w14:paraId="6803F467" w14:textId="482C12FA" w:rsidR="00822561" w:rsidRPr="00477292" w:rsidRDefault="00523B9A" w:rsidP="002E3505">
      <w:pPr>
        <w:pStyle w:val="Title"/>
        <w:rPr>
          <w:rFonts w:ascii="Arial" w:hAnsi="Arial" w:cs="Arial"/>
          <w:b/>
          <w:bCs/>
          <w:color w:val="000000" w:themeColor="text1"/>
          <w:sz w:val="22"/>
          <w:szCs w:val="22"/>
          <w:u w:val="single"/>
        </w:rPr>
      </w:pPr>
      <w:r w:rsidRPr="00477292">
        <w:rPr>
          <w:rFonts w:ascii="Arial" w:hAnsi="Arial" w:cs="Arial"/>
          <w:b/>
          <w:bCs/>
          <w:color w:val="000000" w:themeColor="text1"/>
          <w:sz w:val="22"/>
          <w:szCs w:val="22"/>
          <w:u w:val="single"/>
        </w:rPr>
        <w:lastRenderedPageBreak/>
        <w:t xml:space="preserve">Clinical </w:t>
      </w:r>
      <w:r w:rsidR="00822561" w:rsidRPr="00477292">
        <w:rPr>
          <w:rFonts w:ascii="Arial" w:hAnsi="Arial" w:cs="Arial"/>
          <w:b/>
          <w:bCs/>
          <w:color w:val="000000" w:themeColor="text1"/>
          <w:sz w:val="22"/>
          <w:szCs w:val="22"/>
          <w:u w:val="single"/>
        </w:rPr>
        <w:t>Workstream</w:t>
      </w:r>
      <w:r w:rsidR="00A15D01" w:rsidRPr="00477292">
        <w:rPr>
          <w:rFonts w:ascii="Arial" w:hAnsi="Arial" w:cs="Arial"/>
          <w:b/>
          <w:bCs/>
          <w:color w:val="000000" w:themeColor="text1"/>
          <w:sz w:val="22"/>
          <w:szCs w:val="22"/>
          <w:u w:val="single"/>
        </w:rPr>
        <w:t>s</w:t>
      </w:r>
    </w:p>
    <w:p w14:paraId="31B4D2E2" w14:textId="77777777" w:rsidR="00DF0050" w:rsidRDefault="00DF0050" w:rsidP="002E3505">
      <w:pPr>
        <w:spacing w:after="0" w:line="240" w:lineRule="auto"/>
        <w:rPr>
          <w:rFonts w:ascii="Arial" w:hAnsi="Arial" w:cs="Arial"/>
        </w:rPr>
      </w:pPr>
    </w:p>
    <w:p w14:paraId="7AC3F618" w14:textId="5FB8056B" w:rsidR="00B07B11" w:rsidRPr="00477292" w:rsidRDefault="00822561" w:rsidP="002E3505">
      <w:pPr>
        <w:spacing w:after="0" w:line="240" w:lineRule="auto"/>
        <w:rPr>
          <w:rFonts w:ascii="Arial" w:hAnsi="Arial" w:cs="Arial"/>
        </w:rPr>
      </w:pPr>
      <w:r w:rsidRPr="00477292">
        <w:rPr>
          <w:rFonts w:ascii="Arial" w:hAnsi="Arial" w:cs="Arial"/>
        </w:rPr>
        <w:t xml:space="preserve">Proposals and service developments have been categorised in line with the following </w:t>
      </w:r>
      <w:proofErr w:type="spellStart"/>
      <w:r w:rsidRPr="00477292">
        <w:rPr>
          <w:rFonts w:ascii="Arial" w:hAnsi="Arial" w:cs="Arial"/>
        </w:rPr>
        <w:t>NHSE</w:t>
      </w:r>
      <w:proofErr w:type="spellEnd"/>
      <w:r w:rsidRPr="00477292">
        <w:rPr>
          <w:rFonts w:ascii="Arial" w:hAnsi="Arial" w:cs="Arial"/>
        </w:rPr>
        <w:t xml:space="preserve"> Workstreams:</w:t>
      </w:r>
    </w:p>
    <w:p w14:paraId="4AC4FF63" w14:textId="77777777" w:rsidR="00822561" w:rsidRPr="00477292" w:rsidRDefault="00471D41" w:rsidP="002E3505">
      <w:pPr>
        <w:pStyle w:val="ListParagraph"/>
        <w:numPr>
          <w:ilvl w:val="0"/>
          <w:numId w:val="2"/>
        </w:numPr>
        <w:spacing w:after="0" w:line="240" w:lineRule="auto"/>
        <w:ind w:left="0"/>
        <w:rPr>
          <w:rFonts w:ascii="Arial" w:hAnsi="Arial" w:cs="Arial"/>
        </w:rPr>
      </w:pPr>
      <w:hyperlink w:anchor="_Children_&amp;_Young" w:history="1">
        <w:r w:rsidR="00822561" w:rsidRPr="00477292">
          <w:rPr>
            <w:rStyle w:val="Hyperlink"/>
            <w:rFonts w:ascii="Arial" w:hAnsi="Arial" w:cs="Arial"/>
            <w:color w:val="auto"/>
          </w:rPr>
          <w:t>Children &amp; Y</w:t>
        </w:r>
        <w:r w:rsidR="00822561" w:rsidRPr="00477292">
          <w:rPr>
            <w:rStyle w:val="Hyperlink"/>
            <w:rFonts w:ascii="Arial" w:hAnsi="Arial" w:cs="Arial"/>
            <w:color w:val="auto"/>
          </w:rPr>
          <w:t>o</w:t>
        </w:r>
        <w:r w:rsidR="00822561" w:rsidRPr="00477292">
          <w:rPr>
            <w:rStyle w:val="Hyperlink"/>
            <w:rFonts w:ascii="Arial" w:hAnsi="Arial" w:cs="Arial"/>
            <w:color w:val="auto"/>
          </w:rPr>
          <w:t>ung People</w:t>
        </w:r>
      </w:hyperlink>
    </w:p>
    <w:p w14:paraId="02865ECC" w14:textId="77777777" w:rsidR="00822561" w:rsidRPr="00477292" w:rsidRDefault="00471D41" w:rsidP="002E3505">
      <w:pPr>
        <w:pStyle w:val="ListParagraph"/>
        <w:numPr>
          <w:ilvl w:val="0"/>
          <w:numId w:val="2"/>
        </w:numPr>
        <w:spacing w:after="0" w:line="240" w:lineRule="auto"/>
        <w:ind w:left="0"/>
        <w:rPr>
          <w:rFonts w:ascii="Arial" w:hAnsi="Arial" w:cs="Arial"/>
        </w:rPr>
      </w:pPr>
      <w:hyperlink w:anchor="_Perinatal" w:history="1">
        <w:r w:rsidR="00822561" w:rsidRPr="00477292">
          <w:rPr>
            <w:rStyle w:val="Hyperlink"/>
            <w:rFonts w:ascii="Arial" w:hAnsi="Arial" w:cs="Arial"/>
            <w:color w:val="auto"/>
          </w:rPr>
          <w:t>Perinatal</w:t>
        </w:r>
      </w:hyperlink>
    </w:p>
    <w:p w14:paraId="77EF65D0" w14:textId="77777777" w:rsidR="00822561" w:rsidRPr="00477292" w:rsidRDefault="00471D41" w:rsidP="002E3505">
      <w:pPr>
        <w:pStyle w:val="ListParagraph"/>
        <w:numPr>
          <w:ilvl w:val="0"/>
          <w:numId w:val="2"/>
        </w:numPr>
        <w:spacing w:after="0" w:line="240" w:lineRule="auto"/>
        <w:ind w:left="0"/>
        <w:rPr>
          <w:rFonts w:ascii="Arial" w:hAnsi="Arial" w:cs="Arial"/>
        </w:rPr>
      </w:pPr>
      <w:hyperlink w:anchor="_Improving_Access_to" w:history="1">
        <w:r w:rsidR="00FA7312" w:rsidRPr="00477292">
          <w:rPr>
            <w:rStyle w:val="Hyperlink"/>
            <w:rFonts w:ascii="Arial" w:hAnsi="Arial" w:cs="Arial"/>
            <w:color w:val="auto"/>
          </w:rPr>
          <w:t>Improving Access to Psychological Therapies (</w:t>
        </w:r>
        <w:proofErr w:type="spellStart"/>
        <w:r w:rsidR="00822561" w:rsidRPr="00477292">
          <w:rPr>
            <w:rStyle w:val="Hyperlink"/>
            <w:rFonts w:ascii="Arial" w:hAnsi="Arial" w:cs="Arial"/>
            <w:color w:val="auto"/>
          </w:rPr>
          <w:t>IAPT</w:t>
        </w:r>
        <w:proofErr w:type="spellEnd"/>
        <w:r w:rsidR="00FA7312" w:rsidRPr="00477292">
          <w:rPr>
            <w:rStyle w:val="Hyperlink"/>
            <w:rFonts w:ascii="Arial" w:hAnsi="Arial" w:cs="Arial"/>
            <w:color w:val="auto"/>
          </w:rPr>
          <w:t>)</w:t>
        </w:r>
      </w:hyperlink>
    </w:p>
    <w:p w14:paraId="3621D520" w14:textId="77777777" w:rsidR="00822561" w:rsidRPr="00477292" w:rsidRDefault="00471D41" w:rsidP="002E3505">
      <w:pPr>
        <w:pStyle w:val="ListParagraph"/>
        <w:numPr>
          <w:ilvl w:val="0"/>
          <w:numId w:val="2"/>
        </w:numPr>
        <w:spacing w:after="0" w:line="240" w:lineRule="auto"/>
        <w:ind w:left="0"/>
        <w:rPr>
          <w:rFonts w:ascii="Arial" w:hAnsi="Arial" w:cs="Arial"/>
        </w:rPr>
      </w:pPr>
      <w:hyperlink w:anchor="_Acute_&amp;_Crisis" w:history="1">
        <w:r w:rsidR="00822561" w:rsidRPr="00477292">
          <w:rPr>
            <w:rStyle w:val="Hyperlink"/>
            <w:rFonts w:ascii="Arial" w:hAnsi="Arial" w:cs="Arial"/>
            <w:color w:val="auto"/>
          </w:rPr>
          <w:t>Acute &amp; Crisis</w:t>
        </w:r>
      </w:hyperlink>
    </w:p>
    <w:p w14:paraId="4AFA0112" w14:textId="77777777" w:rsidR="00822561" w:rsidRPr="00477292" w:rsidRDefault="00471D41" w:rsidP="002E3505">
      <w:pPr>
        <w:pStyle w:val="ListParagraph"/>
        <w:numPr>
          <w:ilvl w:val="0"/>
          <w:numId w:val="2"/>
        </w:numPr>
        <w:spacing w:after="0" w:line="240" w:lineRule="auto"/>
        <w:ind w:left="0"/>
        <w:rPr>
          <w:rFonts w:ascii="Arial" w:hAnsi="Arial" w:cs="Arial"/>
        </w:rPr>
      </w:pPr>
      <w:hyperlink w:anchor="_Adult_&amp;_Older" w:history="1">
        <w:r w:rsidR="00822561" w:rsidRPr="00477292">
          <w:rPr>
            <w:rStyle w:val="Hyperlink"/>
            <w:rFonts w:ascii="Arial" w:hAnsi="Arial" w:cs="Arial"/>
            <w:color w:val="auto"/>
          </w:rPr>
          <w:t>Adult and Ol</w:t>
        </w:r>
        <w:r w:rsidR="00822561" w:rsidRPr="00477292">
          <w:rPr>
            <w:rStyle w:val="Hyperlink"/>
            <w:rFonts w:ascii="Arial" w:hAnsi="Arial" w:cs="Arial"/>
            <w:color w:val="auto"/>
          </w:rPr>
          <w:t>d</w:t>
        </w:r>
        <w:r w:rsidR="00822561" w:rsidRPr="00477292">
          <w:rPr>
            <w:rStyle w:val="Hyperlink"/>
            <w:rFonts w:ascii="Arial" w:hAnsi="Arial" w:cs="Arial"/>
            <w:color w:val="auto"/>
          </w:rPr>
          <w:t>er Adult Serious Mental Illness</w:t>
        </w:r>
      </w:hyperlink>
    </w:p>
    <w:p w14:paraId="7407DE36" w14:textId="77777777" w:rsidR="00822561" w:rsidRPr="00477292" w:rsidRDefault="00471D41" w:rsidP="002E3505">
      <w:pPr>
        <w:pStyle w:val="ListParagraph"/>
        <w:numPr>
          <w:ilvl w:val="0"/>
          <w:numId w:val="2"/>
        </w:numPr>
        <w:spacing w:after="0" w:line="240" w:lineRule="auto"/>
        <w:ind w:left="0"/>
        <w:rPr>
          <w:rFonts w:ascii="Arial" w:hAnsi="Arial" w:cs="Arial"/>
        </w:rPr>
      </w:pPr>
      <w:hyperlink w:anchor="_Suicide_Prevention" w:history="1">
        <w:r w:rsidR="00822561" w:rsidRPr="00477292">
          <w:rPr>
            <w:rStyle w:val="Hyperlink"/>
            <w:rFonts w:ascii="Arial" w:hAnsi="Arial" w:cs="Arial"/>
            <w:color w:val="auto"/>
          </w:rPr>
          <w:t>Suicide Prevention</w:t>
        </w:r>
      </w:hyperlink>
    </w:p>
    <w:p w14:paraId="1047454A" w14:textId="38CEA728" w:rsidR="00DF0050" w:rsidRDefault="00DF0050" w:rsidP="002E3505">
      <w:pPr>
        <w:pStyle w:val="Heading1"/>
        <w:spacing w:before="0" w:line="240" w:lineRule="auto"/>
        <w:rPr>
          <w:rFonts w:ascii="Arial" w:hAnsi="Arial" w:cs="Arial"/>
          <w:color w:val="auto"/>
          <w:sz w:val="22"/>
          <w:szCs w:val="22"/>
        </w:rPr>
      </w:pPr>
      <w:bookmarkStart w:id="0" w:name="_Children_&amp;_Young"/>
      <w:bookmarkEnd w:id="0"/>
    </w:p>
    <w:p w14:paraId="6AEF7056" w14:textId="77777777" w:rsidR="00477292" w:rsidRPr="00477292" w:rsidRDefault="00477292" w:rsidP="00477292"/>
    <w:p w14:paraId="6CE4B32D" w14:textId="7E1F4281" w:rsidR="00822561" w:rsidRPr="00463B82" w:rsidRDefault="00822561" w:rsidP="002E3505">
      <w:pPr>
        <w:pStyle w:val="Heading1"/>
        <w:spacing w:before="0" w:line="240" w:lineRule="auto"/>
        <w:rPr>
          <w:rFonts w:ascii="Arial" w:hAnsi="Arial" w:cs="Arial"/>
          <w:b/>
          <w:bCs/>
          <w:color w:val="auto"/>
          <w:sz w:val="22"/>
          <w:szCs w:val="22"/>
          <w:u w:val="single"/>
        </w:rPr>
      </w:pPr>
      <w:r w:rsidRPr="00463B82">
        <w:rPr>
          <w:rFonts w:ascii="Arial" w:hAnsi="Arial" w:cs="Arial"/>
          <w:b/>
          <w:bCs/>
          <w:color w:val="auto"/>
          <w:sz w:val="22"/>
          <w:szCs w:val="22"/>
          <w:u w:val="single"/>
        </w:rPr>
        <w:t>Children &amp; Young People</w:t>
      </w:r>
    </w:p>
    <w:p w14:paraId="1A99174A" w14:textId="77777777" w:rsidR="00DF0050" w:rsidRPr="00477292" w:rsidRDefault="00DF0050" w:rsidP="002E3505">
      <w:pPr>
        <w:spacing w:after="0" w:line="240" w:lineRule="auto"/>
        <w:rPr>
          <w:rFonts w:ascii="Arial" w:hAnsi="Arial" w:cs="Arial"/>
          <w:b/>
          <w:bCs/>
        </w:rPr>
      </w:pPr>
    </w:p>
    <w:p w14:paraId="72852CC7" w14:textId="4B054D83" w:rsidR="005728BC" w:rsidRDefault="00527FE7" w:rsidP="002E3505">
      <w:pPr>
        <w:spacing w:after="0" w:line="240" w:lineRule="auto"/>
        <w:rPr>
          <w:rFonts w:ascii="Arial" w:hAnsi="Arial" w:cs="Arial"/>
        </w:rPr>
      </w:pPr>
      <w:r w:rsidRPr="00477292">
        <w:rPr>
          <w:rFonts w:ascii="Arial" w:hAnsi="Arial" w:cs="Arial"/>
          <w:b/>
          <w:bCs/>
        </w:rPr>
        <w:t xml:space="preserve">CAMHS </w:t>
      </w:r>
      <w:r w:rsidRPr="00477292">
        <w:rPr>
          <w:rFonts w:ascii="Arial" w:hAnsi="Arial" w:cs="Arial"/>
        </w:rPr>
        <w:t>provision across Buckinghamshire and Oxfordshire enables some of the highest access rates in the country</w:t>
      </w:r>
      <w:r w:rsidR="00952057" w:rsidRPr="002E3505">
        <w:rPr>
          <w:rFonts w:ascii="Arial" w:hAnsi="Arial" w:cs="Arial"/>
        </w:rPr>
        <w:t>,</w:t>
      </w:r>
      <w:r w:rsidR="00BA3446" w:rsidRPr="002E3505">
        <w:rPr>
          <w:rFonts w:ascii="Arial" w:hAnsi="Arial" w:cs="Arial"/>
        </w:rPr>
        <w:t xml:space="preserve"> </w:t>
      </w:r>
      <w:r w:rsidR="00B44418" w:rsidRPr="002E3505">
        <w:rPr>
          <w:rFonts w:ascii="Arial" w:hAnsi="Arial" w:cs="Arial"/>
        </w:rPr>
        <w:t>far exceeding the national ambition</w:t>
      </w:r>
      <w:r w:rsidRPr="002E3505">
        <w:rPr>
          <w:rFonts w:ascii="Arial" w:hAnsi="Arial" w:cs="Arial"/>
        </w:rPr>
        <w:t xml:space="preserve">. </w:t>
      </w:r>
      <w:r w:rsidR="00952057" w:rsidRPr="002E3505">
        <w:rPr>
          <w:rFonts w:ascii="Arial" w:hAnsi="Arial" w:cs="Arial"/>
        </w:rPr>
        <w:t xml:space="preserve">Figure X below outlines the access rates </w:t>
      </w:r>
      <w:r w:rsidR="009D758F" w:rsidRPr="009D758F">
        <w:rPr>
          <w:rFonts w:ascii="Arial" w:hAnsi="Arial" w:cs="Arial"/>
          <w:i/>
          <w:iCs/>
        </w:rPr>
        <w:t>(a</w:t>
      </w:r>
      <w:r w:rsidR="009D758F" w:rsidRPr="009D758F">
        <w:rPr>
          <w:rFonts w:ascii="Arial" w:hAnsi="Arial" w:cs="Arial"/>
          <w:i/>
          <w:iCs/>
        </w:rPr>
        <w:t xml:space="preserve">t least 35% of </w:t>
      </w:r>
      <w:proofErr w:type="spellStart"/>
      <w:r w:rsidR="009D758F" w:rsidRPr="009D758F">
        <w:rPr>
          <w:rFonts w:ascii="Arial" w:hAnsi="Arial" w:cs="Arial"/>
          <w:i/>
          <w:iCs/>
        </w:rPr>
        <w:t>CYP</w:t>
      </w:r>
      <w:proofErr w:type="spellEnd"/>
      <w:r w:rsidR="009D758F" w:rsidRPr="009D758F">
        <w:rPr>
          <w:rFonts w:ascii="Arial" w:hAnsi="Arial" w:cs="Arial"/>
          <w:i/>
          <w:iCs/>
        </w:rPr>
        <w:t xml:space="preserve"> with a diagnosable MH condition receive treatment from an NHS-funded community mental health service</w:t>
      </w:r>
      <w:r w:rsidR="009D758F" w:rsidRPr="009D758F">
        <w:rPr>
          <w:rFonts w:ascii="Arial" w:hAnsi="Arial" w:cs="Arial"/>
          <w:i/>
          <w:iCs/>
        </w:rPr>
        <w:t>)</w:t>
      </w:r>
      <w:r w:rsidR="009D758F">
        <w:rPr>
          <w:rFonts w:ascii="Arial" w:hAnsi="Arial" w:cs="Arial"/>
        </w:rPr>
        <w:t xml:space="preserve"> </w:t>
      </w:r>
      <w:r w:rsidR="00952057" w:rsidRPr="002E3505">
        <w:rPr>
          <w:rFonts w:ascii="Arial" w:hAnsi="Arial" w:cs="Arial"/>
        </w:rPr>
        <w:t>of 2+ contacts within</w:t>
      </w:r>
      <w:r w:rsidR="00CF5B02" w:rsidRPr="002E3505">
        <w:rPr>
          <w:rFonts w:ascii="Arial" w:hAnsi="Arial" w:cs="Arial"/>
        </w:rPr>
        <w:t xml:space="preserve"> BOB </w:t>
      </w:r>
      <w:proofErr w:type="spellStart"/>
      <w:r w:rsidR="00CF5B02" w:rsidRPr="002E3505">
        <w:rPr>
          <w:rFonts w:ascii="Arial" w:hAnsi="Arial" w:cs="Arial"/>
        </w:rPr>
        <w:t>CAMHs</w:t>
      </w:r>
      <w:proofErr w:type="spellEnd"/>
      <w:r w:rsidR="00CF5B02" w:rsidRPr="002E3505">
        <w:rPr>
          <w:rFonts w:ascii="Arial" w:hAnsi="Arial" w:cs="Arial"/>
        </w:rPr>
        <w:t xml:space="preserve"> </w:t>
      </w:r>
      <w:r w:rsidR="005728BC" w:rsidRPr="002E3505">
        <w:rPr>
          <w:rFonts w:ascii="Arial" w:hAnsi="Arial" w:cs="Arial"/>
        </w:rPr>
        <w:t>services</w:t>
      </w:r>
      <w:r w:rsidR="00CF5B02" w:rsidRPr="002E3505">
        <w:rPr>
          <w:rFonts w:ascii="Arial" w:hAnsi="Arial" w:cs="Arial"/>
        </w:rPr>
        <w:t xml:space="preserve">, the </w:t>
      </w:r>
      <w:proofErr w:type="spellStart"/>
      <w:r w:rsidR="00CF5B02" w:rsidRPr="002E3505">
        <w:rPr>
          <w:rFonts w:ascii="Arial" w:hAnsi="Arial" w:cs="Arial"/>
        </w:rPr>
        <w:t>LTP</w:t>
      </w:r>
      <w:proofErr w:type="spellEnd"/>
      <w:r w:rsidR="00CF5B02" w:rsidRPr="002E3505">
        <w:rPr>
          <w:rFonts w:ascii="Arial" w:hAnsi="Arial" w:cs="Arial"/>
        </w:rPr>
        <w:t xml:space="preserve"> measure until </w:t>
      </w:r>
      <w:r w:rsidR="0034351B" w:rsidRPr="002E3505">
        <w:rPr>
          <w:rFonts w:ascii="Arial" w:hAnsi="Arial" w:cs="Arial"/>
        </w:rPr>
        <w:t>March</w:t>
      </w:r>
      <w:r w:rsidR="00CF5B02" w:rsidRPr="002E3505">
        <w:rPr>
          <w:rFonts w:ascii="Arial" w:hAnsi="Arial" w:cs="Arial"/>
        </w:rPr>
        <w:t xml:space="preserve"> 2021. Figure Y shows the altered </w:t>
      </w:r>
      <w:proofErr w:type="spellStart"/>
      <w:r w:rsidR="00CF5B02" w:rsidRPr="002E3505">
        <w:rPr>
          <w:rFonts w:ascii="Arial" w:hAnsi="Arial" w:cs="Arial"/>
        </w:rPr>
        <w:t>LTP</w:t>
      </w:r>
      <w:proofErr w:type="spellEnd"/>
      <w:r w:rsidR="00CF5B02" w:rsidRPr="002E3505">
        <w:rPr>
          <w:rFonts w:ascii="Arial" w:hAnsi="Arial" w:cs="Arial"/>
        </w:rPr>
        <w:t xml:space="preserve"> access rate </w:t>
      </w:r>
      <w:r w:rsidR="005728BC" w:rsidRPr="002E3505">
        <w:rPr>
          <w:rFonts w:ascii="Arial" w:hAnsi="Arial" w:cs="Arial"/>
        </w:rPr>
        <w:t xml:space="preserve">for BOB </w:t>
      </w:r>
      <w:r w:rsidR="00F417C2" w:rsidRPr="002E3505">
        <w:rPr>
          <w:rFonts w:ascii="Arial" w:hAnsi="Arial" w:cs="Arial"/>
        </w:rPr>
        <w:t>from April 2021 onwards, when it moved to a single contact.</w:t>
      </w:r>
    </w:p>
    <w:p w14:paraId="4879547A" w14:textId="77777777" w:rsidR="00477292" w:rsidRPr="002E3505" w:rsidRDefault="00477292" w:rsidP="002E3505">
      <w:pPr>
        <w:spacing w:after="0" w:line="240" w:lineRule="auto"/>
        <w:rPr>
          <w:rFonts w:ascii="Arial" w:hAnsi="Arial" w:cs="Arial"/>
        </w:rPr>
      </w:pPr>
    </w:p>
    <w:p w14:paraId="0365D954" w14:textId="2C9A8CE8" w:rsidR="007B49E9" w:rsidRDefault="007B49E9" w:rsidP="002E3505">
      <w:pPr>
        <w:spacing w:after="0" w:line="240" w:lineRule="auto"/>
        <w:jc w:val="center"/>
        <w:rPr>
          <w:rFonts w:ascii="Arial" w:hAnsi="Arial" w:cs="Arial"/>
        </w:rPr>
      </w:pPr>
      <w:r w:rsidRPr="002E3505">
        <w:rPr>
          <w:rFonts w:ascii="Arial" w:hAnsi="Arial" w:cs="Arial"/>
          <w:noProof/>
        </w:rPr>
        <w:drawing>
          <wp:inline distT="0" distB="0" distL="0" distR="0" wp14:anchorId="791114AC" wp14:editId="6161AD75">
            <wp:extent cx="4411980" cy="2316480"/>
            <wp:effectExtent l="0" t="0" r="7620" b="7620"/>
            <wp:docPr id="5" name="Chart 5">
              <a:extLst xmlns:a="http://schemas.openxmlformats.org/drawingml/2006/main">
                <a:ext uri="{FF2B5EF4-FFF2-40B4-BE49-F238E27FC236}">
                  <a16:creationId xmlns:a16="http://schemas.microsoft.com/office/drawing/2014/main" id="{6691EE86-6440-49BD-8988-323D2AB1FC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1C6D62" w14:textId="77777777" w:rsidR="00430007" w:rsidRPr="002E3505" w:rsidRDefault="00430007" w:rsidP="002E3505">
      <w:pPr>
        <w:spacing w:after="0" w:line="240" w:lineRule="auto"/>
        <w:jc w:val="center"/>
        <w:rPr>
          <w:rFonts w:ascii="Arial" w:hAnsi="Arial" w:cs="Arial"/>
        </w:rPr>
      </w:pPr>
    </w:p>
    <w:p w14:paraId="1375FC44" w14:textId="6D9D59F1" w:rsidR="00D1175E" w:rsidRPr="002E3505" w:rsidRDefault="00D1175E" w:rsidP="002E3505">
      <w:pPr>
        <w:spacing w:after="0" w:line="240" w:lineRule="auto"/>
        <w:jc w:val="center"/>
        <w:rPr>
          <w:rFonts w:ascii="Arial" w:hAnsi="Arial" w:cs="Arial"/>
          <w:i/>
          <w:iCs/>
        </w:rPr>
      </w:pPr>
      <w:r w:rsidRPr="002E3505">
        <w:rPr>
          <w:rFonts w:ascii="Arial" w:hAnsi="Arial" w:cs="Arial"/>
          <w:noProof/>
        </w:rPr>
        <w:drawing>
          <wp:inline distT="0" distB="0" distL="0" distR="0" wp14:anchorId="48905981" wp14:editId="4711B218">
            <wp:extent cx="4474845" cy="2042160"/>
            <wp:effectExtent l="0" t="0" r="1905" b="15240"/>
            <wp:docPr id="9" name="Chart 9">
              <a:extLst xmlns:a="http://schemas.openxmlformats.org/drawingml/2006/main">
                <a:ext uri="{FF2B5EF4-FFF2-40B4-BE49-F238E27FC236}">
                  <a16:creationId xmlns:a16="http://schemas.microsoft.com/office/drawing/2014/main" id="{1DA8ECD6-56A9-4329-A6F8-CDEA27C259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CAFF7F" w14:textId="77777777" w:rsidR="00430007" w:rsidRDefault="00430007" w:rsidP="002E3505">
      <w:pPr>
        <w:spacing w:after="0" w:line="240" w:lineRule="auto"/>
        <w:rPr>
          <w:rFonts w:ascii="Arial" w:hAnsi="Arial" w:cs="Arial"/>
        </w:rPr>
      </w:pPr>
    </w:p>
    <w:p w14:paraId="4AD42137" w14:textId="3B5F7E78" w:rsidR="0034351B" w:rsidRDefault="00E63494" w:rsidP="002E3505">
      <w:pPr>
        <w:spacing w:after="0" w:line="240" w:lineRule="auto"/>
        <w:rPr>
          <w:rFonts w:ascii="Arial" w:hAnsi="Arial" w:cs="Arial"/>
        </w:rPr>
      </w:pPr>
      <w:r w:rsidRPr="002E3505">
        <w:rPr>
          <w:rFonts w:ascii="Arial" w:hAnsi="Arial" w:cs="Arial"/>
        </w:rPr>
        <w:t xml:space="preserve">Both demonstrate above target and incrementally increasing number of </w:t>
      </w:r>
      <w:r w:rsidR="00527FE7" w:rsidRPr="002E3505">
        <w:rPr>
          <w:rFonts w:ascii="Arial" w:hAnsi="Arial" w:cs="Arial"/>
        </w:rPr>
        <w:t xml:space="preserve">children and young people receive appropriate interventions to support them with their mental health. </w:t>
      </w:r>
      <w:r w:rsidR="00225FEE" w:rsidRPr="002E3505">
        <w:rPr>
          <w:rFonts w:ascii="Arial" w:hAnsi="Arial" w:cs="Arial"/>
        </w:rPr>
        <w:t xml:space="preserve">A specific area of </w:t>
      </w:r>
      <w:r w:rsidR="008B0607" w:rsidRPr="002E3505">
        <w:rPr>
          <w:rFonts w:ascii="Arial" w:hAnsi="Arial" w:cs="Arial"/>
        </w:rPr>
        <w:t xml:space="preserve">interest is the ongoing deliver in partnership with a variety of digital organisations and </w:t>
      </w:r>
      <w:r w:rsidR="008B0607" w:rsidRPr="002E3505">
        <w:rPr>
          <w:rFonts w:ascii="Arial" w:hAnsi="Arial" w:cs="Arial"/>
        </w:rPr>
        <w:lastRenderedPageBreak/>
        <w:t>3</w:t>
      </w:r>
      <w:r w:rsidR="008B0607" w:rsidRPr="002E3505">
        <w:rPr>
          <w:rFonts w:ascii="Arial" w:hAnsi="Arial" w:cs="Arial"/>
          <w:vertAlign w:val="superscript"/>
        </w:rPr>
        <w:t>rd</w:t>
      </w:r>
      <w:r w:rsidR="008B0607" w:rsidRPr="002E3505">
        <w:rPr>
          <w:rFonts w:ascii="Arial" w:hAnsi="Arial" w:cs="Arial"/>
        </w:rPr>
        <w:t xml:space="preserve"> sector providers to further enhance and diversify the ways in which </w:t>
      </w:r>
      <w:proofErr w:type="spellStart"/>
      <w:r w:rsidR="008B0607" w:rsidRPr="002E3505">
        <w:rPr>
          <w:rFonts w:ascii="Arial" w:hAnsi="Arial" w:cs="Arial"/>
        </w:rPr>
        <w:t>C&amp;YP</w:t>
      </w:r>
      <w:proofErr w:type="spellEnd"/>
      <w:r w:rsidR="008B0607" w:rsidRPr="002E3505">
        <w:rPr>
          <w:rFonts w:ascii="Arial" w:hAnsi="Arial" w:cs="Arial"/>
        </w:rPr>
        <w:t>, their families and carers engage with services.</w:t>
      </w:r>
    </w:p>
    <w:p w14:paraId="59838D0C" w14:textId="77777777" w:rsidR="00430007" w:rsidRPr="002E3505" w:rsidRDefault="00430007" w:rsidP="002E3505">
      <w:pPr>
        <w:spacing w:after="0" w:line="240" w:lineRule="auto"/>
        <w:rPr>
          <w:rFonts w:ascii="Arial" w:hAnsi="Arial" w:cs="Arial"/>
        </w:rPr>
      </w:pPr>
    </w:p>
    <w:p w14:paraId="6783B919" w14:textId="230E4690" w:rsidR="007947E4" w:rsidRDefault="007947E4" w:rsidP="002E3505">
      <w:pPr>
        <w:spacing w:after="0" w:line="240" w:lineRule="auto"/>
        <w:rPr>
          <w:rFonts w:ascii="Arial" w:hAnsi="Arial" w:cs="Arial"/>
        </w:rPr>
      </w:pPr>
      <w:r w:rsidRPr="002E3505">
        <w:rPr>
          <w:rFonts w:ascii="Arial" w:hAnsi="Arial" w:cs="Arial"/>
        </w:rPr>
        <w:t xml:space="preserve">For </w:t>
      </w:r>
      <w:proofErr w:type="spellStart"/>
      <w:r w:rsidRPr="002E3505">
        <w:rPr>
          <w:rFonts w:ascii="Arial" w:hAnsi="Arial" w:cs="Arial"/>
        </w:rPr>
        <w:t>BSW</w:t>
      </w:r>
      <w:proofErr w:type="spellEnd"/>
      <w:r w:rsidRPr="002E3505">
        <w:rPr>
          <w:rFonts w:ascii="Arial" w:hAnsi="Arial" w:cs="Arial"/>
        </w:rPr>
        <w:t>, the access rate is lower than with Ox and Bucks and there is work on go</w:t>
      </w:r>
      <w:r w:rsidR="004B2B33" w:rsidRPr="002E3505">
        <w:rPr>
          <w:rFonts w:ascii="Arial" w:hAnsi="Arial" w:cs="Arial"/>
        </w:rPr>
        <w:t>i</w:t>
      </w:r>
      <w:r w:rsidRPr="002E3505">
        <w:rPr>
          <w:rFonts w:ascii="Arial" w:hAnsi="Arial" w:cs="Arial"/>
        </w:rPr>
        <w:t>ng, including targeted funding for increasing the clinical time to meet this ambition.</w:t>
      </w:r>
    </w:p>
    <w:p w14:paraId="75B5D69B" w14:textId="77777777" w:rsidR="00430007" w:rsidRPr="002E3505" w:rsidRDefault="00430007" w:rsidP="002E3505">
      <w:pPr>
        <w:spacing w:after="0" w:line="240" w:lineRule="auto"/>
        <w:rPr>
          <w:rFonts w:ascii="Arial" w:hAnsi="Arial" w:cs="Arial"/>
        </w:rPr>
      </w:pPr>
    </w:p>
    <w:p w14:paraId="1EFC65C3" w14:textId="5BF6DF69" w:rsidR="00B604A2" w:rsidRDefault="00B604A2" w:rsidP="002E3505">
      <w:pPr>
        <w:spacing w:after="0" w:line="240" w:lineRule="auto"/>
        <w:jc w:val="center"/>
        <w:rPr>
          <w:rFonts w:ascii="Arial" w:hAnsi="Arial" w:cs="Arial"/>
          <w:b/>
          <w:bCs/>
        </w:rPr>
      </w:pPr>
      <w:r w:rsidRPr="00430007">
        <w:rPr>
          <w:rFonts w:ascii="Arial" w:hAnsi="Arial" w:cs="Arial"/>
          <w:noProof/>
          <w:sz w:val="18"/>
          <w:szCs w:val="18"/>
        </w:rPr>
        <w:drawing>
          <wp:inline distT="0" distB="0" distL="0" distR="0" wp14:anchorId="7780E06B" wp14:editId="370B5E65">
            <wp:extent cx="4480560" cy="1737360"/>
            <wp:effectExtent l="0" t="0" r="15240" b="15240"/>
            <wp:docPr id="10" name="Chart 10">
              <a:extLst xmlns:a="http://schemas.openxmlformats.org/drawingml/2006/main">
                <a:ext uri="{FF2B5EF4-FFF2-40B4-BE49-F238E27FC236}">
                  <a16:creationId xmlns:a16="http://schemas.microsoft.com/office/drawing/2014/main" id="{7992A897-BE78-429B-B5C1-EE86369492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E59696" w14:textId="77777777" w:rsidR="00430007" w:rsidRPr="002E3505" w:rsidRDefault="00430007" w:rsidP="002E3505">
      <w:pPr>
        <w:spacing w:after="0" w:line="240" w:lineRule="auto"/>
        <w:jc w:val="center"/>
        <w:rPr>
          <w:rFonts w:ascii="Arial" w:hAnsi="Arial" w:cs="Arial"/>
          <w:b/>
          <w:bCs/>
        </w:rPr>
      </w:pPr>
    </w:p>
    <w:p w14:paraId="230E9F19" w14:textId="3164A2A1" w:rsidR="003012EC" w:rsidRPr="002E3505" w:rsidRDefault="00092ED1" w:rsidP="002E3505">
      <w:pPr>
        <w:spacing w:after="0" w:line="240" w:lineRule="auto"/>
        <w:jc w:val="center"/>
        <w:rPr>
          <w:rFonts w:ascii="Arial" w:hAnsi="Arial" w:cs="Arial"/>
          <w:b/>
          <w:bCs/>
        </w:rPr>
      </w:pPr>
      <w:r w:rsidRPr="002E3505">
        <w:rPr>
          <w:rFonts w:ascii="Arial" w:hAnsi="Arial" w:cs="Arial"/>
          <w:noProof/>
        </w:rPr>
        <w:drawing>
          <wp:inline distT="0" distB="0" distL="0" distR="0" wp14:anchorId="7CBFB800" wp14:editId="46E162F0">
            <wp:extent cx="4472940" cy="1943100"/>
            <wp:effectExtent l="0" t="0" r="3810" b="0"/>
            <wp:docPr id="11" name="Chart 11">
              <a:extLst xmlns:a="http://schemas.openxmlformats.org/drawingml/2006/main">
                <a:ext uri="{FF2B5EF4-FFF2-40B4-BE49-F238E27FC236}">
                  <a16:creationId xmlns:a16="http://schemas.microsoft.com/office/drawing/2014/main" id="{596E12EC-9F8D-4B2F-A093-BB35736CA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01BCCC" w14:textId="77777777" w:rsidR="003012EC" w:rsidRPr="002E3505" w:rsidRDefault="003012EC" w:rsidP="002E3505">
      <w:pPr>
        <w:spacing w:after="0" w:line="240" w:lineRule="auto"/>
        <w:rPr>
          <w:rFonts w:ascii="Arial" w:hAnsi="Arial" w:cs="Arial"/>
          <w:b/>
          <w:bCs/>
        </w:rPr>
      </w:pPr>
    </w:p>
    <w:p w14:paraId="453A3B2C" w14:textId="4D41B2AC" w:rsidR="000277E6" w:rsidRPr="002E3505" w:rsidRDefault="006A7808" w:rsidP="002E3505">
      <w:pPr>
        <w:spacing w:after="0" w:line="240" w:lineRule="auto"/>
        <w:rPr>
          <w:rFonts w:ascii="Arial" w:hAnsi="Arial" w:cs="Arial"/>
        </w:rPr>
      </w:pPr>
      <w:r w:rsidRPr="002E3505">
        <w:rPr>
          <w:rFonts w:ascii="Arial" w:hAnsi="Arial" w:cs="Arial"/>
          <w:b/>
          <w:bCs/>
        </w:rPr>
        <w:t>Mental Health Support Teams</w:t>
      </w:r>
      <w:r w:rsidRPr="002E3505">
        <w:rPr>
          <w:rFonts w:ascii="Arial" w:hAnsi="Arial" w:cs="Arial"/>
        </w:rPr>
        <w:t xml:space="preserve"> </w:t>
      </w:r>
      <w:r w:rsidR="00ED7E3C" w:rsidRPr="002E3505">
        <w:rPr>
          <w:rFonts w:ascii="Arial" w:hAnsi="Arial" w:cs="Arial"/>
        </w:rPr>
        <w:t xml:space="preserve">as a minimum </w:t>
      </w:r>
      <w:proofErr w:type="spellStart"/>
      <w:r w:rsidR="00FA47F0" w:rsidRPr="002E3505">
        <w:rPr>
          <w:rFonts w:ascii="Arial" w:hAnsi="Arial" w:cs="Arial"/>
        </w:rPr>
        <w:t>LTP</w:t>
      </w:r>
      <w:proofErr w:type="spellEnd"/>
      <w:r w:rsidR="00ED7E3C" w:rsidRPr="002E3505">
        <w:rPr>
          <w:rFonts w:ascii="Arial" w:hAnsi="Arial" w:cs="Arial"/>
        </w:rPr>
        <w:t xml:space="preserve"> target should cover</w:t>
      </w:r>
      <w:r w:rsidRPr="002E3505">
        <w:rPr>
          <w:rFonts w:ascii="Arial" w:hAnsi="Arial" w:cs="Arial"/>
        </w:rPr>
        <w:t xml:space="preserve"> 25% (national target) of the relevant </w:t>
      </w:r>
      <w:r w:rsidR="00ED7E3C" w:rsidRPr="002E3505">
        <w:rPr>
          <w:rFonts w:ascii="Arial" w:hAnsi="Arial" w:cs="Arial"/>
        </w:rPr>
        <w:t xml:space="preserve">pupil numbers </w:t>
      </w:r>
      <w:r w:rsidRPr="002E3505">
        <w:rPr>
          <w:rFonts w:ascii="Arial" w:hAnsi="Arial" w:cs="Arial"/>
        </w:rPr>
        <w:t>in the footprint that OHFT serve.</w:t>
      </w:r>
      <w:r w:rsidR="009D3A95" w:rsidRPr="002E3505">
        <w:rPr>
          <w:rFonts w:ascii="Arial" w:hAnsi="Arial" w:cs="Arial"/>
        </w:rPr>
        <w:t xml:space="preserve"> </w:t>
      </w:r>
      <w:r w:rsidR="00FA47F0" w:rsidRPr="002E3505">
        <w:rPr>
          <w:rFonts w:ascii="Arial" w:hAnsi="Arial" w:cs="Arial"/>
        </w:rPr>
        <w:t xml:space="preserve">An </w:t>
      </w:r>
      <w:proofErr w:type="spellStart"/>
      <w:r w:rsidR="00FA47F0" w:rsidRPr="002E3505">
        <w:rPr>
          <w:rFonts w:ascii="Arial" w:hAnsi="Arial" w:cs="Arial"/>
        </w:rPr>
        <w:t>NHSE</w:t>
      </w:r>
      <w:proofErr w:type="spellEnd"/>
      <w:r w:rsidR="00FA47F0" w:rsidRPr="002E3505">
        <w:rPr>
          <w:rFonts w:ascii="Arial" w:hAnsi="Arial" w:cs="Arial"/>
        </w:rPr>
        <w:t xml:space="preserve"> funded programme (</w:t>
      </w:r>
      <w:r w:rsidR="00D77068" w:rsidRPr="002E3505">
        <w:rPr>
          <w:rFonts w:ascii="Arial" w:hAnsi="Arial" w:cs="Arial"/>
        </w:rPr>
        <w:t xml:space="preserve">via SDF) </w:t>
      </w:r>
      <w:r w:rsidR="008063B9" w:rsidRPr="002E3505">
        <w:rPr>
          <w:rFonts w:ascii="Arial" w:hAnsi="Arial" w:cs="Arial"/>
        </w:rPr>
        <w:t xml:space="preserve">the expectation of the offer is to </w:t>
      </w:r>
      <w:r w:rsidR="00205B1F" w:rsidRPr="002E3505">
        <w:rPr>
          <w:rFonts w:ascii="Arial" w:hAnsi="Arial" w:cs="Arial"/>
        </w:rPr>
        <w:t xml:space="preserve">provide 400 – 500 </w:t>
      </w:r>
      <w:proofErr w:type="spellStart"/>
      <w:r w:rsidR="00205B1F" w:rsidRPr="002E3505">
        <w:rPr>
          <w:rFonts w:ascii="Arial" w:hAnsi="Arial" w:cs="Arial"/>
        </w:rPr>
        <w:t>CYP</w:t>
      </w:r>
      <w:proofErr w:type="spellEnd"/>
      <w:r w:rsidR="00205B1F" w:rsidRPr="002E3505">
        <w:rPr>
          <w:rFonts w:ascii="Arial" w:hAnsi="Arial" w:cs="Arial"/>
        </w:rPr>
        <w:t xml:space="preserve"> with mild to moderate MH presentations (mainly anxiety and low mood/ depression) an intervention per year. </w:t>
      </w:r>
      <w:r w:rsidR="00450299">
        <w:rPr>
          <w:rFonts w:ascii="Arial" w:hAnsi="Arial" w:cs="Arial"/>
        </w:rPr>
        <w:t>A</w:t>
      </w:r>
      <w:r w:rsidR="009A4125" w:rsidRPr="002E3505">
        <w:rPr>
          <w:rFonts w:ascii="Arial" w:hAnsi="Arial" w:cs="Arial"/>
        </w:rPr>
        <w:t xml:space="preserve">s of </w:t>
      </w:r>
      <w:r w:rsidR="000277E6" w:rsidRPr="002E3505">
        <w:rPr>
          <w:rFonts w:ascii="Arial" w:hAnsi="Arial" w:cs="Arial"/>
        </w:rPr>
        <w:t>Feb 22) is:</w:t>
      </w:r>
    </w:p>
    <w:tbl>
      <w:tblPr>
        <w:tblStyle w:val="TableGrid"/>
        <w:tblW w:w="8926" w:type="dxa"/>
        <w:tblLook w:val="04A0" w:firstRow="1" w:lastRow="0" w:firstColumn="1" w:lastColumn="0" w:noHBand="0" w:noVBand="1"/>
      </w:tblPr>
      <w:tblGrid>
        <w:gridCol w:w="1455"/>
        <w:gridCol w:w="1196"/>
        <w:gridCol w:w="2022"/>
        <w:gridCol w:w="1701"/>
        <w:gridCol w:w="992"/>
        <w:gridCol w:w="1560"/>
      </w:tblGrid>
      <w:tr w:rsidR="005A7598" w:rsidRPr="00463B82" w14:paraId="280428C7" w14:textId="417300AC" w:rsidTr="00737316">
        <w:tc>
          <w:tcPr>
            <w:tcW w:w="1455" w:type="dxa"/>
          </w:tcPr>
          <w:p w14:paraId="559A74C6" w14:textId="02BFF8A9" w:rsidR="00562909" w:rsidRPr="00463B82" w:rsidRDefault="00562909" w:rsidP="002E3505">
            <w:pPr>
              <w:rPr>
                <w:rFonts w:ascii="Arial" w:hAnsi="Arial" w:cs="Arial"/>
                <w:sz w:val="18"/>
                <w:szCs w:val="18"/>
              </w:rPr>
            </w:pPr>
            <w:r w:rsidRPr="00463B82">
              <w:rPr>
                <w:rFonts w:ascii="Arial" w:hAnsi="Arial" w:cs="Arial"/>
                <w:sz w:val="18"/>
                <w:szCs w:val="18"/>
              </w:rPr>
              <w:t>Place</w:t>
            </w:r>
          </w:p>
        </w:tc>
        <w:tc>
          <w:tcPr>
            <w:tcW w:w="1196" w:type="dxa"/>
          </w:tcPr>
          <w:p w14:paraId="217EC2CC" w14:textId="322BB8BE" w:rsidR="00562909" w:rsidRPr="00463B82" w:rsidRDefault="00562909" w:rsidP="002E3505">
            <w:pPr>
              <w:rPr>
                <w:rFonts w:ascii="Arial" w:hAnsi="Arial" w:cs="Arial"/>
                <w:sz w:val="18"/>
                <w:szCs w:val="18"/>
              </w:rPr>
            </w:pPr>
            <w:r w:rsidRPr="00463B82">
              <w:rPr>
                <w:rFonts w:ascii="Arial" w:hAnsi="Arial" w:cs="Arial"/>
                <w:sz w:val="18"/>
                <w:szCs w:val="18"/>
              </w:rPr>
              <w:t>Number of teams</w:t>
            </w:r>
          </w:p>
        </w:tc>
        <w:tc>
          <w:tcPr>
            <w:tcW w:w="2022" w:type="dxa"/>
          </w:tcPr>
          <w:p w14:paraId="1703D10C" w14:textId="01E45CBA" w:rsidR="00562909" w:rsidRPr="00463B82" w:rsidRDefault="00562909" w:rsidP="002E3505">
            <w:pPr>
              <w:rPr>
                <w:rFonts w:ascii="Arial" w:hAnsi="Arial" w:cs="Arial"/>
                <w:sz w:val="18"/>
                <w:szCs w:val="18"/>
              </w:rPr>
            </w:pPr>
            <w:r w:rsidRPr="00463B82">
              <w:rPr>
                <w:rFonts w:ascii="Arial" w:hAnsi="Arial" w:cs="Arial"/>
                <w:sz w:val="18"/>
                <w:szCs w:val="18"/>
              </w:rPr>
              <w:t>Access % against pupil coverage</w:t>
            </w:r>
          </w:p>
        </w:tc>
        <w:tc>
          <w:tcPr>
            <w:tcW w:w="1701" w:type="dxa"/>
          </w:tcPr>
          <w:p w14:paraId="08777109" w14:textId="2C98CCC3" w:rsidR="00562909" w:rsidRPr="00463B82" w:rsidRDefault="00562909" w:rsidP="002E3505">
            <w:pPr>
              <w:rPr>
                <w:rFonts w:ascii="Arial" w:hAnsi="Arial" w:cs="Arial"/>
                <w:sz w:val="18"/>
                <w:szCs w:val="18"/>
              </w:rPr>
            </w:pPr>
            <w:r w:rsidRPr="00463B82">
              <w:rPr>
                <w:rFonts w:ascii="Arial" w:hAnsi="Arial" w:cs="Arial"/>
                <w:sz w:val="18"/>
                <w:szCs w:val="18"/>
              </w:rPr>
              <w:t xml:space="preserve">Average # </w:t>
            </w:r>
            <w:proofErr w:type="spellStart"/>
            <w:r w:rsidR="00FE2010" w:rsidRPr="00463B82">
              <w:rPr>
                <w:rFonts w:ascii="Arial" w:hAnsi="Arial" w:cs="Arial"/>
                <w:sz w:val="18"/>
                <w:szCs w:val="18"/>
              </w:rPr>
              <w:t>CYP</w:t>
            </w:r>
            <w:proofErr w:type="spellEnd"/>
            <w:r w:rsidR="008378E7" w:rsidRPr="00463B82">
              <w:rPr>
                <w:rFonts w:ascii="Arial" w:hAnsi="Arial" w:cs="Arial"/>
                <w:sz w:val="18"/>
                <w:szCs w:val="18"/>
              </w:rPr>
              <w:t xml:space="preserve"> a team</w:t>
            </w:r>
          </w:p>
        </w:tc>
        <w:tc>
          <w:tcPr>
            <w:tcW w:w="992" w:type="dxa"/>
          </w:tcPr>
          <w:p w14:paraId="574B7CBC" w14:textId="759CFE43" w:rsidR="00562909" w:rsidRPr="00463B82" w:rsidRDefault="00562909" w:rsidP="002E3505">
            <w:pPr>
              <w:rPr>
                <w:rFonts w:ascii="Arial" w:hAnsi="Arial" w:cs="Arial"/>
                <w:sz w:val="18"/>
                <w:szCs w:val="18"/>
              </w:rPr>
            </w:pPr>
            <w:r w:rsidRPr="00463B82">
              <w:rPr>
                <w:rFonts w:ascii="Arial" w:hAnsi="Arial" w:cs="Arial"/>
                <w:sz w:val="18"/>
                <w:szCs w:val="18"/>
              </w:rPr>
              <w:t xml:space="preserve">New teams </w:t>
            </w:r>
          </w:p>
        </w:tc>
        <w:tc>
          <w:tcPr>
            <w:tcW w:w="1560" w:type="dxa"/>
          </w:tcPr>
          <w:p w14:paraId="73ED8C64" w14:textId="743D0DE1" w:rsidR="00562909" w:rsidRPr="00463B82" w:rsidRDefault="00562909" w:rsidP="002E3505">
            <w:pPr>
              <w:rPr>
                <w:rFonts w:ascii="Arial" w:hAnsi="Arial" w:cs="Arial"/>
                <w:sz w:val="18"/>
                <w:szCs w:val="18"/>
              </w:rPr>
            </w:pPr>
            <w:r w:rsidRPr="00463B82">
              <w:rPr>
                <w:rFonts w:ascii="Arial" w:hAnsi="Arial" w:cs="Arial"/>
                <w:sz w:val="18"/>
                <w:szCs w:val="18"/>
              </w:rPr>
              <w:t>Updated coverage %</w:t>
            </w:r>
          </w:p>
        </w:tc>
      </w:tr>
      <w:tr w:rsidR="005A7598" w:rsidRPr="00463B82" w14:paraId="2F258B52" w14:textId="5A2FDF5C" w:rsidTr="00737316">
        <w:tc>
          <w:tcPr>
            <w:tcW w:w="1455" w:type="dxa"/>
          </w:tcPr>
          <w:p w14:paraId="0D772140" w14:textId="53F32C7D" w:rsidR="00562909" w:rsidRPr="00463B82" w:rsidRDefault="00562909" w:rsidP="002E3505">
            <w:pPr>
              <w:rPr>
                <w:rFonts w:ascii="Arial" w:hAnsi="Arial" w:cs="Arial"/>
                <w:sz w:val="18"/>
                <w:szCs w:val="18"/>
              </w:rPr>
            </w:pPr>
            <w:r w:rsidRPr="00463B82">
              <w:rPr>
                <w:rFonts w:ascii="Arial" w:hAnsi="Arial" w:cs="Arial"/>
                <w:sz w:val="18"/>
                <w:szCs w:val="18"/>
              </w:rPr>
              <w:t>Oxfordshire</w:t>
            </w:r>
          </w:p>
        </w:tc>
        <w:tc>
          <w:tcPr>
            <w:tcW w:w="1196" w:type="dxa"/>
          </w:tcPr>
          <w:p w14:paraId="2E433F43" w14:textId="1306B25A" w:rsidR="00562909" w:rsidRPr="00463B82" w:rsidRDefault="00562909" w:rsidP="002E3505">
            <w:pPr>
              <w:rPr>
                <w:rFonts w:ascii="Arial" w:hAnsi="Arial" w:cs="Arial"/>
                <w:sz w:val="18"/>
                <w:szCs w:val="18"/>
              </w:rPr>
            </w:pPr>
            <w:r w:rsidRPr="00463B82">
              <w:rPr>
                <w:rFonts w:ascii="Arial" w:hAnsi="Arial" w:cs="Arial"/>
                <w:sz w:val="18"/>
                <w:szCs w:val="18"/>
              </w:rPr>
              <w:t>4</w:t>
            </w:r>
          </w:p>
        </w:tc>
        <w:tc>
          <w:tcPr>
            <w:tcW w:w="2022" w:type="dxa"/>
          </w:tcPr>
          <w:p w14:paraId="64DEAADB" w14:textId="2847BB92" w:rsidR="00562909" w:rsidRPr="00463B82" w:rsidRDefault="00737316" w:rsidP="002E3505">
            <w:pPr>
              <w:rPr>
                <w:rFonts w:ascii="Arial" w:hAnsi="Arial" w:cs="Arial"/>
                <w:sz w:val="18"/>
                <w:szCs w:val="18"/>
              </w:rPr>
            </w:pPr>
            <w:r w:rsidRPr="00463B82">
              <w:rPr>
                <w:rFonts w:ascii="Arial" w:hAnsi="Arial" w:cs="Arial"/>
                <w:sz w:val="18"/>
                <w:szCs w:val="18"/>
              </w:rPr>
              <w:t>28%</w:t>
            </w:r>
          </w:p>
        </w:tc>
        <w:tc>
          <w:tcPr>
            <w:tcW w:w="1701" w:type="dxa"/>
          </w:tcPr>
          <w:p w14:paraId="4D4D7244" w14:textId="0A25E5ED" w:rsidR="00562909" w:rsidRPr="00463B82" w:rsidRDefault="008378E7" w:rsidP="002E3505">
            <w:pPr>
              <w:rPr>
                <w:rFonts w:ascii="Arial" w:hAnsi="Arial" w:cs="Arial"/>
                <w:sz w:val="18"/>
                <w:szCs w:val="18"/>
              </w:rPr>
            </w:pPr>
            <w:r w:rsidRPr="00463B82">
              <w:rPr>
                <w:rFonts w:ascii="Arial" w:hAnsi="Arial" w:cs="Arial"/>
                <w:sz w:val="18"/>
                <w:szCs w:val="18"/>
              </w:rPr>
              <w:t>180-220</w:t>
            </w:r>
          </w:p>
        </w:tc>
        <w:tc>
          <w:tcPr>
            <w:tcW w:w="992" w:type="dxa"/>
          </w:tcPr>
          <w:p w14:paraId="4CBD4DF4" w14:textId="62F3A8D4" w:rsidR="00562909" w:rsidRPr="00463B82" w:rsidRDefault="00737316" w:rsidP="002E3505">
            <w:pPr>
              <w:rPr>
                <w:rFonts w:ascii="Arial" w:hAnsi="Arial" w:cs="Arial"/>
                <w:sz w:val="18"/>
                <w:szCs w:val="18"/>
              </w:rPr>
            </w:pPr>
            <w:r w:rsidRPr="00463B82">
              <w:rPr>
                <w:rFonts w:ascii="Arial" w:hAnsi="Arial" w:cs="Arial"/>
                <w:sz w:val="18"/>
                <w:szCs w:val="18"/>
              </w:rPr>
              <w:t>3</w:t>
            </w:r>
          </w:p>
        </w:tc>
        <w:tc>
          <w:tcPr>
            <w:tcW w:w="1560" w:type="dxa"/>
          </w:tcPr>
          <w:p w14:paraId="7998AF40" w14:textId="7EE7E08B" w:rsidR="00562909" w:rsidRPr="00463B82" w:rsidRDefault="00BE1DAF" w:rsidP="002E3505">
            <w:pPr>
              <w:rPr>
                <w:rFonts w:ascii="Arial" w:hAnsi="Arial" w:cs="Arial"/>
                <w:sz w:val="18"/>
                <w:szCs w:val="18"/>
              </w:rPr>
            </w:pPr>
            <w:r w:rsidRPr="00463B82">
              <w:rPr>
                <w:rFonts w:ascii="Arial" w:hAnsi="Arial" w:cs="Arial"/>
                <w:sz w:val="18"/>
                <w:szCs w:val="18"/>
              </w:rPr>
              <w:t>50%</w:t>
            </w:r>
          </w:p>
        </w:tc>
      </w:tr>
      <w:tr w:rsidR="00737316" w:rsidRPr="00463B82" w14:paraId="185E1919" w14:textId="77777777" w:rsidTr="00737316">
        <w:tc>
          <w:tcPr>
            <w:tcW w:w="1455" w:type="dxa"/>
          </w:tcPr>
          <w:p w14:paraId="07FE16F1" w14:textId="7CFAD6E6" w:rsidR="00737316" w:rsidRPr="00463B82" w:rsidRDefault="005A7598" w:rsidP="002E3505">
            <w:pPr>
              <w:rPr>
                <w:rFonts w:ascii="Arial" w:hAnsi="Arial" w:cs="Arial"/>
                <w:sz w:val="18"/>
                <w:szCs w:val="18"/>
              </w:rPr>
            </w:pPr>
            <w:r w:rsidRPr="00463B82">
              <w:rPr>
                <w:rFonts w:ascii="Arial" w:hAnsi="Arial" w:cs="Arial"/>
                <w:sz w:val="18"/>
                <w:szCs w:val="18"/>
              </w:rPr>
              <w:t>Bucks</w:t>
            </w:r>
          </w:p>
        </w:tc>
        <w:tc>
          <w:tcPr>
            <w:tcW w:w="1196" w:type="dxa"/>
          </w:tcPr>
          <w:p w14:paraId="39C2E1C2" w14:textId="3E132E31" w:rsidR="00737316" w:rsidRPr="00463B82" w:rsidRDefault="005A7598" w:rsidP="002E3505">
            <w:pPr>
              <w:rPr>
                <w:rFonts w:ascii="Arial" w:hAnsi="Arial" w:cs="Arial"/>
                <w:sz w:val="18"/>
                <w:szCs w:val="18"/>
              </w:rPr>
            </w:pPr>
            <w:r w:rsidRPr="00463B82">
              <w:rPr>
                <w:rFonts w:ascii="Arial" w:hAnsi="Arial" w:cs="Arial"/>
                <w:sz w:val="18"/>
                <w:szCs w:val="18"/>
              </w:rPr>
              <w:t>3</w:t>
            </w:r>
          </w:p>
        </w:tc>
        <w:tc>
          <w:tcPr>
            <w:tcW w:w="2022" w:type="dxa"/>
          </w:tcPr>
          <w:p w14:paraId="045BB0E3" w14:textId="07C53464" w:rsidR="00737316" w:rsidRPr="00463B82" w:rsidRDefault="005A7598" w:rsidP="002E3505">
            <w:pPr>
              <w:rPr>
                <w:rFonts w:ascii="Arial" w:hAnsi="Arial" w:cs="Arial"/>
                <w:sz w:val="18"/>
                <w:szCs w:val="18"/>
              </w:rPr>
            </w:pPr>
            <w:r w:rsidRPr="00463B82">
              <w:rPr>
                <w:rFonts w:ascii="Arial" w:hAnsi="Arial" w:cs="Arial"/>
                <w:sz w:val="18"/>
                <w:szCs w:val="18"/>
              </w:rPr>
              <w:t>2</w:t>
            </w:r>
            <w:r w:rsidR="002123EB" w:rsidRPr="00463B82">
              <w:rPr>
                <w:rFonts w:ascii="Arial" w:hAnsi="Arial" w:cs="Arial"/>
                <w:sz w:val="18"/>
                <w:szCs w:val="18"/>
              </w:rPr>
              <w:t>8</w:t>
            </w:r>
            <w:r w:rsidRPr="00463B82">
              <w:rPr>
                <w:rFonts w:ascii="Arial" w:hAnsi="Arial" w:cs="Arial"/>
                <w:sz w:val="18"/>
                <w:szCs w:val="18"/>
              </w:rPr>
              <w:t>%</w:t>
            </w:r>
          </w:p>
        </w:tc>
        <w:tc>
          <w:tcPr>
            <w:tcW w:w="1701" w:type="dxa"/>
          </w:tcPr>
          <w:p w14:paraId="4C9DAD09" w14:textId="338073D6" w:rsidR="00737316" w:rsidRPr="00463B82" w:rsidRDefault="00D9221E" w:rsidP="002E3505">
            <w:pPr>
              <w:rPr>
                <w:rFonts w:ascii="Arial" w:hAnsi="Arial" w:cs="Arial"/>
                <w:sz w:val="18"/>
                <w:szCs w:val="18"/>
              </w:rPr>
            </w:pPr>
            <w:r w:rsidRPr="00463B82">
              <w:rPr>
                <w:rFonts w:ascii="Arial" w:hAnsi="Arial" w:cs="Arial"/>
                <w:sz w:val="18"/>
                <w:szCs w:val="18"/>
              </w:rPr>
              <w:t>250-300</w:t>
            </w:r>
          </w:p>
        </w:tc>
        <w:tc>
          <w:tcPr>
            <w:tcW w:w="992" w:type="dxa"/>
          </w:tcPr>
          <w:p w14:paraId="5804116D" w14:textId="7E001CA8" w:rsidR="00737316" w:rsidRPr="00463B82" w:rsidRDefault="005A7598" w:rsidP="002E3505">
            <w:pPr>
              <w:rPr>
                <w:rFonts w:ascii="Arial" w:hAnsi="Arial" w:cs="Arial"/>
                <w:sz w:val="18"/>
                <w:szCs w:val="18"/>
              </w:rPr>
            </w:pPr>
            <w:r w:rsidRPr="00463B82">
              <w:rPr>
                <w:rFonts w:ascii="Arial" w:hAnsi="Arial" w:cs="Arial"/>
                <w:sz w:val="18"/>
                <w:szCs w:val="18"/>
              </w:rPr>
              <w:t>3</w:t>
            </w:r>
          </w:p>
        </w:tc>
        <w:tc>
          <w:tcPr>
            <w:tcW w:w="1560" w:type="dxa"/>
          </w:tcPr>
          <w:p w14:paraId="2F1D76AA" w14:textId="7F1F7D22" w:rsidR="00737316" w:rsidRPr="00463B82" w:rsidRDefault="001652E6" w:rsidP="002E3505">
            <w:pPr>
              <w:rPr>
                <w:rFonts w:ascii="Arial" w:hAnsi="Arial" w:cs="Arial"/>
                <w:sz w:val="18"/>
                <w:szCs w:val="18"/>
              </w:rPr>
            </w:pPr>
            <w:r w:rsidRPr="00463B82">
              <w:rPr>
                <w:rFonts w:ascii="Arial" w:hAnsi="Arial" w:cs="Arial"/>
                <w:sz w:val="18"/>
                <w:szCs w:val="18"/>
              </w:rPr>
              <w:t>46%</w:t>
            </w:r>
          </w:p>
        </w:tc>
      </w:tr>
    </w:tbl>
    <w:p w14:paraId="4433C43A" w14:textId="486940E9" w:rsidR="006A7808" w:rsidRPr="002E3505" w:rsidRDefault="006A7808" w:rsidP="002E3505">
      <w:pPr>
        <w:spacing w:after="0" w:line="240" w:lineRule="auto"/>
        <w:rPr>
          <w:rFonts w:ascii="Arial" w:hAnsi="Arial" w:cs="Arial"/>
        </w:rPr>
      </w:pPr>
    </w:p>
    <w:p w14:paraId="08EC0E01" w14:textId="414B6F50" w:rsidR="00263062" w:rsidRPr="002E3505" w:rsidRDefault="00263062" w:rsidP="002E3505">
      <w:pPr>
        <w:spacing w:after="0" w:line="240" w:lineRule="auto"/>
        <w:rPr>
          <w:rFonts w:ascii="Arial" w:hAnsi="Arial" w:cs="Arial"/>
        </w:rPr>
      </w:pPr>
      <w:r w:rsidRPr="002E3505">
        <w:rPr>
          <w:rFonts w:ascii="Arial" w:hAnsi="Arial" w:cs="Arial"/>
        </w:rPr>
        <w:t xml:space="preserve">In </w:t>
      </w:r>
      <w:proofErr w:type="spellStart"/>
      <w:r w:rsidRPr="002E3505">
        <w:rPr>
          <w:rFonts w:ascii="Arial" w:hAnsi="Arial" w:cs="Arial"/>
        </w:rPr>
        <w:t>BSW</w:t>
      </w:r>
      <w:proofErr w:type="spellEnd"/>
      <w:r w:rsidRPr="002E3505">
        <w:rPr>
          <w:rFonts w:ascii="Arial" w:hAnsi="Arial" w:cs="Arial"/>
        </w:rPr>
        <w:t xml:space="preserve"> OHFT provide </w:t>
      </w:r>
      <w:proofErr w:type="spellStart"/>
      <w:r w:rsidRPr="002E3505">
        <w:rPr>
          <w:rFonts w:ascii="Arial" w:hAnsi="Arial" w:cs="Arial"/>
        </w:rPr>
        <w:t>MHST</w:t>
      </w:r>
      <w:proofErr w:type="spellEnd"/>
      <w:r w:rsidRPr="002E3505">
        <w:rPr>
          <w:rFonts w:ascii="Arial" w:hAnsi="Arial" w:cs="Arial"/>
        </w:rPr>
        <w:t xml:space="preserve"> in the </w:t>
      </w:r>
      <w:proofErr w:type="spellStart"/>
      <w:r w:rsidRPr="002E3505">
        <w:rPr>
          <w:rFonts w:ascii="Arial" w:hAnsi="Arial" w:cs="Arial"/>
        </w:rPr>
        <w:t>BaNES</w:t>
      </w:r>
      <w:proofErr w:type="spellEnd"/>
      <w:r w:rsidRPr="002E3505">
        <w:rPr>
          <w:rFonts w:ascii="Arial" w:hAnsi="Arial" w:cs="Arial"/>
        </w:rPr>
        <w:t xml:space="preserve"> and Wilshire areas only, with </w:t>
      </w:r>
      <w:r w:rsidR="00B612F7" w:rsidRPr="002E3505">
        <w:rPr>
          <w:rFonts w:ascii="Arial" w:hAnsi="Arial" w:cs="Arial"/>
        </w:rPr>
        <w:t>Barnardo’s</w:t>
      </w:r>
      <w:r w:rsidRPr="002E3505">
        <w:rPr>
          <w:rFonts w:ascii="Arial" w:hAnsi="Arial" w:cs="Arial"/>
        </w:rPr>
        <w:t xml:space="preserve"> proving coverage in Swindon. They are counting coverage by school not pupil numbers and our current position (Feb 22) is:</w:t>
      </w:r>
    </w:p>
    <w:tbl>
      <w:tblPr>
        <w:tblStyle w:val="TableGrid"/>
        <w:tblW w:w="8784" w:type="dxa"/>
        <w:tblLook w:val="04A0" w:firstRow="1" w:lastRow="0" w:firstColumn="1" w:lastColumn="0" w:noHBand="0" w:noVBand="1"/>
      </w:tblPr>
      <w:tblGrid>
        <w:gridCol w:w="2689"/>
        <w:gridCol w:w="2268"/>
        <w:gridCol w:w="3827"/>
      </w:tblGrid>
      <w:tr w:rsidR="00B612F7" w:rsidRPr="00463B82" w14:paraId="62063318" w14:textId="77777777" w:rsidTr="00E53DDB">
        <w:tc>
          <w:tcPr>
            <w:tcW w:w="2689" w:type="dxa"/>
          </w:tcPr>
          <w:p w14:paraId="534DF985" w14:textId="77777777" w:rsidR="00B612F7" w:rsidRPr="00463B82" w:rsidRDefault="00B612F7" w:rsidP="002E3505">
            <w:pPr>
              <w:rPr>
                <w:rFonts w:ascii="Arial" w:hAnsi="Arial" w:cs="Arial"/>
                <w:sz w:val="18"/>
                <w:szCs w:val="18"/>
              </w:rPr>
            </w:pPr>
            <w:r w:rsidRPr="00463B82">
              <w:rPr>
                <w:rFonts w:ascii="Arial" w:hAnsi="Arial" w:cs="Arial"/>
                <w:sz w:val="18"/>
                <w:szCs w:val="18"/>
              </w:rPr>
              <w:t>Place</w:t>
            </w:r>
          </w:p>
        </w:tc>
        <w:tc>
          <w:tcPr>
            <w:tcW w:w="2268" w:type="dxa"/>
          </w:tcPr>
          <w:p w14:paraId="716A3B81" w14:textId="77777777" w:rsidR="00B612F7" w:rsidRPr="00463B82" w:rsidRDefault="00B612F7" w:rsidP="002E3505">
            <w:pPr>
              <w:rPr>
                <w:rFonts w:ascii="Arial" w:hAnsi="Arial" w:cs="Arial"/>
                <w:sz w:val="18"/>
                <w:szCs w:val="18"/>
              </w:rPr>
            </w:pPr>
            <w:r w:rsidRPr="00463B82">
              <w:rPr>
                <w:rFonts w:ascii="Arial" w:hAnsi="Arial" w:cs="Arial"/>
                <w:sz w:val="18"/>
                <w:szCs w:val="18"/>
              </w:rPr>
              <w:t>Number of teams</w:t>
            </w:r>
          </w:p>
        </w:tc>
        <w:tc>
          <w:tcPr>
            <w:tcW w:w="3827" w:type="dxa"/>
          </w:tcPr>
          <w:p w14:paraId="1379BC0D" w14:textId="2AD5F2AE" w:rsidR="00B612F7" w:rsidRPr="00463B82" w:rsidRDefault="00B612F7" w:rsidP="002E3505">
            <w:pPr>
              <w:rPr>
                <w:rFonts w:ascii="Arial" w:hAnsi="Arial" w:cs="Arial"/>
                <w:sz w:val="18"/>
                <w:szCs w:val="18"/>
              </w:rPr>
            </w:pPr>
            <w:r w:rsidRPr="00463B82">
              <w:rPr>
                <w:rFonts w:ascii="Arial" w:hAnsi="Arial" w:cs="Arial"/>
                <w:sz w:val="18"/>
                <w:szCs w:val="18"/>
              </w:rPr>
              <w:t>Access % against school coverage</w:t>
            </w:r>
          </w:p>
        </w:tc>
      </w:tr>
      <w:tr w:rsidR="00B612F7" w:rsidRPr="00463B82" w14:paraId="0F6D434E" w14:textId="77777777" w:rsidTr="00E53DDB">
        <w:tc>
          <w:tcPr>
            <w:tcW w:w="2689" w:type="dxa"/>
          </w:tcPr>
          <w:p w14:paraId="109681C9" w14:textId="6A0F666D" w:rsidR="00B612F7" w:rsidRPr="00463B82" w:rsidRDefault="00B612F7" w:rsidP="002E3505">
            <w:pPr>
              <w:rPr>
                <w:rFonts w:ascii="Arial" w:hAnsi="Arial" w:cs="Arial"/>
                <w:sz w:val="18"/>
                <w:szCs w:val="18"/>
              </w:rPr>
            </w:pPr>
            <w:proofErr w:type="spellStart"/>
            <w:r w:rsidRPr="00463B82">
              <w:rPr>
                <w:rFonts w:ascii="Arial" w:hAnsi="Arial" w:cs="Arial"/>
                <w:sz w:val="18"/>
                <w:szCs w:val="18"/>
              </w:rPr>
              <w:t>BaNES</w:t>
            </w:r>
            <w:proofErr w:type="spellEnd"/>
            <w:r w:rsidRPr="00463B82">
              <w:rPr>
                <w:rFonts w:ascii="Arial" w:hAnsi="Arial" w:cs="Arial"/>
                <w:sz w:val="18"/>
                <w:szCs w:val="18"/>
              </w:rPr>
              <w:t xml:space="preserve"> &amp; </w:t>
            </w:r>
            <w:r w:rsidR="00E53DDB" w:rsidRPr="00463B82">
              <w:rPr>
                <w:rFonts w:ascii="Arial" w:hAnsi="Arial" w:cs="Arial"/>
                <w:sz w:val="18"/>
                <w:szCs w:val="18"/>
              </w:rPr>
              <w:t>Wiltshire</w:t>
            </w:r>
          </w:p>
        </w:tc>
        <w:tc>
          <w:tcPr>
            <w:tcW w:w="2268" w:type="dxa"/>
          </w:tcPr>
          <w:p w14:paraId="78FDB7FF" w14:textId="0586BFDC" w:rsidR="00B612F7" w:rsidRPr="00463B82" w:rsidRDefault="00B612F7" w:rsidP="002E3505">
            <w:pPr>
              <w:rPr>
                <w:rFonts w:ascii="Arial" w:hAnsi="Arial" w:cs="Arial"/>
                <w:sz w:val="18"/>
                <w:szCs w:val="18"/>
              </w:rPr>
            </w:pPr>
            <w:r w:rsidRPr="00463B82">
              <w:rPr>
                <w:rFonts w:ascii="Arial" w:hAnsi="Arial" w:cs="Arial"/>
                <w:sz w:val="18"/>
                <w:szCs w:val="18"/>
              </w:rPr>
              <w:t>6</w:t>
            </w:r>
          </w:p>
        </w:tc>
        <w:tc>
          <w:tcPr>
            <w:tcW w:w="3827" w:type="dxa"/>
          </w:tcPr>
          <w:p w14:paraId="3888AE21" w14:textId="368FAC93" w:rsidR="00B612F7" w:rsidRPr="00463B82" w:rsidRDefault="00B612F7" w:rsidP="002E3505">
            <w:pPr>
              <w:rPr>
                <w:rFonts w:ascii="Arial" w:hAnsi="Arial" w:cs="Arial"/>
                <w:sz w:val="18"/>
                <w:szCs w:val="18"/>
              </w:rPr>
            </w:pPr>
            <w:r w:rsidRPr="00463B82">
              <w:rPr>
                <w:rFonts w:ascii="Arial" w:hAnsi="Arial" w:cs="Arial"/>
                <w:sz w:val="18"/>
                <w:szCs w:val="18"/>
              </w:rPr>
              <w:t>32%</w:t>
            </w:r>
          </w:p>
        </w:tc>
      </w:tr>
      <w:tr w:rsidR="00B612F7" w:rsidRPr="00463B82" w14:paraId="4F52D1F8" w14:textId="77777777" w:rsidTr="00E53DDB">
        <w:tc>
          <w:tcPr>
            <w:tcW w:w="2689" w:type="dxa"/>
          </w:tcPr>
          <w:p w14:paraId="3A49D939" w14:textId="47B170A5" w:rsidR="00B612F7" w:rsidRPr="00463B82" w:rsidRDefault="00B612F7" w:rsidP="002E3505">
            <w:pPr>
              <w:rPr>
                <w:rFonts w:ascii="Arial" w:hAnsi="Arial" w:cs="Arial"/>
                <w:sz w:val="18"/>
                <w:szCs w:val="18"/>
              </w:rPr>
            </w:pPr>
            <w:r w:rsidRPr="00463B82">
              <w:rPr>
                <w:rFonts w:ascii="Arial" w:hAnsi="Arial" w:cs="Arial"/>
                <w:sz w:val="18"/>
                <w:szCs w:val="18"/>
              </w:rPr>
              <w:t>Swindon (Barnardo’s)</w:t>
            </w:r>
          </w:p>
        </w:tc>
        <w:tc>
          <w:tcPr>
            <w:tcW w:w="2268" w:type="dxa"/>
          </w:tcPr>
          <w:p w14:paraId="3E1F2A43" w14:textId="2BFA5377" w:rsidR="00B612F7" w:rsidRPr="00463B82" w:rsidRDefault="00B612F7" w:rsidP="002E3505">
            <w:pPr>
              <w:rPr>
                <w:rFonts w:ascii="Arial" w:hAnsi="Arial" w:cs="Arial"/>
                <w:sz w:val="18"/>
                <w:szCs w:val="18"/>
              </w:rPr>
            </w:pPr>
            <w:r w:rsidRPr="00463B82">
              <w:rPr>
                <w:rFonts w:ascii="Arial" w:hAnsi="Arial" w:cs="Arial"/>
                <w:sz w:val="18"/>
                <w:szCs w:val="18"/>
              </w:rPr>
              <w:t>4</w:t>
            </w:r>
          </w:p>
        </w:tc>
        <w:tc>
          <w:tcPr>
            <w:tcW w:w="3827" w:type="dxa"/>
          </w:tcPr>
          <w:p w14:paraId="4CA51BEA" w14:textId="63E6C5C0" w:rsidR="00B612F7" w:rsidRPr="00463B82" w:rsidRDefault="00B612F7" w:rsidP="002E3505">
            <w:pPr>
              <w:rPr>
                <w:rFonts w:ascii="Arial" w:hAnsi="Arial" w:cs="Arial"/>
                <w:sz w:val="18"/>
                <w:szCs w:val="18"/>
              </w:rPr>
            </w:pPr>
            <w:r w:rsidRPr="00463B82">
              <w:rPr>
                <w:rFonts w:ascii="Arial" w:hAnsi="Arial" w:cs="Arial"/>
                <w:sz w:val="18"/>
                <w:szCs w:val="18"/>
              </w:rPr>
              <w:t>81%</w:t>
            </w:r>
          </w:p>
        </w:tc>
      </w:tr>
    </w:tbl>
    <w:p w14:paraId="4D22D1FC" w14:textId="77777777" w:rsidR="00463B82" w:rsidRDefault="00463B82" w:rsidP="002E3505">
      <w:pPr>
        <w:spacing w:after="0" w:line="240" w:lineRule="auto"/>
        <w:rPr>
          <w:rFonts w:ascii="Arial" w:hAnsi="Arial" w:cs="Arial"/>
        </w:rPr>
      </w:pPr>
    </w:p>
    <w:p w14:paraId="79EABE7E" w14:textId="004AB588" w:rsidR="00FA47F0" w:rsidRPr="002E3505" w:rsidRDefault="00EB6575" w:rsidP="002E3505">
      <w:pPr>
        <w:spacing w:after="0" w:line="240" w:lineRule="auto"/>
        <w:rPr>
          <w:rFonts w:ascii="Arial" w:hAnsi="Arial" w:cs="Arial"/>
        </w:rPr>
      </w:pPr>
      <w:r w:rsidRPr="002E3505">
        <w:rPr>
          <w:rFonts w:ascii="Arial" w:hAnsi="Arial" w:cs="Arial"/>
        </w:rPr>
        <w:t xml:space="preserve">There is no data yet on the average number of </w:t>
      </w:r>
      <w:proofErr w:type="spellStart"/>
      <w:r w:rsidRPr="002E3505">
        <w:rPr>
          <w:rFonts w:ascii="Arial" w:hAnsi="Arial" w:cs="Arial"/>
        </w:rPr>
        <w:t>CYP</w:t>
      </w:r>
      <w:proofErr w:type="spellEnd"/>
      <w:r w:rsidRPr="002E3505">
        <w:rPr>
          <w:rFonts w:ascii="Arial" w:hAnsi="Arial" w:cs="Arial"/>
        </w:rPr>
        <w:t xml:space="preserve"> per team accessing an </w:t>
      </w:r>
      <w:proofErr w:type="spellStart"/>
      <w:r w:rsidRPr="002E3505">
        <w:rPr>
          <w:rFonts w:ascii="Arial" w:hAnsi="Arial" w:cs="Arial"/>
        </w:rPr>
        <w:t>MHST</w:t>
      </w:r>
      <w:proofErr w:type="spellEnd"/>
      <w:r w:rsidRPr="002E3505">
        <w:rPr>
          <w:rFonts w:ascii="Arial" w:hAnsi="Arial" w:cs="Arial"/>
        </w:rPr>
        <w:t>.</w:t>
      </w:r>
    </w:p>
    <w:p w14:paraId="2B52D54E" w14:textId="77777777" w:rsidR="00057BCB" w:rsidRDefault="00057BCB" w:rsidP="002E3505">
      <w:pPr>
        <w:spacing w:after="0" w:line="240" w:lineRule="auto"/>
        <w:rPr>
          <w:rFonts w:ascii="Arial" w:hAnsi="Arial" w:cs="Arial"/>
          <w:b/>
          <w:bCs/>
        </w:rPr>
      </w:pPr>
    </w:p>
    <w:p w14:paraId="3249038A" w14:textId="7AE481C1" w:rsidR="005D78C9" w:rsidRDefault="00D702A3" w:rsidP="002E3505">
      <w:pPr>
        <w:spacing w:after="0" w:line="240" w:lineRule="auto"/>
        <w:rPr>
          <w:rFonts w:ascii="Arial" w:hAnsi="Arial" w:cs="Arial"/>
        </w:rPr>
      </w:pPr>
      <w:r w:rsidRPr="002E3505">
        <w:rPr>
          <w:rFonts w:ascii="Arial" w:hAnsi="Arial" w:cs="Arial"/>
          <w:b/>
          <w:bCs/>
        </w:rPr>
        <w:t>Crisis Provision</w:t>
      </w:r>
      <w:r w:rsidRPr="002E3505">
        <w:rPr>
          <w:rFonts w:ascii="Arial" w:hAnsi="Arial" w:cs="Arial"/>
        </w:rPr>
        <w:t xml:space="preserve"> – the </w:t>
      </w:r>
      <w:proofErr w:type="spellStart"/>
      <w:r w:rsidRPr="002E3505">
        <w:rPr>
          <w:rFonts w:ascii="Arial" w:hAnsi="Arial" w:cs="Arial"/>
        </w:rPr>
        <w:t>LTP</w:t>
      </w:r>
      <w:proofErr w:type="spellEnd"/>
      <w:r w:rsidRPr="002E3505">
        <w:rPr>
          <w:rFonts w:ascii="Arial" w:hAnsi="Arial" w:cs="Arial"/>
        </w:rPr>
        <w:t xml:space="preserve"> ambition is </w:t>
      </w:r>
      <w:r w:rsidR="00877E44" w:rsidRPr="002E3505">
        <w:rPr>
          <w:rFonts w:ascii="Arial" w:hAnsi="Arial" w:cs="Arial"/>
        </w:rPr>
        <w:t xml:space="preserve">that by 23/24 all areas will deliver a 24/7 mental health crisis provision for </w:t>
      </w:r>
      <w:proofErr w:type="spellStart"/>
      <w:r w:rsidR="00877E44" w:rsidRPr="002E3505">
        <w:rPr>
          <w:rFonts w:ascii="Arial" w:hAnsi="Arial" w:cs="Arial"/>
        </w:rPr>
        <w:t>CYP</w:t>
      </w:r>
      <w:proofErr w:type="spellEnd"/>
      <w:r w:rsidR="00877E44" w:rsidRPr="002E3505">
        <w:rPr>
          <w:rFonts w:ascii="Arial" w:hAnsi="Arial" w:cs="Arial"/>
        </w:rPr>
        <w:t xml:space="preserve"> which combines crisis assessment, brief </w:t>
      </w:r>
      <w:r w:rsidR="00711AE6" w:rsidRPr="002E3505">
        <w:rPr>
          <w:rFonts w:ascii="Arial" w:hAnsi="Arial" w:cs="Arial"/>
        </w:rPr>
        <w:t>response,</w:t>
      </w:r>
      <w:r w:rsidR="00877E44" w:rsidRPr="002E3505">
        <w:rPr>
          <w:rFonts w:ascii="Arial" w:hAnsi="Arial" w:cs="Arial"/>
        </w:rPr>
        <w:t xml:space="preserve"> and intensive home treatment functions. </w:t>
      </w:r>
      <w:r w:rsidR="00711AE6" w:rsidRPr="002E3505">
        <w:rPr>
          <w:rFonts w:ascii="Arial" w:hAnsi="Arial" w:cs="Arial"/>
        </w:rPr>
        <w:t>Th</w:t>
      </w:r>
      <w:r w:rsidR="009D3A95" w:rsidRPr="002E3505">
        <w:rPr>
          <w:rFonts w:ascii="Arial" w:hAnsi="Arial" w:cs="Arial"/>
        </w:rPr>
        <w:t xml:space="preserve">e pandemic accelerated plans for the enhancement of open access crisis services for children and young people. Children and young people, their families and carers can now access mental health services, 24/7 via NHS 111. </w:t>
      </w:r>
      <w:r w:rsidR="00711AE6" w:rsidRPr="002E3505">
        <w:rPr>
          <w:rFonts w:ascii="Arial" w:hAnsi="Arial" w:cs="Arial"/>
        </w:rPr>
        <w:t xml:space="preserve">All three </w:t>
      </w:r>
      <w:r w:rsidR="00711AE6" w:rsidRPr="002E3505">
        <w:rPr>
          <w:rFonts w:ascii="Arial" w:hAnsi="Arial" w:cs="Arial"/>
        </w:rPr>
        <w:lastRenderedPageBreak/>
        <w:t xml:space="preserve">areas have </w:t>
      </w:r>
      <w:r w:rsidR="005D78C9" w:rsidRPr="002E3505">
        <w:rPr>
          <w:rFonts w:ascii="Arial" w:hAnsi="Arial" w:cs="Arial"/>
        </w:rPr>
        <w:t>outline plans to grow in phases their crisis &amp; home treatment offer, but staffing these teams is proving difficult</w:t>
      </w:r>
      <w:r w:rsidR="004B510B" w:rsidRPr="002E3505">
        <w:rPr>
          <w:rFonts w:ascii="Arial" w:hAnsi="Arial" w:cs="Arial"/>
        </w:rPr>
        <w:t xml:space="preserve"> </w:t>
      </w:r>
      <w:proofErr w:type="gramStart"/>
      <w:r w:rsidR="004B510B" w:rsidRPr="002E3505">
        <w:rPr>
          <w:rFonts w:ascii="Arial" w:hAnsi="Arial" w:cs="Arial"/>
        </w:rPr>
        <w:t>e.g.</w:t>
      </w:r>
      <w:proofErr w:type="gramEnd"/>
      <w:r w:rsidR="004B510B" w:rsidRPr="002E3505">
        <w:rPr>
          <w:rFonts w:ascii="Arial" w:hAnsi="Arial" w:cs="Arial"/>
        </w:rPr>
        <w:t xml:space="preserve"> Oxfordshire has a 40% vacancy rate against the planned staffing profile</w:t>
      </w:r>
      <w:r w:rsidR="005D78C9" w:rsidRPr="002E3505">
        <w:rPr>
          <w:rFonts w:ascii="Arial" w:hAnsi="Arial" w:cs="Arial"/>
        </w:rPr>
        <w:t xml:space="preserve">. </w:t>
      </w:r>
    </w:p>
    <w:p w14:paraId="3566E164" w14:textId="77777777" w:rsidR="00463B82" w:rsidRPr="002E3505" w:rsidRDefault="00463B82" w:rsidP="002E3505">
      <w:pPr>
        <w:spacing w:after="0" w:line="240" w:lineRule="auto"/>
        <w:rPr>
          <w:rFonts w:ascii="Arial" w:hAnsi="Arial" w:cs="Arial"/>
        </w:rPr>
      </w:pPr>
    </w:p>
    <w:p w14:paraId="3E4061E2" w14:textId="46F7F70A" w:rsidR="00463B82" w:rsidRDefault="00A94075" w:rsidP="00463B82">
      <w:pPr>
        <w:spacing w:after="0" w:line="240" w:lineRule="auto"/>
        <w:rPr>
          <w:rFonts w:ascii="Arial" w:hAnsi="Arial" w:cs="Arial"/>
          <w:noProof/>
        </w:rPr>
      </w:pPr>
      <w:proofErr w:type="spellStart"/>
      <w:r w:rsidRPr="002E3505">
        <w:rPr>
          <w:rFonts w:ascii="Arial" w:hAnsi="Arial" w:cs="Arial"/>
          <w:b/>
          <w:bCs/>
        </w:rPr>
        <w:t>C&amp;YP</w:t>
      </w:r>
      <w:proofErr w:type="spellEnd"/>
      <w:r w:rsidRPr="002E3505">
        <w:rPr>
          <w:rFonts w:ascii="Arial" w:hAnsi="Arial" w:cs="Arial"/>
          <w:b/>
          <w:bCs/>
        </w:rPr>
        <w:t xml:space="preserve"> Eating Disorder services</w:t>
      </w:r>
      <w:r w:rsidRPr="002E3505">
        <w:rPr>
          <w:rFonts w:ascii="Arial" w:hAnsi="Arial" w:cs="Arial"/>
        </w:rPr>
        <w:t xml:space="preserve"> have experienced some of the largest increases in demand and complexity of presentations over the course of the last 18 months. That is clearly showing in the </w:t>
      </w:r>
      <w:proofErr w:type="spellStart"/>
      <w:r w:rsidRPr="002E3505">
        <w:rPr>
          <w:rFonts w:ascii="Arial" w:hAnsi="Arial" w:cs="Arial"/>
        </w:rPr>
        <w:t>LTP</w:t>
      </w:r>
      <w:proofErr w:type="spellEnd"/>
      <w:r w:rsidRPr="002E3505">
        <w:rPr>
          <w:rFonts w:ascii="Arial" w:hAnsi="Arial" w:cs="Arial"/>
        </w:rPr>
        <w:t xml:space="preserve"> waiting time figures for all 3 areas. </w:t>
      </w:r>
      <w:r w:rsidR="001E5809" w:rsidRPr="002E3505">
        <w:rPr>
          <w:rFonts w:ascii="Arial" w:hAnsi="Arial" w:cs="Arial"/>
        </w:rPr>
        <w:t xml:space="preserve">Overall, services prioritising urgent referrals and Oxon and Bucks are keeping pace </w:t>
      </w:r>
      <w:proofErr w:type="spellStart"/>
      <w:r w:rsidR="001E5809" w:rsidRPr="002E3505">
        <w:rPr>
          <w:rFonts w:ascii="Arial" w:hAnsi="Arial" w:cs="Arial"/>
        </w:rPr>
        <w:t>BSW</w:t>
      </w:r>
      <w:proofErr w:type="spellEnd"/>
      <w:r w:rsidR="001E5809" w:rsidRPr="002E3505">
        <w:rPr>
          <w:rFonts w:ascii="Arial" w:hAnsi="Arial" w:cs="Arial"/>
        </w:rPr>
        <w:t xml:space="preserve"> less so, yet all three though have a downward trend. Routine waiting times have taken a significant dip because of demand, complexity, and prioritising urgent cases. There has been investment, but this area is struggling to recruit fully to meet this demand as evidenced by Oxon vacancy rate at 26%, and the projected underspend on the investment across all 3 areas is 23% for Bucks, 39% in Oxon and 51% in </w:t>
      </w:r>
      <w:proofErr w:type="spellStart"/>
      <w:r w:rsidR="001E5809" w:rsidRPr="002E3505">
        <w:rPr>
          <w:rFonts w:ascii="Arial" w:hAnsi="Arial" w:cs="Arial"/>
        </w:rPr>
        <w:t>BSW</w:t>
      </w:r>
      <w:proofErr w:type="spellEnd"/>
      <w:r w:rsidR="001E5809" w:rsidRPr="002E3505">
        <w:rPr>
          <w:rFonts w:ascii="Arial" w:hAnsi="Arial" w:cs="Arial"/>
        </w:rPr>
        <w:t>.</w:t>
      </w:r>
      <w:r w:rsidR="00463B82" w:rsidRPr="00463B82">
        <w:rPr>
          <w:rFonts w:ascii="Arial" w:hAnsi="Arial" w:cs="Arial"/>
          <w:noProof/>
        </w:rPr>
        <w:t xml:space="preserve"> </w:t>
      </w:r>
    </w:p>
    <w:p w14:paraId="31CD0F9A" w14:textId="77777777" w:rsidR="00463B82" w:rsidRDefault="00463B82" w:rsidP="00463B82">
      <w:pPr>
        <w:spacing w:after="0" w:line="240" w:lineRule="auto"/>
        <w:rPr>
          <w:rFonts w:ascii="Arial" w:hAnsi="Arial" w:cs="Arial"/>
          <w:noProof/>
        </w:rPr>
      </w:pPr>
    </w:p>
    <w:p w14:paraId="79CD9045" w14:textId="5E249CA8" w:rsidR="00463B82" w:rsidRDefault="00463B82" w:rsidP="00463B82">
      <w:pPr>
        <w:spacing w:after="0" w:line="240" w:lineRule="auto"/>
        <w:rPr>
          <w:rFonts w:ascii="Arial" w:hAnsi="Arial" w:cs="Arial"/>
        </w:rPr>
      </w:pPr>
      <w:r w:rsidRPr="00463B82">
        <w:rPr>
          <w:rFonts w:ascii="Arial" w:hAnsi="Arial" w:cs="Arial"/>
          <w:noProof/>
          <w:sz w:val="18"/>
          <w:szCs w:val="18"/>
        </w:rPr>
        <w:drawing>
          <wp:inline distT="0" distB="0" distL="0" distR="0" wp14:anchorId="00490BC2" wp14:editId="0D54B226">
            <wp:extent cx="4698560" cy="2828925"/>
            <wp:effectExtent l="0" t="0" r="0" b="0"/>
            <wp:docPr id="600983748" name="Picture 60098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698560" cy="2828925"/>
                    </a:xfrm>
                    <a:prstGeom prst="rect">
                      <a:avLst/>
                    </a:prstGeom>
                  </pic:spPr>
                </pic:pic>
              </a:graphicData>
            </a:graphic>
          </wp:inline>
        </w:drawing>
      </w:r>
    </w:p>
    <w:p w14:paraId="3D9ABA10" w14:textId="77777777" w:rsidR="00463B82" w:rsidRDefault="00463B82" w:rsidP="00463B82">
      <w:pPr>
        <w:spacing w:after="0" w:line="240" w:lineRule="auto"/>
        <w:rPr>
          <w:rFonts w:ascii="Arial" w:hAnsi="Arial" w:cs="Arial"/>
        </w:rPr>
      </w:pPr>
    </w:p>
    <w:p w14:paraId="15CF1E23" w14:textId="4820D25D" w:rsidR="0CAC997D" w:rsidRPr="002E3505" w:rsidRDefault="00463B82" w:rsidP="00463B82">
      <w:pPr>
        <w:spacing w:after="0" w:line="240" w:lineRule="auto"/>
        <w:rPr>
          <w:rFonts w:ascii="Arial" w:hAnsi="Arial" w:cs="Arial"/>
        </w:rPr>
      </w:pPr>
      <w:r w:rsidRPr="00463B82">
        <w:rPr>
          <w:rFonts w:ascii="Arial" w:hAnsi="Arial" w:cs="Arial"/>
          <w:noProof/>
          <w:sz w:val="18"/>
          <w:szCs w:val="18"/>
        </w:rPr>
        <w:drawing>
          <wp:inline distT="0" distB="0" distL="0" distR="0" wp14:anchorId="1BBA6C46" wp14:editId="59D886AE">
            <wp:extent cx="4714875" cy="2828925"/>
            <wp:effectExtent l="0" t="0" r="0" b="0"/>
            <wp:docPr id="1611150822" name="Picture 161115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714875" cy="2828925"/>
                    </a:xfrm>
                    <a:prstGeom prst="rect">
                      <a:avLst/>
                    </a:prstGeom>
                  </pic:spPr>
                </pic:pic>
              </a:graphicData>
            </a:graphic>
          </wp:inline>
        </w:drawing>
      </w:r>
      <w:r w:rsidR="0CAC997D" w:rsidRPr="002E3505">
        <w:rPr>
          <w:rFonts w:ascii="Arial" w:hAnsi="Arial" w:cs="Arial"/>
        </w:rPr>
        <w:br w:type="page"/>
      </w:r>
    </w:p>
    <w:p w14:paraId="5C77E425" w14:textId="39A212A6" w:rsidR="0CAC997D" w:rsidRPr="002E3505" w:rsidRDefault="0CAC997D" w:rsidP="002E3505">
      <w:pPr>
        <w:spacing w:after="0" w:line="240" w:lineRule="auto"/>
        <w:ind w:left="720"/>
        <w:jc w:val="center"/>
        <w:rPr>
          <w:rFonts w:ascii="Arial" w:hAnsi="Arial" w:cs="Arial"/>
        </w:rPr>
      </w:pPr>
    </w:p>
    <w:p w14:paraId="164FC69D" w14:textId="79365A61" w:rsidR="0CAC997D" w:rsidRDefault="0CAC997D" w:rsidP="00463B82">
      <w:pPr>
        <w:spacing w:after="0" w:line="240" w:lineRule="auto"/>
        <w:ind w:left="720"/>
        <w:rPr>
          <w:rFonts w:ascii="Arial" w:hAnsi="Arial" w:cs="Arial"/>
        </w:rPr>
      </w:pPr>
      <w:r w:rsidRPr="00463B82">
        <w:rPr>
          <w:rFonts w:ascii="Arial" w:hAnsi="Arial" w:cs="Arial"/>
          <w:noProof/>
          <w:sz w:val="18"/>
          <w:szCs w:val="18"/>
        </w:rPr>
        <w:drawing>
          <wp:inline distT="0" distB="0" distL="0" distR="0" wp14:anchorId="0DDCE00F" wp14:editId="79B91815">
            <wp:extent cx="4698560" cy="2828925"/>
            <wp:effectExtent l="0" t="0" r="0" b="0"/>
            <wp:docPr id="851150939" name="Picture 851150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698560" cy="2828925"/>
                    </a:xfrm>
                    <a:prstGeom prst="rect">
                      <a:avLst/>
                    </a:prstGeom>
                  </pic:spPr>
                </pic:pic>
              </a:graphicData>
            </a:graphic>
          </wp:inline>
        </w:drawing>
      </w:r>
    </w:p>
    <w:p w14:paraId="353630F4" w14:textId="295A3A76" w:rsidR="00463B82" w:rsidRDefault="00463B82" w:rsidP="00463B82">
      <w:pPr>
        <w:spacing w:after="0" w:line="240" w:lineRule="auto"/>
        <w:ind w:left="720"/>
        <w:rPr>
          <w:rFonts w:ascii="Arial" w:hAnsi="Arial" w:cs="Arial"/>
        </w:rPr>
      </w:pPr>
    </w:p>
    <w:p w14:paraId="0581953E" w14:textId="77777777" w:rsidR="00463B82" w:rsidRPr="002E3505" w:rsidRDefault="00463B82" w:rsidP="00463B82">
      <w:pPr>
        <w:spacing w:after="0" w:line="240" w:lineRule="auto"/>
        <w:ind w:left="720"/>
        <w:rPr>
          <w:rFonts w:ascii="Arial" w:hAnsi="Arial" w:cs="Arial"/>
        </w:rPr>
      </w:pPr>
    </w:p>
    <w:p w14:paraId="6075F346" w14:textId="77777777" w:rsidR="00FA7312" w:rsidRPr="00463B82" w:rsidRDefault="00FA7312" w:rsidP="002E3505">
      <w:pPr>
        <w:pStyle w:val="Heading1"/>
        <w:spacing w:before="0" w:line="240" w:lineRule="auto"/>
        <w:rPr>
          <w:rFonts w:ascii="Arial" w:hAnsi="Arial" w:cs="Arial"/>
          <w:b/>
          <w:bCs/>
          <w:sz w:val="22"/>
          <w:szCs w:val="22"/>
          <w:u w:val="single"/>
        </w:rPr>
      </w:pPr>
      <w:bookmarkStart w:id="1" w:name="_Perinatal"/>
      <w:bookmarkEnd w:id="1"/>
      <w:r w:rsidRPr="00463B82">
        <w:rPr>
          <w:rFonts w:ascii="Arial" w:hAnsi="Arial" w:cs="Arial"/>
          <w:b/>
          <w:bCs/>
          <w:color w:val="auto"/>
          <w:sz w:val="22"/>
          <w:szCs w:val="22"/>
          <w:u w:val="single"/>
        </w:rPr>
        <w:t>Perinatal</w:t>
      </w:r>
    </w:p>
    <w:p w14:paraId="5D437C8F" w14:textId="77777777" w:rsidR="00463B82" w:rsidRDefault="00463B82" w:rsidP="002E3505">
      <w:pPr>
        <w:spacing w:after="0" w:line="240" w:lineRule="auto"/>
        <w:rPr>
          <w:rFonts w:ascii="Arial" w:hAnsi="Arial" w:cs="Arial"/>
          <w:b/>
          <w:bCs/>
        </w:rPr>
      </w:pPr>
    </w:p>
    <w:p w14:paraId="35FBC099" w14:textId="010E6028" w:rsidR="007B214E" w:rsidRDefault="007A2765" w:rsidP="002E3505">
      <w:pPr>
        <w:spacing w:after="0" w:line="240" w:lineRule="auto"/>
        <w:rPr>
          <w:rFonts w:ascii="Arial" w:hAnsi="Arial" w:cs="Arial"/>
        </w:rPr>
      </w:pPr>
      <w:r w:rsidRPr="002E3505">
        <w:rPr>
          <w:rFonts w:ascii="Arial" w:hAnsi="Arial" w:cs="Arial"/>
          <w:b/>
          <w:bCs/>
        </w:rPr>
        <w:t>Specialist Perinatal Services</w:t>
      </w:r>
      <w:r w:rsidRPr="002E3505">
        <w:rPr>
          <w:rFonts w:ascii="Arial" w:hAnsi="Arial" w:cs="Arial"/>
        </w:rPr>
        <w:t xml:space="preserve"> in Buckinghamshire and Oxfordshire were fully implemented in 2019. There are now clear and </w:t>
      </w:r>
      <w:r w:rsidR="00E66B13" w:rsidRPr="002E3505">
        <w:rPr>
          <w:rFonts w:ascii="Arial" w:hAnsi="Arial" w:cs="Arial"/>
        </w:rPr>
        <w:t>well-formed</w:t>
      </w:r>
      <w:r w:rsidRPr="002E3505">
        <w:rPr>
          <w:rFonts w:ascii="Arial" w:hAnsi="Arial" w:cs="Arial"/>
        </w:rPr>
        <w:t xml:space="preserve"> pathway</w:t>
      </w:r>
      <w:r w:rsidR="003244F9" w:rsidRPr="002E3505">
        <w:rPr>
          <w:rFonts w:ascii="Arial" w:hAnsi="Arial" w:cs="Arial"/>
        </w:rPr>
        <w:t>s for those that require assessment and treatment. Access rates to the service are below national targets</w:t>
      </w:r>
      <w:r w:rsidR="007B214E" w:rsidRPr="002E3505">
        <w:rPr>
          <w:rFonts w:ascii="Arial" w:hAnsi="Arial" w:cs="Arial"/>
        </w:rPr>
        <w:t xml:space="preserve"> as demonstrated in </w:t>
      </w:r>
      <w:r w:rsidR="007B214E" w:rsidRPr="002E3505">
        <w:rPr>
          <w:rFonts w:ascii="Arial" w:hAnsi="Arial" w:cs="Arial"/>
          <w:b/>
          <w:bCs/>
        </w:rPr>
        <w:t xml:space="preserve">Figure </w:t>
      </w:r>
      <w:r w:rsidR="00AE7578" w:rsidRPr="002E3505">
        <w:rPr>
          <w:rFonts w:ascii="Arial" w:hAnsi="Arial" w:cs="Arial"/>
          <w:b/>
          <w:bCs/>
        </w:rPr>
        <w:t>6</w:t>
      </w:r>
      <w:r w:rsidR="00027188" w:rsidRPr="002E3505">
        <w:rPr>
          <w:rFonts w:ascii="Arial" w:hAnsi="Arial" w:cs="Arial"/>
          <w:b/>
          <w:bCs/>
        </w:rPr>
        <w:t xml:space="preserve">. </w:t>
      </w:r>
      <w:r w:rsidR="007D5E87" w:rsidRPr="002E3505">
        <w:rPr>
          <w:rFonts w:ascii="Arial" w:hAnsi="Arial" w:cs="Arial"/>
        </w:rPr>
        <w:t xml:space="preserve"> </w:t>
      </w:r>
      <w:r w:rsidR="00027188" w:rsidRPr="002E3505">
        <w:rPr>
          <w:rFonts w:ascii="Arial" w:hAnsi="Arial" w:cs="Arial"/>
        </w:rPr>
        <w:t xml:space="preserve">Referrals have increased dramatically over the last 12 months and </w:t>
      </w:r>
      <w:r w:rsidR="00300603" w:rsidRPr="002E3505">
        <w:rPr>
          <w:rFonts w:ascii="Arial" w:hAnsi="Arial" w:cs="Arial"/>
        </w:rPr>
        <w:t xml:space="preserve">services are now at the point where demand is outweighing the available capacity. </w:t>
      </w:r>
      <w:r w:rsidR="000B5CD1" w:rsidRPr="002E3505">
        <w:rPr>
          <w:rFonts w:ascii="Arial" w:hAnsi="Arial" w:cs="Arial"/>
        </w:rPr>
        <w:t>Given the critical clinical priorities</w:t>
      </w:r>
      <w:r w:rsidR="00300603" w:rsidRPr="002E3505">
        <w:rPr>
          <w:rFonts w:ascii="Arial" w:hAnsi="Arial" w:cs="Arial"/>
        </w:rPr>
        <w:t>,</w:t>
      </w:r>
      <w:r w:rsidR="000B5CD1" w:rsidRPr="002E3505">
        <w:rPr>
          <w:rFonts w:ascii="Arial" w:hAnsi="Arial" w:cs="Arial"/>
        </w:rPr>
        <w:t xml:space="preserve"> further investment </w:t>
      </w:r>
      <w:r w:rsidR="00300603" w:rsidRPr="002E3505">
        <w:rPr>
          <w:rFonts w:ascii="Arial" w:hAnsi="Arial" w:cs="Arial"/>
        </w:rPr>
        <w:t xml:space="preserve">has not been </w:t>
      </w:r>
      <w:r w:rsidR="000B5CD1" w:rsidRPr="002E3505">
        <w:rPr>
          <w:rFonts w:ascii="Arial" w:hAnsi="Arial" w:cs="Arial"/>
        </w:rPr>
        <w:t xml:space="preserve">available </w:t>
      </w:r>
      <w:r w:rsidR="004714C8" w:rsidRPr="002E3505">
        <w:rPr>
          <w:rFonts w:ascii="Arial" w:hAnsi="Arial" w:cs="Arial"/>
        </w:rPr>
        <w:t xml:space="preserve">since </w:t>
      </w:r>
      <w:proofErr w:type="spellStart"/>
      <w:r w:rsidR="004714C8" w:rsidRPr="002E3505">
        <w:rPr>
          <w:rFonts w:ascii="Arial" w:hAnsi="Arial" w:cs="Arial"/>
        </w:rPr>
        <w:t>FY20</w:t>
      </w:r>
      <w:proofErr w:type="spellEnd"/>
      <w:r w:rsidR="004714C8" w:rsidRPr="002E3505">
        <w:rPr>
          <w:rFonts w:ascii="Arial" w:hAnsi="Arial" w:cs="Arial"/>
        </w:rPr>
        <w:t xml:space="preserve"> and has not been identified for </w:t>
      </w:r>
      <w:proofErr w:type="spellStart"/>
      <w:r w:rsidR="004714C8" w:rsidRPr="002E3505">
        <w:rPr>
          <w:rFonts w:ascii="Arial" w:hAnsi="Arial" w:cs="Arial"/>
        </w:rPr>
        <w:t>FY23</w:t>
      </w:r>
      <w:proofErr w:type="spellEnd"/>
      <w:r w:rsidR="004714C8" w:rsidRPr="002E3505">
        <w:rPr>
          <w:rFonts w:ascii="Arial" w:hAnsi="Arial" w:cs="Arial"/>
        </w:rPr>
        <w:t>.</w:t>
      </w:r>
      <w:r w:rsidR="00BC2ADE" w:rsidRPr="002E3505">
        <w:rPr>
          <w:rFonts w:ascii="Arial" w:hAnsi="Arial" w:cs="Arial"/>
        </w:rPr>
        <w:t xml:space="preserve"> </w:t>
      </w:r>
      <w:r w:rsidR="00263A7C" w:rsidRPr="002E3505">
        <w:rPr>
          <w:rFonts w:ascii="Arial" w:hAnsi="Arial" w:cs="Arial"/>
        </w:rPr>
        <w:t xml:space="preserve">Despite the no further investment, access targets continue to </w:t>
      </w:r>
      <w:proofErr w:type="gramStart"/>
      <w:r w:rsidR="00263A7C" w:rsidRPr="002E3505">
        <w:rPr>
          <w:rFonts w:ascii="Arial" w:hAnsi="Arial" w:cs="Arial"/>
        </w:rPr>
        <w:t>increase</w:t>
      </w:r>
      <w:proofErr w:type="gramEnd"/>
      <w:r w:rsidR="00263A7C" w:rsidRPr="002E3505">
        <w:rPr>
          <w:rFonts w:ascii="Arial" w:hAnsi="Arial" w:cs="Arial"/>
        </w:rPr>
        <w:t xml:space="preserve"> and the expectation is that </w:t>
      </w:r>
      <w:r w:rsidR="00E66B13" w:rsidRPr="002E3505">
        <w:rPr>
          <w:rFonts w:ascii="Arial" w:hAnsi="Arial" w:cs="Arial"/>
        </w:rPr>
        <w:t>Perinatal services will now offer signposting and support to partners and will also enhance the offer from pre-conception up to 2 years post birth.</w:t>
      </w:r>
    </w:p>
    <w:p w14:paraId="1F8B88B8" w14:textId="77777777" w:rsidR="00463B82" w:rsidRPr="002E3505" w:rsidRDefault="00463B82" w:rsidP="002E3505">
      <w:pPr>
        <w:spacing w:after="0" w:line="240" w:lineRule="auto"/>
        <w:rPr>
          <w:rFonts w:ascii="Arial" w:hAnsi="Arial" w:cs="Arial"/>
        </w:rPr>
      </w:pPr>
    </w:p>
    <w:p w14:paraId="41FC9ADA" w14:textId="1E79A3D7" w:rsidR="007B214E" w:rsidRPr="002E3505" w:rsidRDefault="007B214E" w:rsidP="002E3505">
      <w:pPr>
        <w:spacing w:after="0" w:line="240" w:lineRule="auto"/>
        <w:rPr>
          <w:rFonts w:ascii="Arial" w:hAnsi="Arial" w:cs="Arial"/>
        </w:rPr>
      </w:pPr>
      <w:r w:rsidRPr="002E3505">
        <w:rPr>
          <w:rFonts w:ascii="Arial" w:hAnsi="Arial" w:cs="Arial"/>
          <w:noProof/>
        </w:rPr>
        <w:drawing>
          <wp:inline distT="0" distB="0" distL="0" distR="0" wp14:anchorId="3B8F24E8" wp14:editId="39B391C8">
            <wp:extent cx="5731510" cy="18815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881505"/>
                    </a:xfrm>
                    <a:prstGeom prst="rect">
                      <a:avLst/>
                    </a:prstGeom>
                  </pic:spPr>
                </pic:pic>
              </a:graphicData>
            </a:graphic>
          </wp:inline>
        </w:drawing>
      </w:r>
    </w:p>
    <w:p w14:paraId="61DF5AE1" w14:textId="70E134A9" w:rsidR="007B214E" w:rsidRPr="00463B82" w:rsidRDefault="007B214E" w:rsidP="002E3505">
      <w:pPr>
        <w:spacing w:after="0" w:line="240" w:lineRule="auto"/>
        <w:rPr>
          <w:rFonts w:ascii="Arial" w:hAnsi="Arial" w:cs="Arial"/>
          <w:i/>
          <w:iCs/>
          <w:sz w:val="18"/>
          <w:szCs w:val="18"/>
        </w:rPr>
      </w:pPr>
      <w:r w:rsidRPr="00463B82">
        <w:rPr>
          <w:rFonts w:ascii="Arial" w:hAnsi="Arial" w:cs="Arial"/>
          <w:b/>
          <w:bCs/>
          <w:i/>
          <w:iCs/>
          <w:sz w:val="18"/>
          <w:szCs w:val="18"/>
        </w:rPr>
        <w:t xml:space="preserve">Figure </w:t>
      </w:r>
      <w:r w:rsidR="00AE7578" w:rsidRPr="00463B82">
        <w:rPr>
          <w:rFonts w:ascii="Arial" w:hAnsi="Arial" w:cs="Arial"/>
          <w:b/>
          <w:bCs/>
          <w:i/>
          <w:iCs/>
          <w:sz w:val="18"/>
          <w:szCs w:val="18"/>
        </w:rPr>
        <w:t>6</w:t>
      </w:r>
      <w:r w:rsidRPr="00463B82">
        <w:rPr>
          <w:rFonts w:ascii="Arial" w:hAnsi="Arial" w:cs="Arial"/>
          <w:b/>
          <w:bCs/>
          <w:i/>
          <w:iCs/>
          <w:sz w:val="18"/>
          <w:szCs w:val="18"/>
        </w:rPr>
        <w:t>.</w:t>
      </w:r>
      <w:r w:rsidRPr="00463B82">
        <w:rPr>
          <w:rFonts w:ascii="Arial" w:hAnsi="Arial" w:cs="Arial"/>
          <w:i/>
          <w:iCs/>
          <w:sz w:val="18"/>
          <w:szCs w:val="18"/>
        </w:rPr>
        <w:t xml:space="preserve"> Perinatal Access Rates in Buckinghamshire and Oxfordshire</w:t>
      </w:r>
    </w:p>
    <w:p w14:paraId="372A2288" w14:textId="77777777" w:rsidR="00463B82" w:rsidRDefault="00463B82" w:rsidP="002E3505">
      <w:pPr>
        <w:spacing w:after="0" w:line="240" w:lineRule="auto"/>
        <w:rPr>
          <w:rFonts w:ascii="Arial" w:hAnsi="Arial" w:cs="Arial"/>
        </w:rPr>
      </w:pPr>
    </w:p>
    <w:p w14:paraId="0B10A59E" w14:textId="4E855479" w:rsidR="00E66B13" w:rsidRDefault="00B41961" w:rsidP="002E3505">
      <w:pPr>
        <w:spacing w:after="0" w:line="240" w:lineRule="auto"/>
        <w:rPr>
          <w:rFonts w:ascii="Arial" w:hAnsi="Arial" w:cs="Arial"/>
          <w:lang w:val="en-US"/>
        </w:rPr>
      </w:pPr>
      <w:r w:rsidRPr="002E3505">
        <w:rPr>
          <w:rFonts w:ascii="Arial" w:hAnsi="Arial" w:cs="Arial"/>
        </w:rPr>
        <w:t xml:space="preserve">In </w:t>
      </w:r>
      <w:proofErr w:type="spellStart"/>
      <w:r w:rsidRPr="002E3505">
        <w:rPr>
          <w:rFonts w:ascii="Arial" w:hAnsi="Arial" w:cs="Arial"/>
        </w:rPr>
        <w:t>FY2</w:t>
      </w:r>
      <w:r w:rsidR="00031A22" w:rsidRPr="002E3505">
        <w:rPr>
          <w:rFonts w:ascii="Arial" w:hAnsi="Arial" w:cs="Arial"/>
        </w:rPr>
        <w:t>3</w:t>
      </w:r>
      <w:proofErr w:type="spellEnd"/>
      <w:r w:rsidRPr="002E3505">
        <w:rPr>
          <w:rFonts w:ascii="Arial" w:hAnsi="Arial" w:cs="Arial"/>
        </w:rPr>
        <w:t xml:space="preserve">, maternal mental health clinics will be implemented in Buckinghamshire and Oxfordshire, this collaboration between Perinatal MH and Maternity services will enhance current pathways </w:t>
      </w:r>
      <w:r w:rsidR="00E66B13" w:rsidRPr="002E3505">
        <w:rPr>
          <w:rFonts w:ascii="Arial" w:hAnsi="Arial" w:cs="Arial"/>
        </w:rPr>
        <w:t xml:space="preserve">by establishing a clinic that delivers psychological support for </w:t>
      </w:r>
      <w:r w:rsidR="00E66B13" w:rsidRPr="002E3505">
        <w:rPr>
          <w:rFonts w:ascii="Arial" w:hAnsi="Arial" w:cs="Arial"/>
          <w:lang w:val="en-US"/>
        </w:rPr>
        <w:t>women experiencing birth trauma, primary or secondary tokophobia as well as women who have experienced early pregnancy loss (both termination of pregnancy and miscarriage) and women experiencing removal of their infant due to safeguarding concerns.</w:t>
      </w:r>
    </w:p>
    <w:p w14:paraId="6C069752" w14:textId="77777777" w:rsidR="00463B82" w:rsidRPr="002E3505" w:rsidRDefault="00463B82" w:rsidP="002E3505">
      <w:pPr>
        <w:spacing w:after="0" w:line="240" w:lineRule="auto"/>
        <w:rPr>
          <w:rFonts w:ascii="Arial" w:hAnsi="Arial" w:cs="Arial"/>
        </w:rPr>
      </w:pPr>
    </w:p>
    <w:p w14:paraId="18AE4B49" w14:textId="008F6427" w:rsidR="00FA7312" w:rsidRPr="00463B82" w:rsidRDefault="00FA7312" w:rsidP="002E3505">
      <w:pPr>
        <w:pStyle w:val="Heading1"/>
        <w:spacing w:before="0" w:line="240" w:lineRule="auto"/>
        <w:rPr>
          <w:rFonts w:ascii="Arial" w:hAnsi="Arial" w:cs="Arial"/>
          <w:b/>
          <w:bCs/>
          <w:color w:val="auto"/>
          <w:sz w:val="22"/>
          <w:szCs w:val="22"/>
          <w:u w:val="single"/>
        </w:rPr>
      </w:pPr>
      <w:r w:rsidRPr="00463B82">
        <w:rPr>
          <w:rFonts w:ascii="Arial" w:hAnsi="Arial" w:cs="Arial"/>
          <w:b/>
          <w:bCs/>
          <w:color w:val="auto"/>
          <w:sz w:val="22"/>
          <w:szCs w:val="22"/>
          <w:u w:val="single"/>
        </w:rPr>
        <w:lastRenderedPageBreak/>
        <w:t>Improving Access to Psychological Therapies</w:t>
      </w:r>
      <w:r w:rsidR="00B232E3" w:rsidRPr="00463B82">
        <w:rPr>
          <w:rFonts w:ascii="Arial" w:hAnsi="Arial" w:cs="Arial"/>
          <w:b/>
          <w:bCs/>
          <w:color w:val="auto"/>
          <w:sz w:val="22"/>
          <w:szCs w:val="22"/>
          <w:u w:val="single"/>
        </w:rPr>
        <w:t xml:space="preserve"> (</w:t>
      </w:r>
      <w:proofErr w:type="spellStart"/>
      <w:r w:rsidR="00B232E3" w:rsidRPr="00463B82">
        <w:rPr>
          <w:rFonts w:ascii="Arial" w:hAnsi="Arial" w:cs="Arial"/>
          <w:b/>
          <w:bCs/>
          <w:color w:val="auto"/>
          <w:sz w:val="22"/>
          <w:szCs w:val="22"/>
          <w:u w:val="single"/>
        </w:rPr>
        <w:t>IAPT</w:t>
      </w:r>
      <w:proofErr w:type="spellEnd"/>
      <w:r w:rsidR="00B232E3" w:rsidRPr="00463B82">
        <w:rPr>
          <w:rFonts w:ascii="Arial" w:hAnsi="Arial" w:cs="Arial"/>
          <w:b/>
          <w:bCs/>
          <w:color w:val="auto"/>
          <w:sz w:val="22"/>
          <w:szCs w:val="22"/>
          <w:u w:val="single"/>
        </w:rPr>
        <w:t>)</w:t>
      </w:r>
    </w:p>
    <w:p w14:paraId="2CDA51EA" w14:textId="77777777" w:rsidR="00463B82" w:rsidRDefault="00463B82" w:rsidP="002E3505">
      <w:pPr>
        <w:spacing w:after="0" w:line="240" w:lineRule="auto"/>
        <w:rPr>
          <w:rFonts w:ascii="Arial" w:hAnsi="Arial" w:cs="Arial"/>
          <w:b/>
          <w:bCs/>
        </w:rPr>
      </w:pPr>
    </w:p>
    <w:p w14:paraId="56A4F828" w14:textId="0B7F94CA" w:rsidR="00191477" w:rsidRDefault="00191477" w:rsidP="002E3505">
      <w:pPr>
        <w:spacing w:after="0" w:line="240" w:lineRule="auto"/>
        <w:rPr>
          <w:rFonts w:ascii="Arial" w:hAnsi="Arial" w:cs="Arial"/>
        </w:rPr>
      </w:pPr>
      <w:proofErr w:type="spellStart"/>
      <w:r w:rsidRPr="002E3505">
        <w:rPr>
          <w:rFonts w:ascii="Arial" w:hAnsi="Arial" w:cs="Arial"/>
          <w:b/>
          <w:bCs/>
        </w:rPr>
        <w:t>IAPT</w:t>
      </w:r>
      <w:proofErr w:type="spellEnd"/>
      <w:r w:rsidRPr="002E3505">
        <w:rPr>
          <w:rFonts w:ascii="Arial" w:hAnsi="Arial" w:cs="Arial"/>
        </w:rPr>
        <w:t xml:space="preserve"> Services in </w:t>
      </w:r>
      <w:r w:rsidR="003A2C14" w:rsidRPr="002E3505">
        <w:rPr>
          <w:rFonts w:ascii="Arial" w:hAnsi="Arial" w:cs="Arial"/>
        </w:rPr>
        <w:t xml:space="preserve">Buckinghamshire and Oxfordshire are now treating more people than ever before. The </w:t>
      </w:r>
      <w:r w:rsidR="00DC05CF" w:rsidRPr="002E3505">
        <w:rPr>
          <w:rFonts w:ascii="Arial" w:hAnsi="Arial" w:cs="Arial"/>
        </w:rPr>
        <w:t>significant expansion of t</w:t>
      </w:r>
      <w:r w:rsidR="00105B08" w:rsidRPr="002E3505">
        <w:rPr>
          <w:rFonts w:ascii="Arial" w:hAnsi="Arial" w:cs="Arial"/>
        </w:rPr>
        <w:t>a</w:t>
      </w:r>
      <w:r w:rsidR="00DC05CF" w:rsidRPr="002E3505">
        <w:rPr>
          <w:rFonts w:ascii="Arial" w:hAnsi="Arial" w:cs="Arial"/>
        </w:rPr>
        <w:t>lking</w:t>
      </w:r>
      <w:r w:rsidR="00105B08" w:rsidRPr="002E3505">
        <w:rPr>
          <w:rFonts w:ascii="Arial" w:hAnsi="Arial" w:cs="Arial"/>
        </w:rPr>
        <w:t xml:space="preserve"> therapies is a challenge that OHFT are undertaking in partnership with </w:t>
      </w:r>
      <w:r w:rsidR="00721F13" w:rsidRPr="002E3505">
        <w:rPr>
          <w:rFonts w:ascii="Arial" w:hAnsi="Arial" w:cs="Arial"/>
        </w:rPr>
        <w:t>3</w:t>
      </w:r>
      <w:r w:rsidR="00721F13" w:rsidRPr="002E3505">
        <w:rPr>
          <w:rFonts w:ascii="Arial" w:hAnsi="Arial" w:cs="Arial"/>
          <w:vertAlign w:val="superscript"/>
        </w:rPr>
        <w:t>rd</w:t>
      </w:r>
      <w:r w:rsidR="00721F13" w:rsidRPr="002E3505">
        <w:rPr>
          <w:rFonts w:ascii="Arial" w:hAnsi="Arial" w:cs="Arial"/>
        </w:rPr>
        <w:t xml:space="preserve"> sector organisations to help and support those with common mental health problems such as a depression and anxiety.</w:t>
      </w:r>
      <w:r w:rsidR="00680512" w:rsidRPr="002E3505">
        <w:rPr>
          <w:rFonts w:ascii="Arial" w:hAnsi="Arial" w:cs="Arial"/>
        </w:rPr>
        <w:t xml:space="preserve"> </w:t>
      </w:r>
      <w:r w:rsidR="005A111B" w:rsidRPr="002E3505">
        <w:rPr>
          <w:rFonts w:ascii="Arial" w:hAnsi="Arial" w:cs="Arial"/>
        </w:rPr>
        <w:t>Historically</w:t>
      </w:r>
      <w:r w:rsidR="00C429BC" w:rsidRPr="002E3505">
        <w:rPr>
          <w:rFonts w:ascii="Arial" w:hAnsi="Arial" w:cs="Arial"/>
        </w:rPr>
        <w:t xml:space="preserve">, Buckinghamshire and Oxfordshire </w:t>
      </w:r>
      <w:proofErr w:type="spellStart"/>
      <w:r w:rsidR="00C429BC" w:rsidRPr="002E3505">
        <w:rPr>
          <w:rFonts w:ascii="Arial" w:hAnsi="Arial" w:cs="Arial"/>
        </w:rPr>
        <w:t>IAPT</w:t>
      </w:r>
      <w:proofErr w:type="spellEnd"/>
      <w:r w:rsidR="00C429BC" w:rsidRPr="002E3505">
        <w:rPr>
          <w:rFonts w:ascii="Arial" w:hAnsi="Arial" w:cs="Arial"/>
        </w:rPr>
        <w:t xml:space="preserve"> services have had lower access rates than </w:t>
      </w:r>
      <w:r w:rsidR="009F4145" w:rsidRPr="002E3505">
        <w:rPr>
          <w:rFonts w:ascii="Arial" w:hAnsi="Arial" w:cs="Arial"/>
        </w:rPr>
        <w:t xml:space="preserve">the national expectation. This </w:t>
      </w:r>
      <w:r w:rsidRPr="002E3505">
        <w:rPr>
          <w:rFonts w:ascii="Arial" w:hAnsi="Arial" w:cs="Arial"/>
        </w:rPr>
        <w:t xml:space="preserve">was predominantly </w:t>
      </w:r>
      <w:r w:rsidR="009F4145" w:rsidRPr="002E3505">
        <w:rPr>
          <w:rFonts w:ascii="Arial" w:hAnsi="Arial" w:cs="Arial"/>
        </w:rPr>
        <w:t>caused by</w:t>
      </w:r>
      <w:r w:rsidRPr="002E3505">
        <w:rPr>
          <w:rFonts w:ascii="Arial" w:hAnsi="Arial" w:cs="Arial"/>
        </w:rPr>
        <w:t xml:space="preserve"> legacy funding decisions </w:t>
      </w:r>
      <w:r w:rsidR="009F4145" w:rsidRPr="002E3505">
        <w:rPr>
          <w:rFonts w:ascii="Arial" w:hAnsi="Arial" w:cs="Arial"/>
        </w:rPr>
        <w:t>that</w:t>
      </w:r>
      <w:r w:rsidRPr="002E3505">
        <w:rPr>
          <w:rFonts w:ascii="Arial" w:hAnsi="Arial" w:cs="Arial"/>
        </w:rPr>
        <w:t xml:space="preserve"> were endorsed and supported by both CCGs and provider to enable investment in other clinically critical mental health services. A refreshed trajectory and plan </w:t>
      </w:r>
      <w:r w:rsidR="00680512" w:rsidRPr="002E3505">
        <w:rPr>
          <w:rFonts w:ascii="Arial" w:hAnsi="Arial" w:cs="Arial"/>
        </w:rPr>
        <w:t>have</w:t>
      </w:r>
      <w:r w:rsidRPr="002E3505">
        <w:rPr>
          <w:rFonts w:ascii="Arial" w:hAnsi="Arial" w:cs="Arial"/>
        </w:rPr>
        <w:t xml:space="preserve"> been agreed that will enable </w:t>
      </w:r>
      <w:proofErr w:type="spellStart"/>
      <w:r w:rsidRPr="002E3505">
        <w:rPr>
          <w:rFonts w:ascii="Arial" w:hAnsi="Arial" w:cs="Arial"/>
        </w:rPr>
        <w:t>IAPT</w:t>
      </w:r>
      <w:proofErr w:type="spellEnd"/>
      <w:r w:rsidRPr="002E3505">
        <w:rPr>
          <w:rFonts w:ascii="Arial" w:hAnsi="Arial" w:cs="Arial"/>
        </w:rPr>
        <w:t xml:space="preserve"> services to be operating at the target rate at the end of </w:t>
      </w:r>
      <w:proofErr w:type="spellStart"/>
      <w:r w:rsidRPr="002E3505">
        <w:rPr>
          <w:rFonts w:ascii="Arial" w:hAnsi="Arial" w:cs="Arial"/>
        </w:rPr>
        <w:t>FY22</w:t>
      </w:r>
      <w:proofErr w:type="spellEnd"/>
      <w:r w:rsidRPr="002E3505">
        <w:rPr>
          <w:rFonts w:ascii="Arial" w:hAnsi="Arial" w:cs="Arial"/>
        </w:rPr>
        <w:t>.</w:t>
      </w:r>
      <w:r w:rsidR="00031A22" w:rsidRPr="002E3505">
        <w:rPr>
          <w:rFonts w:ascii="Arial" w:hAnsi="Arial" w:cs="Arial"/>
        </w:rPr>
        <w:t xml:space="preserve"> </w:t>
      </w:r>
      <w:r w:rsidR="00EB2DCB" w:rsidRPr="002E3505">
        <w:rPr>
          <w:rFonts w:ascii="Arial" w:hAnsi="Arial" w:cs="Arial"/>
        </w:rPr>
        <w:t>F</w:t>
      </w:r>
      <w:r w:rsidR="00031A22" w:rsidRPr="002E3505">
        <w:rPr>
          <w:rFonts w:ascii="Arial" w:hAnsi="Arial" w:cs="Arial"/>
        </w:rPr>
        <w:t>urther expansion would be required</w:t>
      </w:r>
      <w:r w:rsidR="00EB2DCB" w:rsidRPr="002E3505">
        <w:rPr>
          <w:rFonts w:ascii="Arial" w:hAnsi="Arial" w:cs="Arial"/>
        </w:rPr>
        <w:t xml:space="preserve"> in </w:t>
      </w:r>
      <w:proofErr w:type="spellStart"/>
      <w:r w:rsidR="00EB2DCB" w:rsidRPr="002E3505">
        <w:rPr>
          <w:rFonts w:ascii="Arial" w:hAnsi="Arial" w:cs="Arial"/>
        </w:rPr>
        <w:t>FY23</w:t>
      </w:r>
      <w:proofErr w:type="spellEnd"/>
      <w:r w:rsidR="00031A22" w:rsidRPr="002E3505">
        <w:rPr>
          <w:rFonts w:ascii="Arial" w:hAnsi="Arial" w:cs="Arial"/>
        </w:rPr>
        <w:t xml:space="preserve"> </w:t>
      </w:r>
      <w:proofErr w:type="gramStart"/>
      <w:r w:rsidR="00031A22" w:rsidRPr="002E3505">
        <w:rPr>
          <w:rFonts w:ascii="Arial" w:hAnsi="Arial" w:cs="Arial"/>
        </w:rPr>
        <w:t>i</w:t>
      </w:r>
      <w:r w:rsidR="00BE4CC4" w:rsidRPr="002E3505">
        <w:rPr>
          <w:rFonts w:ascii="Arial" w:hAnsi="Arial" w:cs="Arial"/>
        </w:rPr>
        <w:t>n order to</w:t>
      </w:r>
      <w:proofErr w:type="gramEnd"/>
      <w:r w:rsidR="00031A22" w:rsidRPr="002E3505">
        <w:rPr>
          <w:rFonts w:ascii="Arial" w:hAnsi="Arial" w:cs="Arial"/>
        </w:rPr>
        <w:t xml:space="preserve"> </w:t>
      </w:r>
      <w:r w:rsidR="00EB2DCB" w:rsidRPr="002E3505">
        <w:rPr>
          <w:rFonts w:ascii="Arial" w:hAnsi="Arial" w:cs="Arial"/>
        </w:rPr>
        <w:t xml:space="preserve">meet the increasing </w:t>
      </w:r>
      <w:r w:rsidR="00BE4CC4" w:rsidRPr="002E3505">
        <w:rPr>
          <w:rFonts w:ascii="Arial" w:hAnsi="Arial" w:cs="Arial"/>
        </w:rPr>
        <w:t xml:space="preserve">access </w:t>
      </w:r>
      <w:r w:rsidR="00EB2DCB" w:rsidRPr="002E3505">
        <w:rPr>
          <w:rFonts w:ascii="Arial" w:hAnsi="Arial" w:cs="Arial"/>
        </w:rPr>
        <w:t>targets</w:t>
      </w:r>
      <w:r w:rsidR="00BE4CC4" w:rsidRPr="002E3505">
        <w:rPr>
          <w:rFonts w:ascii="Arial" w:hAnsi="Arial" w:cs="Arial"/>
        </w:rPr>
        <w:t>, this has not been authorised.</w:t>
      </w:r>
    </w:p>
    <w:p w14:paraId="387BB478" w14:textId="77777777" w:rsidR="00463B82" w:rsidRPr="002E3505" w:rsidRDefault="00463B82" w:rsidP="002E3505">
      <w:pPr>
        <w:spacing w:after="0" w:line="240" w:lineRule="auto"/>
        <w:rPr>
          <w:rFonts w:ascii="Arial" w:hAnsi="Arial" w:cs="Arial"/>
        </w:rPr>
      </w:pPr>
    </w:p>
    <w:p w14:paraId="2A97B550" w14:textId="5C8AEA52" w:rsidR="00E12290" w:rsidRPr="002E3505" w:rsidRDefault="00E12290" w:rsidP="00463B82">
      <w:pPr>
        <w:spacing w:after="0" w:line="240" w:lineRule="auto"/>
        <w:rPr>
          <w:rFonts w:ascii="Arial" w:hAnsi="Arial" w:cs="Arial"/>
        </w:rPr>
      </w:pPr>
      <w:r w:rsidRPr="002E3505">
        <w:rPr>
          <w:rFonts w:ascii="Arial" w:hAnsi="Arial" w:cs="Arial"/>
          <w:noProof/>
        </w:rPr>
        <w:drawing>
          <wp:inline distT="0" distB="0" distL="0" distR="0" wp14:anchorId="584C30B7" wp14:editId="046400CE">
            <wp:extent cx="4572000" cy="2743200"/>
            <wp:effectExtent l="0" t="0" r="0" b="0"/>
            <wp:docPr id="6" name="Chart 6">
              <a:extLst xmlns:a="http://schemas.openxmlformats.org/drawingml/2006/main">
                <a:ext uri="{FF2B5EF4-FFF2-40B4-BE49-F238E27FC236}">
                  <a16:creationId xmlns:a16="http://schemas.microsoft.com/office/drawing/2014/main" id="{050998B7-10F2-445A-ADCA-6BE19C9FF1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ACA4A9" w14:textId="50B64DE8" w:rsidR="00E12290" w:rsidRPr="00463B82" w:rsidRDefault="00E12290" w:rsidP="002E3505">
      <w:pPr>
        <w:spacing w:after="0" w:line="240" w:lineRule="auto"/>
        <w:rPr>
          <w:rFonts w:ascii="Arial" w:hAnsi="Arial" w:cs="Arial"/>
          <w:i/>
          <w:iCs/>
          <w:sz w:val="18"/>
          <w:szCs w:val="18"/>
        </w:rPr>
      </w:pPr>
      <w:r w:rsidRPr="00463B82">
        <w:rPr>
          <w:rFonts w:ascii="Arial" w:hAnsi="Arial" w:cs="Arial"/>
          <w:b/>
          <w:bCs/>
          <w:i/>
          <w:iCs/>
          <w:sz w:val="18"/>
          <w:szCs w:val="18"/>
        </w:rPr>
        <w:t xml:space="preserve">Figure </w:t>
      </w:r>
      <w:r w:rsidR="004502F8" w:rsidRPr="00463B82">
        <w:rPr>
          <w:rFonts w:ascii="Arial" w:hAnsi="Arial" w:cs="Arial"/>
          <w:b/>
          <w:bCs/>
          <w:i/>
          <w:iCs/>
          <w:sz w:val="18"/>
          <w:szCs w:val="18"/>
        </w:rPr>
        <w:t>7</w:t>
      </w:r>
      <w:r w:rsidRPr="00463B82">
        <w:rPr>
          <w:rFonts w:ascii="Arial" w:hAnsi="Arial" w:cs="Arial"/>
          <w:b/>
          <w:bCs/>
          <w:i/>
          <w:iCs/>
          <w:sz w:val="18"/>
          <w:szCs w:val="18"/>
        </w:rPr>
        <w:t>.</w:t>
      </w:r>
      <w:r w:rsidRPr="00463B82">
        <w:rPr>
          <w:rFonts w:ascii="Arial" w:hAnsi="Arial" w:cs="Arial"/>
          <w:i/>
          <w:iCs/>
          <w:sz w:val="18"/>
          <w:szCs w:val="18"/>
        </w:rPr>
        <w:t xml:space="preserve"> </w:t>
      </w:r>
      <w:proofErr w:type="spellStart"/>
      <w:r w:rsidRPr="00463B82">
        <w:rPr>
          <w:rFonts w:ascii="Arial" w:hAnsi="Arial" w:cs="Arial"/>
          <w:i/>
          <w:iCs/>
          <w:sz w:val="18"/>
          <w:szCs w:val="18"/>
        </w:rPr>
        <w:t>IAPT</w:t>
      </w:r>
      <w:proofErr w:type="spellEnd"/>
      <w:r w:rsidRPr="00463B82">
        <w:rPr>
          <w:rFonts w:ascii="Arial" w:hAnsi="Arial" w:cs="Arial"/>
          <w:i/>
          <w:iCs/>
          <w:sz w:val="18"/>
          <w:szCs w:val="18"/>
        </w:rPr>
        <w:t xml:space="preserve"> Access Activity </w:t>
      </w:r>
      <w:r w:rsidR="00892D13" w:rsidRPr="00463B82">
        <w:rPr>
          <w:rFonts w:ascii="Arial" w:hAnsi="Arial" w:cs="Arial"/>
          <w:i/>
          <w:iCs/>
          <w:sz w:val="18"/>
          <w:szCs w:val="18"/>
        </w:rPr>
        <w:t>for Buckinghamshire and Oxfordshire CCG</w:t>
      </w:r>
    </w:p>
    <w:p w14:paraId="4E14D2B4" w14:textId="77777777" w:rsidR="00463B82" w:rsidRDefault="00463B82" w:rsidP="002E3505">
      <w:pPr>
        <w:spacing w:after="0" w:line="240" w:lineRule="auto"/>
        <w:rPr>
          <w:rFonts w:ascii="Arial" w:hAnsi="Arial" w:cs="Arial"/>
        </w:rPr>
      </w:pPr>
    </w:p>
    <w:p w14:paraId="718ADB6D" w14:textId="0FE43236" w:rsidR="00FA7312" w:rsidRDefault="00191477" w:rsidP="002E3505">
      <w:pPr>
        <w:spacing w:after="0" w:line="240" w:lineRule="auto"/>
        <w:rPr>
          <w:rFonts w:ascii="Arial" w:hAnsi="Arial" w:cs="Arial"/>
        </w:rPr>
      </w:pPr>
      <w:r w:rsidRPr="002E3505">
        <w:rPr>
          <w:rFonts w:ascii="Arial" w:hAnsi="Arial" w:cs="Arial"/>
        </w:rPr>
        <w:t xml:space="preserve">Following the pandemic, </w:t>
      </w:r>
      <w:proofErr w:type="spellStart"/>
      <w:r w:rsidRPr="002E3505">
        <w:rPr>
          <w:rFonts w:ascii="Arial" w:hAnsi="Arial" w:cs="Arial"/>
        </w:rPr>
        <w:t>IAPT</w:t>
      </w:r>
      <w:proofErr w:type="spellEnd"/>
      <w:r w:rsidRPr="002E3505">
        <w:rPr>
          <w:rFonts w:ascii="Arial" w:hAnsi="Arial" w:cs="Arial"/>
        </w:rPr>
        <w:t xml:space="preserve"> services have led on the implementation of staff wellbeing hubs for health and social care staff across </w:t>
      </w:r>
      <w:proofErr w:type="gramStart"/>
      <w:r w:rsidRPr="002E3505">
        <w:rPr>
          <w:rFonts w:ascii="Arial" w:hAnsi="Arial" w:cs="Arial"/>
        </w:rPr>
        <w:t>BOB</w:t>
      </w:r>
      <w:proofErr w:type="gramEnd"/>
      <w:r w:rsidRPr="002E3505">
        <w:rPr>
          <w:rFonts w:ascii="Arial" w:hAnsi="Arial" w:cs="Arial"/>
        </w:rPr>
        <w:t xml:space="preserve"> so they have rapid access to appropriate interventions. Targeted </w:t>
      </w:r>
      <w:r w:rsidR="005A111B" w:rsidRPr="002E3505">
        <w:rPr>
          <w:rFonts w:ascii="Arial" w:hAnsi="Arial" w:cs="Arial"/>
        </w:rPr>
        <w:t>in reach</w:t>
      </w:r>
      <w:r w:rsidRPr="002E3505">
        <w:rPr>
          <w:rFonts w:ascii="Arial" w:hAnsi="Arial" w:cs="Arial"/>
        </w:rPr>
        <w:t xml:space="preserve"> work to vulnerable groups will continue to be prioritised to ensure that those disproportionally impacted by Covid 19, including but not limited to BAME communities and older adults, are able to receive the </w:t>
      </w:r>
      <w:r w:rsidR="00803A5E" w:rsidRPr="002E3505">
        <w:rPr>
          <w:rFonts w:ascii="Arial" w:hAnsi="Arial" w:cs="Arial"/>
        </w:rPr>
        <w:t>much-needed</w:t>
      </w:r>
      <w:r w:rsidRPr="002E3505">
        <w:rPr>
          <w:rFonts w:ascii="Arial" w:hAnsi="Arial" w:cs="Arial"/>
        </w:rPr>
        <w:t xml:space="preserve"> support and care that is required. The continued uptake and maturity of digital technologies will enhance the offer to service users through solutions such as online scheduling and chat therapy.</w:t>
      </w:r>
    </w:p>
    <w:p w14:paraId="40670DE5" w14:textId="5417267B" w:rsidR="00463B82" w:rsidRDefault="00463B82" w:rsidP="002E3505">
      <w:pPr>
        <w:spacing w:after="0" w:line="240" w:lineRule="auto"/>
        <w:rPr>
          <w:rFonts w:ascii="Arial" w:hAnsi="Arial" w:cs="Arial"/>
        </w:rPr>
      </w:pPr>
    </w:p>
    <w:p w14:paraId="172C0F2F" w14:textId="77777777" w:rsidR="000A28F9" w:rsidRPr="002E3505" w:rsidRDefault="000A28F9" w:rsidP="002E3505">
      <w:pPr>
        <w:spacing w:after="0" w:line="240" w:lineRule="auto"/>
        <w:rPr>
          <w:rFonts w:ascii="Arial" w:hAnsi="Arial" w:cs="Arial"/>
        </w:rPr>
      </w:pPr>
    </w:p>
    <w:p w14:paraId="7710CF5E" w14:textId="77777777" w:rsidR="00FA7312" w:rsidRPr="00463B82" w:rsidRDefault="00FA7312" w:rsidP="002E3505">
      <w:pPr>
        <w:pStyle w:val="Heading1"/>
        <w:spacing w:before="0" w:line="240" w:lineRule="auto"/>
        <w:rPr>
          <w:rFonts w:ascii="Arial" w:hAnsi="Arial" w:cs="Arial"/>
          <w:b/>
          <w:bCs/>
          <w:color w:val="auto"/>
          <w:sz w:val="22"/>
          <w:szCs w:val="22"/>
          <w:u w:val="single"/>
        </w:rPr>
      </w:pPr>
      <w:bookmarkStart w:id="2" w:name="_Acute_&amp;_Crisis"/>
      <w:bookmarkEnd w:id="2"/>
      <w:r w:rsidRPr="00463B82">
        <w:rPr>
          <w:rFonts w:ascii="Arial" w:hAnsi="Arial" w:cs="Arial"/>
          <w:b/>
          <w:bCs/>
          <w:color w:val="auto"/>
          <w:sz w:val="22"/>
          <w:szCs w:val="22"/>
          <w:u w:val="single"/>
        </w:rPr>
        <w:t>Acute &amp; Crisis</w:t>
      </w:r>
    </w:p>
    <w:p w14:paraId="4F988ECB" w14:textId="77777777" w:rsidR="00330E71" w:rsidRDefault="00330E71" w:rsidP="002E3505">
      <w:pPr>
        <w:spacing w:after="0" w:line="240" w:lineRule="auto"/>
        <w:rPr>
          <w:rFonts w:ascii="Arial" w:hAnsi="Arial" w:cs="Arial"/>
        </w:rPr>
      </w:pPr>
    </w:p>
    <w:p w14:paraId="26E77DFB" w14:textId="216552C9" w:rsidR="000A28F9" w:rsidRDefault="00814996" w:rsidP="002E3505">
      <w:pPr>
        <w:spacing w:after="0" w:line="240" w:lineRule="auto"/>
        <w:rPr>
          <w:rFonts w:ascii="Arial" w:hAnsi="Arial" w:cs="Arial"/>
        </w:rPr>
      </w:pPr>
      <w:r w:rsidRPr="002E3505">
        <w:rPr>
          <w:rFonts w:ascii="Arial" w:hAnsi="Arial" w:cs="Arial"/>
        </w:rPr>
        <w:t xml:space="preserve">Crisis Resolution and Home Treatment Teams are now in place </w:t>
      </w:r>
      <w:r w:rsidR="006417EF" w:rsidRPr="002E3505">
        <w:rPr>
          <w:rFonts w:ascii="Arial" w:hAnsi="Arial" w:cs="Arial"/>
        </w:rPr>
        <w:t>in both Buckinghamshire and Oxfordshire</w:t>
      </w:r>
      <w:r w:rsidRPr="002E3505">
        <w:rPr>
          <w:rFonts w:ascii="Arial" w:hAnsi="Arial" w:cs="Arial"/>
        </w:rPr>
        <w:t>, although the maturity and functionality of the dedicated provision are at different stages. Home Treatment Teams have enabled quicker discharge from MH inpatient units as well as alternatives to admission</w:t>
      </w:r>
      <w:r w:rsidR="00B13AD9" w:rsidRPr="002E3505">
        <w:rPr>
          <w:rFonts w:ascii="Arial" w:hAnsi="Arial" w:cs="Arial"/>
        </w:rPr>
        <w:t xml:space="preserve">. Despite this, there has been an increase in out of area placements </w:t>
      </w:r>
      <w:r w:rsidR="00652B6A">
        <w:rPr>
          <w:rFonts w:ascii="Arial" w:hAnsi="Arial" w:cs="Arial"/>
        </w:rPr>
        <w:t>a</w:t>
      </w:r>
      <w:r w:rsidR="004140B0" w:rsidRPr="002E3505">
        <w:rPr>
          <w:rFonts w:ascii="Arial" w:hAnsi="Arial" w:cs="Arial"/>
        </w:rPr>
        <w:t>s</w:t>
      </w:r>
      <w:r w:rsidRPr="002E3505">
        <w:rPr>
          <w:rFonts w:ascii="Arial" w:hAnsi="Arial" w:cs="Arial"/>
        </w:rPr>
        <w:t xml:space="preserve"> </w:t>
      </w:r>
      <w:r w:rsidR="00C22053" w:rsidRPr="002E3505">
        <w:rPr>
          <w:rFonts w:ascii="Arial" w:hAnsi="Arial" w:cs="Arial"/>
        </w:rPr>
        <w:t>OHFT</w:t>
      </w:r>
      <w:r w:rsidR="004140B0" w:rsidRPr="002E3505">
        <w:rPr>
          <w:rFonts w:ascii="Arial" w:hAnsi="Arial" w:cs="Arial"/>
        </w:rPr>
        <w:t xml:space="preserve"> has been operating throughout the year with up to </w:t>
      </w:r>
      <w:r w:rsidR="003237C5" w:rsidRPr="002E3505">
        <w:rPr>
          <w:rFonts w:ascii="Arial" w:hAnsi="Arial" w:cs="Arial"/>
        </w:rPr>
        <w:t>15% less</w:t>
      </w:r>
      <w:r w:rsidR="00C22053" w:rsidRPr="002E3505">
        <w:rPr>
          <w:rFonts w:ascii="Arial" w:hAnsi="Arial" w:cs="Arial"/>
        </w:rPr>
        <w:t xml:space="preserve"> capacity</w:t>
      </w:r>
      <w:r w:rsidR="000C295D" w:rsidRPr="002E3505">
        <w:rPr>
          <w:rFonts w:ascii="Arial" w:hAnsi="Arial" w:cs="Arial"/>
        </w:rPr>
        <w:t xml:space="preserve"> on adult and older adult mental health wards</w:t>
      </w:r>
      <w:r w:rsidR="00C22053" w:rsidRPr="002E3505">
        <w:rPr>
          <w:rFonts w:ascii="Arial" w:hAnsi="Arial" w:cs="Arial"/>
        </w:rPr>
        <w:t xml:space="preserve"> </w:t>
      </w:r>
      <w:proofErr w:type="gramStart"/>
      <w:r w:rsidR="003237C5" w:rsidRPr="002E3505">
        <w:rPr>
          <w:rFonts w:ascii="Arial" w:hAnsi="Arial" w:cs="Arial"/>
        </w:rPr>
        <w:t>as a</w:t>
      </w:r>
      <w:r w:rsidR="00C22053" w:rsidRPr="002E3505">
        <w:rPr>
          <w:rFonts w:ascii="Arial" w:hAnsi="Arial" w:cs="Arial"/>
        </w:rPr>
        <w:t xml:space="preserve"> result of</w:t>
      </w:r>
      <w:proofErr w:type="gramEnd"/>
      <w:r w:rsidR="00C22053" w:rsidRPr="002E3505">
        <w:rPr>
          <w:rFonts w:ascii="Arial" w:hAnsi="Arial" w:cs="Arial"/>
        </w:rPr>
        <w:t xml:space="preserve"> </w:t>
      </w:r>
      <w:r w:rsidRPr="002E3505">
        <w:rPr>
          <w:rFonts w:ascii="Arial" w:hAnsi="Arial" w:cs="Arial"/>
        </w:rPr>
        <w:t xml:space="preserve">infection prevention and control guidance. </w:t>
      </w:r>
      <w:r w:rsidR="00F10412" w:rsidRPr="002E3505">
        <w:rPr>
          <w:rFonts w:ascii="Arial" w:hAnsi="Arial" w:cs="Arial"/>
        </w:rPr>
        <w:t>T</w:t>
      </w:r>
      <w:r w:rsidRPr="002E3505">
        <w:rPr>
          <w:rFonts w:ascii="Arial" w:hAnsi="Arial" w:cs="Arial"/>
        </w:rPr>
        <w:t xml:space="preserve">o increase continuity of care and </w:t>
      </w:r>
      <w:r w:rsidR="00F10412" w:rsidRPr="002E3505">
        <w:rPr>
          <w:rFonts w:ascii="Arial" w:hAnsi="Arial" w:cs="Arial"/>
        </w:rPr>
        <w:t xml:space="preserve">availability of inpatient </w:t>
      </w:r>
      <w:r w:rsidR="002B5FAD" w:rsidRPr="002E3505">
        <w:rPr>
          <w:rFonts w:ascii="Arial" w:hAnsi="Arial" w:cs="Arial"/>
        </w:rPr>
        <w:t xml:space="preserve">provision, OHFT have </w:t>
      </w:r>
      <w:r w:rsidR="002504A6" w:rsidRPr="002E3505">
        <w:rPr>
          <w:rFonts w:ascii="Arial" w:hAnsi="Arial" w:cs="Arial"/>
        </w:rPr>
        <w:t>contracted</w:t>
      </w:r>
      <w:r w:rsidR="002B5FAD" w:rsidRPr="002E3505">
        <w:rPr>
          <w:rFonts w:ascii="Arial" w:hAnsi="Arial" w:cs="Arial"/>
        </w:rPr>
        <w:t xml:space="preserve"> Elysium (independent sector provider) </w:t>
      </w:r>
      <w:r w:rsidR="002504A6" w:rsidRPr="002E3505">
        <w:rPr>
          <w:rFonts w:ascii="Arial" w:hAnsi="Arial" w:cs="Arial"/>
        </w:rPr>
        <w:t>for the</w:t>
      </w:r>
      <w:r w:rsidR="002B5FAD" w:rsidRPr="002E3505">
        <w:rPr>
          <w:rFonts w:ascii="Arial" w:hAnsi="Arial" w:cs="Arial"/>
        </w:rPr>
        <w:t xml:space="preserve"> </w:t>
      </w:r>
      <w:r w:rsidR="002504A6" w:rsidRPr="002E3505">
        <w:rPr>
          <w:rFonts w:ascii="Arial" w:hAnsi="Arial" w:cs="Arial"/>
        </w:rPr>
        <w:t>purchase of additional beds.</w:t>
      </w:r>
      <w:r w:rsidRPr="002E3505">
        <w:rPr>
          <w:rFonts w:ascii="Arial" w:hAnsi="Arial" w:cs="Arial"/>
        </w:rPr>
        <w:t xml:space="preserve"> This</w:t>
      </w:r>
      <w:r w:rsidR="00757ED0" w:rsidRPr="002E3505">
        <w:rPr>
          <w:rFonts w:ascii="Arial" w:hAnsi="Arial" w:cs="Arial"/>
        </w:rPr>
        <w:t xml:space="preserve"> arrangement</w:t>
      </w:r>
      <w:r w:rsidRPr="002E3505">
        <w:rPr>
          <w:rFonts w:ascii="Arial" w:hAnsi="Arial" w:cs="Arial"/>
        </w:rPr>
        <w:t xml:space="preserve"> will continue throughout </w:t>
      </w:r>
      <w:proofErr w:type="spellStart"/>
      <w:r w:rsidRPr="002E3505">
        <w:rPr>
          <w:rFonts w:ascii="Arial" w:hAnsi="Arial" w:cs="Arial"/>
        </w:rPr>
        <w:t>FY22</w:t>
      </w:r>
      <w:proofErr w:type="spellEnd"/>
      <w:r w:rsidRPr="002E3505">
        <w:rPr>
          <w:rFonts w:ascii="Arial" w:hAnsi="Arial" w:cs="Arial"/>
        </w:rPr>
        <w:t xml:space="preserve"> and </w:t>
      </w:r>
      <w:r w:rsidR="00757ED0" w:rsidRPr="002E3505">
        <w:rPr>
          <w:rFonts w:ascii="Arial" w:hAnsi="Arial" w:cs="Arial"/>
        </w:rPr>
        <w:t xml:space="preserve">will be </w:t>
      </w:r>
      <w:r w:rsidRPr="002E3505">
        <w:rPr>
          <w:rFonts w:ascii="Arial" w:hAnsi="Arial" w:cs="Arial"/>
        </w:rPr>
        <w:t xml:space="preserve">reviewed on an ongoing basis to ensure quality and value for </w:t>
      </w:r>
      <w:r w:rsidR="003C7476" w:rsidRPr="002E3505">
        <w:rPr>
          <w:rFonts w:ascii="Arial" w:hAnsi="Arial" w:cs="Arial"/>
        </w:rPr>
        <w:t>patients and their families.</w:t>
      </w:r>
    </w:p>
    <w:p w14:paraId="4725AC4E" w14:textId="77777777" w:rsidR="00366347" w:rsidRDefault="00366347" w:rsidP="002E3505">
      <w:pPr>
        <w:spacing w:after="0" w:line="240" w:lineRule="auto"/>
        <w:rPr>
          <w:rFonts w:ascii="Arial" w:hAnsi="Arial" w:cs="Arial"/>
        </w:rPr>
      </w:pPr>
    </w:p>
    <w:p w14:paraId="315741E6" w14:textId="19D8CBB8" w:rsidR="005C07D7" w:rsidRDefault="00145077" w:rsidP="002E3505">
      <w:pPr>
        <w:spacing w:after="0" w:line="240" w:lineRule="auto"/>
        <w:rPr>
          <w:rFonts w:ascii="Arial" w:hAnsi="Arial" w:cs="Arial"/>
        </w:rPr>
      </w:pPr>
      <w:r w:rsidRPr="002E3505">
        <w:rPr>
          <w:rFonts w:ascii="Arial" w:hAnsi="Arial" w:cs="Arial"/>
        </w:rPr>
        <w:t>A</w:t>
      </w:r>
      <w:r w:rsidR="00814996" w:rsidRPr="002E3505">
        <w:rPr>
          <w:rFonts w:ascii="Arial" w:hAnsi="Arial" w:cs="Arial"/>
        </w:rPr>
        <w:t xml:space="preserve"> newly implemented </w:t>
      </w:r>
      <w:r w:rsidR="002B1079" w:rsidRPr="002E3505">
        <w:rPr>
          <w:rFonts w:ascii="Arial" w:hAnsi="Arial" w:cs="Arial"/>
        </w:rPr>
        <w:t xml:space="preserve">all age, </w:t>
      </w:r>
      <w:r w:rsidR="00814996" w:rsidRPr="002E3505">
        <w:rPr>
          <w:rFonts w:ascii="Arial" w:hAnsi="Arial" w:cs="Arial"/>
          <w:b/>
          <w:bCs/>
        </w:rPr>
        <w:t xml:space="preserve">24/7 open access crisis line </w:t>
      </w:r>
      <w:r w:rsidR="00814996" w:rsidRPr="002E3505">
        <w:rPr>
          <w:rFonts w:ascii="Arial" w:hAnsi="Arial" w:cs="Arial"/>
        </w:rPr>
        <w:t>was established amidst the pandemic</w:t>
      </w:r>
      <w:r w:rsidRPr="002E3505">
        <w:rPr>
          <w:rFonts w:ascii="Arial" w:hAnsi="Arial" w:cs="Arial"/>
        </w:rPr>
        <w:t xml:space="preserve">, initially </w:t>
      </w:r>
      <w:r w:rsidR="00662316" w:rsidRPr="002E3505">
        <w:rPr>
          <w:rFonts w:ascii="Arial" w:hAnsi="Arial" w:cs="Arial"/>
        </w:rPr>
        <w:t xml:space="preserve">one of the main drivers was to </w:t>
      </w:r>
      <w:r w:rsidR="00FE1569" w:rsidRPr="002E3505">
        <w:rPr>
          <w:rFonts w:ascii="Arial" w:hAnsi="Arial" w:cs="Arial"/>
        </w:rPr>
        <w:t xml:space="preserve">remove blockages and confusion from elsewhere in health and social care systems so that </w:t>
      </w:r>
      <w:r w:rsidR="00093784" w:rsidRPr="002E3505">
        <w:rPr>
          <w:rFonts w:ascii="Arial" w:hAnsi="Arial" w:cs="Arial"/>
        </w:rPr>
        <w:t xml:space="preserve">they were better configured to meet the immediate challenges of Covid. Accelerating this </w:t>
      </w:r>
      <w:r w:rsidR="00113F75" w:rsidRPr="002E3505">
        <w:rPr>
          <w:rFonts w:ascii="Arial" w:hAnsi="Arial" w:cs="Arial"/>
        </w:rPr>
        <w:t xml:space="preserve">key achievement also means that those experiencing </w:t>
      </w:r>
      <w:r w:rsidR="00FF08F4" w:rsidRPr="002E3505">
        <w:rPr>
          <w:rFonts w:ascii="Arial" w:hAnsi="Arial" w:cs="Arial"/>
        </w:rPr>
        <w:t xml:space="preserve">a </w:t>
      </w:r>
      <w:r w:rsidR="00113F75" w:rsidRPr="002E3505">
        <w:rPr>
          <w:rFonts w:ascii="Arial" w:hAnsi="Arial" w:cs="Arial"/>
        </w:rPr>
        <w:t xml:space="preserve">mental health </w:t>
      </w:r>
      <w:r w:rsidR="00FF08F4" w:rsidRPr="002E3505">
        <w:rPr>
          <w:rFonts w:ascii="Arial" w:hAnsi="Arial" w:cs="Arial"/>
        </w:rPr>
        <w:t>crisis can</w:t>
      </w:r>
      <w:r w:rsidR="00113F75" w:rsidRPr="002E3505">
        <w:rPr>
          <w:rFonts w:ascii="Arial" w:hAnsi="Arial" w:cs="Arial"/>
        </w:rPr>
        <w:t xml:space="preserve"> </w:t>
      </w:r>
      <w:r w:rsidR="0096125C" w:rsidRPr="002E3505">
        <w:rPr>
          <w:rFonts w:ascii="Arial" w:hAnsi="Arial" w:cs="Arial"/>
        </w:rPr>
        <w:t>get the immediate help and support they need by calling 111</w:t>
      </w:r>
      <w:r w:rsidR="008A470C" w:rsidRPr="002E3505">
        <w:rPr>
          <w:rFonts w:ascii="Arial" w:hAnsi="Arial" w:cs="Arial"/>
        </w:rPr>
        <w:t xml:space="preserve">, regardless of whether they are open or known to services. </w:t>
      </w:r>
      <w:r w:rsidR="004C5DF5" w:rsidRPr="002E3505">
        <w:rPr>
          <w:rFonts w:ascii="Arial" w:hAnsi="Arial" w:cs="Arial"/>
        </w:rPr>
        <w:t xml:space="preserve">This collaboration </w:t>
      </w:r>
      <w:r w:rsidR="002B1079" w:rsidRPr="002E3505">
        <w:rPr>
          <w:rFonts w:ascii="Arial" w:hAnsi="Arial" w:cs="Arial"/>
        </w:rPr>
        <w:t xml:space="preserve">with Southern Central Ambulance Service </w:t>
      </w:r>
      <w:r w:rsidR="005C07D7" w:rsidRPr="002E3505">
        <w:rPr>
          <w:rFonts w:ascii="Arial" w:hAnsi="Arial" w:cs="Arial"/>
        </w:rPr>
        <w:t>(</w:t>
      </w:r>
      <w:proofErr w:type="spellStart"/>
      <w:r w:rsidR="005C07D7" w:rsidRPr="002E3505">
        <w:rPr>
          <w:rFonts w:ascii="Arial" w:hAnsi="Arial" w:cs="Arial"/>
        </w:rPr>
        <w:t>SCAS</w:t>
      </w:r>
      <w:proofErr w:type="spellEnd"/>
      <w:r w:rsidR="005C07D7" w:rsidRPr="002E3505">
        <w:rPr>
          <w:rFonts w:ascii="Arial" w:hAnsi="Arial" w:cs="Arial"/>
        </w:rPr>
        <w:t xml:space="preserve">) </w:t>
      </w:r>
      <w:r w:rsidR="002B1079" w:rsidRPr="002E3505">
        <w:rPr>
          <w:rFonts w:ascii="Arial" w:hAnsi="Arial" w:cs="Arial"/>
        </w:rPr>
        <w:t xml:space="preserve">will also </w:t>
      </w:r>
      <w:r w:rsidR="00195C38" w:rsidRPr="002E3505">
        <w:rPr>
          <w:rFonts w:ascii="Arial" w:hAnsi="Arial" w:cs="Arial"/>
        </w:rPr>
        <w:t xml:space="preserve">go a step further over the coming years </w:t>
      </w:r>
      <w:r w:rsidR="005C07D7" w:rsidRPr="002E3505">
        <w:rPr>
          <w:rFonts w:ascii="Arial" w:hAnsi="Arial" w:cs="Arial"/>
        </w:rPr>
        <w:t xml:space="preserve">in the form of </w:t>
      </w:r>
      <w:r w:rsidR="00814996" w:rsidRPr="002E3505">
        <w:rPr>
          <w:rFonts w:ascii="Arial" w:hAnsi="Arial" w:cs="Arial"/>
        </w:rPr>
        <w:t xml:space="preserve">improved triage and transport, this is being led by </w:t>
      </w:r>
      <w:proofErr w:type="spellStart"/>
      <w:r w:rsidR="005C07D7" w:rsidRPr="002E3505">
        <w:rPr>
          <w:rFonts w:ascii="Arial" w:hAnsi="Arial" w:cs="Arial"/>
        </w:rPr>
        <w:t>SCAS</w:t>
      </w:r>
      <w:proofErr w:type="spellEnd"/>
      <w:r w:rsidR="00814996" w:rsidRPr="002E3505">
        <w:rPr>
          <w:rFonts w:ascii="Arial" w:hAnsi="Arial" w:cs="Arial"/>
        </w:rPr>
        <w:t xml:space="preserve"> alongside a multi sector, multi-agency group including the likes of Thames Valley Police and </w:t>
      </w:r>
      <w:r w:rsidR="00FD526D" w:rsidRPr="002E3505">
        <w:rPr>
          <w:rFonts w:ascii="Arial" w:hAnsi="Arial" w:cs="Arial"/>
        </w:rPr>
        <w:t xml:space="preserve">local </w:t>
      </w:r>
      <w:proofErr w:type="spellStart"/>
      <w:r w:rsidR="00814996" w:rsidRPr="002E3505">
        <w:rPr>
          <w:rFonts w:ascii="Arial" w:hAnsi="Arial" w:cs="Arial"/>
        </w:rPr>
        <w:t>AMHP</w:t>
      </w:r>
      <w:proofErr w:type="spellEnd"/>
      <w:r w:rsidR="00814996" w:rsidRPr="002E3505">
        <w:rPr>
          <w:rFonts w:ascii="Arial" w:hAnsi="Arial" w:cs="Arial"/>
        </w:rPr>
        <w:t xml:space="preserve"> services. </w:t>
      </w:r>
    </w:p>
    <w:p w14:paraId="2D0C1AE6" w14:textId="77777777" w:rsidR="000A28F9" w:rsidRPr="002E3505" w:rsidRDefault="000A28F9" w:rsidP="002E3505">
      <w:pPr>
        <w:spacing w:after="0" w:line="240" w:lineRule="auto"/>
        <w:rPr>
          <w:rFonts w:ascii="Arial" w:hAnsi="Arial" w:cs="Arial"/>
        </w:rPr>
      </w:pPr>
    </w:p>
    <w:p w14:paraId="02961F77" w14:textId="6827C5E2" w:rsidR="00BC6330" w:rsidRDefault="00BC6330" w:rsidP="002E3505">
      <w:pPr>
        <w:spacing w:after="0" w:line="240" w:lineRule="auto"/>
        <w:rPr>
          <w:rFonts w:ascii="Arial" w:hAnsi="Arial" w:cs="Arial"/>
        </w:rPr>
      </w:pPr>
      <w:r w:rsidRPr="002E3505">
        <w:rPr>
          <w:rFonts w:ascii="Arial" w:hAnsi="Arial" w:cs="Arial"/>
          <w:b/>
          <w:bCs/>
        </w:rPr>
        <w:t>Psychiatric Liaison Services</w:t>
      </w:r>
      <w:r w:rsidRPr="002E3505">
        <w:rPr>
          <w:rFonts w:ascii="Arial" w:hAnsi="Arial" w:cs="Arial"/>
        </w:rPr>
        <w:t xml:space="preserve"> support</w:t>
      </w:r>
      <w:r w:rsidR="003A7157" w:rsidRPr="002E3505">
        <w:rPr>
          <w:rFonts w:ascii="Arial" w:hAnsi="Arial" w:cs="Arial"/>
        </w:rPr>
        <w:t xml:space="preserve"> </w:t>
      </w:r>
      <w:r w:rsidR="00D05CFA" w:rsidRPr="002E3505">
        <w:rPr>
          <w:rFonts w:ascii="Arial" w:hAnsi="Arial" w:cs="Arial"/>
        </w:rPr>
        <w:t>inpatients and those presenting</w:t>
      </w:r>
      <w:r w:rsidR="00B67924" w:rsidRPr="002E3505">
        <w:rPr>
          <w:rFonts w:ascii="Arial" w:hAnsi="Arial" w:cs="Arial"/>
        </w:rPr>
        <w:t xml:space="preserve"> with mental health need</w:t>
      </w:r>
      <w:r w:rsidR="00D05CFA" w:rsidRPr="002E3505">
        <w:rPr>
          <w:rFonts w:ascii="Arial" w:hAnsi="Arial" w:cs="Arial"/>
        </w:rPr>
        <w:t xml:space="preserve"> at the Emergency Departments of</w:t>
      </w:r>
      <w:r w:rsidRPr="002E3505">
        <w:rPr>
          <w:rFonts w:ascii="Arial" w:hAnsi="Arial" w:cs="Arial"/>
        </w:rPr>
        <w:t xml:space="preserve"> </w:t>
      </w:r>
      <w:r w:rsidR="00DD7DBE" w:rsidRPr="002E3505">
        <w:rPr>
          <w:rFonts w:ascii="Arial" w:hAnsi="Arial" w:cs="Arial"/>
        </w:rPr>
        <w:t xml:space="preserve">Stoke Mandeville, The John </w:t>
      </w:r>
      <w:proofErr w:type="gramStart"/>
      <w:r w:rsidR="00DD7DBE" w:rsidRPr="002E3505">
        <w:rPr>
          <w:rFonts w:ascii="Arial" w:hAnsi="Arial" w:cs="Arial"/>
        </w:rPr>
        <w:t>Radcliffe</w:t>
      </w:r>
      <w:proofErr w:type="gramEnd"/>
      <w:r w:rsidR="00DD7DBE" w:rsidRPr="002E3505">
        <w:rPr>
          <w:rFonts w:ascii="Arial" w:hAnsi="Arial" w:cs="Arial"/>
        </w:rPr>
        <w:t xml:space="preserve"> and Horton General Hospital</w:t>
      </w:r>
      <w:r w:rsidR="00DF31A8" w:rsidRPr="002E3505">
        <w:rPr>
          <w:rFonts w:ascii="Arial" w:hAnsi="Arial" w:cs="Arial"/>
        </w:rPr>
        <w:t>s</w:t>
      </w:r>
      <w:r w:rsidR="00B67924" w:rsidRPr="002E3505">
        <w:rPr>
          <w:rFonts w:ascii="Arial" w:hAnsi="Arial" w:cs="Arial"/>
        </w:rPr>
        <w:t xml:space="preserve">. </w:t>
      </w:r>
      <w:r w:rsidR="00A0422B" w:rsidRPr="002E3505">
        <w:rPr>
          <w:rFonts w:ascii="Arial" w:hAnsi="Arial" w:cs="Arial"/>
        </w:rPr>
        <w:t xml:space="preserve">Both the </w:t>
      </w:r>
      <w:r w:rsidR="00190EEA" w:rsidRPr="002E3505">
        <w:rPr>
          <w:rFonts w:ascii="Arial" w:hAnsi="Arial" w:cs="Arial"/>
        </w:rPr>
        <w:t>Buckinghamshire</w:t>
      </w:r>
      <w:r w:rsidR="00A0422B" w:rsidRPr="002E3505">
        <w:rPr>
          <w:rFonts w:ascii="Arial" w:hAnsi="Arial" w:cs="Arial"/>
        </w:rPr>
        <w:t xml:space="preserve"> and Oxfordshire services </w:t>
      </w:r>
      <w:r w:rsidR="00190EEA" w:rsidRPr="002E3505">
        <w:rPr>
          <w:rFonts w:ascii="Arial" w:hAnsi="Arial" w:cs="Arial"/>
        </w:rPr>
        <w:t>deliver</w:t>
      </w:r>
      <w:r w:rsidR="00C85C83" w:rsidRPr="002E3505">
        <w:rPr>
          <w:rFonts w:ascii="Arial" w:hAnsi="Arial" w:cs="Arial"/>
        </w:rPr>
        <w:t xml:space="preserve"> </w:t>
      </w:r>
      <w:r w:rsidR="009D076B" w:rsidRPr="002E3505">
        <w:rPr>
          <w:rFonts w:ascii="Arial" w:hAnsi="Arial" w:cs="Arial"/>
        </w:rPr>
        <w:t>age-appropriate</w:t>
      </w:r>
      <w:r w:rsidR="00C85C83" w:rsidRPr="002E3505">
        <w:rPr>
          <w:rFonts w:ascii="Arial" w:hAnsi="Arial" w:cs="Arial"/>
        </w:rPr>
        <w:t xml:space="preserve"> pro</w:t>
      </w:r>
      <w:r w:rsidR="001B3636" w:rsidRPr="002E3505">
        <w:rPr>
          <w:rFonts w:ascii="Arial" w:hAnsi="Arial" w:cs="Arial"/>
        </w:rPr>
        <w:t xml:space="preserve">vision </w:t>
      </w:r>
      <w:r w:rsidR="00190EEA" w:rsidRPr="002E3505">
        <w:rPr>
          <w:rFonts w:ascii="Arial" w:hAnsi="Arial" w:cs="Arial"/>
        </w:rPr>
        <w:t>and</w:t>
      </w:r>
      <w:r w:rsidR="001B3636" w:rsidRPr="002E3505">
        <w:rPr>
          <w:rFonts w:ascii="Arial" w:hAnsi="Arial" w:cs="Arial"/>
        </w:rPr>
        <w:t xml:space="preserve"> a</w:t>
      </w:r>
      <w:r w:rsidR="00C85C83" w:rsidRPr="002E3505">
        <w:rPr>
          <w:rFonts w:ascii="Arial" w:hAnsi="Arial" w:cs="Arial"/>
        </w:rPr>
        <w:t xml:space="preserve"> timely response </w:t>
      </w:r>
      <w:r w:rsidR="00183242" w:rsidRPr="002E3505">
        <w:rPr>
          <w:rFonts w:ascii="Arial" w:hAnsi="Arial" w:cs="Arial"/>
        </w:rPr>
        <w:t>to patients</w:t>
      </w:r>
      <w:r w:rsidR="00991209" w:rsidRPr="002E3505">
        <w:rPr>
          <w:rFonts w:ascii="Arial" w:hAnsi="Arial" w:cs="Arial"/>
        </w:rPr>
        <w:t xml:space="preserve">, but </w:t>
      </w:r>
      <w:r w:rsidR="006905A7" w:rsidRPr="002E3505">
        <w:rPr>
          <w:rFonts w:ascii="Arial" w:hAnsi="Arial" w:cs="Arial"/>
        </w:rPr>
        <w:t xml:space="preserve">neither </w:t>
      </w:r>
      <w:r w:rsidR="00C70FD1" w:rsidRPr="002E3505">
        <w:rPr>
          <w:rFonts w:ascii="Arial" w:hAnsi="Arial" w:cs="Arial"/>
        </w:rPr>
        <w:t xml:space="preserve">service is </w:t>
      </w:r>
      <w:r w:rsidR="002C2968" w:rsidRPr="002E3505">
        <w:rPr>
          <w:rFonts w:ascii="Arial" w:hAnsi="Arial" w:cs="Arial"/>
        </w:rPr>
        <w:t>set up to be fully C</w:t>
      </w:r>
      <w:r w:rsidR="00A37906" w:rsidRPr="002E3505">
        <w:rPr>
          <w:rFonts w:ascii="Arial" w:hAnsi="Arial" w:cs="Arial"/>
        </w:rPr>
        <w:t>ore</w:t>
      </w:r>
      <w:r w:rsidR="002C2968" w:rsidRPr="002E3505">
        <w:rPr>
          <w:rFonts w:ascii="Arial" w:hAnsi="Arial" w:cs="Arial"/>
        </w:rPr>
        <w:t xml:space="preserve"> 24 </w:t>
      </w:r>
      <w:r w:rsidR="00A37906" w:rsidRPr="002E3505">
        <w:rPr>
          <w:rFonts w:ascii="Arial" w:hAnsi="Arial" w:cs="Arial"/>
        </w:rPr>
        <w:t xml:space="preserve">compliant. </w:t>
      </w:r>
    </w:p>
    <w:p w14:paraId="359764C5" w14:textId="77777777" w:rsidR="000A28F9" w:rsidRPr="002E3505" w:rsidRDefault="000A28F9" w:rsidP="002E3505">
      <w:pPr>
        <w:spacing w:after="0" w:line="240" w:lineRule="auto"/>
        <w:rPr>
          <w:rFonts w:ascii="Arial" w:hAnsi="Arial" w:cs="Arial"/>
        </w:rPr>
      </w:pPr>
    </w:p>
    <w:p w14:paraId="5AF04335" w14:textId="0C01A09A" w:rsidR="00FA7312" w:rsidRDefault="00885619" w:rsidP="002E3505">
      <w:pPr>
        <w:spacing w:after="0" w:line="240" w:lineRule="auto"/>
        <w:rPr>
          <w:rFonts w:ascii="Arial" w:hAnsi="Arial" w:cs="Arial"/>
        </w:rPr>
      </w:pPr>
      <w:r w:rsidRPr="002E3505">
        <w:rPr>
          <w:rFonts w:ascii="Arial" w:hAnsi="Arial" w:cs="Arial"/>
        </w:rPr>
        <w:t xml:space="preserve">Residents of </w:t>
      </w:r>
      <w:r w:rsidR="002B5C26" w:rsidRPr="002E3505">
        <w:rPr>
          <w:rFonts w:ascii="Arial" w:hAnsi="Arial" w:cs="Arial"/>
        </w:rPr>
        <w:t>Buckinghamshire and Oxfordshire already have</w:t>
      </w:r>
      <w:r w:rsidRPr="002E3505">
        <w:rPr>
          <w:rFonts w:ascii="Arial" w:hAnsi="Arial" w:cs="Arial"/>
        </w:rPr>
        <w:t xml:space="preserve"> access to</w:t>
      </w:r>
      <w:r w:rsidR="002B5C26" w:rsidRPr="002E3505">
        <w:rPr>
          <w:rFonts w:ascii="Arial" w:hAnsi="Arial" w:cs="Arial"/>
        </w:rPr>
        <w:t xml:space="preserve"> 2 </w:t>
      </w:r>
      <w:r w:rsidR="002B5C26" w:rsidRPr="002E3505">
        <w:rPr>
          <w:rFonts w:ascii="Arial" w:hAnsi="Arial" w:cs="Arial"/>
          <w:b/>
          <w:bCs/>
        </w:rPr>
        <w:t>Safe Havens</w:t>
      </w:r>
      <w:r w:rsidR="002B5C26" w:rsidRPr="002E3505">
        <w:rPr>
          <w:rFonts w:ascii="Arial" w:hAnsi="Arial" w:cs="Arial"/>
        </w:rPr>
        <w:t xml:space="preserve"> in each </w:t>
      </w:r>
      <w:r w:rsidRPr="002E3505">
        <w:rPr>
          <w:rFonts w:ascii="Arial" w:hAnsi="Arial" w:cs="Arial"/>
        </w:rPr>
        <w:t xml:space="preserve">county. </w:t>
      </w:r>
      <w:r w:rsidR="00177A00" w:rsidRPr="002E3505">
        <w:rPr>
          <w:rFonts w:ascii="Arial" w:hAnsi="Arial" w:cs="Arial"/>
        </w:rPr>
        <w:t>The</w:t>
      </w:r>
      <w:r w:rsidR="00FD526D" w:rsidRPr="002E3505">
        <w:rPr>
          <w:rFonts w:ascii="Arial" w:hAnsi="Arial" w:cs="Arial"/>
        </w:rPr>
        <w:t xml:space="preserve"> Safe Havens </w:t>
      </w:r>
      <w:r w:rsidR="00177A00" w:rsidRPr="002E3505">
        <w:rPr>
          <w:rFonts w:ascii="Arial" w:hAnsi="Arial" w:cs="Arial"/>
        </w:rPr>
        <w:t>are delivered by local Mind chariti</w:t>
      </w:r>
      <w:r w:rsidR="00B71052" w:rsidRPr="002E3505">
        <w:rPr>
          <w:rFonts w:ascii="Arial" w:hAnsi="Arial" w:cs="Arial"/>
        </w:rPr>
        <w:t xml:space="preserve">es to offer an alternative to traditional crisis care. This </w:t>
      </w:r>
      <w:r w:rsidR="00C34B03" w:rsidRPr="002E3505">
        <w:rPr>
          <w:rFonts w:ascii="Arial" w:hAnsi="Arial" w:cs="Arial"/>
        </w:rPr>
        <w:t xml:space="preserve">innovative approach will be </w:t>
      </w:r>
      <w:r w:rsidR="004C5543" w:rsidRPr="002E3505">
        <w:rPr>
          <w:rFonts w:ascii="Arial" w:hAnsi="Arial" w:cs="Arial"/>
        </w:rPr>
        <w:t xml:space="preserve">further expanded </w:t>
      </w:r>
      <w:r w:rsidR="00E8247C" w:rsidRPr="002E3505">
        <w:rPr>
          <w:rFonts w:ascii="Arial" w:hAnsi="Arial" w:cs="Arial"/>
        </w:rPr>
        <w:t>throughout</w:t>
      </w:r>
      <w:r w:rsidR="004C5543" w:rsidRPr="002E3505">
        <w:rPr>
          <w:rFonts w:ascii="Arial" w:hAnsi="Arial" w:cs="Arial"/>
        </w:rPr>
        <w:t xml:space="preserve"> the next 3 years to not only increase</w:t>
      </w:r>
      <w:r w:rsidR="00E8247C" w:rsidRPr="002E3505">
        <w:rPr>
          <w:rFonts w:ascii="Arial" w:hAnsi="Arial" w:cs="Arial"/>
        </w:rPr>
        <w:t xml:space="preserve"> some provision to 7 nights, but also </w:t>
      </w:r>
      <w:r w:rsidR="006D3C1B" w:rsidRPr="002E3505">
        <w:rPr>
          <w:rFonts w:ascii="Arial" w:hAnsi="Arial" w:cs="Arial"/>
        </w:rPr>
        <w:t>bring on board</w:t>
      </w:r>
      <w:r w:rsidR="00E8247C" w:rsidRPr="002E3505">
        <w:rPr>
          <w:rFonts w:ascii="Arial" w:hAnsi="Arial" w:cs="Arial"/>
        </w:rPr>
        <w:t xml:space="preserve"> more </w:t>
      </w:r>
      <w:proofErr w:type="spellStart"/>
      <w:r w:rsidR="00E8247C" w:rsidRPr="002E3505">
        <w:rPr>
          <w:rFonts w:ascii="Arial" w:hAnsi="Arial" w:cs="Arial"/>
        </w:rPr>
        <w:t>VCSE</w:t>
      </w:r>
      <w:proofErr w:type="spellEnd"/>
      <w:r w:rsidR="00E8247C" w:rsidRPr="002E3505">
        <w:rPr>
          <w:rFonts w:ascii="Arial" w:hAnsi="Arial" w:cs="Arial"/>
        </w:rPr>
        <w:t xml:space="preserve"> </w:t>
      </w:r>
      <w:r w:rsidR="00B42282" w:rsidRPr="002E3505">
        <w:rPr>
          <w:rFonts w:ascii="Arial" w:hAnsi="Arial" w:cs="Arial"/>
        </w:rPr>
        <w:t xml:space="preserve">organisations to help support the needs of those attending in </w:t>
      </w:r>
      <w:r w:rsidR="006D3C1B" w:rsidRPr="002E3505">
        <w:rPr>
          <w:rFonts w:ascii="Arial" w:hAnsi="Arial" w:cs="Arial"/>
        </w:rPr>
        <w:t xml:space="preserve">a more coordinated and streamlined manner. </w:t>
      </w:r>
    </w:p>
    <w:p w14:paraId="357AEEEA" w14:textId="17FDFD97" w:rsidR="000A28F9" w:rsidRDefault="000A28F9" w:rsidP="002E3505">
      <w:pPr>
        <w:spacing w:after="0" w:line="240" w:lineRule="auto"/>
        <w:rPr>
          <w:rFonts w:ascii="Arial" w:hAnsi="Arial" w:cs="Arial"/>
        </w:rPr>
      </w:pPr>
    </w:p>
    <w:p w14:paraId="05F6473A" w14:textId="77777777" w:rsidR="000A28F9" w:rsidRPr="002E3505" w:rsidRDefault="000A28F9" w:rsidP="002E3505">
      <w:pPr>
        <w:spacing w:after="0" w:line="240" w:lineRule="auto"/>
        <w:rPr>
          <w:rFonts w:ascii="Arial" w:hAnsi="Arial" w:cs="Arial"/>
        </w:rPr>
      </w:pPr>
    </w:p>
    <w:p w14:paraId="4E4F1E0C" w14:textId="77777777" w:rsidR="00FA7312" w:rsidRPr="000A28F9" w:rsidRDefault="00FA7312" w:rsidP="002E3505">
      <w:pPr>
        <w:pStyle w:val="Heading1"/>
        <w:spacing w:before="0" w:line="240" w:lineRule="auto"/>
        <w:rPr>
          <w:rFonts w:ascii="Arial" w:hAnsi="Arial" w:cs="Arial"/>
          <w:b/>
          <w:bCs/>
          <w:sz w:val="22"/>
          <w:szCs w:val="22"/>
          <w:u w:val="single"/>
        </w:rPr>
      </w:pPr>
      <w:bookmarkStart w:id="3" w:name="_Adult_&amp;_Older"/>
      <w:bookmarkEnd w:id="3"/>
      <w:r w:rsidRPr="000A28F9">
        <w:rPr>
          <w:rFonts w:ascii="Arial" w:hAnsi="Arial" w:cs="Arial"/>
          <w:b/>
          <w:bCs/>
          <w:color w:val="auto"/>
          <w:sz w:val="22"/>
          <w:szCs w:val="22"/>
          <w:u w:val="single"/>
        </w:rPr>
        <w:t>Adult &amp; Older Adult Serious Mental Illness</w:t>
      </w:r>
    </w:p>
    <w:p w14:paraId="694459BC" w14:textId="77777777" w:rsidR="000A28F9" w:rsidRDefault="000A28F9" w:rsidP="002E3505">
      <w:pPr>
        <w:spacing w:after="0" w:line="240" w:lineRule="auto"/>
        <w:rPr>
          <w:rFonts w:ascii="Arial" w:hAnsi="Arial" w:cs="Arial"/>
          <w:b/>
          <w:bCs/>
        </w:rPr>
      </w:pPr>
    </w:p>
    <w:p w14:paraId="4C408B60" w14:textId="4846D4E8" w:rsidR="00FA7312" w:rsidRDefault="008C6429" w:rsidP="002E3505">
      <w:pPr>
        <w:spacing w:after="0" w:line="240" w:lineRule="auto"/>
        <w:rPr>
          <w:rFonts w:ascii="Arial" w:hAnsi="Arial" w:cs="Arial"/>
        </w:rPr>
      </w:pPr>
      <w:r w:rsidRPr="002E3505">
        <w:rPr>
          <w:rFonts w:ascii="Arial" w:hAnsi="Arial" w:cs="Arial"/>
          <w:b/>
          <w:bCs/>
        </w:rPr>
        <w:t>T</w:t>
      </w:r>
      <w:r w:rsidR="00D475F3" w:rsidRPr="002E3505">
        <w:rPr>
          <w:rFonts w:ascii="Arial" w:hAnsi="Arial" w:cs="Arial"/>
          <w:b/>
          <w:bCs/>
        </w:rPr>
        <w:t>he Community Mental Health Framework (</w:t>
      </w:r>
      <w:proofErr w:type="spellStart"/>
      <w:r w:rsidR="00D475F3" w:rsidRPr="002E3505">
        <w:rPr>
          <w:rFonts w:ascii="Arial" w:hAnsi="Arial" w:cs="Arial"/>
          <w:b/>
          <w:bCs/>
        </w:rPr>
        <w:t>CMHF</w:t>
      </w:r>
      <w:proofErr w:type="spellEnd"/>
      <w:r w:rsidR="00D475F3" w:rsidRPr="002E3505">
        <w:rPr>
          <w:rFonts w:ascii="Arial" w:hAnsi="Arial" w:cs="Arial"/>
          <w:b/>
          <w:bCs/>
        </w:rPr>
        <w:t>)</w:t>
      </w:r>
      <w:r w:rsidR="00D475F3" w:rsidRPr="002E3505">
        <w:rPr>
          <w:rFonts w:ascii="Arial" w:hAnsi="Arial" w:cs="Arial"/>
        </w:rPr>
        <w:t xml:space="preserve"> is </w:t>
      </w:r>
      <w:r w:rsidR="006013A7" w:rsidRPr="002E3505">
        <w:rPr>
          <w:rFonts w:ascii="Arial" w:hAnsi="Arial" w:cs="Arial"/>
        </w:rPr>
        <w:t xml:space="preserve">arguably the </w:t>
      </w:r>
      <w:r w:rsidR="00D475F3" w:rsidRPr="002E3505">
        <w:rPr>
          <w:rFonts w:ascii="Arial" w:hAnsi="Arial" w:cs="Arial"/>
        </w:rPr>
        <w:t xml:space="preserve">largest and </w:t>
      </w:r>
      <w:r w:rsidR="006013A7" w:rsidRPr="002E3505">
        <w:rPr>
          <w:rFonts w:ascii="Arial" w:hAnsi="Arial" w:cs="Arial"/>
        </w:rPr>
        <w:t xml:space="preserve">most significant change outlined in the </w:t>
      </w:r>
      <w:proofErr w:type="spellStart"/>
      <w:r w:rsidR="006013A7" w:rsidRPr="002E3505">
        <w:rPr>
          <w:rFonts w:ascii="Arial" w:hAnsi="Arial" w:cs="Arial"/>
        </w:rPr>
        <w:t>LTP</w:t>
      </w:r>
      <w:proofErr w:type="spellEnd"/>
      <w:r w:rsidR="006013A7" w:rsidRPr="002E3505">
        <w:rPr>
          <w:rFonts w:ascii="Arial" w:hAnsi="Arial" w:cs="Arial"/>
        </w:rPr>
        <w:t xml:space="preserve"> for mental health services. </w:t>
      </w:r>
      <w:r w:rsidR="009F74C2" w:rsidRPr="002E3505">
        <w:rPr>
          <w:rFonts w:ascii="Arial" w:hAnsi="Arial" w:cs="Arial"/>
        </w:rPr>
        <w:t xml:space="preserve">Community mental health services across the country are undergoing this key transformation </w:t>
      </w:r>
      <w:r w:rsidR="005E3704" w:rsidRPr="002E3505">
        <w:rPr>
          <w:rFonts w:ascii="Arial" w:hAnsi="Arial" w:cs="Arial"/>
        </w:rPr>
        <w:t xml:space="preserve">following guidance from </w:t>
      </w:r>
      <w:proofErr w:type="spellStart"/>
      <w:r w:rsidR="005E3704" w:rsidRPr="002E3505">
        <w:rPr>
          <w:rFonts w:ascii="Arial" w:hAnsi="Arial" w:cs="Arial"/>
        </w:rPr>
        <w:t>NHSE</w:t>
      </w:r>
      <w:proofErr w:type="spellEnd"/>
      <w:r w:rsidR="005E3704" w:rsidRPr="002E3505">
        <w:rPr>
          <w:rFonts w:ascii="Arial" w:hAnsi="Arial" w:cs="Arial"/>
        </w:rPr>
        <w:t xml:space="preserve"> and learning from pilot sites that </w:t>
      </w:r>
      <w:r w:rsidR="001F039D" w:rsidRPr="002E3505">
        <w:rPr>
          <w:rFonts w:ascii="Arial" w:hAnsi="Arial" w:cs="Arial"/>
        </w:rPr>
        <w:t>started</w:t>
      </w:r>
      <w:r w:rsidR="005E3704" w:rsidRPr="002E3505">
        <w:rPr>
          <w:rFonts w:ascii="Arial" w:hAnsi="Arial" w:cs="Arial"/>
        </w:rPr>
        <w:t xml:space="preserve"> this journey in </w:t>
      </w:r>
      <w:proofErr w:type="spellStart"/>
      <w:r w:rsidR="005E3704" w:rsidRPr="002E3505">
        <w:rPr>
          <w:rFonts w:ascii="Arial" w:hAnsi="Arial" w:cs="Arial"/>
        </w:rPr>
        <w:t>FY21</w:t>
      </w:r>
      <w:proofErr w:type="spellEnd"/>
      <w:r w:rsidR="005E3704" w:rsidRPr="002E3505">
        <w:rPr>
          <w:rFonts w:ascii="Arial" w:hAnsi="Arial" w:cs="Arial"/>
        </w:rPr>
        <w:t xml:space="preserve">. </w:t>
      </w:r>
      <w:r w:rsidR="001F039D" w:rsidRPr="002E3505">
        <w:rPr>
          <w:rFonts w:ascii="Arial" w:hAnsi="Arial" w:cs="Arial"/>
        </w:rPr>
        <w:t xml:space="preserve">Local services are embarking on a </w:t>
      </w:r>
      <w:r w:rsidR="00B8192D" w:rsidRPr="002E3505">
        <w:rPr>
          <w:rFonts w:ascii="Arial" w:hAnsi="Arial" w:cs="Arial"/>
        </w:rPr>
        <w:t>3-year</w:t>
      </w:r>
      <w:r w:rsidR="001F039D" w:rsidRPr="002E3505">
        <w:rPr>
          <w:rFonts w:ascii="Arial" w:hAnsi="Arial" w:cs="Arial"/>
        </w:rPr>
        <w:t xml:space="preserve"> </w:t>
      </w:r>
      <w:r w:rsidR="00485287" w:rsidRPr="002E3505">
        <w:rPr>
          <w:rFonts w:ascii="Arial" w:hAnsi="Arial" w:cs="Arial"/>
        </w:rPr>
        <w:t xml:space="preserve">transformation programme that will eventually see </w:t>
      </w:r>
      <w:r w:rsidR="00260565" w:rsidRPr="002E3505">
        <w:rPr>
          <w:rFonts w:ascii="Arial" w:hAnsi="Arial" w:cs="Arial"/>
        </w:rPr>
        <w:t>existing and new mental health services better integrated with Primary Care Networks</w:t>
      </w:r>
      <w:r w:rsidR="00FD6CC6" w:rsidRPr="002E3505">
        <w:rPr>
          <w:rFonts w:ascii="Arial" w:hAnsi="Arial" w:cs="Arial"/>
        </w:rPr>
        <w:t xml:space="preserve"> (</w:t>
      </w:r>
      <w:proofErr w:type="spellStart"/>
      <w:r w:rsidR="00FD6CC6" w:rsidRPr="002E3505">
        <w:rPr>
          <w:rFonts w:ascii="Arial" w:hAnsi="Arial" w:cs="Arial"/>
        </w:rPr>
        <w:t>PCNs</w:t>
      </w:r>
      <w:proofErr w:type="spellEnd"/>
      <w:r w:rsidR="00FD6CC6" w:rsidRPr="002E3505">
        <w:rPr>
          <w:rFonts w:ascii="Arial" w:hAnsi="Arial" w:cs="Arial"/>
        </w:rPr>
        <w:t xml:space="preserve">). </w:t>
      </w:r>
    </w:p>
    <w:p w14:paraId="171BD2C6" w14:textId="77777777" w:rsidR="000A28F9" w:rsidRPr="002E3505" w:rsidRDefault="000A28F9" w:rsidP="002E3505">
      <w:pPr>
        <w:spacing w:after="0" w:line="240" w:lineRule="auto"/>
        <w:rPr>
          <w:rFonts w:ascii="Arial" w:hAnsi="Arial" w:cs="Arial"/>
        </w:rPr>
      </w:pPr>
    </w:p>
    <w:p w14:paraId="01E3751F" w14:textId="77777777" w:rsidR="008F7B7B" w:rsidRDefault="0037507A" w:rsidP="002E3505">
      <w:pPr>
        <w:spacing w:after="0" w:line="240" w:lineRule="auto"/>
        <w:rPr>
          <w:rFonts w:ascii="Arial" w:hAnsi="Arial" w:cs="Arial"/>
        </w:rPr>
      </w:pPr>
      <w:r w:rsidRPr="002E3505">
        <w:rPr>
          <w:rFonts w:ascii="Arial" w:hAnsi="Arial" w:cs="Arial"/>
        </w:rPr>
        <w:t xml:space="preserve">A variety of mental health roles and skillsets will form a team focussed </w:t>
      </w:r>
      <w:proofErr w:type="gramStart"/>
      <w:r w:rsidRPr="002E3505">
        <w:rPr>
          <w:rFonts w:ascii="Arial" w:hAnsi="Arial" w:cs="Arial"/>
        </w:rPr>
        <w:t>around</w:t>
      </w:r>
      <w:proofErr w:type="gramEnd"/>
      <w:r w:rsidRPr="002E3505">
        <w:rPr>
          <w:rFonts w:ascii="Arial" w:hAnsi="Arial" w:cs="Arial"/>
        </w:rPr>
        <w:t xml:space="preserve"> patients in their </w:t>
      </w:r>
      <w:r w:rsidR="008818B1">
        <w:rPr>
          <w:rFonts w:ascii="Arial" w:hAnsi="Arial" w:cs="Arial"/>
        </w:rPr>
        <w:t>Primary Care Networks (</w:t>
      </w:r>
      <w:proofErr w:type="spellStart"/>
      <w:r w:rsidRPr="002E3505">
        <w:rPr>
          <w:rFonts w:ascii="Arial" w:hAnsi="Arial" w:cs="Arial"/>
        </w:rPr>
        <w:t>PCNs</w:t>
      </w:r>
      <w:proofErr w:type="spellEnd"/>
      <w:r w:rsidR="008818B1">
        <w:rPr>
          <w:rFonts w:ascii="Arial" w:hAnsi="Arial" w:cs="Arial"/>
        </w:rPr>
        <w:t>)</w:t>
      </w:r>
      <w:r w:rsidRPr="002E3505">
        <w:rPr>
          <w:rFonts w:ascii="Arial" w:hAnsi="Arial" w:cs="Arial"/>
        </w:rPr>
        <w:t xml:space="preserve"> and delivering care to those with </w:t>
      </w:r>
      <w:r w:rsidR="008818B1">
        <w:rPr>
          <w:rFonts w:ascii="Arial" w:hAnsi="Arial" w:cs="Arial"/>
        </w:rPr>
        <w:t xml:space="preserve">Serious </w:t>
      </w:r>
      <w:r w:rsidR="008F7B7B">
        <w:rPr>
          <w:rFonts w:ascii="Arial" w:hAnsi="Arial" w:cs="Arial"/>
        </w:rPr>
        <w:t>Mental</w:t>
      </w:r>
      <w:r w:rsidR="008818B1">
        <w:rPr>
          <w:rFonts w:ascii="Arial" w:hAnsi="Arial" w:cs="Arial"/>
        </w:rPr>
        <w:t xml:space="preserve"> Illness (</w:t>
      </w:r>
      <w:proofErr w:type="spellStart"/>
      <w:r w:rsidRPr="002E3505">
        <w:rPr>
          <w:rFonts w:ascii="Arial" w:hAnsi="Arial" w:cs="Arial"/>
        </w:rPr>
        <w:t>SMI</w:t>
      </w:r>
      <w:proofErr w:type="spellEnd"/>
      <w:r w:rsidR="008818B1">
        <w:rPr>
          <w:rFonts w:ascii="Arial" w:hAnsi="Arial" w:cs="Arial"/>
        </w:rPr>
        <w:t>)</w:t>
      </w:r>
      <w:r w:rsidRPr="002E3505">
        <w:rPr>
          <w:rFonts w:ascii="Arial" w:hAnsi="Arial" w:cs="Arial"/>
        </w:rPr>
        <w:t xml:space="preserve"> outside of a traditional </w:t>
      </w:r>
      <w:r w:rsidR="00E47517" w:rsidRPr="002E3505">
        <w:rPr>
          <w:rFonts w:ascii="Arial" w:hAnsi="Arial" w:cs="Arial"/>
        </w:rPr>
        <w:t xml:space="preserve">stepped </w:t>
      </w:r>
      <w:r w:rsidRPr="002E3505">
        <w:rPr>
          <w:rFonts w:ascii="Arial" w:hAnsi="Arial" w:cs="Arial"/>
        </w:rPr>
        <w:t>secondary care setting. Specialist pathways within the Community MH Framework will be further developed as the model embeds</w:t>
      </w:r>
      <w:r w:rsidR="001A3055" w:rsidRPr="002E3505">
        <w:rPr>
          <w:rFonts w:ascii="Arial" w:hAnsi="Arial" w:cs="Arial"/>
        </w:rPr>
        <w:t xml:space="preserve">. </w:t>
      </w:r>
    </w:p>
    <w:p w14:paraId="37419C0D" w14:textId="77777777" w:rsidR="008F7B7B" w:rsidRDefault="008F7B7B" w:rsidP="002E3505">
      <w:pPr>
        <w:spacing w:after="0" w:line="240" w:lineRule="auto"/>
        <w:rPr>
          <w:rFonts w:ascii="Arial" w:hAnsi="Arial" w:cs="Arial"/>
        </w:rPr>
      </w:pPr>
    </w:p>
    <w:p w14:paraId="0BD99178" w14:textId="0E10D82B" w:rsidR="00F322BF" w:rsidRPr="002E3505" w:rsidRDefault="001A3055" w:rsidP="002E3505">
      <w:pPr>
        <w:spacing w:after="0" w:line="240" w:lineRule="auto"/>
        <w:rPr>
          <w:rFonts w:ascii="Arial" w:hAnsi="Arial" w:cs="Arial"/>
        </w:rPr>
      </w:pPr>
      <w:r w:rsidRPr="002E3505">
        <w:rPr>
          <w:rFonts w:ascii="Arial" w:hAnsi="Arial" w:cs="Arial"/>
        </w:rPr>
        <w:t xml:space="preserve">Buckinghamshire and Oxfordshire have taken different approaches to implementation and model design. </w:t>
      </w:r>
    </w:p>
    <w:p w14:paraId="57940854" w14:textId="77777777" w:rsidR="008F7B7B" w:rsidRDefault="008F7B7B" w:rsidP="002E3505">
      <w:pPr>
        <w:spacing w:after="0" w:line="240" w:lineRule="auto"/>
        <w:rPr>
          <w:rFonts w:ascii="Arial" w:hAnsi="Arial" w:cs="Arial"/>
        </w:rPr>
      </w:pPr>
    </w:p>
    <w:p w14:paraId="24AF2A85" w14:textId="4278C5EF" w:rsidR="00BF1ACD" w:rsidRDefault="00BF1ACD" w:rsidP="002E3505">
      <w:pPr>
        <w:spacing w:after="0" w:line="240" w:lineRule="auto"/>
        <w:rPr>
          <w:rFonts w:ascii="Arial" w:hAnsi="Arial" w:cs="Arial"/>
        </w:rPr>
      </w:pPr>
      <w:r w:rsidRPr="002E3505">
        <w:rPr>
          <w:rFonts w:ascii="Arial" w:hAnsi="Arial" w:cs="Arial"/>
        </w:rPr>
        <w:t>Recruitment is proving</w:t>
      </w:r>
      <w:r w:rsidR="00D00642" w:rsidRPr="002E3505">
        <w:rPr>
          <w:rFonts w:ascii="Arial" w:hAnsi="Arial" w:cs="Arial"/>
        </w:rPr>
        <w:t xml:space="preserve"> a</w:t>
      </w:r>
      <w:r w:rsidRPr="002E3505">
        <w:rPr>
          <w:rFonts w:ascii="Arial" w:hAnsi="Arial" w:cs="Arial"/>
        </w:rPr>
        <w:t xml:space="preserve"> challeng</w:t>
      </w:r>
      <w:r w:rsidR="00D00642" w:rsidRPr="002E3505">
        <w:rPr>
          <w:rFonts w:ascii="Arial" w:hAnsi="Arial" w:cs="Arial"/>
        </w:rPr>
        <w:t>e</w:t>
      </w:r>
      <w:r w:rsidRPr="002E3505">
        <w:rPr>
          <w:rFonts w:ascii="Arial" w:hAnsi="Arial" w:cs="Arial"/>
        </w:rPr>
        <w:t xml:space="preserve"> and there’s not yet been a formal launch of either service. </w:t>
      </w:r>
      <w:r w:rsidR="00E25431" w:rsidRPr="002E3505">
        <w:rPr>
          <w:rFonts w:ascii="Arial" w:hAnsi="Arial" w:cs="Arial"/>
        </w:rPr>
        <w:t xml:space="preserve">Whilst this is a </w:t>
      </w:r>
      <w:proofErr w:type="gramStart"/>
      <w:r w:rsidR="00E25431" w:rsidRPr="002E3505">
        <w:rPr>
          <w:rFonts w:ascii="Arial" w:hAnsi="Arial" w:cs="Arial"/>
        </w:rPr>
        <w:t>3 year</w:t>
      </w:r>
      <w:proofErr w:type="gramEnd"/>
      <w:r w:rsidR="00E25431" w:rsidRPr="002E3505">
        <w:rPr>
          <w:rFonts w:ascii="Arial" w:hAnsi="Arial" w:cs="Arial"/>
        </w:rPr>
        <w:t xml:space="preserve"> programme, we had hoped that some components would have been </w:t>
      </w:r>
      <w:r w:rsidR="00D00642" w:rsidRPr="002E3505">
        <w:rPr>
          <w:rFonts w:ascii="Arial" w:hAnsi="Arial" w:cs="Arial"/>
        </w:rPr>
        <w:t>live</w:t>
      </w:r>
      <w:r w:rsidR="00E25431" w:rsidRPr="002E3505">
        <w:rPr>
          <w:rFonts w:ascii="Arial" w:hAnsi="Arial" w:cs="Arial"/>
        </w:rPr>
        <w:t xml:space="preserve"> and </w:t>
      </w:r>
      <w:r w:rsidR="00D00642" w:rsidRPr="002E3505">
        <w:rPr>
          <w:rFonts w:ascii="Arial" w:hAnsi="Arial" w:cs="Arial"/>
        </w:rPr>
        <w:t xml:space="preserve">actively working with </w:t>
      </w:r>
      <w:r w:rsidR="00E25431" w:rsidRPr="002E3505">
        <w:rPr>
          <w:rFonts w:ascii="Arial" w:hAnsi="Arial" w:cs="Arial"/>
        </w:rPr>
        <w:t xml:space="preserve">patients by the end of </w:t>
      </w:r>
      <w:proofErr w:type="spellStart"/>
      <w:r w:rsidR="00E25431" w:rsidRPr="002E3505">
        <w:rPr>
          <w:rFonts w:ascii="Arial" w:hAnsi="Arial" w:cs="Arial"/>
        </w:rPr>
        <w:t>FY22</w:t>
      </w:r>
      <w:proofErr w:type="spellEnd"/>
      <w:r w:rsidR="00E25431" w:rsidRPr="002E3505">
        <w:rPr>
          <w:rFonts w:ascii="Arial" w:hAnsi="Arial" w:cs="Arial"/>
        </w:rPr>
        <w:t xml:space="preserve">. </w:t>
      </w:r>
      <w:r w:rsidR="005B12B2" w:rsidRPr="002E3505">
        <w:rPr>
          <w:rFonts w:ascii="Arial" w:hAnsi="Arial" w:cs="Arial"/>
        </w:rPr>
        <w:t xml:space="preserve">Identifying clinical and office space for the growing workforce is another challenge that is currently being navigated. </w:t>
      </w:r>
    </w:p>
    <w:p w14:paraId="2015511C" w14:textId="77777777" w:rsidR="000A28F9" w:rsidRPr="002E3505" w:rsidRDefault="000A28F9" w:rsidP="002E3505">
      <w:pPr>
        <w:spacing w:after="0" w:line="240" w:lineRule="auto"/>
        <w:rPr>
          <w:rFonts w:ascii="Arial" w:hAnsi="Arial" w:cs="Arial"/>
        </w:rPr>
      </w:pPr>
    </w:p>
    <w:p w14:paraId="4CA65E14" w14:textId="6CD57377" w:rsidR="0037507A" w:rsidRDefault="00E47517" w:rsidP="002E3505">
      <w:pPr>
        <w:spacing w:after="0" w:line="240" w:lineRule="auto"/>
        <w:rPr>
          <w:rFonts w:ascii="Arial" w:hAnsi="Arial" w:cs="Arial"/>
        </w:rPr>
      </w:pPr>
      <w:r w:rsidRPr="002E3505">
        <w:rPr>
          <w:rFonts w:ascii="Arial" w:hAnsi="Arial" w:cs="Arial"/>
        </w:rPr>
        <w:t xml:space="preserve">OHFT will also </w:t>
      </w:r>
      <w:r w:rsidR="003B34FB" w:rsidRPr="002E3505">
        <w:rPr>
          <w:rFonts w:ascii="Arial" w:hAnsi="Arial" w:cs="Arial"/>
        </w:rPr>
        <w:t xml:space="preserve">bolster </w:t>
      </w:r>
      <w:r w:rsidR="0037507A" w:rsidRPr="002E3505">
        <w:rPr>
          <w:rFonts w:ascii="Arial" w:hAnsi="Arial" w:cs="Arial"/>
        </w:rPr>
        <w:t xml:space="preserve">Mental Health provision </w:t>
      </w:r>
      <w:r w:rsidR="003B34FB" w:rsidRPr="002E3505">
        <w:rPr>
          <w:rFonts w:ascii="Arial" w:hAnsi="Arial" w:cs="Arial"/>
        </w:rPr>
        <w:t>with</w:t>
      </w:r>
      <w:r w:rsidR="0037507A" w:rsidRPr="002E3505">
        <w:rPr>
          <w:rFonts w:ascii="Arial" w:hAnsi="Arial" w:cs="Arial"/>
        </w:rPr>
        <w:t xml:space="preserve"> the deployment of primary care practitioners in every </w:t>
      </w:r>
      <w:proofErr w:type="spellStart"/>
      <w:r w:rsidR="0037507A" w:rsidRPr="002E3505">
        <w:rPr>
          <w:rFonts w:ascii="Arial" w:hAnsi="Arial" w:cs="Arial"/>
        </w:rPr>
        <w:t>PCN</w:t>
      </w:r>
      <w:r w:rsidR="003B34FB" w:rsidRPr="002E3505">
        <w:rPr>
          <w:rFonts w:ascii="Arial" w:hAnsi="Arial" w:cs="Arial"/>
        </w:rPr>
        <w:t>s</w:t>
      </w:r>
      <w:proofErr w:type="spellEnd"/>
      <w:r w:rsidR="0037507A" w:rsidRPr="002E3505">
        <w:rPr>
          <w:rFonts w:ascii="Arial" w:hAnsi="Arial" w:cs="Arial"/>
        </w:rPr>
        <w:t xml:space="preserve"> across </w:t>
      </w:r>
      <w:r w:rsidR="003B34FB" w:rsidRPr="002E3505">
        <w:rPr>
          <w:rFonts w:ascii="Arial" w:hAnsi="Arial" w:cs="Arial"/>
        </w:rPr>
        <w:t>the footprint</w:t>
      </w:r>
      <w:r w:rsidR="0037507A" w:rsidRPr="002E3505">
        <w:rPr>
          <w:rFonts w:ascii="Arial" w:hAnsi="Arial" w:cs="Arial"/>
        </w:rPr>
        <w:t xml:space="preserve">. These roles will be delivered as part of </w:t>
      </w:r>
      <w:r w:rsidR="0037507A" w:rsidRPr="002E3505">
        <w:rPr>
          <w:rFonts w:ascii="Arial" w:hAnsi="Arial" w:cs="Arial"/>
          <w:b/>
          <w:bCs/>
        </w:rPr>
        <w:t xml:space="preserve">the </w:t>
      </w:r>
      <w:r w:rsidR="003B34FB" w:rsidRPr="002E3505">
        <w:rPr>
          <w:rFonts w:ascii="Arial" w:hAnsi="Arial" w:cs="Arial"/>
          <w:b/>
          <w:bCs/>
        </w:rPr>
        <w:t xml:space="preserve">primary care </w:t>
      </w:r>
      <w:r w:rsidR="0037507A" w:rsidRPr="002E3505">
        <w:rPr>
          <w:rFonts w:ascii="Arial" w:hAnsi="Arial" w:cs="Arial"/>
          <w:b/>
          <w:bCs/>
        </w:rPr>
        <w:t>A</w:t>
      </w:r>
      <w:r w:rsidR="003B34FB" w:rsidRPr="002E3505">
        <w:rPr>
          <w:rFonts w:ascii="Arial" w:hAnsi="Arial" w:cs="Arial"/>
          <w:b/>
          <w:bCs/>
        </w:rPr>
        <w:t xml:space="preserve">dditional </w:t>
      </w:r>
      <w:r w:rsidR="0037507A" w:rsidRPr="002E3505">
        <w:rPr>
          <w:rFonts w:ascii="Arial" w:hAnsi="Arial" w:cs="Arial"/>
          <w:b/>
          <w:bCs/>
        </w:rPr>
        <w:t>R</w:t>
      </w:r>
      <w:r w:rsidR="003B34FB" w:rsidRPr="002E3505">
        <w:rPr>
          <w:rFonts w:ascii="Arial" w:hAnsi="Arial" w:cs="Arial"/>
          <w:b/>
          <w:bCs/>
        </w:rPr>
        <w:t xml:space="preserve">oles </w:t>
      </w:r>
      <w:r w:rsidR="0037507A" w:rsidRPr="002E3505">
        <w:rPr>
          <w:rFonts w:ascii="Arial" w:hAnsi="Arial" w:cs="Arial"/>
          <w:b/>
          <w:bCs/>
        </w:rPr>
        <w:t>R</w:t>
      </w:r>
      <w:r w:rsidR="003B34FB" w:rsidRPr="002E3505">
        <w:rPr>
          <w:rFonts w:ascii="Arial" w:hAnsi="Arial" w:cs="Arial"/>
          <w:b/>
          <w:bCs/>
        </w:rPr>
        <w:t xml:space="preserve">eimbursement </w:t>
      </w:r>
      <w:r w:rsidR="0037507A" w:rsidRPr="002E3505">
        <w:rPr>
          <w:rFonts w:ascii="Arial" w:hAnsi="Arial" w:cs="Arial"/>
          <w:b/>
          <w:bCs/>
        </w:rPr>
        <w:t>S</w:t>
      </w:r>
      <w:r w:rsidR="003B34FB" w:rsidRPr="002E3505">
        <w:rPr>
          <w:rFonts w:ascii="Arial" w:hAnsi="Arial" w:cs="Arial"/>
          <w:b/>
          <w:bCs/>
        </w:rPr>
        <w:t>cheme (</w:t>
      </w:r>
      <w:proofErr w:type="spellStart"/>
      <w:r w:rsidR="003B34FB" w:rsidRPr="002E3505">
        <w:rPr>
          <w:rFonts w:ascii="Arial" w:hAnsi="Arial" w:cs="Arial"/>
          <w:b/>
          <w:bCs/>
        </w:rPr>
        <w:t>ARRS</w:t>
      </w:r>
      <w:proofErr w:type="spellEnd"/>
      <w:r w:rsidR="003B34FB" w:rsidRPr="002E3505">
        <w:rPr>
          <w:rFonts w:ascii="Arial" w:hAnsi="Arial" w:cs="Arial"/>
          <w:b/>
          <w:bCs/>
        </w:rPr>
        <w:t>)</w:t>
      </w:r>
      <w:r w:rsidR="0037507A" w:rsidRPr="002E3505">
        <w:rPr>
          <w:rFonts w:ascii="Arial" w:hAnsi="Arial" w:cs="Arial"/>
        </w:rPr>
        <w:t xml:space="preserve"> rollout, complimenting existing </w:t>
      </w:r>
      <w:r w:rsidR="003B34FB" w:rsidRPr="002E3505">
        <w:rPr>
          <w:rFonts w:ascii="Arial" w:hAnsi="Arial" w:cs="Arial"/>
        </w:rPr>
        <w:t xml:space="preserve">provision </w:t>
      </w:r>
      <w:r w:rsidR="0037507A" w:rsidRPr="002E3505">
        <w:rPr>
          <w:rFonts w:ascii="Arial" w:hAnsi="Arial" w:cs="Arial"/>
        </w:rPr>
        <w:t xml:space="preserve">and having a </w:t>
      </w:r>
      <w:r w:rsidR="003B34FB" w:rsidRPr="002E3505">
        <w:rPr>
          <w:rFonts w:ascii="Arial" w:hAnsi="Arial" w:cs="Arial"/>
        </w:rPr>
        <w:t>focus</w:t>
      </w:r>
      <w:r w:rsidR="0037507A" w:rsidRPr="002E3505">
        <w:rPr>
          <w:rFonts w:ascii="Arial" w:hAnsi="Arial" w:cs="Arial"/>
        </w:rPr>
        <w:t xml:space="preserve"> on patients’ needs that may have previously fallen between the gap of </w:t>
      </w:r>
      <w:proofErr w:type="spellStart"/>
      <w:r w:rsidR="0037507A" w:rsidRPr="002E3505">
        <w:rPr>
          <w:rFonts w:ascii="Arial" w:hAnsi="Arial" w:cs="Arial"/>
        </w:rPr>
        <w:t>IAPT</w:t>
      </w:r>
      <w:proofErr w:type="spellEnd"/>
      <w:r w:rsidR="0037507A" w:rsidRPr="002E3505">
        <w:rPr>
          <w:rFonts w:ascii="Arial" w:hAnsi="Arial" w:cs="Arial"/>
        </w:rPr>
        <w:t xml:space="preserve"> and secondary care services.</w:t>
      </w:r>
      <w:r w:rsidR="00860CC7" w:rsidRPr="002E3505">
        <w:rPr>
          <w:rFonts w:ascii="Arial" w:hAnsi="Arial" w:cs="Arial"/>
        </w:rPr>
        <w:t xml:space="preserve"> Approximately 85% of </w:t>
      </w:r>
      <w:proofErr w:type="spellStart"/>
      <w:r w:rsidR="00860CC7" w:rsidRPr="002E3505">
        <w:rPr>
          <w:rFonts w:ascii="Arial" w:hAnsi="Arial" w:cs="Arial"/>
        </w:rPr>
        <w:t>PCNs</w:t>
      </w:r>
      <w:proofErr w:type="spellEnd"/>
      <w:r w:rsidR="00860CC7" w:rsidRPr="002E3505">
        <w:rPr>
          <w:rFonts w:ascii="Arial" w:hAnsi="Arial" w:cs="Arial"/>
        </w:rPr>
        <w:t xml:space="preserve"> within Buckinghamshire and Oxfordshire have expressed an interest in </w:t>
      </w:r>
      <w:r w:rsidR="000850CF" w:rsidRPr="002E3505">
        <w:rPr>
          <w:rFonts w:ascii="Arial" w:hAnsi="Arial" w:cs="Arial"/>
        </w:rPr>
        <w:t xml:space="preserve">working alongside OHFT to </w:t>
      </w:r>
      <w:r w:rsidR="000850CF" w:rsidRPr="002E3505">
        <w:rPr>
          <w:rFonts w:ascii="Arial" w:hAnsi="Arial" w:cs="Arial"/>
        </w:rPr>
        <w:lastRenderedPageBreak/>
        <w:t xml:space="preserve">embed these workers in </w:t>
      </w:r>
      <w:r w:rsidR="00B63739" w:rsidRPr="002E3505">
        <w:rPr>
          <w:rFonts w:ascii="Arial" w:hAnsi="Arial" w:cs="Arial"/>
        </w:rPr>
        <w:t xml:space="preserve">their local footprint, recruitment is very much underway and there is </w:t>
      </w:r>
      <w:r w:rsidR="0052055C" w:rsidRPr="002E3505">
        <w:rPr>
          <w:rFonts w:ascii="Arial" w:hAnsi="Arial" w:cs="Arial"/>
        </w:rPr>
        <w:t xml:space="preserve">also a national ambition to </w:t>
      </w:r>
      <w:r w:rsidR="00B74FBE" w:rsidRPr="002E3505">
        <w:rPr>
          <w:rFonts w:ascii="Arial" w:hAnsi="Arial" w:cs="Arial"/>
        </w:rPr>
        <w:t>further increase this workforce over the next 2 years.</w:t>
      </w:r>
    </w:p>
    <w:p w14:paraId="53BB8355" w14:textId="77777777" w:rsidR="000A28F9" w:rsidRPr="002E3505" w:rsidRDefault="000A28F9" w:rsidP="002E3505">
      <w:pPr>
        <w:spacing w:after="0" w:line="240" w:lineRule="auto"/>
        <w:rPr>
          <w:rFonts w:ascii="Arial" w:hAnsi="Arial" w:cs="Arial"/>
        </w:rPr>
      </w:pPr>
    </w:p>
    <w:p w14:paraId="19770618" w14:textId="5BAA2B52" w:rsidR="004F3C4E" w:rsidRDefault="000D0D2F" w:rsidP="002E3505">
      <w:pPr>
        <w:spacing w:after="0" w:line="240" w:lineRule="auto"/>
        <w:rPr>
          <w:rFonts w:ascii="Arial" w:hAnsi="Arial" w:cs="Arial"/>
        </w:rPr>
      </w:pPr>
      <w:r w:rsidRPr="002E3505">
        <w:rPr>
          <w:rFonts w:ascii="Arial" w:hAnsi="Arial" w:cs="Arial"/>
          <w:b/>
          <w:bCs/>
        </w:rPr>
        <w:t>Early Intervention Psychosis (</w:t>
      </w:r>
      <w:proofErr w:type="spellStart"/>
      <w:r w:rsidRPr="002E3505">
        <w:rPr>
          <w:rFonts w:ascii="Arial" w:hAnsi="Arial" w:cs="Arial"/>
          <w:b/>
          <w:bCs/>
        </w:rPr>
        <w:t>EIP</w:t>
      </w:r>
      <w:proofErr w:type="spellEnd"/>
      <w:r w:rsidRPr="002E3505">
        <w:rPr>
          <w:rFonts w:ascii="Arial" w:hAnsi="Arial" w:cs="Arial"/>
          <w:b/>
          <w:bCs/>
        </w:rPr>
        <w:t xml:space="preserve">) </w:t>
      </w:r>
      <w:r w:rsidRPr="002E3505">
        <w:rPr>
          <w:rFonts w:ascii="Arial" w:hAnsi="Arial" w:cs="Arial"/>
        </w:rPr>
        <w:t xml:space="preserve">services in Buckinghamshire and Oxfordshire have consistently met the waiting time standards. Additional investment in both services this year will </w:t>
      </w:r>
      <w:r w:rsidR="0037507A" w:rsidRPr="002E3505">
        <w:rPr>
          <w:rFonts w:ascii="Arial" w:hAnsi="Arial" w:cs="Arial"/>
        </w:rPr>
        <w:t xml:space="preserve">enable them to increase </w:t>
      </w:r>
      <w:r w:rsidR="005D4161" w:rsidRPr="002E3505">
        <w:rPr>
          <w:rFonts w:ascii="Arial" w:hAnsi="Arial" w:cs="Arial"/>
        </w:rPr>
        <w:t xml:space="preserve">the </w:t>
      </w:r>
      <w:r w:rsidR="0037507A" w:rsidRPr="002E3505">
        <w:rPr>
          <w:rFonts w:ascii="Arial" w:hAnsi="Arial" w:cs="Arial"/>
        </w:rPr>
        <w:t>availability</w:t>
      </w:r>
      <w:r w:rsidR="005D4161" w:rsidRPr="002E3505">
        <w:rPr>
          <w:rFonts w:ascii="Arial" w:hAnsi="Arial" w:cs="Arial"/>
        </w:rPr>
        <w:t xml:space="preserve"> and timeliness</w:t>
      </w:r>
      <w:r w:rsidR="0037507A" w:rsidRPr="002E3505">
        <w:rPr>
          <w:rFonts w:ascii="Arial" w:hAnsi="Arial" w:cs="Arial"/>
        </w:rPr>
        <w:t xml:space="preserve"> of evidence-based interventions such as family therapy and access to Individual Placement &amp; Support</w:t>
      </w:r>
      <w:r w:rsidR="005D4161" w:rsidRPr="002E3505">
        <w:rPr>
          <w:rFonts w:ascii="Arial" w:hAnsi="Arial" w:cs="Arial"/>
        </w:rPr>
        <w:t xml:space="preserve"> meaning that they will reach </w:t>
      </w:r>
      <w:r w:rsidR="00720BEA" w:rsidRPr="002E3505">
        <w:rPr>
          <w:rFonts w:ascii="Arial" w:hAnsi="Arial" w:cs="Arial"/>
        </w:rPr>
        <w:t xml:space="preserve">Level 3 in accordance with NICE </w:t>
      </w:r>
      <w:r w:rsidR="00C90C8E" w:rsidRPr="002E3505">
        <w:rPr>
          <w:rFonts w:ascii="Arial" w:hAnsi="Arial" w:cs="Arial"/>
        </w:rPr>
        <w:t>guidelines</w:t>
      </w:r>
      <w:r w:rsidR="0037507A" w:rsidRPr="002E3505">
        <w:rPr>
          <w:rFonts w:ascii="Arial" w:hAnsi="Arial" w:cs="Arial"/>
        </w:rPr>
        <w:t xml:space="preserve">. </w:t>
      </w:r>
      <w:proofErr w:type="spellStart"/>
      <w:r w:rsidR="004F3C4E" w:rsidRPr="002E3505">
        <w:rPr>
          <w:rFonts w:ascii="Arial" w:hAnsi="Arial" w:cs="Arial"/>
        </w:rPr>
        <w:t>EIP</w:t>
      </w:r>
      <w:proofErr w:type="spellEnd"/>
      <w:r w:rsidR="004F3C4E" w:rsidRPr="002E3505">
        <w:rPr>
          <w:rFonts w:ascii="Arial" w:hAnsi="Arial" w:cs="Arial"/>
        </w:rPr>
        <w:t xml:space="preserve"> services would like to extend / enhance their offer in terms of </w:t>
      </w:r>
      <w:proofErr w:type="gramStart"/>
      <w:r w:rsidR="004F3C4E" w:rsidRPr="002E3505">
        <w:rPr>
          <w:rFonts w:ascii="Arial" w:hAnsi="Arial" w:cs="Arial"/>
        </w:rPr>
        <w:t>At Risk</w:t>
      </w:r>
      <w:proofErr w:type="gramEnd"/>
      <w:r w:rsidR="004F3C4E" w:rsidRPr="002E3505">
        <w:rPr>
          <w:rFonts w:ascii="Arial" w:hAnsi="Arial" w:cs="Arial"/>
        </w:rPr>
        <w:t xml:space="preserve"> Mental State (ARMS) interventions, </w:t>
      </w:r>
      <w:r w:rsidR="006B7430" w:rsidRPr="002E3505">
        <w:rPr>
          <w:rFonts w:ascii="Arial" w:hAnsi="Arial" w:cs="Arial"/>
        </w:rPr>
        <w:t xml:space="preserve">however this development has not yet been agreed in terms of additional funding, model development is underway but it is unlikely this would be approved to go live in </w:t>
      </w:r>
      <w:proofErr w:type="spellStart"/>
      <w:r w:rsidR="006B7430" w:rsidRPr="002E3505">
        <w:rPr>
          <w:rFonts w:ascii="Arial" w:hAnsi="Arial" w:cs="Arial"/>
        </w:rPr>
        <w:t>FY23</w:t>
      </w:r>
      <w:proofErr w:type="spellEnd"/>
      <w:r w:rsidR="006B7430" w:rsidRPr="002E3505">
        <w:rPr>
          <w:rFonts w:ascii="Arial" w:hAnsi="Arial" w:cs="Arial"/>
        </w:rPr>
        <w:t>.</w:t>
      </w:r>
    </w:p>
    <w:p w14:paraId="2A4CC1A8" w14:textId="77777777" w:rsidR="000A28F9" w:rsidRPr="002E3505" w:rsidRDefault="000A28F9" w:rsidP="002E3505">
      <w:pPr>
        <w:spacing w:after="0" w:line="240" w:lineRule="auto"/>
        <w:rPr>
          <w:rFonts w:ascii="Arial" w:hAnsi="Arial" w:cs="Arial"/>
        </w:rPr>
      </w:pPr>
    </w:p>
    <w:p w14:paraId="2573F9C7" w14:textId="5DAE0DD7" w:rsidR="0037507A" w:rsidRDefault="0037507A" w:rsidP="002E3505">
      <w:pPr>
        <w:spacing w:after="0" w:line="240" w:lineRule="auto"/>
        <w:rPr>
          <w:rFonts w:ascii="Arial" w:hAnsi="Arial" w:cs="Arial"/>
        </w:rPr>
      </w:pPr>
      <w:r w:rsidRPr="002E3505">
        <w:rPr>
          <w:rFonts w:ascii="Arial" w:hAnsi="Arial" w:cs="Arial"/>
        </w:rPr>
        <w:t>Other specialist pathways and teams have experienced high volumes of referrals and acuity</w:t>
      </w:r>
      <w:r w:rsidR="00304810" w:rsidRPr="002E3505">
        <w:rPr>
          <w:rFonts w:ascii="Arial" w:hAnsi="Arial" w:cs="Arial"/>
        </w:rPr>
        <w:t xml:space="preserve"> </w:t>
      </w:r>
      <w:r w:rsidR="00376CB6" w:rsidRPr="002E3505">
        <w:rPr>
          <w:rFonts w:ascii="Arial" w:hAnsi="Arial" w:cs="Arial"/>
        </w:rPr>
        <w:t>throughout</w:t>
      </w:r>
      <w:r w:rsidR="00304810" w:rsidRPr="002E3505">
        <w:rPr>
          <w:rFonts w:ascii="Arial" w:hAnsi="Arial" w:cs="Arial"/>
        </w:rPr>
        <w:t xml:space="preserve"> the pandemic</w:t>
      </w:r>
      <w:r w:rsidRPr="002E3505">
        <w:rPr>
          <w:rFonts w:ascii="Arial" w:hAnsi="Arial" w:cs="Arial"/>
        </w:rPr>
        <w:t xml:space="preserve">. </w:t>
      </w:r>
      <w:r w:rsidRPr="002E3505">
        <w:rPr>
          <w:rFonts w:ascii="Arial" w:hAnsi="Arial" w:cs="Arial"/>
          <w:b/>
          <w:bCs/>
        </w:rPr>
        <w:t>Community Eating Disorder</w:t>
      </w:r>
      <w:r w:rsidRPr="002E3505">
        <w:rPr>
          <w:rFonts w:ascii="Arial" w:hAnsi="Arial" w:cs="Arial"/>
        </w:rPr>
        <w:t xml:space="preserve"> services are a key clinical priority, additional funding has been identified in </w:t>
      </w:r>
      <w:proofErr w:type="spellStart"/>
      <w:r w:rsidRPr="002E3505">
        <w:rPr>
          <w:rFonts w:ascii="Arial" w:hAnsi="Arial" w:cs="Arial"/>
        </w:rPr>
        <w:t>FY22</w:t>
      </w:r>
      <w:proofErr w:type="spellEnd"/>
      <w:r w:rsidRPr="002E3505">
        <w:rPr>
          <w:rFonts w:ascii="Arial" w:hAnsi="Arial" w:cs="Arial"/>
        </w:rPr>
        <w:t xml:space="preserve"> to bolster the service but there is a workforce challenge in this area. New roles and initiatives are being explored to mitigate this risk, but the high activity and acuity rates are a concern. </w:t>
      </w:r>
      <w:r w:rsidR="00376CB6" w:rsidRPr="002E3505">
        <w:rPr>
          <w:rFonts w:ascii="Arial" w:hAnsi="Arial" w:cs="Arial"/>
        </w:rPr>
        <w:t>An</w:t>
      </w:r>
      <w:r w:rsidRPr="002E3505">
        <w:rPr>
          <w:rFonts w:ascii="Arial" w:hAnsi="Arial" w:cs="Arial"/>
        </w:rPr>
        <w:t xml:space="preserve"> ED summit</w:t>
      </w:r>
      <w:r w:rsidR="00376CB6" w:rsidRPr="002E3505">
        <w:rPr>
          <w:rFonts w:ascii="Arial" w:hAnsi="Arial" w:cs="Arial"/>
        </w:rPr>
        <w:t xml:space="preserve"> is planned</w:t>
      </w:r>
      <w:r w:rsidRPr="002E3505">
        <w:rPr>
          <w:rFonts w:ascii="Arial" w:hAnsi="Arial" w:cs="Arial"/>
        </w:rPr>
        <w:t xml:space="preserve"> to explore the opportunities that may lie within adult ED, </w:t>
      </w:r>
      <w:proofErr w:type="spellStart"/>
      <w:r w:rsidRPr="002E3505">
        <w:rPr>
          <w:rFonts w:ascii="Arial" w:hAnsi="Arial" w:cs="Arial"/>
        </w:rPr>
        <w:t>C&amp;YP</w:t>
      </w:r>
      <w:proofErr w:type="spellEnd"/>
      <w:r w:rsidRPr="002E3505">
        <w:rPr>
          <w:rFonts w:ascii="Arial" w:hAnsi="Arial" w:cs="Arial"/>
        </w:rPr>
        <w:t xml:space="preserve"> ED and the redesign enabled within the Community MH Framework.</w:t>
      </w:r>
    </w:p>
    <w:p w14:paraId="7955D9B4" w14:textId="77777777" w:rsidR="000A28F9" w:rsidRPr="002E3505" w:rsidRDefault="000A28F9" w:rsidP="002E3505">
      <w:pPr>
        <w:spacing w:after="0" w:line="240" w:lineRule="auto"/>
        <w:rPr>
          <w:rFonts w:ascii="Arial" w:hAnsi="Arial" w:cs="Arial"/>
        </w:rPr>
      </w:pPr>
    </w:p>
    <w:p w14:paraId="14DEB6F3" w14:textId="6D8DBE1B" w:rsidR="0037507A" w:rsidRDefault="008C48C5" w:rsidP="002E3505">
      <w:pPr>
        <w:spacing w:after="0" w:line="240" w:lineRule="auto"/>
        <w:rPr>
          <w:rFonts w:ascii="Arial" w:hAnsi="Arial" w:cs="Arial"/>
        </w:rPr>
      </w:pPr>
      <w:r w:rsidRPr="002E3505">
        <w:rPr>
          <w:rFonts w:ascii="Arial" w:hAnsi="Arial" w:cs="Arial"/>
        </w:rPr>
        <w:t xml:space="preserve">The </w:t>
      </w:r>
      <w:proofErr w:type="spellStart"/>
      <w:r w:rsidRPr="002E3505">
        <w:rPr>
          <w:rFonts w:ascii="Arial" w:hAnsi="Arial" w:cs="Arial"/>
        </w:rPr>
        <w:t>LTP</w:t>
      </w:r>
      <w:proofErr w:type="spellEnd"/>
      <w:r w:rsidRPr="002E3505">
        <w:rPr>
          <w:rFonts w:ascii="Arial" w:hAnsi="Arial" w:cs="Arial"/>
        </w:rPr>
        <w:t xml:space="preserve"> also outlined improvements within primary care for those with mental illness. Two key objectives measured in primary care are </w:t>
      </w:r>
      <w:r w:rsidR="00586718" w:rsidRPr="002E3505">
        <w:rPr>
          <w:rFonts w:ascii="Arial" w:hAnsi="Arial" w:cs="Arial"/>
        </w:rPr>
        <w:t>t</w:t>
      </w:r>
      <w:r w:rsidR="0037507A" w:rsidRPr="002E3505">
        <w:rPr>
          <w:rFonts w:ascii="Arial" w:hAnsi="Arial" w:cs="Arial"/>
        </w:rPr>
        <w:t xml:space="preserve">he Dementia Diagnosis Rate (DDR) </w:t>
      </w:r>
      <w:r w:rsidR="00586718" w:rsidRPr="002E3505">
        <w:rPr>
          <w:rFonts w:ascii="Arial" w:hAnsi="Arial" w:cs="Arial"/>
        </w:rPr>
        <w:t xml:space="preserve">and physical health checks for those with </w:t>
      </w:r>
      <w:proofErr w:type="spellStart"/>
      <w:r w:rsidR="00586718" w:rsidRPr="002E3505">
        <w:rPr>
          <w:rFonts w:ascii="Arial" w:hAnsi="Arial" w:cs="Arial"/>
        </w:rPr>
        <w:t>SMI</w:t>
      </w:r>
      <w:proofErr w:type="spellEnd"/>
      <w:r w:rsidR="00586718" w:rsidRPr="002E3505">
        <w:rPr>
          <w:rFonts w:ascii="Arial" w:hAnsi="Arial" w:cs="Arial"/>
        </w:rPr>
        <w:t xml:space="preserve">. OHFT services contribute towards these </w:t>
      </w:r>
      <w:proofErr w:type="gramStart"/>
      <w:r w:rsidR="00586718" w:rsidRPr="002E3505">
        <w:rPr>
          <w:rFonts w:ascii="Arial" w:hAnsi="Arial" w:cs="Arial"/>
        </w:rPr>
        <w:t>objectives</w:t>
      </w:r>
      <w:proofErr w:type="gramEnd"/>
      <w:r w:rsidR="00586718" w:rsidRPr="002E3505">
        <w:rPr>
          <w:rFonts w:ascii="Arial" w:hAnsi="Arial" w:cs="Arial"/>
        </w:rPr>
        <w:t xml:space="preserve"> but </w:t>
      </w:r>
      <w:r w:rsidR="006136E8" w:rsidRPr="002E3505">
        <w:rPr>
          <w:rFonts w:ascii="Arial" w:hAnsi="Arial" w:cs="Arial"/>
        </w:rPr>
        <w:t>the main activity is carried out in primary care.</w:t>
      </w:r>
      <w:r w:rsidR="00586718" w:rsidRPr="002E3505">
        <w:rPr>
          <w:rFonts w:ascii="Arial" w:hAnsi="Arial" w:cs="Arial"/>
        </w:rPr>
        <w:t xml:space="preserve"> </w:t>
      </w:r>
      <w:r w:rsidR="006136E8" w:rsidRPr="002E3505">
        <w:rPr>
          <w:rFonts w:ascii="Arial" w:hAnsi="Arial" w:cs="Arial"/>
        </w:rPr>
        <w:t>Both the</w:t>
      </w:r>
      <w:r w:rsidR="00586718" w:rsidRPr="002E3505">
        <w:rPr>
          <w:rFonts w:ascii="Arial" w:hAnsi="Arial" w:cs="Arial"/>
        </w:rPr>
        <w:t xml:space="preserve"> DDR</w:t>
      </w:r>
      <w:r w:rsidR="006136E8" w:rsidRPr="002E3505">
        <w:rPr>
          <w:rFonts w:ascii="Arial" w:hAnsi="Arial" w:cs="Arial"/>
        </w:rPr>
        <w:t xml:space="preserve"> and uptake of physical health checks </w:t>
      </w:r>
      <w:r w:rsidR="0037507A" w:rsidRPr="002E3505">
        <w:rPr>
          <w:rFonts w:ascii="Arial" w:hAnsi="Arial" w:cs="Arial"/>
        </w:rPr>
        <w:t>dropped throughout the pandemic</w:t>
      </w:r>
      <w:r w:rsidR="001934EB" w:rsidRPr="002E3505">
        <w:rPr>
          <w:rFonts w:ascii="Arial" w:hAnsi="Arial" w:cs="Arial"/>
        </w:rPr>
        <w:t xml:space="preserve"> but are now recovering. However, </w:t>
      </w:r>
      <w:r w:rsidR="00187BA3" w:rsidRPr="002E3505">
        <w:rPr>
          <w:rFonts w:ascii="Arial" w:hAnsi="Arial" w:cs="Arial"/>
        </w:rPr>
        <w:t xml:space="preserve">these targets were not met in either county pre-covid, so further improvements are </w:t>
      </w:r>
      <w:proofErr w:type="gramStart"/>
      <w:r w:rsidR="00187BA3" w:rsidRPr="002E3505">
        <w:rPr>
          <w:rFonts w:ascii="Arial" w:hAnsi="Arial" w:cs="Arial"/>
        </w:rPr>
        <w:t>required</w:t>
      </w:r>
      <w:proofErr w:type="gramEnd"/>
      <w:r w:rsidR="0086309F" w:rsidRPr="002E3505">
        <w:rPr>
          <w:rFonts w:ascii="Arial" w:hAnsi="Arial" w:cs="Arial"/>
        </w:rPr>
        <w:t xml:space="preserve"> and th</w:t>
      </w:r>
      <w:r w:rsidR="00187BA3" w:rsidRPr="002E3505">
        <w:rPr>
          <w:rFonts w:ascii="Arial" w:hAnsi="Arial" w:cs="Arial"/>
        </w:rPr>
        <w:t xml:space="preserve">e community mental health framework will </w:t>
      </w:r>
      <w:r w:rsidR="0086309F" w:rsidRPr="002E3505">
        <w:rPr>
          <w:rFonts w:ascii="Arial" w:hAnsi="Arial" w:cs="Arial"/>
        </w:rPr>
        <w:t>underpin recovery.</w:t>
      </w:r>
    </w:p>
    <w:p w14:paraId="71C30B6A" w14:textId="3D95A594" w:rsidR="000A28F9" w:rsidRDefault="000A28F9" w:rsidP="002E3505">
      <w:pPr>
        <w:spacing w:after="0" w:line="240" w:lineRule="auto"/>
        <w:rPr>
          <w:rFonts w:ascii="Arial" w:hAnsi="Arial" w:cs="Arial"/>
        </w:rPr>
      </w:pPr>
    </w:p>
    <w:p w14:paraId="30FDE9C5" w14:textId="77777777" w:rsidR="000A28F9" w:rsidRPr="002E3505" w:rsidRDefault="000A28F9" w:rsidP="002E3505">
      <w:pPr>
        <w:spacing w:after="0" w:line="240" w:lineRule="auto"/>
        <w:rPr>
          <w:rFonts w:ascii="Arial" w:hAnsi="Arial" w:cs="Arial"/>
        </w:rPr>
      </w:pPr>
    </w:p>
    <w:p w14:paraId="5AC7C944" w14:textId="5BAAC88A" w:rsidR="00535607" w:rsidRPr="000A28F9" w:rsidRDefault="00FA7312" w:rsidP="002E3505">
      <w:pPr>
        <w:pStyle w:val="Heading1"/>
        <w:spacing w:before="0" w:line="240" w:lineRule="auto"/>
        <w:rPr>
          <w:rFonts w:ascii="Arial" w:hAnsi="Arial" w:cs="Arial"/>
          <w:b/>
          <w:bCs/>
          <w:color w:val="auto"/>
          <w:sz w:val="22"/>
          <w:szCs w:val="22"/>
          <w:u w:val="single"/>
        </w:rPr>
      </w:pPr>
      <w:bookmarkStart w:id="4" w:name="_Suicide_Prevention"/>
      <w:bookmarkEnd w:id="4"/>
      <w:r w:rsidRPr="000A28F9">
        <w:rPr>
          <w:rFonts w:ascii="Arial" w:hAnsi="Arial" w:cs="Arial"/>
          <w:b/>
          <w:bCs/>
          <w:color w:val="auto"/>
          <w:sz w:val="22"/>
          <w:szCs w:val="22"/>
          <w:u w:val="single"/>
        </w:rPr>
        <w:t>Suicide Preventio</w:t>
      </w:r>
      <w:r w:rsidR="00535607" w:rsidRPr="000A28F9">
        <w:rPr>
          <w:rFonts w:ascii="Arial" w:hAnsi="Arial" w:cs="Arial"/>
          <w:b/>
          <w:bCs/>
          <w:color w:val="auto"/>
          <w:sz w:val="22"/>
          <w:szCs w:val="22"/>
          <w:u w:val="single"/>
        </w:rPr>
        <w:t>n</w:t>
      </w:r>
    </w:p>
    <w:p w14:paraId="435561CC" w14:textId="77777777" w:rsidR="000A28F9" w:rsidRDefault="000A28F9" w:rsidP="002E3505">
      <w:pPr>
        <w:spacing w:after="0" w:line="240" w:lineRule="auto"/>
        <w:rPr>
          <w:rFonts w:ascii="Arial" w:hAnsi="Arial" w:cs="Arial"/>
        </w:rPr>
      </w:pPr>
    </w:p>
    <w:p w14:paraId="12085B01" w14:textId="6299DA37" w:rsidR="0045284F" w:rsidRPr="002E3505" w:rsidRDefault="0045284F" w:rsidP="002E3505">
      <w:pPr>
        <w:spacing w:after="0" w:line="240" w:lineRule="auto"/>
        <w:rPr>
          <w:rFonts w:ascii="Arial" w:hAnsi="Arial" w:cs="Arial"/>
        </w:rPr>
      </w:pPr>
      <w:r w:rsidRPr="002E3505">
        <w:rPr>
          <w:rFonts w:ascii="Arial" w:hAnsi="Arial" w:cs="Arial"/>
        </w:rPr>
        <w:t xml:space="preserve">OHFT collaborated on a BOB initiative spanning across NHS and </w:t>
      </w:r>
      <w:proofErr w:type="gramStart"/>
      <w:r w:rsidRPr="002E3505">
        <w:rPr>
          <w:rFonts w:ascii="Arial" w:hAnsi="Arial" w:cs="Arial"/>
        </w:rPr>
        <w:t>non NHS</w:t>
      </w:r>
      <w:proofErr w:type="gramEnd"/>
      <w:r w:rsidRPr="002E3505">
        <w:rPr>
          <w:rFonts w:ascii="Arial" w:hAnsi="Arial" w:cs="Arial"/>
        </w:rPr>
        <w:t xml:space="preserve"> providers, Thames Valley Police, Public Health and academic institutes to implement a wave 4 Suicide Prevention bid in </w:t>
      </w:r>
      <w:proofErr w:type="spellStart"/>
      <w:r w:rsidRPr="002E3505">
        <w:rPr>
          <w:rFonts w:ascii="Arial" w:hAnsi="Arial" w:cs="Arial"/>
        </w:rPr>
        <w:t>FY22</w:t>
      </w:r>
      <w:proofErr w:type="spellEnd"/>
      <w:r w:rsidRPr="002E3505">
        <w:rPr>
          <w:rFonts w:ascii="Arial" w:hAnsi="Arial" w:cs="Arial"/>
        </w:rPr>
        <w:t xml:space="preserve">. This will enable improvements to self-harm pathways across urgent care by offering follow up to those who have self-harmed or attempted suicide, providing an alternative for those that may not need, or wish to fully engage with, secondary care services. Thames Valley Police already produce some of the best Real Time Surveillance data of suicides in the country, and this will be improved further by deploying a similar approach to attempted suicides and clusters of self-harm and suicidal behaviour. </w:t>
      </w:r>
      <w:proofErr w:type="spellStart"/>
      <w:r w:rsidRPr="002E3505">
        <w:rPr>
          <w:rFonts w:ascii="Arial" w:hAnsi="Arial" w:cs="Arial"/>
        </w:rPr>
        <w:t>SCAS</w:t>
      </w:r>
      <w:proofErr w:type="spellEnd"/>
      <w:r w:rsidRPr="002E3505">
        <w:rPr>
          <w:rFonts w:ascii="Arial" w:hAnsi="Arial" w:cs="Arial"/>
        </w:rPr>
        <w:t xml:space="preserve"> will work alongside </w:t>
      </w:r>
      <w:proofErr w:type="spellStart"/>
      <w:r w:rsidRPr="002E3505">
        <w:rPr>
          <w:rFonts w:ascii="Arial" w:hAnsi="Arial" w:cs="Arial"/>
        </w:rPr>
        <w:t>TVP</w:t>
      </w:r>
      <w:proofErr w:type="spellEnd"/>
      <w:r w:rsidRPr="002E3505">
        <w:rPr>
          <w:rFonts w:ascii="Arial" w:hAnsi="Arial" w:cs="Arial"/>
        </w:rPr>
        <w:t xml:space="preserve"> to implement this key development, which will enable communities, health and social care providers and other agencies to carry out preventative interventions targeted to a specific cohort’s needs. The breadth and quality of training and education for suicide prevention will be increased, ensuring that resources are available for a variety of settings, </w:t>
      </w:r>
      <w:proofErr w:type="gramStart"/>
      <w:r w:rsidRPr="002E3505">
        <w:rPr>
          <w:rFonts w:ascii="Arial" w:hAnsi="Arial" w:cs="Arial"/>
        </w:rPr>
        <w:t>fields</w:t>
      </w:r>
      <w:proofErr w:type="gramEnd"/>
      <w:r w:rsidRPr="002E3505">
        <w:rPr>
          <w:rFonts w:ascii="Arial" w:hAnsi="Arial" w:cs="Arial"/>
        </w:rPr>
        <w:t xml:space="preserve"> and professions.</w:t>
      </w:r>
    </w:p>
    <w:p w14:paraId="3B720348" w14:textId="556B22FD" w:rsidR="00A15D01" w:rsidRDefault="00A15D01" w:rsidP="002E3505">
      <w:pPr>
        <w:spacing w:after="0" w:line="240" w:lineRule="auto"/>
        <w:rPr>
          <w:rFonts w:ascii="Arial" w:hAnsi="Arial" w:cs="Arial"/>
        </w:rPr>
      </w:pPr>
    </w:p>
    <w:p w14:paraId="0A2A3069" w14:textId="77777777" w:rsidR="000A28F9" w:rsidRPr="002E3505" w:rsidRDefault="000A28F9" w:rsidP="002E3505">
      <w:pPr>
        <w:spacing w:after="0" w:line="240" w:lineRule="auto"/>
        <w:rPr>
          <w:rFonts w:ascii="Arial" w:hAnsi="Arial" w:cs="Arial"/>
        </w:rPr>
      </w:pPr>
    </w:p>
    <w:p w14:paraId="3F8FD371" w14:textId="3755ECA8" w:rsidR="00523B9A" w:rsidRPr="000A28F9" w:rsidRDefault="00523B9A" w:rsidP="002E3505">
      <w:pPr>
        <w:pStyle w:val="Title"/>
        <w:rPr>
          <w:rFonts w:ascii="Arial" w:hAnsi="Arial" w:cs="Arial"/>
          <w:b/>
          <w:bCs/>
          <w:sz w:val="22"/>
          <w:szCs w:val="22"/>
          <w:u w:val="single"/>
        </w:rPr>
      </w:pPr>
      <w:r w:rsidRPr="000A28F9">
        <w:rPr>
          <w:rFonts w:ascii="Arial" w:hAnsi="Arial" w:cs="Arial"/>
          <w:b/>
          <w:bCs/>
          <w:sz w:val="22"/>
          <w:szCs w:val="22"/>
          <w:u w:val="single"/>
        </w:rPr>
        <w:t>Enabling Workstream</w:t>
      </w:r>
      <w:r w:rsidR="007B1809" w:rsidRPr="000A28F9">
        <w:rPr>
          <w:rFonts w:ascii="Arial" w:hAnsi="Arial" w:cs="Arial"/>
          <w:b/>
          <w:bCs/>
          <w:sz w:val="22"/>
          <w:szCs w:val="22"/>
          <w:u w:val="single"/>
        </w:rPr>
        <w:t>s</w:t>
      </w:r>
    </w:p>
    <w:p w14:paraId="607CAA82" w14:textId="77777777" w:rsidR="000A28F9" w:rsidRDefault="000A28F9" w:rsidP="002E3505">
      <w:pPr>
        <w:spacing w:after="0" w:line="240" w:lineRule="auto"/>
        <w:rPr>
          <w:rFonts w:ascii="Arial" w:hAnsi="Arial" w:cs="Arial"/>
        </w:rPr>
      </w:pPr>
    </w:p>
    <w:p w14:paraId="3ED79E89" w14:textId="5D7805A0" w:rsidR="00523B9A" w:rsidRPr="002E3505" w:rsidRDefault="00523B9A" w:rsidP="002E3505">
      <w:pPr>
        <w:spacing w:after="0" w:line="240" w:lineRule="auto"/>
        <w:rPr>
          <w:rFonts w:ascii="Arial" w:hAnsi="Arial" w:cs="Arial"/>
        </w:rPr>
      </w:pPr>
      <w:r w:rsidRPr="002E3505">
        <w:rPr>
          <w:rFonts w:ascii="Arial" w:hAnsi="Arial" w:cs="Arial"/>
        </w:rPr>
        <w:t xml:space="preserve">To support the </w:t>
      </w:r>
      <w:r w:rsidR="00865EED" w:rsidRPr="002E3505">
        <w:rPr>
          <w:rFonts w:ascii="Arial" w:hAnsi="Arial" w:cs="Arial"/>
        </w:rPr>
        <w:t xml:space="preserve">expansion and transformation of mental health services, there are some key enabling workstreams </w:t>
      </w:r>
      <w:r w:rsidR="00737CC1" w:rsidRPr="002E3505">
        <w:rPr>
          <w:rFonts w:ascii="Arial" w:hAnsi="Arial" w:cs="Arial"/>
        </w:rPr>
        <w:t>and</w:t>
      </w:r>
      <w:r w:rsidR="00865EED" w:rsidRPr="002E3505">
        <w:rPr>
          <w:rFonts w:ascii="Arial" w:hAnsi="Arial" w:cs="Arial"/>
        </w:rPr>
        <w:t xml:space="preserve"> themes that are </w:t>
      </w:r>
      <w:r w:rsidR="005A02BB" w:rsidRPr="002E3505">
        <w:rPr>
          <w:rFonts w:ascii="Arial" w:hAnsi="Arial" w:cs="Arial"/>
        </w:rPr>
        <w:t>critical to</w:t>
      </w:r>
      <w:r w:rsidR="00396568" w:rsidRPr="002E3505">
        <w:rPr>
          <w:rFonts w:ascii="Arial" w:hAnsi="Arial" w:cs="Arial"/>
        </w:rPr>
        <w:t xml:space="preserve"> succeeding. </w:t>
      </w:r>
    </w:p>
    <w:p w14:paraId="207F4841" w14:textId="4BCC03A3" w:rsidR="00396568" w:rsidRPr="002E3505" w:rsidRDefault="00471D41" w:rsidP="002E3505">
      <w:pPr>
        <w:pStyle w:val="ListParagraph"/>
        <w:numPr>
          <w:ilvl w:val="0"/>
          <w:numId w:val="2"/>
        </w:numPr>
        <w:spacing w:after="0" w:line="240" w:lineRule="auto"/>
        <w:rPr>
          <w:rFonts w:ascii="Arial" w:hAnsi="Arial" w:cs="Arial"/>
        </w:rPr>
      </w:pPr>
      <w:hyperlink w:anchor="_Digital_Transformation" w:history="1">
        <w:r w:rsidR="00396568" w:rsidRPr="002E3505">
          <w:rPr>
            <w:rStyle w:val="Hyperlink"/>
            <w:rFonts w:ascii="Arial" w:hAnsi="Arial" w:cs="Arial"/>
          </w:rPr>
          <w:t>Digital Transformation</w:t>
        </w:r>
      </w:hyperlink>
    </w:p>
    <w:p w14:paraId="13ECFCC7" w14:textId="16B3C70B" w:rsidR="00396568" w:rsidRPr="002E3505" w:rsidRDefault="00471D41" w:rsidP="002E3505">
      <w:pPr>
        <w:pStyle w:val="ListParagraph"/>
        <w:numPr>
          <w:ilvl w:val="0"/>
          <w:numId w:val="2"/>
        </w:numPr>
        <w:spacing w:after="0" w:line="240" w:lineRule="auto"/>
        <w:rPr>
          <w:rFonts w:ascii="Arial" w:hAnsi="Arial" w:cs="Arial"/>
        </w:rPr>
      </w:pPr>
      <w:hyperlink w:anchor="_Workforce" w:history="1">
        <w:r w:rsidR="00396568" w:rsidRPr="002E3505">
          <w:rPr>
            <w:rStyle w:val="Hyperlink"/>
            <w:rFonts w:ascii="Arial" w:hAnsi="Arial" w:cs="Arial"/>
          </w:rPr>
          <w:t>Workforce</w:t>
        </w:r>
      </w:hyperlink>
    </w:p>
    <w:p w14:paraId="70CB5C66" w14:textId="30996B7D" w:rsidR="00396568" w:rsidRPr="002E3505" w:rsidRDefault="00471D41" w:rsidP="002E3505">
      <w:pPr>
        <w:pStyle w:val="ListParagraph"/>
        <w:numPr>
          <w:ilvl w:val="0"/>
          <w:numId w:val="2"/>
        </w:numPr>
        <w:spacing w:after="0" w:line="240" w:lineRule="auto"/>
        <w:rPr>
          <w:rFonts w:ascii="Arial" w:hAnsi="Arial" w:cs="Arial"/>
        </w:rPr>
      </w:pPr>
      <w:hyperlink w:anchor="_Partnerships_and_Collaboration" w:history="1">
        <w:r w:rsidR="00396568" w:rsidRPr="002E3505">
          <w:rPr>
            <w:rStyle w:val="Hyperlink"/>
            <w:rFonts w:ascii="Arial" w:hAnsi="Arial" w:cs="Arial"/>
          </w:rPr>
          <w:t>Partnerships</w:t>
        </w:r>
        <w:r w:rsidR="00C70699" w:rsidRPr="002E3505">
          <w:rPr>
            <w:rStyle w:val="Hyperlink"/>
            <w:rFonts w:ascii="Arial" w:hAnsi="Arial" w:cs="Arial"/>
          </w:rPr>
          <w:t xml:space="preserve"> and Collaboration</w:t>
        </w:r>
      </w:hyperlink>
    </w:p>
    <w:p w14:paraId="5448079E" w14:textId="0974E99A" w:rsidR="00C70699" w:rsidRPr="002E3505" w:rsidRDefault="00471D41" w:rsidP="002E3505">
      <w:pPr>
        <w:pStyle w:val="ListParagraph"/>
        <w:numPr>
          <w:ilvl w:val="0"/>
          <w:numId w:val="2"/>
        </w:numPr>
        <w:spacing w:after="0" w:line="240" w:lineRule="auto"/>
        <w:rPr>
          <w:rFonts w:ascii="Arial" w:hAnsi="Arial" w:cs="Arial"/>
        </w:rPr>
      </w:pPr>
      <w:hyperlink w:anchor="_Estates" w:history="1">
        <w:r w:rsidR="00C70699" w:rsidRPr="002E3505">
          <w:rPr>
            <w:rStyle w:val="Hyperlink"/>
            <w:rFonts w:ascii="Arial" w:hAnsi="Arial" w:cs="Arial"/>
          </w:rPr>
          <w:t>Estates</w:t>
        </w:r>
      </w:hyperlink>
    </w:p>
    <w:p w14:paraId="25BCFDD6" w14:textId="77777777" w:rsidR="000A28F9" w:rsidRDefault="000A28F9" w:rsidP="002E3505">
      <w:pPr>
        <w:pStyle w:val="Heading1"/>
        <w:spacing w:before="0" w:line="240" w:lineRule="auto"/>
        <w:rPr>
          <w:rFonts w:ascii="Arial" w:hAnsi="Arial" w:cs="Arial"/>
          <w:b/>
          <w:bCs/>
          <w:color w:val="auto"/>
          <w:sz w:val="22"/>
          <w:szCs w:val="22"/>
          <w:u w:val="single"/>
        </w:rPr>
      </w:pPr>
      <w:bookmarkStart w:id="5" w:name="_Digital_Transformation"/>
      <w:bookmarkEnd w:id="5"/>
    </w:p>
    <w:p w14:paraId="3CA27D4A" w14:textId="50D21002" w:rsidR="00535607" w:rsidRPr="000A28F9" w:rsidRDefault="00783530" w:rsidP="002E3505">
      <w:pPr>
        <w:pStyle w:val="Heading1"/>
        <w:spacing w:before="0" w:line="240" w:lineRule="auto"/>
        <w:rPr>
          <w:rStyle w:val="CommentReference"/>
          <w:rFonts w:ascii="Arial" w:eastAsiaTheme="minorHAnsi" w:hAnsi="Arial" w:cs="Arial"/>
          <w:b/>
          <w:bCs/>
          <w:color w:val="auto"/>
          <w:sz w:val="22"/>
          <w:szCs w:val="22"/>
          <w:u w:val="single"/>
        </w:rPr>
      </w:pPr>
      <w:r w:rsidRPr="000A28F9">
        <w:rPr>
          <w:rFonts w:ascii="Arial" w:hAnsi="Arial" w:cs="Arial"/>
          <w:b/>
          <w:bCs/>
          <w:color w:val="auto"/>
          <w:sz w:val="22"/>
          <w:szCs w:val="22"/>
          <w:u w:val="single"/>
        </w:rPr>
        <w:t>Digital Transformation</w:t>
      </w:r>
    </w:p>
    <w:p w14:paraId="0E0AD675" w14:textId="77777777" w:rsidR="000A28F9" w:rsidRDefault="000A28F9" w:rsidP="002E3505">
      <w:pPr>
        <w:pStyle w:val="xxmsonormal"/>
        <w:rPr>
          <w:rFonts w:ascii="Arial" w:hAnsi="Arial" w:cs="Arial"/>
        </w:rPr>
      </w:pPr>
    </w:p>
    <w:p w14:paraId="0DB91B40" w14:textId="18299376" w:rsidR="00DB2DD0" w:rsidRPr="002E3505" w:rsidRDefault="00DB2DD0" w:rsidP="002E3505">
      <w:pPr>
        <w:pStyle w:val="xxmsonormal"/>
        <w:rPr>
          <w:rFonts w:ascii="Arial" w:hAnsi="Arial" w:cs="Arial"/>
        </w:rPr>
      </w:pPr>
      <w:r w:rsidRPr="002E3505">
        <w:rPr>
          <w:rFonts w:ascii="Arial" w:hAnsi="Arial" w:cs="Arial"/>
        </w:rPr>
        <w:t>In 2017 OHFT joined the NHS England Global Digital Exemplar (</w:t>
      </w:r>
      <w:proofErr w:type="spellStart"/>
      <w:r w:rsidRPr="002E3505">
        <w:rPr>
          <w:rFonts w:ascii="Arial" w:hAnsi="Arial" w:cs="Arial"/>
        </w:rPr>
        <w:t>GDE</w:t>
      </w:r>
      <w:proofErr w:type="spellEnd"/>
      <w:r w:rsidRPr="002E3505">
        <w:rPr>
          <w:rFonts w:ascii="Arial" w:hAnsi="Arial" w:cs="Arial"/>
        </w:rPr>
        <w:t xml:space="preserve">) programme as one of only seven mental health Trusts accepted onto the scheme.  The aim of the </w:t>
      </w:r>
      <w:proofErr w:type="spellStart"/>
      <w:r w:rsidRPr="002E3505">
        <w:rPr>
          <w:rFonts w:ascii="Arial" w:hAnsi="Arial" w:cs="Arial"/>
        </w:rPr>
        <w:t>GDE</w:t>
      </w:r>
      <w:proofErr w:type="spellEnd"/>
      <w:r w:rsidRPr="002E3505">
        <w:rPr>
          <w:rFonts w:ascii="Arial" w:hAnsi="Arial" w:cs="Arial"/>
        </w:rPr>
        <w:t xml:space="preserve"> programme was to support Trusts to become “an internationally recognised NHS provider delivering improvements in the quality of care, through the world-class use of digital technologies and information”.</w:t>
      </w:r>
    </w:p>
    <w:p w14:paraId="11571A07" w14:textId="65388377" w:rsidR="00DB2DD0" w:rsidRPr="002E3505" w:rsidRDefault="00DB2DD0" w:rsidP="002E3505">
      <w:pPr>
        <w:pStyle w:val="xxmsonormal"/>
        <w:rPr>
          <w:rFonts w:ascii="Arial" w:hAnsi="Arial" w:cs="Arial"/>
        </w:rPr>
      </w:pPr>
      <w:r w:rsidRPr="002E3505">
        <w:rPr>
          <w:rFonts w:ascii="Arial" w:hAnsi="Arial" w:cs="Arial"/>
        </w:rPr>
        <w:t xml:space="preserve">Since 2017 OHFT has delivered several transformational digital projects supported by match funding accessed through the </w:t>
      </w:r>
      <w:proofErr w:type="spellStart"/>
      <w:r w:rsidRPr="002E3505">
        <w:rPr>
          <w:rFonts w:ascii="Arial" w:hAnsi="Arial" w:cs="Arial"/>
        </w:rPr>
        <w:t>GDE</w:t>
      </w:r>
      <w:proofErr w:type="spellEnd"/>
      <w:r w:rsidRPr="002E3505">
        <w:rPr>
          <w:rFonts w:ascii="Arial" w:hAnsi="Arial" w:cs="Arial"/>
        </w:rPr>
        <w:t xml:space="preserve"> programme, including:</w:t>
      </w:r>
    </w:p>
    <w:p w14:paraId="558E45B9" w14:textId="44184CE3" w:rsidR="00DB2DD0" w:rsidRPr="002E3505" w:rsidRDefault="00DB2DD0" w:rsidP="002E3505">
      <w:pPr>
        <w:pStyle w:val="xxmsolistparagraph"/>
        <w:numPr>
          <w:ilvl w:val="0"/>
          <w:numId w:val="5"/>
        </w:numPr>
        <w:spacing w:after="0" w:line="240" w:lineRule="auto"/>
        <w:rPr>
          <w:rFonts w:ascii="Arial" w:eastAsia="Times New Roman" w:hAnsi="Arial" w:cs="Arial"/>
        </w:rPr>
      </w:pPr>
      <w:r w:rsidRPr="002E3505">
        <w:rPr>
          <w:rFonts w:ascii="Arial" w:eastAsia="Times New Roman" w:hAnsi="Arial" w:cs="Arial"/>
        </w:rPr>
        <w:t>Development of a new data warehouse and business intelligence tool (TOBI)</w:t>
      </w:r>
    </w:p>
    <w:p w14:paraId="4E15B97A" w14:textId="734A8670" w:rsidR="00DB2DD0" w:rsidRPr="002E3505" w:rsidRDefault="00DB2DD0" w:rsidP="002E3505">
      <w:pPr>
        <w:pStyle w:val="xxmsolistparagraph"/>
        <w:numPr>
          <w:ilvl w:val="0"/>
          <w:numId w:val="5"/>
        </w:numPr>
        <w:spacing w:after="0" w:line="240" w:lineRule="auto"/>
        <w:rPr>
          <w:rFonts w:ascii="Arial" w:eastAsia="Times New Roman" w:hAnsi="Arial" w:cs="Arial"/>
        </w:rPr>
      </w:pPr>
      <w:r w:rsidRPr="002E3505">
        <w:rPr>
          <w:rFonts w:ascii="Arial" w:eastAsia="Times New Roman" w:hAnsi="Arial" w:cs="Arial"/>
        </w:rPr>
        <w:t>Office 365 deployment</w:t>
      </w:r>
    </w:p>
    <w:p w14:paraId="32794D0C" w14:textId="0D147F0F" w:rsidR="00DB2DD0" w:rsidRPr="002E3505" w:rsidRDefault="00DB2DD0" w:rsidP="002E3505">
      <w:pPr>
        <w:pStyle w:val="xxmsolistparagraph"/>
        <w:numPr>
          <w:ilvl w:val="0"/>
          <w:numId w:val="5"/>
        </w:numPr>
        <w:spacing w:after="0" w:line="240" w:lineRule="auto"/>
        <w:rPr>
          <w:rFonts w:ascii="Arial" w:eastAsia="Times New Roman" w:hAnsi="Arial" w:cs="Arial"/>
        </w:rPr>
      </w:pPr>
      <w:r w:rsidRPr="002E3505">
        <w:rPr>
          <w:rFonts w:ascii="Arial" w:eastAsia="Times New Roman" w:hAnsi="Arial" w:cs="Arial"/>
        </w:rPr>
        <w:t>Electronic health record mobile expansion to improve mobile access</w:t>
      </w:r>
    </w:p>
    <w:p w14:paraId="728D8306" w14:textId="665B2C67" w:rsidR="00DB2DD0" w:rsidRPr="002E3505" w:rsidRDefault="00DB2DD0" w:rsidP="002E3505">
      <w:pPr>
        <w:pStyle w:val="xxmsolistparagraph"/>
        <w:numPr>
          <w:ilvl w:val="0"/>
          <w:numId w:val="5"/>
        </w:numPr>
        <w:spacing w:after="0" w:line="240" w:lineRule="auto"/>
        <w:rPr>
          <w:rFonts w:ascii="Arial" w:eastAsia="Times New Roman" w:hAnsi="Arial" w:cs="Arial"/>
        </w:rPr>
      </w:pPr>
      <w:r w:rsidRPr="002E3505">
        <w:rPr>
          <w:rFonts w:ascii="Arial" w:eastAsia="Times New Roman" w:hAnsi="Arial" w:cs="Arial"/>
        </w:rPr>
        <w:t>Digital dictation to help free up time to care</w:t>
      </w:r>
    </w:p>
    <w:p w14:paraId="39E869D4" w14:textId="52C34FF9" w:rsidR="00DB2DD0" w:rsidRPr="002E3505" w:rsidRDefault="00DB2DD0" w:rsidP="002E3505">
      <w:pPr>
        <w:pStyle w:val="xxmsolistparagraph"/>
        <w:numPr>
          <w:ilvl w:val="0"/>
          <w:numId w:val="5"/>
        </w:numPr>
        <w:spacing w:after="0" w:line="240" w:lineRule="auto"/>
        <w:rPr>
          <w:rFonts w:ascii="Arial" w:eastAsia="Times New Roman" w:hAnsi="Arial" w:cs="Arial"/>
        </w:rPr>
      </w:pPr>
      <w:r w:rsidRPr="002E3505">
        <w:rPr>
          <w:rFonts w:ascii="Arial" w:eastAsia="Times New Roman" w:hAnsi="Arial" w:cs="Arial"/>
        </w:rPr>
        <w:t>Virtual reality as a psychological treatment</w:t>
      </w:r>
    </w:p>
    <w:p w14:paraId="2430AC2E" w14:textId="601C6F72" w:rsidR="00DB2DD0" w:rsidRPr="002E3505" w:rsidRDefault="00DB2DD0" w:rsidP="002E3505">
      <w:pPr>
        <w:pStyle w:val="xxmsolistparagraph"/>
        <w:numPr>
          <w:ilvl w:val="0"/>
          <w:numId w:val="5"/>
        </w:numPr>
        <w:spacing w:after="0" w:line="240" w:lineRule="auto"/>
        <w:rPr>
          <w:rFonts w:ascii="Arial" w:eastAsia="Times New Roman" w:hAnsi="Arial" w:cs="Arial"/>
        </w:rPr>
      </w:pPr>
      <w:r w:rsidRPr="002E3505">
        <w:rPr>
          <w:rFonts w:ascii="Arial" w:eastAsia="Times New Roman" w:hAnsi="Arial" w:cs="Arial"/>
        </w:rPr>
        <w:t xml:space="preserve">Digital ward observations pilot (resulting in the current deployment of </w:t>
      </w:r>
      <w:proofErr w:type="spellStart"/>
      <w:r w:rsidRPr="002E3505">
        <w:rPr>
          <w:rFonts w:ascii="Arial" w:eastAsia="Times New Roman" w:hAnsi="Arial" w:cs="Arial"/>
        </w:rPr>
        <w:t>Oxevision</w:t>
      </w:r>
      <w:proofErr w:type="spellEnd"/>
      <w:r w:rsidRPr="002E3505">
        <w:rPr>
          <w:rFonts w:ascii="Arial" w:eastAsia="Times New Roman" w:hAnsi="Arial" w:cs="Arial"/>
        </w:rPr>
        <w:t xml:space="preserve"> technology across seven </w:t>
      </w:r>
      <w:r w:rsidR="00567291" w:rsidRPr="002E3505">
        <w:rPr>
          <w:rFonts w:ascii="Arial" w:eastAsia="Times New Roman" w:hAnsi="Arial" w:cs="Arial"/>
        </w:rPr>
        <w:t>OHFT</w:t>
      </w:r>
      <w:r w:rsidRPr="002E3505">
        <w:rPr>
          <w:rFonts w:ascii="Arial" w:eastAsia="Times New Roman" w:hAnsi="Arial" w:cs="Arial"/>
        </w:rPr>
        <w:t xml:space="preserve"> wards)</w:t>
      </w:r>
    </w:p>
    <w:p w14:paraId="7A4A2318" w14:textId="5E62BDCD" w:rsidR="00DB2DD0" w:rsidRDefault="00DB2DD0" w:rsidP="002E3505">
      <w:pPr>
        <w:pStyle w:val="xxmsolistparagraph"/>
        <w:numPr>
          <w:ilvl w:val="0"/>
          <w:numId w:val="5"/>
        </w:numPr>
        <w:spacing w:after="0" w:line="240" w:lineRule="auto"/>
        <w:rPr>
          <w:rFonts w:ascii="Arial" w:eastAsia="Times New Roman" w:hAnsi="Arial" w:cs="Arial"/>
        </w:rPr>
      </w:pPr>
      <w:r w:rsidRPr="002E3505">
        <w:rPr>
          <w:rFonts w:ascii="Arial" w:eastAsia="Times New Roman" w:hAnsi="Arial" w:cs="Arial"/>
        </w:rPr>
        <w:t>Series of mental health short films on a range of common conditions, to improve public awareness.</w:t>
      </w:r>
    </w:p>
    <w:p w14:paraId="0D18511F" w14:textId="77777777" w:rsidR="000A28F9" w:rsidRPr="002E3505" w:rsidRDefault="000A28F9" w:rsidP="000A28F9">
      <w:pPr>
        <w:pStyle w:val="xxmsolistparagraph"/>
        <w:spacing w:after="0" w:line="240" w:lineRule="auto"/>
        <w:rPr>
          <w:rFonts w:ascii="Arial" w:eastAsia="Times New Roman" w:hAnsi="Arial" w:cs="Arial"/>
        </w:rPr>
      </w:pPr>
    </w:p>
    <w:p w14:paraId="09314D61" w14:textId="78ECB819" w:rsidR="00DB2DD0" w:rsidRDefault="00DB2DD0" w:rsidP="002E3505">
      <w:pPr>
        <w:spacing w:after="0" w:line="240" w:lineRule="auto"/>
        <w:rPr>
          <w:rFonts w:ascii="Arial" w:hAnsi="Arial" w:cs="Arial"/>
        </w:rPr>
      </w:pPr>
      <w:r w:rsidRPr="002E3505">
        <w:rPr>
          <w:rFonts w:ascii="Arial" w:hAnsi="Arial" w:cs="Arial"/>
        </w:rPr>
        <w:t xml:space="preserve">The final and largest of the </w:t>
      </w:r>
      <w:proofErr w:type="spellStart"/>
      <w:r w:rsidRPr="002E3505">
        <w:rPr>
          <w:rFonts w:ascii="Arial" w:hAnsi="Arial" w:cs="Arial"/>
        </w:rPr>
        <w:t>GDE</w:t>
      </w:r>
      <w:proofErr w:type="spellEnd"/>
      <w:r w:rsidRPr="002E3505">
        <w:rPr>
          <w:rFonts w:ascii="Arial" w:hAnsi="Arial" w:cs="Arial"/>
        </w:rPr>
        <w:t xml:space="preserve"> projects is the procurement and implementation of an </w:t>
      </w:r>
      <w:r w:rsidRPr="002E3505">
        <w:rPr>
          <w:rFonts w:ascii="Arial" w:hAnsi="Arial" w:cs="Arial"/>
          <w:b/>
          <w:bCs/>
        </w:rPr>
        <w:t>electronic prescribing and medicines administration</w:t>
      </w:r>
      <w:r w:rsidRPr="002E3505">
        <w:rPr>
          <w:rFonts w:ascii="Arial" w:hAnsi="Arial" w:cs="Arial"/>
        </w:rPr>
        <w:t xml:space="preserve"> (</w:t>
      </w:r>
      <w:proofErr w:type="spellStart"/>
      <w:r w:rsidRPr="002E3505">
        <w:rPr>
          <w:rFonts w:ascii="Arial" w:hAnsi="Arial" w:cs="Arial"/>
        </w:rPr>
        <w:t>ePMA</w:t>
      </w:r>
      <w:proofErr w:type="spellEnd"/>
      <w:r w:rsidRPr="002E3505">
        <w:rPr>
          <w:rFonts w:ascii="Arial" w:hAnsi="Arial" w:cs="Arial"/>
        </w:rPr>
        <w:t xml:space="preserve">) platform across the Trust.  The Trust is currently configuring the Better Meds platform and will be piloting the product on two wards in early 2022, with a phased roll out of </w:t>
      </w:r>
      <w:proofErr w:type="spellStart"/>
      <w:r w:rsidRPr="002E3505">
        <w:rPr>
          <w:rFonts w:ascii="Arial" w:hAnsi="Arial" w:cs="Arial"/>
        </w:rPr>
        <w:t>ePMA</w:t>
      </w:r>
      <w:proofErr w:type="spellEnd"/>
      <w:r w:rsidRPr="002E3505">
        <w:rPr>
          <w:rFonts w:ascii="Arial" w:hAnsi="Arial" w:cs="Arial"/>
        </w:rPr>
        <w:t xml:space="preserve"> across mental health and community services to be completed in 2024.</w:t>
      </w:r>
    </w:p>
    <w:p w14:paraId="2C5F8CDF" w14:textId="77777777" w:rsidR="000A28F9" w:rsidRPr="002E3505" w:rsidRDefault="000A28F9" w:rsidP="002E3505">
      <w:pPr>
        <w:spacing w:after="0" w:line="240" w:lineRule="auto"/>
        <w:rPr>
          <w:rFonts w:ascii="Arial" w:hAnsi="Arial" w:cs="Arial"/>
        </w:rPr>
      </w:pPr>
    </w:p>
    <w:p w14:paraId="1A53DAF5" w14:textId="2BCEBB64" w:rsidR="003432F3" w:rsidRDefault="00DB2DD0" w:rsidP="002E3505">
      <w:pPr>
        <w:spacing w:after="0" w:line="240" w:lineRule="auto"/>
        <w:rPr>
          <w:rStyle w:val="xxnormaltextrun"/>
          <w:rFonts w:ascii="Arial" w:hAnsi="Arial" w:cs="Arial"/>
        </w:rPr>
      </w:pPr>
      <w:r w:rsidRPr="002E3505">
        <w:rPr>
          <w:rFonts w:ascii="Arial" w:hAnsi="Arial" w:cs="Arial"/>
        </w:rPr>
        <w:t xml:space="preserve">In July 2021 OHFT agreed the new </w:t>
      </w:r>
      <w:r w:rsidRPr="002E3505">
        <w:rPr>
          <w:rFonts w:ascii="Arial" w:hAnsi="Arial" w:cs="Arial"/>
          <w:b/>
          <w:bCs/>
        </w:rPr>
        <w:t>Digital Health and Care Strategy 2021-26</w:t>
      </w:r>
      <w:r w:rsidRPr="002E3505">
        <w:rPr>
          <w:rFonts w:ascii="Arial" w:hAnsi="Arial" w:cs="Arial"/>
        </w:rPr>
        <w:t>. This provides the framework for the delivery of an ambitious programme of digital activity over the next five years.  Central to this is the review and potential replacement of the Trust’s main electronic health record (</w:t>
      </w:r>
      <w:proofErr w:type="spellStart"/>
      <w:r w:rsidRPr="002E3505">
        <w:rPr>
          <w:rFonts w:ascii="Arial" w:hAnsi="Arial" w:cs="Arial"/>
        </w:rPr>
        <w:t>EHR</w:t>
      </w:r>
      <w:proofErr w:type="spellEnd"/>
      <w:r w:rsidRPr="002E3505">
        <w:rPr>
          <w:rFonts w:ascii="Arial" w:hAnsi="Arial" w:cs="Arial"/>
        </w:rPr>
        <w:t>) systems and the development of a new underlying digital architecture (the clinical data repository</w:t>
      </w:r>
      <w:r w:rsidR="00567291" w:rsidRPr="002E3505">
        <w:rPr>
          <w:rFonts w:ascii="Arial" w:hAnsi="Arial" w:cs="Arial"/>
        </w:rPr>
        <w:t xml:space="preserve"> CDR</w:t>
      </w:r>
      <w:r w:rsidRPr="002E3505">
        <w:rPr>
          <w:rFonts w:ascii="Arial" w:hAnsi="Arial" w:cs="Arial"/>
        </w:rPr>
        <w:t>, a centralised</w:t>
      </w:r>
      <w:r w:rsidRPr="002E3505">
        <w:rPr>
          <w:rStyle w:val="xxnormaltextrun"/>
          <w:rFonts w:ascii="Arial" w:hAnsi="Arial" w:cs="Arial"/>
        </w:rPr>
        <w:t xml:space="preserve"> datastore holding information from multiple clinical systems).  The CDR is the key enabler for the planned development of patient and clinical portals, the expansion of mobile and agile working capability, the continued development of shared care records and the Trust’s contribution to research, advanced analytics and population health managemen</w:t>
      </w:r>
      <w:r w:rsidR="003432F3" w:rsidRPr="002E3505">
        <w:rPr>
          <w:rStyle w:val="xxnormaltextrun"/>
          <w:rFonts w:ascii="Arial" w:hAnsi="Arial" w:cs="Arial"/>
        </w:rPr>
        <w:t>t.</w:t>
      </w:r>
    </w:p>
    <w:p w14:paraId="34F7ABD8" w14:textId="77777777" w:rsidR="000A28F9" w:rsidRPr="002E3505" w:rsidRDefault="000A28F9" w:rsidP="002E3505">
      <w:pPr>
        <w:spacing w:after="0" w:line="240" w:lineRule="auto"/>
        <w:rPr>
          <w:rStyle w:val="xxnormaltextrun"/>
          <w:rFonts w:ascii="Arial" w:hAnsi="Arial" w:cs="Arial"/>
        </w:rPr>
      </w:pPr>
    </w:p>
    <w:p w14:paraId="731D1475" w14:textId="1C884002" w:rsidR="00DF02C7" w:rsidRDefault="003432F3" w:rsidP="002E3505">
      <w:pPr>
        <w:spacing w:after="0" w:line="240" w:lineRule="auto"/>
        <w:rPr>
          <w:rStyle w:val="xxnormaltextrun"/>
          <w:rFonts w:ascii="Arial" w:hAnsi="Arial" w:cs="Arial"/>
        </w:rPr>
      </w:pPr>
      <w:r w:rsidRPr="002E3505">
        <w:rPr>
          <w:rStyle w:val="xxnormaltextrun"/>
          <w:rFonts w:ascii="Arial" w:hAnsi="Arial" w:cs="Arial"/>
        </w:rPr>
        <w:t xml:space="preserve">The Pandemic </w:t>
      </w:r>
      <w:r w:rsidR="000E2420" w:rsidRPr="002E3505">
        <w:rPr>
          <w:rStyle w:val="xxnormaltextrun"/>
          <w:rFonts w:ascii="Arial" w:hAnsi="Arial" w:cs="Arial"/>
        </w:rPr>
        <w:t xml:space="preserve">brought with it opportunities to advance the digital agenda in terms of how healthcare professionals engage with or “see” patients. </w:t>
      </w:r>
      <w:r w:rsidR="001415B9" w:rsidRPr="002E3505">
        <w:rPr>
          <w:rStyle w:val="xxnormaltextrun"/>
          <w:rFonts w:ascii="Arial" w:hAnsi="Arial" w:cs="Arial"/>
        </w:rPr>
        <w:t xml:space="preserve">Although face to face interventions remained </w:t>
      </w:r>
      <w:proofErr w:type="gramStart"/>
      <w:r w:rsidR="001415B9" w:rsidRPr="002E3505">
        <w:rPr>
          <w:rStyle w:val="xxnormaltextrun"/>
          <w:rFonts w:ascii="Arial" w:hAnsi="Arial" w:cs="Arial"/>
        </w:rPr>
        <w:t>absolutely available</w:t>
      </w:r>
      <w:proofErr w:type="gramEnd"/>
      <w:r w:rsidR="001415B9" w:rsidRPr="002E3505">
        <w:rPr>
          <w:rStyle w:val="xxnormaltextrun"/>
          <w:rFonts w:ascii="Arial" w:hAnsi="Arial" w:cs="Arial"/>
        </w:rPr>
        <w:t xml:space="preserve"> for those that required them, where clinically appropriate, alternative</w:t>
      </w:r>
      <w:r w:rsidR="00406C73" w:rsidRPr="002E3505">
        <w:rPr>
          <w:rStyle w:val="xxnormaltextrun"/>
          <w:rFonts w:ascii="Arial" w:hAnsi="Arial" w:cs="Arial"/>
        </w:rPr>
        <w:t xml:space="preserve"> means of contact were offered</w:t>
      </w:r>
      <w:r w:rsidR="00DF02C7" w:rsidRPr="002E3505">
        <w:rPr>
          <w:rStyle w:val="xxnormaltextrun"/>
          <w:rFonts w:ascii="Arial" w:hAnsi="Arial" w:cs="Arial"/>
        </w:rPr>
        <w:t xml:space="preserve">. </w:t>
      </w:r>
      <w:r w:rsidR="00DF02C7" w:rsidRPr="002E3505">
        <w:rPr>
          <w:rStyle w:val="xxnormaltextrun"/>
          <w:rFonts w:ascii="Arial" w:hAnsi="Arial" w:cs="Arial"/>
          <w:b/>
          <w:bCs/>
        </w:rPr>
        <w:t>Figure 10</w:t>
      </w:r>
      <w:r w:rsidR="00DF02C7" w:rsidRPr="002E3505">
        <w:rPr>
          <w:rStyle w:val="xxnormaltextrun"/>
          <w:rFonts w:ascii="Arial" w:hAnsi="Arial" w:cs="Arial"/>
        </w:rPr>
        <w:t xml:space="preserve"> shows </w:t>
      </w:r>
      <w:r w:rsidR="00F96B79" w:rsidRPr="002E3505">
        <w:rPr>
          <w:rStyle w:val="xxnormaltextrun"/>
          <w:rFonts w:ascii="Arial" w:hAnsi="Arial" w:cs="Arial"/>
        </w:rPr>
        <w:t xml:space="preserve">the shift in communication type for appointments </w:t>
      </w:r>
      <w:r w:rsidR="00E142AA" w:rsidRPr="002E3505">
        <w:rPr>
          <w:rStyle w:val="xxnormaltextrun"/>
          <w:rFonts w:ascii="Arial" w:hAnsi="Arial" w:cs="Arial"/>
        </w:rPr>
        <w:t xml:space="preserve">across all OHFT services. From January 2020 to August 2021, </w:t>
      </w:r>
      <w:r w:rsidR="00BA52E7" w:rsidRPr="002E3505">
        <w:rPr>
          <w:rStyle w:val="xxnormaltextrun"/>
          <w:rFonts w:ascii="Arial" w:hAnsi="Arial" w:cs="Arial"/>
        </w:rPr>
        <w:t xml:space="preserve">260,158 </w:t>
      </w:r>
      <w:r w:rsidR="00BA52E7" w:rsidRPr="002E3505">
        <w:rPr>
          <w:rStyle w:val="xxnormaltextrun"/>
          <w:rFonts w:ascii="Arial" w:hAnsi="Arial" w:cs="Arial"/>
          <w:b/>
          <w:bCs/>
        </w:rPr>
        <w:t>digital consultations</w:t>
      </w:r>
      <w:r w:rsidR="00BA52E7" w:rsidRPr="002E3505">
        <w:rPr>
          <w:rStyle w:val="xxnormaltextrun"/>
          <w:rFonts w:ascii="Arial" w:hAnsi="Arial" w:cs="Arial"/>
        </w:rPr>
        <w:t xml:space="preserve"> were carried out across all OHFT services.</w:t>
      </w:r>
    </w:p>
    <w:p w14:paraId="320C4B98" w14:textId="77777777" w:rsidR="000A28F9" w:rsidRPr="002E3505" w:rsidRDefault="000A28F9" w:rsidP="002E3505">
      <w:pPr>
        <w:spacing w:after="0" w:line="240" w:lineRule="auto"/>
        <w:rPr>
          <w:rStyle w:val="xxnormaltextrun"/>
          <w:rFonts w:ascii="Arial" w:hAnsi="Arial" w:cs="Arial"/>
        </w:rPr>
      </w:pPr>
    </w:p>
    <w:p w14:paraId="1AEB56A6" w14:textId="6D2B24AE" w:rsidR="003432F3" w:rsidRPr="002E3505" w:rsidRDefault="00DF02C7" w:rsidP="002E3505">
      <w:pPr>
        <w:spacing w:after="0" w:line="240" w:lineRule="auto"/>
        <w:rPr>
          <w:rFonts w:ascii="Arial" w:hAnsi="Arial" w:cs="Arial"/>
        </w:rPr>
      </w:pPr>
      <w:r w:rsidRPr="002E3505">
        <w:rPr>
          <w:rFonts w:ascii="Arial" w:hAnsi="Arial" w:cs="Arial"/>
          <w:noProof/>
        </w:rPr>
        <w:drawing>
          <wp:inline distT="0" distB="0" distL="0" distR="0" wp14:anchorId="253D2AB4" wp14:editId="1ECECC12">
            <wp:extent cx="5731510" cy="16236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623695"/>
                    </a:xfrm>
                    <a:prstGeom prst="rect">
                      <a:avLst/>
                    </a:prstGeom>
                  </pic:spPr>
                </pic:pic>
              </a:graphicData>
            </a:graphic>
          </wp:inline>
        </w:drawing>
      </w:r>
      <w:r w:rsidR="000E2420" w:rsidRPr="002E3505">
        <w:rPr>
          <w:rStyle w:val="xxnormaltextrun"/>
          <w:rFonts w:ascii="Arial" w:hAnsi="Arial" w:cs="Arial"/>
        </w:rPr>
        <w:t xml:space="preserve"> </w:t>
      </w:r>
    </w:p>
    <w:p w14:paraId="57597E82" w14:textId="75E803AE" w:rsidR="00A32FB0" w:rsidRPr="000A28F9" w:rsidRDefault="00BA52E7" w:rsidP="002E3505">
      <w:pPr>
        <w:spacing w:after="0" w:line="240" w:lineRule="auto"/>
        <w:rPr>
          <w:rFonts w:ascii="Arial" w:hAnsi="Arial" w:cs="Arial"/>
          <w:i/>
          <w:iCs/>
          <w:sz w:val="18"/>
          <w:szCs w:val="18"/>
        </w:rPr>
      </w:pPr>
      <w:r w:rsidRPr="000A28F9">
        <w:rPr>
          <w:rFonts w:ascii="Arial" w:hAnsi="Arial" w:cs="Arial"/>
          <w:b/>
          <w:bCs/>
          <w:i/>
          <w:iCs/>
          <w:sz w:val="18"/>
          <w:szCs w:val="18"/>
        </w:rPr>
        <w:t>Figure 10</w:t>
      </w:r>
      <w:r w:rsidRPr="000A28F9">
        <w:rPr>
          <w:rFonts w:ascii="Arial" w:hAnsi="Arial" w:cs="Arial"/>
          <w:i/>
          <w:iCs/>
          <w:sz w:val="18"/>
          <w:szCs w:val="18"/>
        </w:rPr>
        <w:t xml:space="preserve">. </w:t>
      </w:r>
      <w:r w:rsidR="00BE524D" w:rsidRPr="000A28F9">
        <w:rPr>
          <w:rFonts w:ascii="Arial" w:hAnsi="Arial" w:cs="Arial"/>
          <w:i/>
          <w:iCs/>
          <w:sz w:val="18"/>
          <w:szCs w:val="18"/>
        </w:rPr>
        <w:t>Change in Communication Type across all OHFT services, 01/01/2020 – 31/08/2021.</w:t>
      </w:r>
    </w:p>
    <w:p w14:paraId="53277666" w14:textId="5FB6FF17" w:rsidR="000A28F9" w:rsidRDefault="000A28F9" w:rsidP="002E3505">
      <w:pPr>
        <w:pStyle w:val="Heading1"/>
        <w:spacing w:before="0" w:line="240" w:lineRule="auto"/>
        <w:rPr>
          <w:rFonts w:ascii="Arial" w:hAnsi="Arial" w:cs="Arial"/>
          <w:sz w:val="22"/>
          <w:szCs w:val="22"/>
        </w:rPr>
      </w:pPr>
      <w:bookmarkStart w:id="6" w:name="_Workforce"/>
      <w:bookmarkEnd w:id="6"/>
    </w:p>
    <w:p w14:paraId="0A64FB7C" w14:textId="77777777" w:rsidR="000A28F9" w:rsidRPr="000A28F9" w:rsidRDefault="000A28F9" w:rsidP="000A28F9"/>
    <w:p w14:paraId="2391D2BA" w14:textId="3C1029FC" w:rsidR="00D83C54" w:rsidRPr="000A28F9" w:rsidRDefault="00D42767" w:rsidP="002E3505">
      <w:pPr>
        <w:pStyle w:val="Heading1"/>
        <w:spacing w:before="0" w:line="240" w:lineRule="auto"/>
        <w:rPr>
          <w:rFonts w:ascii="Arial" w:hAnsi="Arial" w:cs="Arial"/>
          <w:b/>
          <w:bCs/>
          <w:color w:val="auto"/>
          <w:sz w:val="22"/>
          <w:szCs w:val="22"/>
          <w:u w:val="single"/>
        </w:rPr>
      </w:pPr>
      <w:r w:rsidRPr="000A28F9">
        <w:rPr>
          <w:rFonts w:ascii="Arial" w:hAnsi="Arial" w:cs="Arial"/>
          <w:b/>
          <w:bCs/>
          <w:color w:val="auto"/>
          <w:sz w:val="22"/>
          <w:szCs w:val="22"/>
          <w:u w:val="single"/>
        </w:rPr>
        <w:t>Workforce</w:t>
      </w:r>
    </w:p>
    <w:p w14:paraId="15F7D51A" w14:textId="77777777" w:rsidR="000A28F9" w:rsidRDefault="000A28F9" w:rsidP="002E3505">
      <w:pPr>
        <w:spacing w:after="0" w:line="240" w:lineRule="auto"/>
        <w:rPr>
          <w:rFonts w:ascii="Arial" w:hAnsi="Arial" w:cs="Arial"/>
        </w:rPr>
      </w:pPr>
    </w:p>
    <w:p w14:paraId="58255944" w14:textId="5F108DA0" w:rsidR="00D83C54" w:rsidRDefault="00DC62AE" w:rsidP="002E3505">
      <w:pPr>
        <w:spacing w:after="0" w:line="240" w:lineRule="auto"/>
        <w:rPr>
          <w:rFonts w:ascii="Arial" w:hAnsi="Arial" w:cs="Arial"/>
        </w:rPr>
      </w:pPr>
      <w:r w:rsidRPr="002E3505">
        <w:rPr>
          <w:rFonts w:ascii="Arial" w:hAnsi="Arial" w:cs="Arial"/>
        </w:rPr>
        <w:t>The w</w:t>
      </w:r>
      <w:r w:rsidR="005279DD" w:rsidRPr="002E3505">
        <w:rPr>
          <w:rFonts w:ascii="Arial" w:hAnsi="Arial" w:cs="Arial"/>
        </w:rPr>
        <w:t>orkforce expansion</w:t>
      </w:r>
      <w:r w:rsidRPr="002E3505">
        <w:rPr>
          <w:rFonts w:ascii="Arial" w:hAnsi="Arial" w:cs="Arial"/>
        </w:rPr>
        <w:t xml:space="preserve"> required to meet the </w:t>
      </w:r>
      <w:proofErr w:type="gramStart"/>
      <w:r w:rsidRPr="002E3505">
        <w:rPr>
          <w:rFonts w:ascii="Arial" w:hAnsi="Arial" w:cs="Arial"/>
        </w:rPr>
        <w:t>Long Term</w:t>
      </w:r>
      <w:proofErr w:type="gramEnd"/>
      <w:r w:rsidRPr="002E3505">
        <w:rPr>
          <w:rFonts w:ascii="Arial" w:hAnsi="Arial" w:cs="Arial"/>
        </w:rPr>
        <w:t xml:space="preserve"> Plan is significant</w:t>
      </w:r>
      <w:r w:rsidR="00386D4C" w:rsidRPr="002E3505">
        <w:rPr>
          <w:rFonts w:ascii="Arial" w:hAnsi="Arial" w:cs="Arial"/>
        </w:rPr>
        <w:t xml:space="preserve">, on top of this, OHFT are also faced with the challenge of </w:t>
      </w:r>
      <w:r w:rsidR="00A60BAC" w:rsidRPr="002E3505">
        <w:rPr>
          <w:rFonts w:ascii="Arial" w:hAnsi="Arial" w:cs="Arial"/>
        </w:rPr>
        <w:t>bolstering existing services and pathway</w:t>
      </w:r>
      <w:r w:rsidR="00FC2132" w:rsidRPr="002E3505">
        <w:rPr>
          <w:rFonts w:ascii="Arial" w:hAnsi="Arial" w:cs="Arial"/>
        </w:rPr>
        <w:t xml:space="preserve">s. </w:t>
      </w:r>
      <w:r w:rsidR="0039777C" w:rsidRPr="002E3505">
        <w:rPr>
          <w:rFonts w:ascii="Arial" w:hAnsi="Arial" w:cs="Arial"/>
        </w:rPr>
        <w:t xml:space="preserve">Across the Buckinghamshire and </w:t>
      </w:r>
      <w:proofErr w:type="spellStart"/>
      <w:r w:rsidR="00FE1FDA" w:rsidRPr="002E3505">
        <w:rPr>
          <w:rFonts w:ascii="Arial" w:hAnsi="Arial" w:cs="Arial"/>
        </w:rPr>
        <w:t>OBSW</w:t>
      </w:r>
      <w:proofErr w:type="spellEnd"/>
      <w:r w:rsidR="00FE1FDA" w:rsidRPr="002E3505">
        <w:rPr>
          <w:rFonts w:ascii="Arial" w:hAnsi="Arial" w:cs="Arial"/>
        </w:rPr>
        <w:t xml:space="preserve"> directorates there are plans in place to </w:t>
      </w:r>
      <w:r w:rsidR="0034692E" w:rsidRPr="002E3505">
        <w:rPr>
          <w:rFonts w:ascii="Arial" w:hAnsi="Arial" w:cs="Arial"/>
        </w:rPr>
        <w:t>increase the workforce by approximately 300 new posts</w:t>
      </w:r>
      <w:r w:rsidR="005A14F7" w:rsidRPr="002E3505">
        <w:rPr>
          <w:rFonts w:ascii="Arial" w:hAnsi="Arial" w:cs="Arial"/>
        </w:rPr>
        <w:t xml:space="preserve"> throughout the course of 2021/2022. </w:t>
      </w:r>
      <w:r w:rsidR="008F0926" w:rsidRPr="002E3505">
        <w:rPr>
          <w:rFonts w:ascii="Arial" w:hAnsi="Arial" w:cs="Arial"/>
        </w:rPr>
        <w:t xml:space="preserve">This growth covers a great variety of roles and disciplines, both clinical and </w:t>
      </w:r>
      <w:proofErr w:type="spellStart"/>
      <w:proofErr w:type="gramStart"/>
      <w:r w:rsidR="008F0926" w:rsidRPr="002E3505">
        <w:rPr>
          <w:rFonts w:ascii="Arial" w:hAnsi="Arial" w:cs="Arial"/>
        </w:rPr>
        <w:t>non clinical</w:t>
      </w:r>
      <w:proofErr w:type="spellEnd"/>
      <w:proofErr w:type="gramEnd"/>
      <w:r w:rsidR="008F0926" w:rsidRPr="002E3505">
        <w:rPr>
          <w:rFonts w:ascii="Arial" w:hAnsi="Arial" w:cs="Arial"/>
        </w:rPr>
        <w:t xml:space="preserve">. </w:t>
      </w:r>
      <w:r w:rsidR="00D122C7" w:rsidRPr="002E3505">
        <w:rPr>
          <w:rFonts w:ascii="Arial" w:hAnsi="Arial" w:cs="Arial"/>
        </w:rPr>
        <w:t xml:space="preserve">In order to meet these </w:t>
      </w:r>
      <w:r w:rsidR="004D7048" w:rsidRPr="002E3505">
        <w:rPr>
          <w:rFonts w:ascii="Arial" w:hAnsi="Arial" w:cs="Arial"/>
        </w:rPr>
        <w:t xml:space="preserve">ambitious </w:t>
      </w:r>
      <w:r w:rsidR="00D122C7" w:rsidRPr="002E3505">
        <w:rPr>
          <w:rFonts w:ascii="Arial" w:hAnsi="Arial" w:cs="Arial"/>
        </w:rPr>
        <w:t>expansion plan</w:t>
      </w:r>
      <w:r w:rsidR="00B12CCB" w:rsidRPr="002E3505">
        <w:rPr>
          <w:rFonts w:ascii="Arial" w:hAnsi="Arial" w:cs="Arial"/>
        </w:rPr>
        <w:t xml:space="preserve">s, OHFT are working alongside </w:t>
      </w:r>
      <w:r w:rsidR="00005C75" w:rsidRPr="002E3505">
        <w:rPr>
          <w:rFonts w:ascii="Arial" w:hAnsi="Arial" w:cs="Arial"/>
        </w:rPr>
        <w:t xml:space="preserve">other NHS and </w:t>
      </w:r>
      <w:proofErr w:type="gramStart"/>
      <w:r w:rsidR="00005C75" w:rsidRPr="002E3505">
        <w:rPr>
          <w:rFonts w:ascii="Arial" w:hAnsi="Arial" w:cs="Arial"/>
        </w:rPr>
        <w:t>non NHS</w:t>
      </w:r>
      <w:proofErr w:type="gramEnd"/>
      <w:r w:rsidR="00005C75" w:rsidRPr="002E3505">
        <w:rPr>
          <w:rFonts w:ascii="Arial" w:hAnsi="Arial" w:cs="Arial"/>
        </w:rPr>
        <w:t xml:space="preserve"> providers (including </w:t>
      </w:r>
      <w:proofErr w:type="spellStart"/>
      <w:r w:rsidR="00005C75" w:rsidRPr="002E3505">
        <w:rPr>
          <w:rFonts w:ascii="Arial" w:hAnsi="Arial" w:cs="Arial"/>
        </w:rPr>
        <w:t>VCSE</w:t>
      </w:r>
      <w:proofErr w:type="spellEnd"/>
      <w:r w:rsidR="00005C75" w:rsidRPr="002E3505">
        <w:rPr>
          <w:rFonts w:ascii="Arial" w:hAnsi="Arial" w:cs="Arial"/>
        </w:rPr>
        <w:t xml:space="preserve"> organisations) to identify opportunities for </w:t>
      </w:r>
      <w:r w:rsidR="009D4C2E" w:rsidRPr="002E3505">
        <w:rPr>
          <w:rFonts w:ascii="Arial" w:hAnsi="Arial" w:cs="Arial"/>
        </w:rPr>
        <w:t xml:space="preserve">outsourcing and subcontracting posts </w:t>
      </w:r>
      <w:r w:rsidR="00263F87" w:rsidRPr="002E3505">
        <w:rPr>
          <w:rFonts w:ascii="Arial" w:hAnsi="Arial" w:cs="Arial"/>
        </w:rPr>
        <w:t xml:space="preserve">and/or activity. To make OHFT a great place to work, there are retention and recruitment strategies in place that are underpinned by various plans and initiatives such as </w:t>
      </w:r>
      <w:r w:rsidR="00806A6D" w:rsidRPr="002E3505">
        <w:rPr>
          <w:rFonts w:ascii="Arial" w:hAnsi="Arial" w:cs="Arial"/>
        </w:rPr>
        <w:t xml:space="preserve">joint academic posts and incentivised </w:t>
      </w:r>
      <w:r w:rsidR="006E7ACE" w:rsidRPr="002E3505">
        <w:rPr>
          <w:rFonts w:ascii="Arial" w:hAnsi="Arial" w:cs="Arial"/>
        </w:rPr>
        <w:t>recruitment.</w:t>
      </w:r>
    </w:p>
    <w:p w14:paraId="19161B34" w14:textId="77777777" w:rsidR="000A28F9" w:rsidRPr="002E3505" w:rsidRDefault="000A28F9" w:rsidP="002E3505">
      <w:pPr>
        <w:spacing w:after="0" w:line="240" w:lineRule="auto"/>
        <w:rPr>
          <w:rFonts w:ascii="Arial" w:hAnsi="Arial" w:cs="Arial"/>
        </w:rPr>
      </w:pPr>
    </w:p>
    <w:p w14:paraId="5B0C5CD0" w14:textId="0DB587E1" w:rsidR="003C1638" w:rsidRDefault="008F64C1" w:rsidP="002E3505">
      <w:pPr>
        <w:spacing w:after="0" w:line="240" w:lineRule="auto"/>
        <w:rPr>
          <w:rFonts w:ascii="Arial" w:hAnsi="Arial" w:cs="Arial"/>
        </w:rPr>
      </w:pPr>
      <w:r w:rsidRPr="002E3505">
        <w:rPr>
          <w:rFonts w:ascii="Arial" w:hAnsi="Arial" w:cs="Arial"/>
        </w:rPr>
        <w:t>Over the last 2 years OHFT</w:t>
      </w:r>
      <w:r w:rsidR="00640C27" w:rsidRPr="002E3505">
        <w:rPr>
          <w:rFonts w:ascii="Arial" w:hAnsi="Arial" w:cs="Arial"/>
        </w:rPr>
        <w:t xml:space="preserve"> have </w:t>
      </w:r>
      <w:r w:rsidR="00B86D7A" w:rsidRPr="002E3505">
        <w:rPr>
          <w:rFonts w:ascii="Arial" w:hAnsi="Arial" w:cs="Arial"/>
        </w:rPr>
        <w:t>increased budgeted and actual staff in post</w:t>
      </w:r>
      <w:r w:rsidR="004D0A73" w:rsidRPr="002E3505">
        <w:rPr>
          <w:rFonts w:ascii="Arial" w:hAnsi="Arial" w:cs="Arial"/>
        </w:rPr>
        <w:t xml:space="preserve"> in Buckinghamshire and Oxfordshire and </w:t>
      </w:r>
      <w:proofErr w:type="spellStart"/>
      <w:r w:rsidR="004D0A73" w:rsidRPr="002E3505">
        <w:rPr>
          <w:rFonts w:ascii="Arial" w:hAnsi="Arial" w:cs="Arial"/>
        </w:rPr>
        <w:t>BSW</w:t>
      </w:r>
      <w:proofErr w:type="spellEnd"/>
      <w:r w:rsidR="00EA5723" w:rsidRPr="002E3505">
        <w:rPr>
          <w:rFonts w:ascii="Arial" w:hAnsi="Arial" w:cs="Arial"/>
        </w:rPr>
        <w:t xml:space="preserve">. </w:t>
      </w:r>
      <w:r w:rsidR="007912F3" w:rsidRPr="002E3505">
        <w:rPr>
          <w:rFonts w:ascii="Arial" w:hAnsi="Arial" w:cs="Arial"/>
        </w:rPr>
        <w:t xml:space="preserve">Whilst this is welcome progress in terms of expansion, the rate at which new or replacement </w:t>
      </w:r>
      <w:r w:rsidR="001A6611" w:rsidRPr="002E3505">
        <w:rPr>
          <w:rFonts w:ascii="Arial" w:hAnsi="Arial" w:cs="Arial"/>
        </w:rPr>
        <w:t>posts are filled is</w:t>
      </w:r>
      <w:r w:rsidR="00E96791" w:rsidRPr="002E3505">
        <w:rPr>
          <w:rFonts w:ascii="Arial" w:hAnsi="Arial" w:cs="Arial"/>
        </w:rPr>
        <w:t xml:space="preserve"> lower than the rate at which </w:t>
      </w:r>
      <w:r w:rsidR="0086173B" w:rsidRPr="002E3505">
        <w:rPr>
          <w:rFonts w:ascii="Arial" w:hAnsi="Arial" w:cs="Arial"/>
        </w:rPr>
        <w:t xml:space="preserve">new posts are </w:t>
      </w:r>
      <w:r w:rsidR="0094282D" w:rsidRPr="002E3505">
        <w:rPr>
          <w:rFonts w:ascii="Arial" w:hAnsi="Arial" w:cs="Arial"/>
        </w:rPr>
        <w:t>coming onlin</w:t>
      </w:r>
      <w:r w:rsidR="0074184B" w:rsidRPr="002E3505">
        <w:rPr>
          <w:rFonts w:ascii="Arial" w:hAnsi="Arial" w:cs="Arial"/>
        </w:rPr>
        <w:t xml:space="preserve">e, as demonstrated in </w:t>
      </w:r>
      <w:r w:rsidR="008A313D" w:rsidRPr="002E3505">
        <w:rPr>
          <w:rFonts w:ascii="Arial" w:hAnsi="Arial" w:cs="Arial"/>
          <w:b/>
          <w:bCs/>
        </w:rPr>
        <w:t>Figure</w:t>
      </w:r>
      <w:r w:rsidR="0074184B" w:rsidRPr="002E3505">
        <w:rPr>
          <w:rFonts w:ascii="Arial" w:hAnsi="Arial" w:cs="Arial"/>
          <w:b/>
          <w:bCs/>
        </w:rPr>
        <w:t xml:space="preserve"> </w:t>
      </w:r>
      <w:r w:rsidR="00BE524D" w:rsidRPr="002E3505">
        <w:rPr>
          <w:rFonts w:ascii="Arial" w:hAnsi="Arial" w:cs="Arial"/>
          <w:b/>
          <w:bCs/>
        </w:rPr>
        <w:t>11</w:t>
      </w:r>
      <w:r w:rsidR="00AF407D" w:rsidRPr="002E3505">
        <w:rPr>
          <w:rFonts w:ascii="Arial" w:hAnsi="Arial" w:cs="Arial"/>
        </w:rPr>
        <w:t xml:space="preserve">. Vacant posts are risk assessed and </w:t>
      </w:r>
      <w:proofErr w:type="gramStart"/>
      <w:r w:rsidR="00AF407D" w:rsidRPr="002E3505">
        <w:rPr>
          <w:rFonts w:ascii="Arial" w:hAnsi="Arial" w:cs="Arial"/>
        </w:rPr>
        <w:t>where</w:t>
      </w:r>
      <w:proofErr w:type="gramEnd"/>
      <w:r w:rsidR="00AF407D" w:rsidRPr="002E3505">
        <w:rPr>
          <w:rFonts w:ascii="Arial" w:hAnsi="Arial" w:cs="Arial"/>
        </w:rPr>
        <w:t xml:space="preserve"> considered essential, will be filled by either bank or agency staff in line </w:t>
      </w:r>
      <w:r w:rsidR="003C1638" w:rsidRPr="002E3505">
        <w:rPr>
          <w:rFonts w:ascii="Arial" w:hAnsi="Arial" w:cs="Arial"/>
        </w:rPr>
        <w:t>with the established frameworks where possible.</w:t>
      </w:r>
    </w:p>
    <w:p w14:paraId="1365B8CD" w14:textId="3388446B" w:rsidR="0074184B" w:rsidRPr="002E3505" w:rsidRDefault="0074184B" w:rsidP="002E3505">
      <w:pPr>
        <w:spacing w:after="0" w:line="240" w:lineRule="auto"/>
        <w:rPr>
          <w:rFonts w:ascii="Arial" w:hAnsi="Arial" w:cs="Arial"/>
        </w:rPr>
      </w:pPr>
    </w:p>
    <w:tbl>
      <w:tblPr>
        <w:tblpPr w:leftFromText="180" w:rightFromText="180" w:vertAnchor="text" w:horzAnchor="margin" w:tblpY="-129"/>
        <w:tblW w:w="9993" w:type="dxa"/>
        <w:tblLayout w:type="fixed"/>
        <w:tblLook w:val="0600" w:firstRow="0" w:lastRow="0" w:firstColumn="0" w:lastColumn="0" w:noHBand="1" w:noVBand="1"/>
      </w:tblPr>
      <w:tblGrid>
        <w:gridCol w:w="728"/>
        <w:gridCol w:w="1001"/>
        <w:gridCol w:w="774"/>
        <w:gridCol w:w="778"/>
        <w:gridCol w:w="620"/>
        <w:gridCol w:w="1001"/>
        <w:gridCol w:w="672"/>
        <w:gridCol w:w="778"/>
        <w:gridCol w:w="620"/>
        <w:gridCol w:w="1001"/>
        <w:gridCol w:w="622"/>
        <w:gridCol w:w="778"/>
        <w:gridCol w:w="620"/>
      </w:tblGrid>
      <w:tr w:rsidR="00AF407D" w:rsidRPr="003C1638" w14:paraId="4165AF1B" w14:textId="77777777" w:rsidTr="00692AF0">
        <w:trPr>
          <w:trHeight w:val="299"/>
        </w:trPr>
        <w:tc>
          <w:tcPr>
            <w:tcW w:w="7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bottom"/>
            <w:hideMark/>
          </w:tcPr>
          <w:p w14:paraId="4396FEBC" w14:textId="77777777" w:rsidR="00AF407D" w:rsidRPr="003C1638" w:rsidRDefault="00AF407D" w:rsidP="002E3505">
            <w:pPr>
              <w:spacing w:after="0" w:line="240" w:lineRule="auto"/>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 </w:t>
            </w:r>
          </w:p>
        </w:tc>
        <w:tc>
          <w:tcPr>
            <w:tcW w:w="3173" w:type="dxa"/>
            <w:gridSpan w:val="4"/>
            <w:tcBorders>
              <w:top w:val="single" w:sz="4" w:space="0" w:color="000000"/>
              <w:left w:val="nil"/>
              <w:bottom w:val="single" w:sz="4" w:space="0" w:color="000000"/>
              <w:right w:val="single" w:sz="4" w:space="0" w:color="000000"/>
            </w:tcBorders>
            <w:shd w:val="clear" w:color="auto" w:fill="B4C6E7" w:themeFill="accent1" w:themeFillTint="66"/>
            <w:vAlign w:val="bottom"/>
            <w:hideMark/>
          </w:tcPr>
          <w:p w14:paraId="12B75787"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Mar-19</w:t>
            </w:r>
          </w:p>
        </w:tc>
        <w:tc>
          <w:tcPr>
            <w:tcW w:w="3071" w:type="dxa"/>
            <w:gridSpan w:val="4"/>
            <w:tcBorders>
              <w:top w:val="single" w:sz="4" w:space="0" w:color="000000"/>
              <w:left w:val="nil"/>
              <w:bottom w:val="single" w:sz="4" w:space="0" w:color="000000"/>
              <w:right w:val="single" w:sz="4" w:space="0" w:color="000000"/>
            </w:tcBorders>
            <w:shd w:val="clear" w:color="auto" w:fill="B4C6E7" w:themeFill="accent1" w:themeFillTint="66"/>
            <w:vAlign w:val="bottom"/>
            <w:hideMark/>
          </w:tcPr>
          <w:p w14:paraId="1EA598BB"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Mar-20</w:t>
            </w:r>
          </w:p>
        </w:tc>
        <w:tc>
          <w:tcPr>
            <w:tcW w:w="3021" w:type="dxa"/>
            <w:gridSpan w:val="4"/>
            <w:tcBorders>
              <w:top w:val="single" w:sz="4" w:space="0" w:color="000000"/>
              <w:left w:val="nil"/>
              <w:bottom w:val="single" w:sz="4" w:space="0" w:color="000000"/>
              <w:right w:val="single" w:sz="4" w:space="0" w:color="000000"/>
            </w:tcBorders>
            <w:shd w:val="clear" w:color="auto" w:fill="B4C6E7" w:themeFill="accent1" w:themeFillTint="66"/>
            <w:vAlign w:val="bottom"/>
            <w:hideMark/>
          </w:tcPr>
          <w:p w14:paraId="51E10ABC"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Mar-21</w:t>
            </w:r>
          </w:p>
        </w:tc>
      </w:tr>
      <w:tr w:rsidR="00692AF0" w:rsidRPr="003C1638" w14:paraId="07EF2E03" w14:textId="77777777" w:rsidTr="00692AF0">
        <w:trPr>
          <w:trHeight w:val="361"/>
        </w:trPr>
        <w:tc>
          <w:tcPr>
            <w:tcW w:w="728" w:type="dxa"/>
            <w:tcBorders>
              <w:top w:val="nil"/>
              <w:left w:val="single" w:sz="4" w:space="0" w:color="000000"/>
              <w:bottom w:val="single" w:sz="4" w:space="0" w:color="000000"/>
              <w:right w:val="single" w:sz="4" w:space="0" w:color="000000"/>
            </w:tcBorders>
            <w:shd w:val="clear" w:color="auto" w:fill="B4C6E7" w:themeFill="accent1" w:themeFillTint="66"/>
            <w:vAlign w:val="bottom"/>
            <w:hideMark/>
          </w:tcPr>
          <w:p w14:paraId="74FB6C5B" w14:textId="77777777" w:rsidR="00AF407D" w:rsidRPr="003C1638" w:rsidRDefault="00AF407D" w:rsidP="002E3505">
            <w:pPr>
              <w:spacing w:after="0" w:line="240" w:lineRule="auto"/>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 </w:t>
            </w:r>
          </w:p>
        </w:tc>
        <w:tc>
          <w:tcPr>
            <w:tcW w:w="1001" w:type="dxa"/>
            <w:tcBorders>
              <w:top w:val="nil"/>
              <w:left w:val="nil"/>
              <w:bottom w:val="single" w:sz="4" w:space="0" w:color="000000"/>
              <w:right w:val="single" w:sz="4" w:space="0" w:color="000000"/>
            </w:tcBorders>
            <w:shd w:val="clear" w:color="auto" w:fill="B4C6E7" w:themeFill="accent1" w:themeFillTint="66"/>
            <w:vAlign w:val="bottom"/>
            <w:hideMark/>
          </w:tcPr>
          <w:p w14:paraId="6C78DF2F"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 xml:space="preserve">Budgeted </w:t>
            </w:r>
            <w:proofErr w:type="spellStart"/>
            <w:r w:rsidRPr="003C1638">
              <w:rPr>
                <w:rFonts w:ascii="Arial" w:eastAsia="Times New Roman" w:hAnsi="Arial" w:cs="Arial"/>
                <w:color w:val="000000"/>
                <w:sz w:val="18"/>
                <w:szCs w:val="18"/>
                <w:lang w:eastAsia="en-GB"/>
              </w:rPr>
              <w:t>WTE</w:t>
            </w:r>
            <w:proofErr w:type="spellEnd"/>
          </w:p>
        </w:tc>
        <w:tc>
          <w:tcPr>
            <w:tcW w:w="774" w:type="dxa"/>
            <w:tcBorders>
              <w:top w:val="nil"/>
              <w:left w:val="nil"/>
              <w:bottom w:val="single" w:sz="4" w:space="0" w:color="000000"/>
              <w:right w:val="single" w:sz="4" w:space="0" w:color="000000"/>
            </w:tcBorders>
            <w:shd w:val="clear" w:color="auto" w:fill="B4C6E7" w:themeFill="accent1" w:themeFillTint="66"/>
            <w:vAlign w:val="bottom"/>
            <w:hideMark/>
          </w:tcPr>
          <w:p w14:paraId="7416FF4A"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In post</w:t>
            </w:r>
          </w:p>
        </w:tc>
        <w:tc>
          <w:tcPr>
            <w:tcW w:w="778" w:type="dxa"/>
            <w:tcBorders>
              <w:top w:val="nil"/>
              <w:left w:val="nil"/>
              <w:bottom w:val="single" w:sz="4" w:space="0" w:color="000000"/>
              <w:right w:val="single" w:sz="4" w:space="0" w:color="000000"/>
            </w:tcBorders>
            <w:shd w:val="clear" w:color="auto" w:fill="B4C6E7" w:themeFill="accent1" w:themeFillTint="66"/>
            <w:vAlign w:val="bottom"/>
            <w:hideMark/>
          </w:tcPr>
          <w:p w14:paraId="314CA568"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Vacant posts</w:t>
            </w:r>
          </w:p>
        </w:tc>
        <w:tc>
          <w:tcPr>
            <w:tcW w:w="620" w:type="dxa"/>
            <w:tcBorders>
              <w:top w:val="nil"/>
              <w:left w:val="nil"/>
              <w:bottom w:val="single" w:sz="4" w:space="0" w:color="000000"/>
              <w:right w:val="single" w:sz="4" w:space="0" w:color="000000"/>
            </w:tcBorders>
            <w:shd w:val="clear" w:color="auto" w:fill="B4C6E7" w:themeFill="accent1" w:themeFillTint="66"/>
            <w:vAlign w:val="bottom"/>
            <w:hideMark/>
          </w:tcPr>
          <w:p w14:paraId="6472536E"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 xml:space="preserve">% </w:t>
            </w:r>
            <w:proofErr w:type="gramStart"/>
            <w:r w:rsidRPr="003C1638">
              <w:rPr>
                <w:rFonts w:ascii="Arial" w:eastAsia="Times New Roman" w:hAnsi="Arial" w:cs="Arial"/>
                <w:color w:val="000000"/>
                <w:sz w:val="18"/>
                <w:szCs w:val="18"/>
                <w:lang w:eastAsia="en-GB"/>
              </w:rPr>
              <w:t>filled</w:t>
            </w:r>
            <w:proofErr w:type="gramEnd"/>
          </w:p>
        </w:tc>
        <w:tc>
          <w:tcPr>
            <w:tcW w:w="1001" w:type="dxa"/>
            <w:tcBorders>
              <w:top w:val="nil"/>
              <w:left w:val="nil"/>
              <w:bottom w:val="single" w:sz="4" w:space="0" w:color="000000"/>
              <w:right w:val="single" w:sz="4" w:space="0" w:color="000000"/>
            </w:tcBorders>
            <w:shd w:val="clear" w:color="auto" w:fill="B4C6E7" w:themeFill="accent1" w:themeFillTint="66"/>
            <w:vAlign w:val="bottom"/>
            <w:hideMark/>
          </w:tcPr>
          <w:p w14:paraId="10F79C33"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 xml:space="preserve">Budgeted </w:t>
            </w:r>
            <w:proofErr w:type="spellStart"/>
            <w:r w:rsidRPr="003C1638">
              <w:rPr>
                <w:rFonts w:ascii="Arial" w:eastAsia="Times New Roman" w:hAnsi="Arial" w:cs="Arial"/>
                <w:color w:val="000000"/>
                <w:sz w:val="18"/>
                <w:szCs w:val="18"/>
                <w:lang w:eastAsia="en-GB"/>
              </w:rPr>
              <w:t>WTE</w:t>
            </w:r>
            <w:proofErr w:type="spellEnd"/>
          </w:p>
        </w:tc>
        <w:tc>
          <w:tcPr>
            <w:tcW w:w="672" w:type="dxa"/>
            <w:tcBorders>
              <w:top w:val="nil"/>
              <w:left w:val="nil"/>
              <w:bottom w:val="single" w:sz="4" w:space="0" w:color="000000"/>
              <w:right w:val="single" w:sz="4" w:space="0" w:color="000000"/>
            </w:tcBorders>
            <w:shd w:val="clear" w:color="auto" w:fill="B4C6E7" w:themeFill="accent1" w:themeFillTint="66"/>
            <w:vAlign w:val="bottom"/>
            <w:hideMark/>
          </w:tcPr>
          <w:p w14:paraId="062FFFF6"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In post</w:t>
            </w:r>
          </w:p>
        </w:tc>
        <w:tc>
          <w:tcPr>
            <w:tcW w:w="778" w:type="dxa"/>
            <w:tcBorders>
              <w:top w:val="nil"/>
              <w:left w:val="nil"/>
              <w:bottom w:val="single" w:sz="4" w:space="0" w:color="000000"/>
              <w:right w:val="single" w:sz="4" w:space="0" w:color="000000"/>
            </w:tcBorders>
            <w:shd w:val="clear" w:color="auto" w:fill="B4C6E7" w:themeFill="accent1" w:themeFillTint="66"/>
            <w:vAlign w:val="bottom"/>
            <w:hideMark/>
          </w:tcPr>
          <w:p w14:paraId="7A7B3304"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Vacant posts</w:t>
            </w:r>
          </w:p>
        </w:tc>
        <w:tc>
          <w:tcPr>
            <w:tcW w:w="620" w:type="dxa"/>
            <w:tcBorders>
              <w:top w:val="nil"/>
              <w:left w:val="nil"/>
              <w:bottom w:val="single" w:sz="4" w:space="0" w:color="000000"/>
              <w:right w:val="single" w:sz="4" w:space="0" w:color="000000"/>
            </w:tcBorders>
            <w:shd w:val="clear" w:color="auto" w:fill="B4C6E7" w:themeFill="accent1" w:themeFillTint="66"/>
            <w:vAlign w:val="bottom"/>
            <w:hideMark/>
          </w:tcPr>
          <w:p w14:paraId="63611890"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 xml:space="preserve">% </w:t>
            </w:r>
            <w:proofErr w:type="gramStart"/>
            <w:r w:rsidRPr="003C1638">
              <w:rPr>
                <w:rFonts w:ascii="Arial" w:eastAsia="Times New Roman" w:hAnsi="Arial" w:cs="Arial"/>
                <w:color w:val="000000"/>
                <w:sz w:val="18"/>
                <w:szCs w:val="18"/>
                <w:lang w:eastAsia="en-GB"/>
              </w:rPr>
              <w:t>filled</w:t>
            </w:r>
            <w:proofErr w:type="gramEnd"/>
          </w:p>
        </w:tc>
        <w:tc>
          <w:tcPr>
            <w:tcW w:w="1001" w:type="dxa"/>
            <w:tcBorders>
              <w:top w:val="nil"/>
              <w:left w:val="nil"/>
              <w:bottom w:val="single" w:sz="4" w:space="0" w:color="000000"/>
              <w:right w:val="single" w:sz="4" w:space="0" w:color="000000"/>
            </w:tcBorders>
            <w:shd w:val="clear" w:color="auto" w:fill="B4C6E7" w:themeFill="accent1" w:themeFillTint="66"/>
            <w:vAlign w:val="bottom"/>
            <w:hideMark/>
          </w:tcPr>
          <w:p w14:paraId="1EF82CBF"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 xml:space="preserve">Budgeted </w:t>
            </w:r>
            <w:proofErr w:type="spellStart"/>
            <w:r w:rsidRPr="003C1638">
              <w:rPr>
                <w:rFonts w:ascii="Arial" w:eastAsia="Times New Roman" w:hAnsi="Arial" w:cs="Arial"/>
                <w:color w:val="000000"/>
                <w:sz w:val="18"/>
                <w:szCs w:val="18"/>
                <w:lang w:eastAsia="en-GB"/>
              </w:rPr>
              <w:t>WTE</w:t>
            </w:r>
            <w:proofErr w:type="spellEnd"/>
          </w:p>
        </w:tc>
        <w:tc>
          <w:tcPr>
            <w:tcW w:w="622" w:type="dxa"/>
            <w:tcBorders>
              <w:top w:val="nil"/>
              <w:left w:val="nil"/>
              <w:bottom w:val="single" w:sz="4" w:space="0" w:color="000000"/>
              <w:right w:val="single" w:sz="4" w:space="0" w:color="000000"/>
            </w:tcBorders>
            <w:shd w:val="clear" w:color="auto" w:fill="B4C6E7" w:themeFill="accent1" w:themeFillTint="66"/>
            <w:vAlign w:val="bottom"/>
            <w:hideMark/>
          </w:tcPr>
          <w:p w14:paraId="31D96C76"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In post</w:t>
            </w:r>
          </w:p>
        </w:tc>
        <w:tc>
          <w:tcPr>
            <w:tcW w:w="778" w:type="dxa"/>
            <w:tcBorders>
              <w:top w:val="nil"/>
              <w:left w:val="nil"/>
              <w:bottom w:val="single" w:sz="4" w:space="0" w:color="000000"/>
              <w:right w:val="single" w:sz="4" w:space="0" w:color="000000"/>
            </w:tcBorders>
            <w:shd w:val="clear" w:color="auto" w:fill="B4C6E7" w:themeFill="accent1" w:themeFillTint="66"/>
            <w:vAlign w:val="bottom"/>
            <w:hideMark/>
          </w:tcPr>
          <w:p w14:paraId="7D22B2DF"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Vacant posts</w:t>
            </w:r>
          </w:p>
        </w:tc>
        <w:tc>
          <w:tcPr>
            <w:tcW w:w="620" w:type="dxa"/>
            <w:tcBorders>
              <w:top w:val="nil"/>
              <w:left w:val="nil"/>
              <w:bottom w:val="single" w:sz="4" w:space="0" w:color="000000"/>
              <w:right w:val="single" w:sz="4" w:space="0" w:color="000000"/>
            </w:tcBorders>
            <w:shd w:val="clear" w:color="auto" w:fill="B4C6E7" w:themeFill="accent1" w:themeFillTint="66"/>
            <w:vAlign w:val="bottom"/>
            <w:hideMark/>
          </w:tcPr>
          <w:p w14:paraId="37350435"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 xml:space="preserve">% </w:t>
            </w:r>
            <w:proofErr w:type="gramStart"/>
            <w:r w:rsidRPr="003C1638">
              <w:rPr>
                <w:rFonts w:ascii="Arial" w:eastAsia="Times New Roman" w:hAnsi="Arial" w:cs="Arial"/>
                <w:color w:val="000000"/>
                <w:sz w:val="18"/>
                <w:szCs w:val="18"/>
                <w:lang w:eastAsia="en-GB"/>
              </w:rPr>
              <w:t>filled</w:t>
            </w:r>
            <w:proofErr w:type="gramEnd"/>
          </w:p>
        </w:tc>
      </w:tr>
      <w:tr w:rsidR="00AF407D" w:rsidRPr="003C1638" w14:paraId="6480F509" w14:textId="77777777" w:rsidTr="00692AF0">
        <w:trPr>
          <w:trHeight w:val="299"/>
        </w:trPr>
        <w:tc>
          <w:tcPr>
            <w:tcW w:w="728" w:type="dxa"/>
            <w:tcBorders>
              <w:top w:val="nil"/>
              <w:left w:val="single" w:sz="4" w:space="0" w:color="000000"/>
              <w:bottom w:val="single" w:sz="4" w:space="0" w:color="000000"/>
              <w:right w:val="single" w:sz="4" w:space="0" w:color="000000"/>
            </w:tcBorders>
            <w:shd w:val="clear" w:color="auto" w:fill="auto"/>
            <w:vAlign w:val="bottom"/>
            <w:hideMark/>
          </w:tcPr>
          <w:p w14:paraId="7DC4EAE0" w14:textId="77777777" w:rsidR="00AF407D" w:rsidRPr="003C1638" w:rsidRDefault="00AF407D" w:rsidP="002E3505">
            <w:pPr>
              <w:spacing w:after="0" w:line="240" w:lineRule="auto"/>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Bucks</w:t>
            </w:r>
          </w:p>
        </w:tc>
        <w:tc>
          <w:tcPr>
            <w:tcW w:w="1001" w:type="dxa"/>
            <w:tcBorders>
              <w:top w:val="nil"/>
              <w:left w:val="nil"/>
              <w:bottom w:val="single" w:sz="4" w:space="0" w:color="000000"/>
              <w:right w:val="single" w:sz="4" w:space="0" w:color="000000"/>
            </w:tcBorders>
            <w:shd w:val="clear" w:color="auto" w:fill="auto"/>
            <w:vAlign w:val="bottom"/>
            <w:hideMark/>
          </w:tcPr>
          <w:p w14:paraId="06737FA6"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681.7</w:t>
            </w:r>
          </w:p>
        </w:tc>
        <w:tc>
          <w:tcPr>
            <w:tcW w:w="774" w:type="dxa"/>
            <w:tcBorders>
              <w:top w:val="nil"/>
              <w:left w:val="nil"/>
              <w:bottom w:val="single" w:sz="4" w:space="0" w:color="000000"/>
              <w:right w:val="single" w:sz="4" w:space="0" w:color="000000"/>
            </w:tcBorders>
            <w:shd w:val="clear" w:color="auto" w:fill="auto"/>
            <w:vAlign w:val="center"/>
            <w:hideMark/>
          </w:tcPr>
          <w:p w14:paraId="17F4C8EA"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593.8</w:t>
            </w:r>
          </w:p>
        </w:tc>
        <w:tc>
          <w:tcPr>
            <w:tcW w:w="778" w:type="dxa"/>
            <w:tcBorders>
              <w:top w:val="nil"/>
              <w:left w:val="nil"/>
              <w:bottom w:val="single" w:sz="4" w:space="0" w:color="000000"/>
              <w:right w:val="single" w:sz="4" w:space="0" w:color="000000"/>
            </w:tcBorders>
            <w:shd w:val="clear" w:color="auto" w:fill="auto"/>
            <w:vAlign w:val="center"/>
            <w:hideMark/>
          </w:tcPr>
          <w:p w14:paraId="24CC8909"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87.9</w:t>
            </w:r>
          </w:p>
        </w:tc>
        <w:tc>
          <w:tcPr>
            <w:tcW w:w="620" w:type="dxa"/>
            <w:tcBorders>
              <w:top w:val="nil"/>
              <w:left w:val="nil"/>
              <w:bottom w:val="single" w:sz="4" w:space="0" w:color="000000"/>
              <w:right w:val="single" w:sz="4" w:space="0" w:color="000000"/>
            </w:tcBorders>
            <w:shd w:val="clear" w:color="auto" w:fill="auto"/>
            <w:vAlign w:val="bottom"/>
            <w:hideMark/>
          </w:tcPr>
          <w:p w14:paraId="55B1D172"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87%</w:t>
            </w:r>
          </w:p>
        </w:tc>
        <w:tc>
          <w:tcPr>
            <w:tcW w:w="1001" w:type="dxa"/>
            <w:tcBorders>
              <w:top w:val="nil"/>
              <w:left w:val="nil"/>
              <w:bottom w:val="single" w:sz="4" w:space="0" w:color="000000"/>
              <w:right w:val="single" w:sz="4" w:space="0" w:color="000000"/>
            </w:tcBorders>
            <w:shd w:val="clear" w:color="auto" w:fill="auto"/>
            <w:vAlign w:val="bottom"/>
            <w:hideMark/>
          </w:tcPr>
          <w:p w14:paraId="21BCDE94"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737.7</w:t>
            </w:r>
          </w:p>
        </w:tc>
        <w:tc>
          <w:tcPr>
            <w:tcW w:w="672" w:type="dxa"/>
            <w:tcBorders>
              <w:top w:val="nil"/>
              <w:left w:val="nil"/>
              <w:bottom w:val="single" w:sz="4" w:space="0" w:color="000000"/>
              <w:right w:val="single" w:sz="4" w:space="0" w:color="000000"/>
            </w:tcBorders>
            <w:shd w:val="clear" w:color="auto" w:fill="auto"/>
            <w:vAlign w:val="center"/>
            <w:hideMark/>
          </w:tcPr>
          <w:p w14:paraId="65B39746"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620.6</w:t>
            </w:r>
          </w:p>
        </w:tc>
        <w:tc>
          <w:tcPr>
            <w:tcW w:w="778" w:type="dxa"/>
            <w:tcBorders>
              <w:top w:val="nil"/>
              <w:left w:val="nil"/>
              <w:bottom w:val="single" w:sz="4" w:space="0" w:color="000000"/>
              <w:right w:val="single" w:sz="4" w:space="0" w:color="000000"/>
            </w:tcBorders>
            <w:shd w:val="clear" w:color="auto" w:fill="auto"/>
            <w:vAlign w:val="center"/>
            <w:hideMark/>
          </w:tcPr>
          <w:p w14:paraId="35BF4B85"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117</w:t>
            </w:r>
          </w:p>
        </w:tc>
        <w:tc>
          <w:tcPr>
            <w:tcW w:w="620" w:type="dxa"/>
            <w:tcBorders>
              <w:top w:val="nil"/>
              <w:left w:val="nil"/>
              <w:bottom w:val="single" w:sz="4" w:space="0" w:color="000000"/>
              <w:right w:val="single" w:sz="4" w:space="0" w:color="000000"/>
            </w:tcBorders>
            <w:shd w:val="clear" w:color="auto" w:fill="auto"/>
            <w:vAlign w:val="bottom"/>
            <w:hideMark/>
          </w:tcPr>
          <w:p w14:paraId="06C10729"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84%</w:t>
            </w:r>
          </w:p>
        </w:tc>
        <w:tc>
          <w:tcPr>
            <w:tcW w:w="1001" w:type="dxa"/>
            <w:tcBorders>
              <w:top w:val="nil"/>
              <w:left w:val="nil"/>
              <w:bottom w:val="single" w:sz="4" w:space="0" w:color="000000"/>
              <w:right w:val="single" w:sz="4" w:space="0" w:color="000000"/>
            </w:tcBorders>
            <w:shd w:val="clear" w:color="auto" w:fill="auto"/>
            <w:vAlign w:val="bottom"/>
            <w:hideMark/>
          </w:tcPr>
          <w:p w14:paraId="363C5B34"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857.5</w:t>
            </w:r>
          </w:p>
        </w:tc>
        <w:tc>
          <w:tcPr>
            <w:tcW w:w="622" w:type="dxa"/>
            <w:tcBorders>
              <w:top w:val="nil"/>
              <w:left w:val="nil"/>
              <w:bottom w:val="single" w:sz="4" w:space="0" w:color="000000"/>
              <w:right w:val="single" w:sz="4" w:space="0" w:color="000000"/>
            </w:tcBorders>
            <w:shd w:val="clear" w:color="auto" w:fill="auto"/>
            <w:vAlign w:val="bottom"/>
            <w:hideMark/>
          </w:tcPr>
          <w:p w14:paraId="4483B348"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747</w:t>
            </w:r>
          </w:p>
        </w:tc>
        <w:tc>
          <w:tcPr>
            <w:tcW w:w="778" w:type="dxa"/>
            <w:tcBorders>
              <w:top w:val="nil"/>
              <w:left w:val="nil"/>
              <w:bottom w:val="single" w:sz="4" w:space="0" w:color="000000"/>
              <w:right w:val="single" w:sz="4" w:space="0" w:color="000000"/>
            </w:tcBorders>
            <w:shd w:val="clear" w:color="auto" w:fill="auto"/>
            <w:vAlign w:val="bottom"/>
            <w:hideMark/>
          </w:tcPr>
          <w:p w14:paraId="0B819F63"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110</w:t>
            </w:r>
          </w:p>
        </w:tc>
        <w:tc>
          <w:tcPr>
            <w:tcW w:w="620" w:type="dxa"/>
            <w:tcBorders>
              <w:top w:val="nil"/>
              <w:left w:val="nil"/>
              <w:bottom w:val="single" w:sz="4" w:space="0" w:color="000000"/>
              <w:right w:val="single" w:sz="4" w:space="0" w:color="000000"/>
            </w:tcBorders>
            <w:shd w:val="clear" w:color="auto" w:fill="auto"/>
            <w:vAlign w:val="bottom"/>
            <w:hideMark/>
          </w:tcPr>
          <w:p w14:paraId="06CC3E5C"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87%</w:t>
            </w:r>
          </w:p>
        </w:tc>
      </w:tr>
      <w:tr w:rsidR="00AF407D" w:rsidRPr="003C1638" w14:paraId="17403F56" w14:textId="77777777" w:rsidTr="00692AF0">
        <w:trPr>
          <w:trHeight w:val="299"/>
        </w:trPr>
        <w:tc>
          <w:tcPr>
            <w:tcW w:w="728" w:type="dxa"/>
            <w:tcBorders>
              <w:top w:val="nil"/>
              <w:left w:val="single" w:sz="4" w:space="0" w:color="000000"/>
              <w:bottom w:val="single" w:sz="4" w:space="0" w:color="000000"/>
              <w:right w:val="single" w:sz="4" w:space="0" w:color="000000"/>
            </w:tcBorders>
            <w:shd w:val="clear" w:color="auto" w:fill="auto"/>
            <w:vAlign w:val="bottom"/>
            <w:hideMark/>
          </w:tcPr>
          <w:p w14:paraId="42453B27" w14:textId="77777777" w:rsidR="00AF407D" w:rsidRPr="003C1638" w:rsidRDefault="00AF407D" w:rsidP="002E3505">
            <w:pPr>
              <w:spacing w:after="0" w:line="240" w:lineRule="auto"/>
              <w:rPr>
                <w:rFonts w:ascii="Arial" w:eastAsia="Times New Roman" w:hAnsi="Arial" w:cs="Arial"/>
                <w:color w:val="000000"/>
                <w:sz w:val="18"/>
                <w:szCs w:val="18"/>
                <w:lang w:eastAsia="en-GB"/>
              </w:rPr>
            </w:pPr>
            <w:proofErr w:type="spellStart"/>
            <w:r w:rsidRPr="003C1638">
              <w:rPr>
                <w:rFonts w:ascii="Arial" w:eastAsia="Times New Roman" w:hAnsi="Arial" w:cs="Arial"/>
                <w:color w:val="000000"/>
                <w:sz w:val="18"/>
                <w:szCs w:val="18"/>
                <w:lang w:eastAsia="en-GB"/>
              </w:rPr>
              <w:t>OBSW</w:t>
            </w:r>
            <w:proofErr w:type="spellEnd"/>
          </w:p>
        </w:tc>
        <w:tc>
          <w:tcPr>
            <w:tcW w:w="1001" w:type="dxa"/>
            <w:tcBorders>
              <w:top w:val="nil"/>
              <w:left w:val="nil"/>
              <w:bottom w:val="single" w:sz="4" w:space="0" w:color="000000"/>
              <w:right w:val="single" w:sz="4" w:space="0" w:color="000000"/>
            </w:tcBorders>
            <w:shd w:val="clear" w:color="auto" w:fill="auto"/>
            <w:vAlign w:val="bottom"/>
            <w:hideMark/>
          </w:tcPr>
          <w:p w14:paraId="74FB1BAF"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1271.6</w:t>
            </w:r>
          </w:p>
        </w:tc>
        <w:tc>
          <w:tcPr>
            <w:tcW w:w="774" w:type="dxa"/>
            <w:tcBorders>
              <w:top w:val="nil"/>
              <w:left w:val="nil"/>
              <w:bottom w:val="single" w:sz="4" w:space="0" w:color="000000"/>
              <w:right w:val="single" w:sz="4" w:space="0" w:color="000000"/>
            </w:tcBorders>
            <w:shd w:val="clear" w:color="auto" w:fill="auto"/>
            <w:vAlign w:val="center"/>
            <w:hideMark/>
          </w:tcPr>
          <w:p w14:paraId="60620494"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1148.7</w:t>
            </w:r>
          </w:p>
        </w:tc>
        <w:tc>
          <w:tcPr>
            <w:tcW w:w="778" w:type="dxa"/>
            <w:tcBorders>
              <w:top w:val="nil"/>
              <w:left w:val="nil"/>
              <w:bottom w:val="single" w:sz="4" w:space="0" w:color="000000"/>
              <w:right w:val="single" w:sz="4" w:space="0" w:color="000000"/>
            </w:tcBorders>
            <w:shd w:val="clear" w:color="auto" w:fill="auto"/>
            <w:vAlign w:val="center"/>
            <w:hideMark/>
          </w:tcPr>
          <w:p w14:paraId="2B569349"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122.9</w:t>
            </w:r>
          </w:p>
        </w:tc>
        <w:tc>
          <w:tcPr>
            <w:tcW w:w="620" w:type="dxa"/>
            <w:tcBorders>
              <w:top w:val="nil"/>
              <w:left w:val="nil"/>
              <w:bottom w:val="single" w:sz="4" w:space="0" w:color="000000"/>
              <w:right w:val="single" w:sz="4" w:space="0" w:color="000000"/>
            </w:tcBorders>
            <w:shd w:val="clear" w:color="auto" w:fill="auto"/>
            <w:vAlign w:val="bottom"/>
            <w:hideMark/>
          </w:tcPr>
          <w:p w14:paraId="335D121D"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90%</w:t>
            </w:r>
          </w:p>
        </w:tc>
        <w:tc>
          <w:tcPr>
            <w:tcW w:w="1001" w:type="dxa"/>
            <w:tcBorders>
              <w:top w:val="nil"/>
              <w:left w:val="nil"/>
              <w:bottom w:val="single" w:sz="4" w:space="0" w:color="000000"/>
              <w:right w:val="single" w:sz="4" w:space="0" w:color="000000"/>
            </w:tcBorders>
            <w:shd w:val="clear" w:color="auto" w:fill="auto"/>
            <w:vAlign w:val="bottom"/>
            <w:hideMark/>
          </w:tcPr>
          <w:p w14:paraId="148CBE07"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1345.3</w:t>
            </w:r>
          </w:p>
        </w:tc>
        <w:tc>
          <w:tcPr>
            <w:tcW w:w="672" w:type="dxa"/>
            <w:tcBorders>
              <w:top w:val="nil"/>
              <w:left w:val="nil"/>
              <w:bottom w:val="single" w:sz="4" w:space="0" w:color="000000"/>
              <w:right w:val="single" w:sz="4" w:space="0" w:color="000000"/>
            </w:tcBorders>
            <w:shd w:val="clear" w:color="auto" w:fill="auto"/>
            <w:vAlign w:val="center"/>
            <w:hideMark/>
          </w:tcPr>
          <w:p w14:paraId="7662BDB3"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1219</w:t>
            </w:r>
          </w:p>
        </w:tc>
        <w:tc>
          <w:tcPr>
            <w:tcW w:w="778" w:type="dxa"/>
            <w:tcBorders>
              <w:top w:val="nil"/>
              <w:left w:val="nil"/>
              <w:bottom w:val="single" w:sz="4" w:space="0" w:color="000000"/>
              <w:right w:val="single" w:sz="4" w:space="0" w:color="000000"/>
            </w:tcBorders>
            <w:shd w:val="clear" w:color="auto" w:fill="auto"/>
            <w:vAlign w:val="center"/>
            <w:hideMark/>
          </w:tcPr>
          <w:p w14:paraId="45146DD8"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125</w:t>
            </w:r>
          </w:p>
        </w:tc>
        <w:tc>
          <w:tcPr>
            <w:tcW w:w="620" w:type="dxa"/>
            <w:tcBorders>
              <w:top w:val="nil"/>
              <w:left w:val="nil"/>
              <w:bottom w:val="single" w:sz="4" w:space="0" w:color="000000"/>
              <w:right w:val="single" w:sz="4" w:space="0" w:color="000000"/>
            </w:tcBorders>
            <w:shd w:val="clear" w:color="auto" w:fill="auto"/>
            <w:vAlign w:val="bottom"/>
            <w:hideMark/>
          </w:tcPr>
          <w:p w14:paraId="3BC6CE03"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91%</w:t>
            </w:r>
          </w:p>
        </w:tc>
        <w:tc>
          <w:tcPr>
            <w:tcW w:w="1001" w:type="dxa"/>
            <w:tcBorders>
              <w:top w:val="nil"/>
              <w:left w:val="nil"/>
              <w:bottom w:val="single" w:sz="4" w:space="0" w:color="000000"/>
              <w:right w:val="single" w:sz="4" w:space="0" w:color="000000"/>
            </w:tcBorders>
            <w:shd w:val="clear" w:color="auto" w:fill="auto"/>
            <w:vAlign w:val="bottom"/>
            <w:hideMark/>
          </w:tcPr>
          <w:p w14:paraId="54DA1B0F"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1605.9</w:t>
            </w:r>
          </w:p>
        </w:tc>
        <w:tc>
          <w:tcPr>
            <w:tcW w:w="622" w:type="dxa"/>
            <w:tcBorders>
              <w:top w:val="nil"/>
              <w:left w:val="nil"/>
              <w:bottom w:val="single" w:sz="4" w:space="0" w:color="000000"/>
              <w:right w:val="single" w:sz="4" w:space="0" w:color="000000"/>
            </w:tcBorders>
            <w:shd w:val="clear" w:color="auto" w:fill="auto"/>
            <w:vAlign w:val="bottom"/>
            <w:hideMark/>
          </w:tcPr>
          <w:p w14:paraId="4E4D03B6"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1305</w:t>
            </w:r>
          </w:p>
        </w:tc>
        <w:tc>
          <w:tcPr>
            <w:tcW w:w="778" w:type="dxa"/>
            <w:tcBorders>
              <w:top w:val="nil"/>
              <w:left w:val="nil"/>
              <w:bottom w:val="single" w:sz="4" w:space="0" w:color="000000"/>
              <w:right w:val="single" w:sz="4" w:space="0" w:color="000000"/>
            </w:tcBorders>
            <w:shd w:val="clear" w:color="auto" w:fill="auto"/>
            <w:vAlign w:val="bottom"/>
            <w:hideMark/>
          </w:tcPr>
          <w:p w14:paraId="7B944138"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300</w:t>
            </w:r>
          </w:p>
        </w:tc>
        <w:tc>
          <w:tcPr>
            <w:tcW w:w="620" w:type="dxa"/>
            <w:tcBorders>
              <w:top w:val="nil"/>
              <w:left w:val="nil"/>
              <w:bottom w:val="single" w:sz="4" w:space="0" w:color="000000"/>
              <w:right w:val="single" w:sz="4" w:space="0" w:color="000000"/>
            </w:tcBorders>
            <w:shd w:val="clear" w:color="auto" w:fill="auto"/>
            <w:vAlign w:val="bottom"/>
            <w:hideMark/>
          </w:tcPr>
          <w:p w14:paraId="0196F4F6" w14:textId="77777777" w:rsidR="00AF407D" w:rsidRPr="003C1638" w:rsidRDefault="00AF407D" w:rsidP="002E3505">
            <w:pPr>
              <w:spacing w:after="0" w:line="240" w:lineRule="auto"/>
              <w:jc w:val="center"/>
              <w:rPr>
                <w:rFonts w:ascii="Arial" w:eastAsia="Times New Roman" w:hAnsi="Arial" w:cs="Arial"/>
                <w:color w:val="000000"/>
                <w:sz w:val="18"/>
                <w:szCs w:val="18"/>
                <w:lang w:eastAsia="en-GB"/>
              </w:rPr>
            </w:pPr>
            <w:r w:rsidRPr="003C1638">
              <w:rPr>
                <w:rFonts w:ascii="Arial" w:eastAsia="Times New Roman" w:hAnsi="Arial" w:cs="Arial"/>
                <w:color w:val="000000"/>
                <w:sz w:val="18"/>
                <w:szCs w:val="18"/>
                <w:lang w:eastAsia="en-GB"/>
              </w:rPr>
              <w:t>81%</w:t>
            </w:r>
          </w:p>
        </w:tc>
      </w:tr>
    </w:tbl>
    <w:p w14:paraId="1763AC5C" w14:textId="2B735502" w:rsidR="00297EC9" w:rsidRDefault="0086173B" w:rsidP="002E3505">
      <w:pPr>
        <w:spacing w:after="0" w:line="240" w:lineRule="auto"/>
        <w:rPr>
          <w:rFonts w:ascii="Arial" w:hAnsi="Arial" w:cs="Arial"/>
          <w:i/>
          <w:iCs/>
        </w:rPr>
      </w:pPr>
      <w:r w:rsidRPr="002E3505">
        <w:rPr>
          <w:rFonts w:ascii="Arial" w:hAnsi="Arial" w:cs="Arial"/>
        </w:rPr>
        <w:t xml:space="preserve"> </w:t>
      </w:r>
      <w:r w:rsidR="008A313D" w:rsidRPr="003C1638">
        <w:rPr>
          <w:rFonts w:ascii="Arial" w:hAnsi="Arial" w:cs="Arial"/>
          <w:b/>
          <w:bCs/>
          <w:i/>
          <w:iCs/>
          <w:sz w:val="18"/>
          <w:szCs w:val="18"/>
        </w:rPr>
        <w:t xml:space="preserve">Figure </w:t>
      </w:r>
      <w:r w:rsidR="00BE524D" w:rsidRPr="003C1638">
        <w:rPr>
          <w:rFonts w:ascii="Arial" w:hAnsi="Arial" w:cs="Arial"/>
          <w:b/>
          <w:bCs/>
          <w:i/>
          <w:iCs/>
          <w:sz w:val="18"/>
          <w:szCs w:val="18"/>
        </w:rPr>
        <w:t>11</w:t>
      </w:r>
      <w:r w:rsidR="008A313D" w:rsidRPr="003C1638">
        <w:rPr>
          <w:rFonts w:ascii="Arial" w:hAnsi="Arial" w:cs="Arial"/>
          <w:i/>
          <w:iCs/>
          <w:sz w:val="18"/>
          <w:szCs w:val="18"/>
        </w:rPr>
        <w:t>. Budgeted, Actual and Vacant posts in Mental Health directorates.</w:t>
      </w:r>
    </w:p>
    <w:p w14:paraId="0291003A" w14:textId="0FC26406" w:rsidR="003C1638" w:rsidRDefault="003C1638" w:rsidP="002E3505">
      <w:pPr>
        <w:spacing w:after="0" w:line="240" w:lineRule="auto"/>
        <w:rPr>
          <w:rFonts w:ascii="Arial" w:hAnsi="Arial" w:cs="Arial"/>
          <w:i/>
          <w:iCs/>
        </w:rPr>
      </w:pPr>
    </w:p>
    <w:p w14:paraId="2F840171" w14:textId="77777777" w:rsidR="003C1638" w:rsidRPr="002E3505" w:rsidRDefault="003C1638" w:rsidP="002E3505">
      <w:pPr>
        <w:spacing w:after="0" w:line="240" w:lineRule="auto"/>
        <w:rPr>
          <w:rFonts w:ascii="Arial" w:hAnsi="Arial" w:cs="Arial"/>
          <w:i/>
          <w:iCs/>
        </w:rPr>
      </w:pPr>
    </w:p>
    <w:p w14:paraId="261E7309" w14:textId="1A97878F" w:rsidR="00D42767" w:rsidRPr="003C1638" w:rsidRDefault="00D42767" w:rsidP="002E3505">
      <w:pPr>
        <w:pStyle w:val="Heading1"/>
        <w:spacing w:before="0" w:line="240" w:lineRule="auto"/>
        <w:rPr>
          <w:rFonts w:ascii="Arial" w:hAnsi="Arial" w:cs="Arial"/>
          <w:b/>
          <w:bCs/>
          <w:color w:val="auto"/>
          <w:sz w:val="22"/>
          <w:szCs w:val="22"/>
          <w:u w:val="single"/>
        </w:rPr>
      </w:pPr>
      <w:bookmarkStart w:id="7" w:name="_Partnerships_and_Collaboration"/>
      <w:bookmarkEnd w:id="7"/>
      <w:r w:rsidRPr="003C1638">
        <w:rPr>
          <w:rFonts w:ascii="Arial" w:hAnsi="Arial" w:cs="Arial"/>
          <w:b/>
          <w:bCs/>
          <w:color w:val="auto"/>
          <w:sz w:val="22"/>
          <w:szCs w:val="22"/>
          <w:u w:val="single"/>
        </w:rPr>
        <w:t>Partnership</w:t>
      </w:r>
      <w:r w:rsidR="00396568" w:rsidRPr="003C1638">
        <w:rPr>
          <w:rFonts w:ascii="Arial" w:hAnsi="Arial" w:cs="Arial"/>
          <w:b/>
          <w:bCs/>
          <w:color w:val="auto"/>
          <w:sz w:val="22"/>
          <w:szCs w:val="22"/>
          <w:u w:val="single"/>
        </w:rPr>
        <w:t>s and Collaboration</w:t>
      </w:r>
    </w:p>
    <w:p w14:paraId="191E22B5" w14:textId="77777777" w:rsidR="003C1638" w:rsidRDefault="003C1638" w:rsidP="002E3505">
      <w:pPr>
        <w:spacing w:after="0" w:line="240" w:lineRule="auto"/>
        <w:rPr>
          <w:rFonts w:ascii="Arial" w:hAnsi="Arial" w:cs="Arial"/>
          <w:color w:val="000000"/>
          <w:lang w:val="en-US"/>
        </w:rPr>
      </w:pPr>
    </w:p>
    <w:p w14:paraId="4889DB3B" w14:textId="3426474E" w:rsidR="00580862" w:rsidRDefault="00580862" w:rsidP="002E3505">
      <w:pPr>
        <w:spacing w:after="0" w:line="240" w:lineRule="auto"/>
        <w:rPr>
          <w:rFonts w:ascii="Arial" w:hAnsi="Arial" w:cs="Arial"/>
          <w:color w:val="000000"/>
          <w:lang w:val="en-US"/>
        </w:rPr>
      </w:pPr>
      <w:r w:rsidRPr="002E3505">
        <w:rPr>
          <w:rFonts w:ascii="Arial" w:hAnsi="Arial" w:cs="Arial"/>
          <w:color w:val="000000"/>
          <w:lang w:val="en-US"/>
        </w:rPr>
        <w:t xml:space="preserve">The </w:t>
      </w:r>
      <w:proofErr w:type="spellStart"/>
      <w:r w:rsidRPr="002E3505">
        <w:rPr>
          <w:rFonts w:ascii="Arial" w:hAnsi="Arial" w:cs="Arial"/>
          <w:color w:val="000000"/>
          <w:lang w:val="en-US"/>
        </w:rPr>
        <w:t>LTP</w:t>
      </w:r>
      <w:proofErr w:type="spellEnd"/>
      <w:r w:rsidRPr="002E3505">
        <w:rPr>
          <w:rFonts w:ascii="Arial" w:hAnsi="Arial" w:cs="Arial"/>
          <w:color w:val="000000"/>
          <w:lang w:val="en-US"/>
        </w:rPr>
        <w:t xml:space="preserve"> has a clear emphasis on collaboration and partnership across multiple sectors. OHFT are fortunate to be involved in several well established and mature partnerships that deliver a variety of mental health services, the Parliamentary </w:t>
      </w:r>
      <w:proofErr w:type="gramStart"/>
      <w:r w:rsidRPr="002E3505">
        <w:rPr>
          <w:rFonts w:ascii="Arial" w:hAnsi="Arial" w:cs="Arial"/>
          <w:color w:val="000000"/>
          <w:lang w:val="en-US"/>
        </w:rPr>
        <w:t>Award winning</w:t>
      </w:r>
      <w:proofErr w:type="gramEnd"/>
      <w:r w:rsidRPr="002E3505">
        <w:rPr>
          <w:rFonts w:ascii="Arial" w:hAnsi="Arial" w:cs="Arial"/>
          <w:color w:val="000000"/>
          <w:lang w:val="en-US"/>
        </w:rPr>
        <w:t xml:space="preserve"> Oxfordshire Mental Health Partnership (</w:t>
      </w:r>
      <w:proofErr w:type="spellStart"/>
      <w:r w:rsidRPr="002E3505">
        <w:rPr>
          <w:rFonts w:ascii="Arial" w:hAnsi="Arial" w:cs="Arial"/>
          <w:color w:val="000000"/>
          <w:lang w:val="en-US"/>
        </w:rPr>
        <w:t>OMHP</w:t>
      </w:r>
      <w:proofErr w:type="spellEnd"/>
      <w:r w:rsidRPr="002E3505">
        <w:rPr>
          <w:rFonts w:ascii="Arial" w:hAnsi="Arial" w:cs="Arial"/>
          <w:color w:val="000000"/>
          <w:lang w:val="en-US"/>
        </w:rPr>
        <w:t xml:space="preserve">) and several Children &amp; Young People Partnerships are some of the most well-known examples. The expansion plans in place will continue to grow and further diversify the partner </w:t>
      </w:r>
      <w:proofErr w:type="spellStart"/>
      <w:r w:rsidRPr="002E3505">
        <w:rPr>
          <w:rFonts w:ascii="Arial" w:hAnsi="Arial" w:cs="Arial"/>
          <w:color w:val="000000"/>
          <w:lang w:val="en-US"/>
        </w:rPr>
        <w:t>organisations</w:t>
      </w:r>
      <w:proofErr w:type="spellEnd"/>
      <w:r w:rsidRPr="002E3505">
        <w:rPr>
          <w:rFonts w:ascii="Arial" w:hAnsi="Arial" w:cs="Arial"/>
          <w:color w:val="000000"/>
          <w:lang w:val="en-US"/>
        </w:rPr>
        <w:t xml:space="preserve"> involved in mental health delivery.  This will help systems achieve the challenging growth in workforce and will also enable patients, </w:t>
      </w:r>
      <w:proofErr w:type="gramStart"/>
      <w:r w:rsidRPr="002E3505">
        <w:rPr>
          <w:rFonts w:ascii="Arial" w:hAnsi="Arial" w:cs="Arial"/>
          <w:color w:val="000000"/>
          <w:lang w:val="en-US"/>
        </w:rPr>
        <w:t>families</w:t>
      </w:r>
      <w:proofErr w:type="gramEnd"/>
      <w:r w:rsidRPr="002E3505">
        <w:rPr>
          <w:rFonts w:ascii="Arial" w:hAnsi="Arial" w:cs="Arial"/>
          <w:color w:val="000000"/>
          <w:lang w:val="en-US"/>
        </w:rPr>
        <w:t xml:space="preserve"> and careers to benefit from valuable skill sets, insight and experience. </w:t>
      </w:r>
    </w:p>
    <w:p w14:paraId="3B8A551A" w14:textId="77777777" w:rsidR="003C1638" w:rsidRPr="002E3505" w:rsidRDefault="003C1638" w:rsidP="002E3505">
      <w:pPr>
        <w:spacing w:after="0" w:line="240" w:lineRule="auto"/>
        <w:rPr>
          <w:rFonts w:ascii="Arial" w:hAnsi="Arial" w:cs="Arial"/>
        </w:rPr>
      </w:pPr>
    </w:p>
    <w:p w14:paraId="76D9DEA7" w14:textId="44EF9126" w:rsidR="0093739C" w:rsidRDefault="00EE30C3" w:rsidP="002E3505">
      <w:pPr>
        <w:spacing w:after="0" w:line="240" w:lineRule="auto"/>
        <w:rPr>
          <w:rFonts w:ascii="Arial" w:hAnsi="Arial" w:cs="Arial"/>
          <w:color w:val="000000"/>
          <w:lang w:val="en-US"/>
        </w:rPr>
      </w:pPr>
      <w:r w:rsidRPr="002E3505">
        <w:rPr>
          <w:rFonts w:ascii="Arial" w:hAnsi="Arial" w:cs="Arial"/>
          <w:color w:val="000000"/>
          <w:lang w:val="en-US"/>
        </w:rPr>
        <w:t>Alongside the</w:t>
      </w:r>
      <w:r w:rsidR="00B14DD1" w:rsidRPr="002E3505">
        <w:rPr>
          <w:rFonts w:ascii="Arial" w:hAnsi="Arial" w:cs="Arial"/>
          <w:color w:val="000000"/>
          <w:lang w:val="en-US"/>
        </w:rPr>
        <w:t xml:space="preserve"> increasing partnerships in service delivery, OHFT have valuable partnerships with Clinical Commissioning Groups, Local Authorities and NHS England. This has enabled all parties to identify local strengths, </w:t>
      </w:r>
      <w:proofErr w:type="gramStart"/>
      <w:r w:rsidR="00B14DD1" w:rsidRPr="002E3505">
        <w:rPr>
          <w:rFonts w:ascii="Arial" w:hAnsi="Arial" w:cs="Arial"/>
          <w:color w:val="000000"/>
          <w:lang w:val="en-US"/>
        </w:rPr>
        <w:t>pressures</w:t>
      </w:r>
      <w:proofErr w:type="gramEnd"/>
      <w:r w:rsidR="00B14DD1" w:rsidRPr="002E3505">
        <w:rPr>
          <w:rFonts w:ascii="Arial" w:hAnsi="Arial" w:cs="Arial"/>
          <w:color w:val="000000"/>
          <w:lang w:val="en-US"/>
        </w:rPr>
        <w:t xml:space="preserve"> and areas of need to inform commissioning and investment decisions.</w:t>
      </w:r>
      <w:r w:rsidR="001E3A43" w:rsidRPr="002E3505">
        <w:rPr>
          <w:rFonts w:ascii="Arial" w:hAnsi="Arial" w:cs="Arial"/>
          <w:color w:val="000000"/>
          <w:lang w:val="en-US"/>
        </w:rPr>
        <w:t xml:space="preserve"> </w:t>
      </w:r>
    </w:p>
    <w:p w14:paraId="35A03C51" w14:textId="77777777" w:rsidR="003C1638" w:rsidRPr="002E3505" w:rsidRDefault="003C1638" w:rsidP="002E3505">
      <w:pPr>
        <w:spacing w:after="0" w:line="240" w:lineRule="auto"/>
        <w:rPr>
          <w:rFonts w:ascii="Arial" w:hAnsi="Arial" w:cs="Arial"/>
          <w:color w:val="000000"/>
          <w:lang w:val="en-US"/>
        </w:rPr>
      </w:pPr>
    </w:p>
    <w:p w14:paraId="6C5075B2" w14:textId="5F36BD46" w:rsidR="00B14DD1" w:rsidRDefault="003C25E7" w:rsidP="002E3505">
      <w:pPr>
        <w:spacing w:after="0" w:line="240" w:lineRule="auto"/>
        <w:rPr>
          <w:rFonts w:ascii="Arial" w:hAnsi="Arial" w:cs="Arial"/>
          <w:color w:val="000000"/>
          <w:lang w:val="en-US"/>
        </w:rPr>
      </w:pPr>
      <w:r w:rsidRPr="002E3505">
        <w:rPr>
          <w:rFonts w:ascii="Arial" w:hAnsi="Arial" w:cs="Arial"/>
          <w:color w:val="000000"/>
          <w:lang w:val="en-US"/>
        </w:rPr>
        <w:t>T</w:t>
      </w:r>
      <w:r w:rsidR="007A061E" w:rsidRPr="002E3505">
        <w:rPr>
          <w:rFonts w:ascii="Arial" w:hAnsi="Arial" w:cs="Arial"/>
          <w:color w:val="000000"/>
          <w:lang w:val="en-US"/>
        </w:rPr>
        <w:t>h</w:t>
      </w:r>
      <w:r w:rsidR="002E0AFE" w:rsidRPr="002E3505">
        <w:rPr>
          <w:rFonts w:ascii="Arial" w:hAnsi="Arial" w:cs="Arial"/>
          <w:color w:val="000000"/>
          <w:lang w:val="en-US"/>
        </w:rPr>
        <w:t>is also comes at a time when</w:t>
      </w:r>
      <w:r w:rsidRPr="002E3505">
        <w:rPr>
          <w:rFonts w:ascii="Arial" w:hAnsi="Arial" w:cs="Arial"/>
          <w:color w:val="000000"/>
          <w:lang w:val="en-US"/>
        </w:rPr>
        <w:t xml:space="preserve"> </w:t>
      </w:r>
      <w:r w:rsidR="002E0AFE" w:rsidRPr="002E3505">
        <w:rPr>
          <w:rFonts w:ascii="Arial" w:hAnsi="Arial" w:cs="Arial"/>
          <w:color w:val="000000"/>
          <w:lang w:val="en-US"/>
        </w:rPr>
        <w:t>the</w:t>
      </w:r>
      <w:r w:rsidR="006D4C17" w:rsidRPr="002E3505">
        <w:rPr>
          <w:rFonts w:ascii="Arial" w:hAnsi="Arial" w:cs="Arial"/>
          <w:color w:val="000000"/>
          <w:lang w:val="en-US"/>
        </w:rPr>
        <w:t xml:space="preserve"> formal establishment of Integrated Care Systems </w:t>
      </w:r>
      <w:r w:rsidR="005C580C" w:rsidRPr="002E3505">
        <w:rPr>
          <w:rFonts w:ascii="Arial" w:hAnsi="Arial" w:cs="Arial"/>
          <w:color w:val="000000"/>
          <w:lang w:val="en-US"/>
        </w:rPr>
        <w:t>means that the</w:t>
      </w:r>
      <w:r w:rsidR="002E0AFE" w:rsidRPr="002E3505">
        <w:rPr>
          <w:rFonts w:ascii="Arial" w:hAnsi="Arial" w:cs="Arial"/>
          <w:color w:val="000000"/>
          <w:lang w:val="en-US"/>
        </w:rPr>
        <w:t xml:space="preserve"> </w:t>
      </w:r>
      <w:r w:rsidR="00D545A1" w:rsidRPr="002E3505">
        <w:rPr>
          <w:rFonts w:ascii="Arial" w:hAnsi="Arial" w:cs="Arial"/>
          <w:color w:val="000000"/>
          <w:lang w:val="en-US"/>
        </w:rPr>
        <w:t>assurance landscape</w:t>
      </w:r>
      <w:r w:rsidR="007A061E" w:rsidRPr="002E3505">
        <w:rPr>
          <w:rFonts w:ascii="Arial" w:hAnsi="Arial" w:cs="Arial"/>
          <w:color w:val="000000"/>
          <w:lang w:val="en-US"/>
        </w:rPr>
        <w:t xml:space="preserve"> is shifting </w:t>
      </w:r>
      <w:r w:rsidRPr="002E3505">
        <w:rPr>
          <w:rFonts w:ascii="Arial" w:hAnsi="Arial" w:cs="Arial"/>
          <w:color w:val="000000"/>
          <w:lang w:val="en-US"/>
        </w:rPr>
        <w:t xml:space="preserve">away from a transactional provider / commissioner relationship and more towards </w:t>
      </w:r>
      <w:r w:rsidR="00455CB4" w:rsidRPr="002E3505">
        <w:rPr>
          <w:rFonts w:ascii="Arial" w:hAnsi="Arial" w:cs="Arial"/>
          <w:color w:val="000000"/>
          <w:lang w:val="en-US"/>
        </w:rPr>
        <w:t>self-assuring</w:t>
      </w:r>
      <w:r w:rsidR="00272D22" w:rsidRPr="002E3505">
        <w:rPr>
          <w:rFonts w:ascii="Arial" w:hAnsi="Arial" w:cs="Arial"/>
          <w:color w:val="000000"/>
          <w:lang w:val="en-US"/>
        </w:rPr>
        <w:t xml:space="preserve"> systems. </w:t>
      </w:r>
      <w:r w:rsidR="00033900" w:rsidRPr="002E3505">
        <w:rPr>
          <w:rFonts w:ascii="Arial" w:hAnsi="Arial" w:cs="Arial"/>
          <w:color w:val="000000"/>
          <w:lang w:val="en-US"/>
        </w:rPr>
        <w:t xml:space="preserve">This will likely pave the way for </w:t>
      </w:r>
      <w:r w:rsidR="008077C4" w:rsidRPr="002E3505">
        <w:rPr>
          <w:rFonts w:ascii="Arial" w:hAnsi="Arial" w:cs="Arial"/>
          <w:color w:val="000000"/>
          <w:lang w:val="en-US"/>
        </w:rPr>
        <w:t xml:space="preserve">locally commissioned Provider Collaboratives, somewhat </w:t>
      </w:r>
      <w:proofErr w:type="gramStart"/>
      <w:r w:rsidR="008077C4" w:rsidRPr="002E3505">
        <w:rPr>
          <w:rFonts w:ascii="Arial" w:hAnsi="Arial" w:cs="Arial"/>
          <w:color w:val="000000"/>
          <w:lang w:val="en-US"/>
        </w:rPr>
        <w:t>similar to</w:t>
      </w:r>
      <w:proofErr w:type="gramEnd"/>
      <w:r w:rsidR="008077C4" w:rsidRPr="002E3505">
        <w:rPr>
          <w:rFonts w:ascii="Arial" w:hAnsi="Arial" w:cs="Arial"/>
          <w:color w:val="000000"/>
          <w:lang w:val="en-US"/>
        </w:rPr>
        <w:t xml:space="preserve"> those that</w:t>
      </w:r>
      <w:r w:rsidR="007D1BCF" w:rsidRPr="002E3505">
        <w:rPr>
          <w:rFonts w:ascii="Arial" w:hAnsi="Arial" w:cs="Arial"/>
          <w:color w:val="000000"/>
          <w:lang w:val="en-US"/>
        </w:rPr>
        <w:t xml:space="preserve"> currently operate in the </w:t>
      </w:r>
      <w:proofErr w:type="spellStart"/>
      <w:r w:rsidR="007D1BCF" w:rsidRPr="002E3505">
        <w:rPr>
          <w:rFonts w:ascii="Arial" w:hAnsi="Arial" w:cs="Arial"/>
          <w:color w:val="000000"/>
          <w:lang w:val="en-US"/>
        </w:rPr>
        <w:t>Specialised</w:t>
      </w:r>
      <w:proofErr w:type="spellEnd"/>
      <w:r w:rsidR="007D1BCF" w:rsidRPr="002E3505">
        <w:rPr>
          <w:rFonts w:ascii="Arial" w:hAnsi="Arial" w:cs="Arial"/>
          <w:color w:val="000000"/>
          <w:lang w:val="en-US"/>
        </w:rPr>
        <w:t xml:space="preserve"> Commissioning space (Thames Valley Low and Medium Secure, </w:t>
      </w:r>
      <w:proofErr w:type="spellStart"/>
      <w:r w:rsidR="007D1BCF" w:rsidRPr="002E3505">
        <w:rPr>
          <w:rFonts w:ascii="Arial" w:hAnsi="Arial" w:cs="Arial"/>
          <w:color w:val="000000"/>
          <w:lang w:val="en-US"/>
        </w:rPr>
        <w:t>T4</w:t>
      </w:r>
      <w:proofErr w:type="spellEnd"/>
      <w:r w:rsidR="007D1BCF" w:rsidRPr="002E3505">
        <w:rPr>
          <w:rFonts w:ascii="Arial" w:hAnsi="Arial" w:cs="Arial"/>
          <w:color w:val="000000"/>
          <w:lang w:val="en-US"/>
        </w:rPr>
        <w:t xml:space="preserve"> CAMHS, </w:t>
      </w:r>
      <w:r w:rsidR="00A25B31" w:rsidRPr="002E3505">
        <w:rPr>
          <w:rFonts w:ascii="Arial" w:hAnsi="Arial" w:cs="Arial"/>
          <w:color w:val="000000"/>
          <w:lang w:val="en-US"/>
        </w:rPr>
        <w:t>HOPE Network).</w:t>
      </w:r>
      <w:r w:rsidR="00F80E63" w:rsidRPr="002E3505">
        <w:rPr>
          <w:rFonts w:ascii="Arial" w:hAnsi="Arial" w:cs="Arial"/>
          <w:color w:val="000000"/>
          <w:lang w:val="en-US"/>
        </w:rPr>
        <w:t xml:space="preserve"> </w:t>
      </w:r>
      <w:r w:rsidR="00907BC9" w:rsidRPr="002E3505">
        <w:rPr>
          <w:rFonts w:ascii="Arial" w:hAnsi="Arial" w:cs="Arial"/>
          <w:color w:val="000000"/>
          <w:lang w:val="en-US"/>
        </w:rPr>
        <w:t xml:space="preserve">Within BOB and </w:t>
      </w:r>
      <w:proofErr w:type="spellStart"/>
      <w:r w:rsidR="00907BC9" w:rsidRPr="002E3505">
        <w:rPr>
          <w:rFonts w:ascii="Arial" w:hAnsi="Arial" w:cs="Arial"/>
          <w:color w:val="000000"/>
          <w:lang w:val="en-US"/>
        </w:rPr>
        <w:t>BSW</w:t>
      </w:r>
      <w:proofErr w:type="spellEnd"/>
      <w:r w:rsidR="00907BC9" w:rsidRPr="002E3505">
        <w:rPr>
          <w:rFonts w:ascii="Arial" w:hAnsi="Arial" w:cs="Arial"/>
          <w:color w:val="000000"/>
          <w:lang w:val="en-US"/>
        </w:rPr>
        <w:t xml:space="preserve"> ICSs this may be an opportunity to build on </w:t>
      </w:r>
      <w:r w:rsidR="00907BC9" w:rsidRPr="002E3505">
        <w:rPr>
          <w:rFonts w:ascii="Arial" w:hAnsi="Arial" w:cs="Arial"/>
          <w:color w:val="000000"/>
          <w:lang w:val="en-US"/>
        </w:rPr>
        <w:lastRenderedPageBreak/>
        <w:t xml:space="preserve">the </w:t>
      </w:r>
      <w:r w:rsidR="0006504A" w:rsidRPr="002E3505">
        <w:rPr>
          <w:rFonts w:ascii="Arial" w:hAnsi="Arial" w:cs="Arial"/>
          <w:color w:val="000000"/>
          <w:lang w:val="en-US"/>
        </w:rPr>
        <w:t xml:space="preserve">some of the </w:t>
      </w:r>
      <w:r w:rsidR="00907BC9" w:rsidRPr="002E3505">
        <w:rPr>
          <w:rFonts w:ascii="Arial" w:hAnsi="Arial" w:cs="Arial"/>
          <w:color w:val="000000"/>
          <w:lang w:val="en-US"/>
        </w:rPr>
        <w:t xml:space="preserve">existing </w:t>
      </w:r>
      <w:r w:rsidR="0006504A" w:rsidRPr="002E3505">
        <w:rPr>
          <w:rFonts w:ascii="Arial" w:hAnsi="Arial" w:cs="Arial"/>
          <w:color w:val="000000"/>
          <w:lang w:val="en-US"/>
        </w:rPr>
        <w:t xml:space="preserve">partnership and delegated budget arrangements, ultimately enabling </w:t>
      </w:r>
      <w:r w:rsidR="002E377C" w:rsidRPr="002E3505">
        <w:rPr>
          <w:rFonts w:ascii="Arial" w:hAnsi="Arial" w:cs="Arial"/>
          <w:color w:val="000000"/>
          <w:lang w:val="en-US"/>
        </w:rPr>
        <w:t>a more responsive and agile approach to improving the healthcare of local populations</w:t>
      </w:r>
      <w:r w:rsidR="006D0C89" w:rsidRPr="002E3505">
        <w:rPr>
          <w:rFonts w:ascii="Arial" w:hAnsi="Arial" w:cs="Arial"/>
          <w:color w:val="000000"/>
          <w:lang w:val="en-US"/>
        </w:rPr>
        <w:t xml:space="preserve"> by collaborating around pathways of care and shared populations.</w:t>
      </w:r>
    </w:p>
    <w:p w14:paraId="52081C11" w14:textId="6D02602C" w:rsidR="003C1638" w:rsidRDefault="003C1638" w:rsidP="002E3505">
      <w:pPr>
        <w:spacing w:after="0" w:line="240" w:lineRule="auto"/>
        <w:rPr>
          <w:rFonts w:ascii="Arial" w:hAnsi="Arial" w:cs="Arial"/>
        </w:rPr>
      </w:pPr>
    </w:p>
    <w:p w14:paraId="0F3067EF" w14:textId="77777777" w:rsidR="003C1638" w:rsidRPr="002E3505" w:rsidRDefault="003C1638" w:rsidP="002E3505">
      <w:pPr>
        <w:spacing w:after="0" w:line="240" w:lineRule="auto"/>
        <w:rPr>
          <w:rFonts w:ascii="Arial" w:hAnsi="Arial" w:cs="Arial"/>
        </w:rPr>
      </w:pPr>
    </w:p>
    <w:p w14:paraId="003179F4" w14:textId="06EFCC67" w:rsidR="009E6FFF" w:rsidRPr="003C1638" w:rsidRDefault="009E6FFF" w:rsidP="002E3505">
      <w:pPr>
        <w:pStyle w:val="Heading1"/>
        <w:spacing w:before="0" w:line="240" w:lineRule="auto"/>
        <w:rPr>
          <w:rFonts w:ascii="Arial" w:hAnsi="Arial" w:cs="Arial"/>
          <w:b/>
          <w:bCs/>
          <w:color w:val="auto"/>
          <w:sz w:val="22"/>
          <w:szCs w:val="22"/>
          <w:u w:val="single"/>
        </w:rPr>
      </w:pPr>
      <w:bookmarkStart w:id="8" w:name="_Estates"/>
      <w:bookmarkEnd w:id="8"/>
      <w:r w:rsidRPr="003C1638">
        <w:rPr>
          <w:rFonts w:ascii="Arial" w:hAnsi="Arial" w:cs="Arial"/>
          <w:b/>
          <w:bCs/>
          <w:color w:val="auto"/>
          <w:sz w:val="22"/>
          <w:szCs w:val="22"/>
          <w:u w:val="single"/>
        </w:rPr>
        <w:t>Estate</w:t>
      </w:r>
      <w:r w:rsidR="00C70699" w:rsidRPr="003C1638">
        <w:rPr>
          <w:rFonts w:ascii="Arial" w:hAnsi="Arial" w:cs="Arial"/>
          <w:b/>
          <w:bCs/>
          <w:color w:val="auto"/>
          <w:sz w:val="22"/>
          <w:szCs w:val="22"/>
          <w:u w:val="single"/>
        </w:rPr>
        <w:t>s</w:t>
      </w:r>
    </w:p>
    <w:p w14:paraId="02D6297D" w14:textId="77777777" w:rsidR="003C1638" w:rsidRDefault="003C1638" w:rsidP="002E3505">
      <w:pPr>
        <w:spacing w:after="0" w:line="240" w:lineRule="auto"/>
        <w:rPr>
          <w:rFonts w:ascii="Arial" w:hAnsi="Arial" w:cs="Arial"/>
        </w:rPr>
      </w:pPr>
    </w:p>
    <w:p w14:paraId="7A821481" w14:textId="4F0FEE40" w:rsidR="00A40EC9" w:rsidRDefault="00EA14E1" w:rsidP="002E3505">
      <w:pPr>
        <w:spacing w:after="0" w:line="240" w:lineRule="auto"/>
        <w:rPr>
          <w:rFonts w:ascii="Arial" w:hAnsi="Arial" w:cs="Arial"/>
          <w:color w:val="000000" w:themeColor="text1"/>
        </w:rPr>
      </w:pPr>
      <w:r w:rsidRPr="002E3505">
        <w:rPr>
          <w:rFonts w:ascii="Arial" w:hAnsi="Arial" w:cs="Arial"/>
        </w:rPr>
        <w:t>The increase in revenue funding to enable the transformation of mental health services is very much welcome</w:t>
      </w:r>
      <w:r w:rsidR="005F3799" w:rsidRPr="002E3505">
        <w:rPr>
          <w:rFonts w:ascii="Arial" w:hAnsi="Arial" w:cs="Arial"/>
        </w:rPr>
        <w:t>, however th</w:t>
      </w:r>
      <w:r w:rsidR="005712AB" w:rsidRPr="002E3505">
        <w:rPr>
          <w:rFonts w:ascii="Arial" w:hAnsi="Arial" w:cs="Arial"/>
        </w:rPr>
        <w:t>e</w:t>
      </w:r>
      <w:r w:rsidR="005F3799" w:rsidRPr="002E3505">
        <w:rPr>
          <w:rFonts w:ascii="Arial" w:hAnsi="Arial" w:cs="Arial"/>
        </w:rPr>
        <w:t xml:space="preserve"> growth </w:t>
      </w:r>
      <w:r w:rsidR="005712AB" w:rsidRPr="002E3505">
        <w:rPr>
          <w:rFonts w:ascii="Arial" w:hAnsi="Arial" w:cs="Arial"/>
        </w:rPr>
        <w:t>in services and workforce ha</w:t>
      </w:r>
      <w:r w:rsidR="00134AF7" w:rsidRPr="002E3505">
        <w:rPr>
          <w:rFonts w:ascii="Arial" w:hAnsi="Arial" w:cs="Arial"/>
        </w:rPr>
        <w:t>s resulted in a pressure on space and estate</w:t>
      </w:r>
      <w:r w:rsidR="00687DEB" w:rsidRPr="002E3505">
        <w:rPr>
          <w:rFonts w:ascii="Arial" w:hAnsi="Arial" w:cs="Arial"/>
        </w:rPr>
        <w:t xml:space="preserve">. </w:t>
      </w:r>
      <w:r w:rsidR="0011169B" w:rsidRPr="002E3505">
        <w:rPr>
          <w:rFonts w:ascii="Arial" w:hAnsi="Arial" w:cs="Arial"/>
        </w:rPr>
        <w:t xml:space="preserve">There is a clear need </w:t>
      </w:r>
      <w:r w:rsidR="009772D3" w:rsidRPr="002E3505">
        <w:rPr>
          <w:rFonts w:ascii="Arial" w:hAnsi="Arial" w:cs="Arial"/>
        </w:rPr>
        <w:t xml:space="preserve">for </w:t>
      </w:r>
      <w:r w:rsidR="00166344" w:rsidRPr="002E3505">
        <w:rPr>
          <w:rFonts w:ascii="Arial" w:hAnsi="Arial" w:cs="Arial"/>
        </w:rPr>
        <w:t xml:space="preserve">an increase in space that meets the needs of patients and workers </w:t>
      </w:r>
      <w:r w:rsidR="001B029F" w:rsidRPr="002E3505">
        <w:rPr>
          <w:rFonts w:ascii="Arial" w:hAnsi="Arial" w:cs="Arial"/>
        </w:rPr>
        <w:t xml:space="preserve">following the </w:t>
      </w:r>
      <w:r w:rsidR="00590389" w:rsidRPr="002E3505">
        <w:rPr>
          <w:rFonts w:ascii="Arial" w:hAnsi="Arial" w:cs="Arial"/>
        </w:rPr>
        <w:t>pandemic,</w:t>
      </w:r>
      <w:r w:rsidR="00EA0807" w:rsidRPr="002E3505">
        <w:rPr>
          <w:rFonts w:ascii="Arial" w:hAnsi="Arial" w:cs="Arial"/>
        </w:rPr>
        <w:t xml:space="preserve"> but additional capital funding</w:t>
      </w:r>
      <w:r w:rsidR="00975565" w:rsidRPr="002E3505">
        <w:rPr>
          <w:rFonts w:ascii="Arial" w:hAnsi="Arial" w:cs="Arial"/>
        </w:rPr>
        <w:t xml:space="preserve"> of a proportional scale</w:t>
      </w:r>
      <w:r w:rsidR="00EA0807" w:rsidRPr="002E3505">
        <w:rPr>
          <w:rFonts w:ascii="Arial" w:hAnsi="Arial" w:cs="Arial"/>
        </w:rPr>
        <w:t xml:space="preserve"> has not bee</w:t>
      </w:r>
      <w:r w:rsidR="00203651" w:rsidRPr="002E3505">
        <w:rPr>
          <w:rFonts w:ascii="Arial" w:hAnsi="Arial" w:cs="Arial"/>
        </w:rPr>
        <w:t>n</w:t>
      </w:r>
      <w:r w:rsidR="00590389" w:rsidRPr="002E3505">
        <w:rPr>
          <w:rFonts w:ascii="Arial" w:hAnsi="Arial" w:cs="Arial"/>
        </w:rPr>
        <w:t xml:space="preserve"> forthcoming</w:t>
      </w:r>
      <w:r w:rsidR="001B029F" w:rsidRPr="002E3505">
        <w:rPr>
          <w:rFonts w:ascii="Arial" w:hAnsi="Arial" w:cs="Arial"/>
        </w:rPr>
        <w:t xml:space="preserve">. </w:t>
      </w:r>
      <w:hyperlink r:id="rId23" w:history="1">
        <w:r w:rsidR="00986713" w:rsidRPr="002E3505">
          <w:rPr>
            <w:rStyle w:val="Hyperlink"/>
            <w:rFonts w:ascii="Arial" w:hAnsi="Arial" w:cs="Arial"/>
          </w:rPr>
          <w:t>Saffron House</w:t>
        </w:r>
      </w:hyperlink>
      <w:r w:rsidR="00986713" w:rsidRPr="002E3505">
        <w:rPr>
          <w:rFonts w:ascii="Arial" w:hAnsi="Arial" w:cs="Arial"/>
        </w:rPr>
        <w:t xml:space="preserve"> in South Buckinghamshire is a </w:t>
      </w:r>
      <w:r w:rsidR="006F6538" w:rsidRPr="002E3505">
        <w:rPr>
          <w:rFonts w:ascii="Arial" w:hAnsi="Arial" w:cs="Arial"/>
        </w:rPr>
        <w:t xml:space="preserve">new </w:t>
      </w:r>
      <w:r w:rsidR="00EA0807" w:rsidRPr="002E3505">
        <w:rPr>
          <w:rFonts w:ascii="Arial" w:hAnsi="Arial" w:cs="Arial"/>
        </w:rPr>
        <w:t xml:space="preserve">state of the art </w:t>
      </w:r>
      <w:r w:rsidR="006F6538" w:rsidRPr="002E3505">
        <w:rPr>
          <w:rFonts w:ascii="Arial" w:hAnsi="Arial" w:cs="Arial"/>
        </w:rPr>
        <w:t xml:space="preserve">mental health hub </w:t>
      </w:r>
      <w:r w:rsidR="00D95D45" w:rsidRPr="002E3505">
        <w:rPr>
          <w:rFonts w:ascii="Arial" w:hAnsi="Arial" w:cs="Arial"/>
        </w:rPr>
        <w:t xml:space="preserve">that </w:t>
      </w:r>
      <w:r w:rsidR="00CE649B" w:rsidRPr="002E3505">
        <w:rPr>
          <w:rFonts w:ascii="Arial" w:hAnsi="Arial" w:cs="Arial"/>
        </w:rPr>
        <w:t xml:space="preserve">co-locates several mental health services and </w:t>
      </w:r>
      <w:r w:rsidR="00D95D45" w:rsidRPr="002E3505">
        <w:rPr>
          <w:rFonts w:ascii="Arial" w:hAnsi="Arial" w:cs="Arial"/>
        </w:rPr>
        <w:t>enable</w:t>
      </w:r>
      <w:r w:rsidR="006E0312" w:rsidRPr="002E3505">
        <w:rPr>
          <w:rFonts w:ascii="Arial" w:hAnsi="Arial" w:cs="Arial"/>
        </w:rPr>
        <w:t>s</w:t>
      </w:r>
      <w:r w:rsidR="00D95D45" w:rsidRPr="002E3505">
        <w:rPr>
          <w:rFonts w:ascii="Arial" w:hAnsi="Arial" w:cs="Arial"/>
        </w:rPr>
        <w:t xml:space="preserve"> a better integrated service </w:t>
      </w:r>
      <w:r w:rsidR="006E0312" w:rsidRPr="002E3505">
        <w:rPr>
          <w:rFonts w:ascii="Arial" w:hAnsi="Arial" w:cs="Arial"/>
        </w:rPr>
        <w:t xml:space="preserve">for patients, </w:t>
      </w:r>
      <w:proofErr w:type="gramStart"/>
      <w:r w:rsidR="006E0312" w:rsidRPr="002E3505">
        <w:rPr>
          <w:rFonts w:ascii="Arial" w:hAnsi="Arial" w:cs="Arial"/>
        </w:rPr>
        <w:t>families</w:t>
      </w:r>
      <w:proofErr w:type="gramEnd"/>
      <w:r w:rsidR="006E0312" w:rsidRPr="002E3505">
        <w:rPr>
          <w:rFonts w:ascii="Arial" w:hAnsi="Arial" w:cs="Arial"/>
        </w:rPr>
        <w:t xml:space="preserve"> and carers.</w:t>
      </w:r>
      <w:r w:rsidR="00EA0807" w:rsidRPr="002E3505">
        <w:rPr>
          <w:rFonts w:ascii="Arial" w:hAnsi="Arial" w:cs="Arial"/>
        </w:rPr>
        <w:t xml:space="preserve"> </w:t>
      </w:r>
      <w:r w:rsidR="00D03F1D" w:rsidRPr="002E3505">
        <w:rPr>
          <w:rFonts w:ascii="Arial" w:hAnsi="Arial" w:cs="Arial"/>
          <w:color w:val="000000" w:themeColor="text1"/>
        </w:rPr>
        <w:t>OHFT are keen to further this approach within Oxfordshire to create an age inclusive hub with an emphasis on integration and collaboration through shared spaces, but still meets specific needs of individual teams and services as well as the patient groups that they serve.</w:t>
      </w:r>
    </w:p>
    <w:p w14:paraId="3133F075" w14:textId="77777777" w:rsidR="003C1638" w:rsidRPr="002E3505" w:rsidRDefault="003C1638" w:rsidP="002E3505">
      <w:pPr>
        <w:spacing w:after="0" w:line="240" w:lineRule="auto"/>
        <w:rPr>
          <w:rFonts w:ascii="Arial" w:hAnsi="Arial" w:cs="Arial"/>
        </w:rPr>
      </w:pPr>
    </w:p>
    <w:p w14:paraId="4D17FA50" w14:textId="309C7EDD" w:rsidR="005555BB" w:rsidRDefault="00892BFE" w:rsidP="002E3505">
      <w:pPr>
        <w:spacing w:after="0" w:line="240" w:lineRule="auto"/>
        <w:rPr>
          <w:rFonts w:ascii="Arial" w:hAnsi="Arial" w:cs="Arial"/>
        </w:rPr>
      </w:pPr>
      <w:r w:rsidRPr="002E3505">
        <w:rPr>
          <w:rFonts w:ascii="Arial" w:hAnsi="Arial" w:cs="Arial"/>
        </w:rPr>
        <w:t xml:space="preserve">As well as improving community and clinic spaces, OHFT are also further developing </w:t>
      </w:r>
      <w:r w:rsidR="00B70808" w:rsidRPr="002E3505">
        <w:rPr>
          <w:rFonts w:ascii="Arial" w:hAnsi="Arial" w:cs="Arial"/>
        </w:rPr>
        <w:t xml:space="preserve">inpatient and crisis sites. The Safe Haven at Manzil Way will be expanded and will also </w:t>
      </w:r>
      <w:r w:rsidR="003D120F" w:rsidRPr="002E3505">
        <w:rPr>
          <w:rFonts w:ascii="Arial" w:hAnsi="Arial" w:cs="Arial"/>
        </w:rPr>
        <w:t xml:space="preserve">incorporate a base for the Crisis Resolution and Home Treatment Team. </w:t>
      </w:r>
      <w:r w:rsidR="00AA1774" w:rsidRPr="002E3505">
        <w:rPr>
          <w:rFonts w:ascii="Arial" w:hAnsi="Arial" w:cs="Arial"/>
        </w:rPr>
        <w:t xml:space="preserve">A new CAMHS Psychiatric Intensive Care Unit </w:t>
      </w:r>
      <w:r w:rsidR="00DF78BC" w:rsidRPr="002E3505">
        <w:rPr>
          <w:rFonts w:ascii="Arial" w:hAnsi="Arial" w:cs="Arial"/>
        </w:rPr>
        <w:t>(</w:t>
      </w:r>
      <w:proofErr w:type="spellStart"/>
      <w:r w:rsidR="00DF78BC" w:rsidRPr="002E3505">
        <w:rPr>
          <w:rFonts w:ascii="Arial" w:hAnsi="Arial" w:cs="Arial"/>
        </w:rPr>
        <w:t>PICU</w:t>
      </w:r>
      <w:proofErr w:type="spellEnd"/>
      <w:r w:rsidR="00DF78BC" w:rsidRPr="002E3505">
        <w:rPr>
          <w:rFonts w:ascii="Arial" w:hAnsi="Arial" w:cs="Arial"/>
        </w:rPr>
        <w:t xml:space="preserve">) </w:t>
      </w:r>
      <w:r w:rsidR="00AA1774" w:rsidRPr="002E3505">
        <w:rPr>
          <w:rFonts w:ascii="Arial" w:hAnsi="Arial" w:cs="Arial"/>
        </w:rPr>
        <w:t xml:space="preserve">on the </w:t>
      </w:r>
      <w:proofErr w:type="spellStart"/>
      <w:r w:rsidR="00AA1774" w:rsidRPr="002E3505">
        <w:rPr>
          <w:rFonts w:ascii="Arial" w:hAnsi="Arial" w:cs="Arial"/>
        </w:rPr>
        <w:t>Warneford</w:t>
      </w:r>
      <w:proofErr w:type="spellEnd"/>
      <w:r w:rsidR="00AA1774" w:rsidRPr="002E3505">
        <w:rPr>
          <w:rFonts w:ascii="Arial" w:hAnsi="Arial" w:cs="Arial"/>
        </w:rPr>
        <w:t xml:space="preserve"> site is also planned</w:t>
      </w:r>
      <w:r w:rsidR="00DF78BC" w:rsidRPr="002E3505">
        <w:rPr>
          <w:rFonts w:ascii="Arial" w:hAnsi="Arial" w:cs="Arial"/>
        </w:rPr>
        <w:t xml:space="preserve">, </w:t>
      </w:r>
      <w:r w:rsidR="00230E2B" w:rsidRPr="002E3505">
        <w:rPr>
          <w:rFonts w:ascii="Arial" w:hAnsi="Arial" w:cs="Arial"/>
        </w:rPr>
        <w:t xml:space="preserve">these beds will serve </w:t>
      </w:r>
      <w:r w:rsidR="007B045B" w:rsidRPr="002E3505">
        <w:rPr>
          <w:rFonts w:ascii="Arial" w:hAnsi="Arial" w:cs="Arial"/>
        </w:rPr>
        <w:t xml:space="preserve">some of the most acutely unwell </w:t>
      </w:r>
      <w:r w:rsidR="00230E2B" w:rsidRPr="002E3505">
        <w:rPr>
          <w:rFonts w:ascii="Arial" w:hAnsi="Arial" w:cs="Arial"/>
        </w:rPr>
        <w:t xml:space="preserve">children and young people across the </w:t>
      </w:r>
      <w:proofErr w:type="gramStart"/>
      <w:r w:rsidR="00230E2B" w:rsidRPr="002E3505">
        <w:rPr>
          <w:rFonts w:ascii="Arial" w:hAnsi="Arial" w:cs="Arial"/>
        </w:rPr>
        <w:t>South East</w:t>
      </w:r>
      <w:proofErr w:type="gramEnd"/>
      <w:r w:rsidR="00230E2B" w:rsidRPr="002E3505">
        <w:rPr>
          <w:rFonts w:ascii="Arial" w:hAnsi="Arial" w:cs="Arial"/>
        </w:rPr>
        <w:t xml:space="preserve"> region</w:t>
      </w:r>
      <w:r w:rsidR="00AA1774" w:rsidRPr="002E3505">
        <w:rPr>
          <w:rFonts w:ascii="Arial" w:hAnsi="Arial" w:cs="Arial"/>
        </w:rPr>
        <w:t xml:space="preserve">. This will </w:t>
      </w:r>
      <w:r w:rsidR="00892D13" w:rsidRPr="002E3505">
        <w:rPr>
          <w:rFonts w:ascii="Arial" w:hAnsi="Arial" w:cs="Arial"/>
        </w:rPr>
        <w:t>complement</w:t>
      </w:r>
      <w:r w:rsidR="00AA1774" w:rsidRPr="002E3505">
        <w:rPr>
          <w:rFonts w:ascii="Arial" w:hAnsi="Arial" w:cs="Arial"/>
        </w:rPr>
        <w:t xml:space="preserve"> the </w:t>
      </w:r>
      <w:r w:rsidR="00DF78BC" w:rsidRPr="002E3505">
        <w:rPr>
          <w:rFonts w:ascii="Arial" w:hAnsi="Arial" w:cs="Arial"/>
        </w:rPr>
        <w:t xml:space="preserve">large scale </w:t>
      </w:r>
      <w:proofErr w:type="spellStart"/>
      <w:r w:rsidR="00DF78BC" w:rsidRPr="002E3505">
        <w:rPr>
          <w:rFonts w:ascii="Arial" w:hAnsi="Arial" w:cs="Arial"/>
        </w:rPr>
        <w:t>Warneford</w:t>
      </w:r>
      <w:proofErr w:type="spellEnd"/>
      <w:r w:rsidR="00DF78BC" w:rsidRPr="002E3505">
        <w:rPr>
          <w:rFonts w:ascii="Arial" w:hAnsi="Arial" w:cs="Arial"/>
        </w:rPr>
        <w:t xml:space="preserve"> Hospital redevelopment plan. </w:t>
      </w:r>
    </w:p>
    <w:p w14:paraId="7EBBAD43" w14:textId="00F2E066" w:rsidR="003C1638" w:rsidRDefault="003C1638" w:rsidP="002E3505">
      <w:pPr>
        <w:spacing w:after="0" w:line="240" w:lineRule="auto"/>
        <w:rPr>
          <w:rFonts w:ascii="Arial" w:hAnsi="Arial" w:cs="Arial"/>
        </w:rPr>
      </w:pPr>
    </w:p>
    <w:p w14:paraId="009762AE" w14:textId="4AB15479" w:rsidR="003C1638" w:rsidRDefault="003C1638" w:rsidP="002E3505">
      <w:pPr>
        <w:spacing w:after="0" w:line="240" w:lineRule="auto"/>
        <w:rPr>
          <w:rFonts w:ascii="Arial" w:hAnsi="Arial" w:cs="Arial"/>
        </w:rPr>
      </w:pPr>
    </w:p>
    <w:p w14:paraId="10029231" w14:textId="0E2CE386" w:rsidR="003C1638" w:rsidRDefault="003C1638" w:rsidP="002E3505">
      <w:pPr>
        <w:spacing w:after="0" w:line="240" w:lineRule="auto"/>
        <w:rPr>
          <w:rFonts w:ascii="Arial" w:hAnsi="Arial" w:cs="Arial"/>
          <w:b/>
          <w:bCs/>
          <w:u w:val="single"/>
        </w:rPr>
      </w:pPr>
      <w:r w:rsidRPr="00471D41">
        <w:rPr>
          <w:rFonts w:ascii="Arial" w:hAnsi="Arial" w:cs="Arial"/>
          <w:b/>
          <w:bCs/>
          <w:u w:val="single"/>
        </w:rPr>
        <w:t>Conclusion</w:t>
      </w:r>
    </w:p>
    <w:p w14:paraId="6B2150B0" w14:textId="782154F0" w:rsidR="0086394C" w:rsidRDefault="0086394C" w:rsidP="002E3505">
      <w:pPr>
        <w:spacing w:after="0" w:line="240" w:lineRule="auto"/>
        <w:rPr>
          <w:rFonts w:ascii="Arial" w:hAnsi="Arial" w:cs="Arial"/>
          <w:b/>
          <w:bCs/>
          <w:u w:val="single"/>
        </w:rPr>
      </w:pPr>
    </w:p>
    <w:p w14:paraId="31C475B2" w14:textId="2B6D3302" w:rsidR="0086394C" w:rsidRPr="0086394C" w:rsidRDefault="0086394C" w:rsidP="002E3505">
      <w:pPr>
        <w:spacing w:after="0" w:line="240" w:lineRule="auto"/>
        <w:rPr>
          <w:rFonts w:ascii="Arial" w:hAnsi="Arial" w:cs="Arial"/>
        </w:rPr>
      </w:pPr>
      <w:r>
        <w:rPr>
          <w:rFonts w:ascii="Arial" w:hAnsi="Arial" w:cs="Arial"/>
        </w:rPr>
        <w:t xml:space="preserve">As described </w:t>
      </w:r>
      <w:r w:rsidR="00FA1459">
        <w:rPr>
          <w:rFonts w:ascii="Arial" w:hAnsi="Arial" w:cs="Arial"/>
        </w:rPr>
        <w:t>i</w:t>
      </w:r>
      <w:r w:rsidRPr="0086394C">
        <w:rPr>
          <w:rFonts w:ascii="Arial" w:hAnsi="Arial" w:cs="Arial"/>
        </w:rPr>
        <w:t xml:space="preserve">n October 2019, the Board were briefed on the </w:t>
      </w:r>
      <w:proofErr w:type="gramStart"/>
      <w:r w:rsidRPr="0086394C">
        <w:rPr>
          <w:rFonts w:ascii="Arial" w:hAnsi="Arial" w:cs="Arial"/>
        </w:rPr>
        <w:t>Long Term</w:t>
      </w:r>
      <w:proofErr w:type="gramEnd"/>
      <w:r w:rsidRPr="0086394C">
        <w:rPr>
          <w:rFonts w:ascii="Arial" w:hAnsi="Arial" w:cs="Arial"/>
        </w:rPr>
        <w:t xml:space="preserve"> Plan (</w:t>
      </w:r>
      <w:proofErr w:type="spellStart"/>
      <w:r w:rsidRPr="0086394C">
        <w:rPr>
          <w:rFonts w:ascii="Arial" w:hAnsi="Arial" w:cs="Arial"/>
        </w:rPr>
        <w:t>LTP</w:t>
      </w:r>
      <w:proofErr w:type="spellEnd"/>
      <w:r w:rsidRPr="0086394C">
        <w:rPr>
          <w:rFonts w:ascii="Arial" w:hAnsi="Arial" w:cs="Arial"/>
        </w:rPr>
        <w:t xml:space="preserve">) for mental health transformation and expansion, period covering </w:t>
      </w:r>
      <w:proofErr w:type="spellStart"/>
      <w:r w:rsidRPr="0086394C">
        <w:rPr>
          <w:rFonts w:ascii="Arial" w:hAnsi="Arial" w:cs="Arial"/>
        </w:rPr>
        <w:t>FY20</w:t>
      </w:r>
      <w:proofErr w:type="spellEnd"/>
      <w:r w:rsidRPr="0086394C">
        <w:rPr>
          <w:rFonts w:ascii="Arial" w:hAnsi="Arial" w:cs="Arial"/>
        </w:rPr>
        <w:t xml:space="preserve"> (year 1) to </w:t>
      </w:r>
      <w:proofErr w:type="spellStart"/>
      <w:r w:rsidRPr="0086394C">
        <w:rPr>
          <w:rFonts w:ascii="Arial" w:hAnsi="Arial" w:cs="Arial"/>
        </w:rPr>
        <w:t>FY24</w:t>
      </w:r>
      <w:proofErr w:type="spellEnd"/>
      <w:r w:rsidRPr="0086394C">
        <w:rPr>
          <w:rFonts w:ascii="Arial" w:hAnsi="Arial" w:cs="Arial"/>
        </w:rPr>
        <w:t xml:space="preserve"> (year 5). </w:t>
      </w:r>
      <w:r w:rsidR="00FA1459">
        <w:rPr>
          <w:rFonts w:ascii="Arial" w:hAnsi="Arial" w:cs="Arial"/>
        </w:rPr>
        <w:t>We are</w:t>
      </w:r>
      <w:r w:rsidRPr="0086394C">
        <w:rPr>
          <w:rFonts w:ascii="Arial" w:hAnsi="Arial" w:cs="Arial"/>
        </w:rPr>
        <w:t xml:space="preserve"> now </w:t>
      </w:r>
      <w:r w:rsidR="00FA1459">
        <w:rPr>
          <w:rFonts w:ascii="Arial" w:hAnsi="Arial" w:cs="Arial"/>
        </w:rPr>
        <w:t xml:space="preserve">entering </w:t>
      </w:r>
      <w:r w:rsidRPr="0086394C">
        <w:rPr>
          <w:rFonts w:ascii="Arial" w:hAnsi="Arial" w:cs="Arial"/>
        </w:rPr>
        <w:t xml:space="preserve">year 4 of the </w:t>
      </w:r>
      <w:proofErr w:type="spellStart"/>
      <w:r w:rsidRPr="0086394C">
        <w:rPr>
          <w:rFonts w:ascii="Arial" w:hAnsi="Arial" w:cs="Arial"/>
        </w:rPr>
        <w:t>LTP</w:t>
      </w:r>
      <w:proofErr w:type="spellEnd"/>
      <w:r w:rsidRPr="0086394C">
        <w:rPr>
          <w:rFonts w:ascii="Arial" w:hAnsi="Arial" w:cs="Arial"/>
        </w:rPr>
        <w:t xml:space="preserve"> and this paper serves as an update on how plans have progressed for OHFT services and the population that they serve.</w:t>
      </w:r>
    </w:p>
    <w:p w14:paraId="0EB95E5E" w14:textId="77777777" w:rsidR="00FA7312" w:rsidRPr="002E3505" w:rsidRDefault="00FA7312" w:rsidP="002E3505">
      <w:pPr>
        <w:pStyle w:val="ListParagraph"/>
        <w:spacing w:after="0" w:line="240" w:lineRule="auto"/>
        <w:rPr>
          <w:rFonts w:ascii="Arial" w:hAnsi="Arial" w:cs="Arial"/>
        </w:rPr>
      </w:pPr>
    </w:p>
    <w:sectPr w:rsidR="00FA7312" w:rsidRPr="002E3505">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E2C1" w14:textId="77777777" w:rsidR="002800D2" w:rsidRDefault="002800D2" w:rsidP="00B44646">
      <w:pPr>
        <w:spacing w:after="0" w:line="240" w:lineRule="auto"/>
      </w:pPr>
      <w:r>
        <w:separator/>
      </w:r>
    </w:p>
  </w:endnote>
  <w:endnote w:type="continuationSeparator" w:id="0">
    <w:p w14:paraId="3D1BEF04" w14:textId="77777777" w:rsidR="002800D2" w:rsidRDefault="002800D2" w:rsidP="00B4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85170"/>
      <w:docPartObj>
        <w:docPartGallery w:val="Page Numbers (Bottom of Page)"/>
        <w:docPartUnique/>
      </w:docPartObj>
    </w:sdtPr>
    <w:sdtEndPr>
      <w:rPr>
        <w:noProof/>
      </w:rPr>
    </w:sdtEndPr>
    <w:sdtContent>
      <w:p w14:paraId="5208B38F" w14:textId="6E6C7554" w:rsidR="002A088D" w:rsidRDefault="002A088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0B61C34" w14:textId="77777777" w:rsidR="002A088D" w:rsidRDefault="002A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2F19" w14:textId="77777777" w:rsidR="002800D2" w:rsidRDefault="002800D2" w:rsidP="00B44646">
      <w:pPr>
        <w:spacing w:after="0" w:line="240" w:lineRule="auto"/>
      </w:pPr>
      <w:r>
        <w:separator/>
      </w:r>
    </w:p>
  </w:footnote>
  <w:footnote w:type="continuationSeparator" w:id="0">
    <w:p w14:paraId="1529D006" w14:textId="77777777" w:rsidR="002800D2" w:rsidRDefault="002800D2" w:rsidP="00B44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829F" w14:textId="1A067B69" w:rsidR="002A088D" w:rsidRDefault="002A088D">
    <w:pPr>
      <w:pStyle w:val="Header"/>
    </w:pPr>
    <w:r>
      <w:ptab w:relativeTo="margin" w:alignment="center" w:leader="none"/>
    </w:r>
    <w:r>
      <w:ptab w:relativeTo="margin" w:alignment="right" w:leader="none"/>
    </w:r>
    <w:r w:rsidRPr="00B44646">
      <w:t xml:space="preserve"> </w:t>
    </w:r>
    <w:r>
      <w:rPr>
        <w:noProof/>
      </w:rPr>
      <w:drawing>
        <wp:inline distT="0" distB="0" distL="0" distR="0" wp14:anchorId="1D647C13" wp14:editId="0D28C054">
          <wp:extent cx="1162050" cy="572604"/>
          <wp:effectExtent l="0" t="0" r="0" b="0"/>
          <wp:docPr id="7" name="Picture 7" descr="Cotswold House Specialist Adult Eating Disorders Service | Cotswold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swold House Specialist Adult Eating Disorders Service | Cotswold Ho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057" cy="5844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007E0"/>
    <w:multiLevelType w:val="hybridMultilevel"/>
    <w:tmpl w:val="255A705A"/>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 w15:restartNumberingAfterBreak="0">
    <w:nsid w:val="310263A7"/>
    <w:multiLevelType w:val="multilevel"/>
    <w:tmpl w:val="75CCB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21C48"/>
    <w:multiLevelType w:val="hybridMultilevel"/>
    <w:tmpl w:val="D4B82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11242D0"/>
    <w:multiLevelType w:val="hybridMultilevel"/>
    <w:tmpl w:val="EB4C7D2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C9"/>
    <w:rsid w:val="00005335"/>
    <w:rsid w:val="00005C75"/>
    <w:rsid w:val="000144F0"/>
    <w:rsid w:val="0001750A"/>
    <w:rsid w:val="00020D63"/>
    <w:rsid w:val="000229CD"/>
    <w:rsid w:val="00022A08"/>
    <w:rsid w:val="00023BF5"/>
    <w:rsid w:val="00023DD6"/>
    <w:rsid w:val="00027188"/>
    <w:rsid w:val="000277E6"/>
    <w:rsid w:val="00031A22"/>
    <w:rsid w:val="00033900"/>
    <w:rsid w:val="0003780B"/>
    <w:rsid w:val="000424A4"/>
    <w:rsid w:val="000435FC"/>
    <w:rsid w:val="00047E51"/>
    <w:rsid w:val="00050DC6"/>
    <w:rsid w:val="00057BCB"/>
    <w:rsid w:val="0006504A"/>
    <w:rsid w:val="0006660B"/>
    <w:rsid w:val="00070E50"/>
    <w:rsid w:val="00071EF5"/>
    <w:rsid w:val="000752D0"/>
    <w:rsid w:val="000850CF"/>
    <w:rsid w:val="00091C56"/>
    <w:rsid w:val="00092ED1"/>
    <w:rsid w:val="00093784"/>
    <w:rsid w:val="000A28A3"/>
    <w:rsid w:val="000A28F9"/>
    <w:rsid w:val="000A76B5"/>
    <w:rsid w:val="000B06B2"/>
    <w:rsid w:val="000B5CD1"/>
    <w:rsid w:val="000B636B"/>
    <w:rsid w:val="000C295D"/>
    <w:rsid w:val="000C4CE2"/>
    <w:rsid w:val="000C657A"/>
    <w:rsid w:val="000D0D2F"/>
    <w:rsid w:val="000D16A8"/>
    <w:rsid w:val="000D635C"/>
    <w:rsid w:val="000D67E4"/>
    <w:rsid w:val="000E2420"/>
    <w:rsid w:val="000EB6C0"/>
    <w:rsid w:val="000F3B20"/>
    <w:rsid w:val="00105B08"/>
    <w:rsid w:val="0011169B"/>
    <w:rsid w:val="00113F75"/>
    <w:rsid w:val="00131640"/>
    <w:rsid w:val="00131C57"/>
    <w:rsid w:val="001333C1"/>
    <w:rsid w:val="00134AF7"/>
    <w:rsid w:val="0013508E"/>
    <w:rsid w:val="001415B9"/>
    <w:rsid w:val="00143CFC"/>
    <w:rsid w:val="00144786"/>
    <w:rsid w:val="00145077"/>
    <w:rsid w:val="0015185C"/>
    <w:rsid w:val="001652E6"/>
    <w:rsid w:val="00166344"/>
    <w:rsid w:val="001728C2"/>
    <w:rsid w:val="00177A00"/>
    <w:rsid w:val="00183242"/>
    <w:rsid w:val="0018473B"/>
    <w:rsid w:val="00185A72"/>
    <w:rsid w:val="00187616"/>
    <w:rsid w:val="00187BA3"/>
    <w:rsid w:val="00190EEA"/>
    <w:rsid w:val="00191477"/>
    <w:rsid w:val="001934EB"/>
    <w:rsid w:val="00195C38"/>
    <w:rsid w:val="00197E0E"/>
    <w:rsid w:val="001A3055"/>
    <w:rsid w:val="001A6611"/>
    <w:rsid w:val="001B029F"/>
    <w:rsid w:val="001B1420"/>
    <w:rsid w:val="001B3636"/>
    <w:rsid w:val="001B4380"/>
    <w:rsid w:val="001B474F"/>
    <w:rsid w:val="001C6312"/>
    <w:rsid w:val="001D1348"/>
    <w:rsid w:val="001D1530"/>
    <w:rsid w:val="001E24D4"/>
    <w:rsid w:val="001E3A43"/>
    <w:rsid w:val="001E5543"/>
    <w:rsid w:val="001E5809"/>
    <w:rsid w:val="001F039D"/>
    <w:rsid w:val="001F0E97"/>
    <w:rsid w:val="001F4AE6"/>
    <w:rsid w:val="001F4FD7"/>
    <w:rsid w:val="001F51DC"/>
    <w:rsid w:val="001F658F"/>
    <w:rsid w:val="001F6845"/>
    <w:rsid w:val="00203651"/>
    <w:rsid w:val="00205B1F"/>
    <w:rsid w:val="00207AA3"/>
    <w:rsid w:val="002123EB"/>
    <w:rsid w:val="00212B39"/>
    <w:rsid w:val="002134A5"/>
    <w:rsid w:val="00213AF4"/>
    <w:rsid w:val="00215CAE"/>
    <w:rsid w:val="00225FEE"/>
    <w:rsid w:val="00230E2B"/>
    <w:rsid w:val="00236F98"/>
    <w:rsid w:val="00242754"/>
    <w:rsid w:val="00243A90"/>
    <w:rsid w:val="0024414D"/>
    <w:rsid w:val="002504A6"/>
    <w:rsid w:val="00257596"/>
    <w:rsid w:val="00260565"/>
    <w:rsid w:val="00262E74"/>
    <w:rsid w:val="00263062"/>
    <w:rsid w:val="00263A7C"/>
    <w:rsid w:val="00263F87"/>
    <w:rsid w:val="00264310"/>
    <w:rsid w:val="002728D4"/>
    <w:rsid w:val="00272D22"/>
    <w:rsid w:val="0027389B"/>
    <w:rsid w:val="002754B0"/>
    <w:rsid w:val="002800D2"/>
    <w:rsid w:val="0028243A"/>
    <w:rsid w:val="00282F80"/>
    <w:rsid w:val="00285607"/>
    <w:rsid w:val="0028705F"/>
    <w:rsid w:val="00291430"/>
    <w:rsid w:val="00293E2A"/>
    <w:rsid w:val="00297EC9"/>
    <w:rsid w:val="002A066E"/>
    <w:rsid w:val="002A088D"/>
    <w:rsid w:val="002A7FC2"/>
    <w:rsid w:val="002B1079"/>
    <w:rsid w:val="002B173A"/>
    <w:rsid w:val="002B1AC1"/>
    <w:rsid w:val="002B5C26"/>
    <w:rsid w:val="002B5FAD"/>
    <w:rsid w:val="002B6520"/>
    <w:rsid w:val="002B6804"/>
    <w:rsid w:val="002C08EE"/>
    <w:rsid w:val="002C0D4F"/>
    <w:rsid w:val="002C1433"/>
    <w:rsid w:val="002C2968"/>
    <w:rsid w:val="002E0AFE"/>
    <w:rsid w:val="002E12B3"/>
    <w:rsid w:val="002E3505"/>
    <w:rsid w:val="002E377C"/>
    <w:rsid w:val="002F0C07"/>
    <w:rsid w:val="002F6EF2"/>
    <w:rsid w:val="00300603"/>
    <w:rsid w:val="003012EC"/>
    <w:rsid w:val="00301738"/>
    <w:rsid w:val="00301F3C"/>
    <w:rsid w:val="00304810"/>
    <w:rsid w:val="00322337"/>
    <w:rsid w:val="003237C5"/>
    <w:rsid w:val="003244F9"/>
    <w:rsid w:val="003251E3"/>
    <w:rsid w:val="00326A25"/>
    <w:rsid w:val="00327F6F"/>
    <w:rsid w:val="00330E71"/>
    <w:rsid w:val="003319CF"/>
    <w:rsid w:val="003370A5"/>
    <w:rsid w:val="003432F3"/>
    <w:rsid w:val="0034351B"/>
    <w:rsid w:val="00345C97"/>
    <w:rsid w:val="0034692E"/>
    <w:rsid w:val="0034742D"/>
    <w:rsid w:val="00352F27"/>
    <w:rsid w:val="003573CF"/>
    <w:rsid w:val="003602F0"/>
    <w:rsid w:val="00362DCE"/>
    <w:rsid w:val="00366347"/>
    <w:rsid w:val="003728A2"/>
    <w:rsid w:val="00372F9F"/>
    <w:rsid w:val="00373EEB"/>
    <w:rsid w:val="0037507A"/>
    <w:rsid w:val="00376CB6"/>
    <w:rsid w:val="00386D4C"/>
    <w:rsid w:val="003874C6"/>
    <w:rsid w:val="0039197A"/>
    <w:rsid w:val="00392490"/>
    <w:rsid w:val="00396568"/>
    <w:rsid w:val="0039777C"/>
    <w:rsid w:val="003977E7"/>
    <w:rsid w:val="003A2C14"/>
    <w:rsid w:val="003A7157"/>
    <w:rsid w:val="003B34FB"/>
    <w:rsid w:val="003B3798"/>
    <w:rsid w:val="003C1638"/>
    <w:rsid w:val="003C17D6"/>
    <w:rsid w:val="003C25E7"/>
    <w:rsid w:val="003C5C9C"/>
    <w:rsid w:val="003C7476"/>
    <w:rsid w:val="003D120F"/>
    <w:rsid w:val="003D147D"/>
    <w:rsid w:val="003D1A93"/>
    <w:rsid w:val="003E5A35"/>
    <w:rsid w:val="003E5B78"/>
    <w:rsid w:val="003F1DE4"/>
    <w:rsid w:val="003F3953"/>
    <w:rsid w:val="00406C73"/>
    <w:rsid w:val="004140B0"/>
    <w:rsid w:val="00416B38"/>
    <w:rsid w:val="00417B5D"/>
    <w:rsid w:val="00421562"/>
    <w:rsid w:val="00426DBF"/>
    <w:rsid w:val="00430007"/>
    <w:rsid w:val="00431A78"/>
    <w:rsid w:val="00441FC6"/>
    <w:rsid w:val="004421A9"/>
    <w:rsid w:val="004435FB"/>
    <w:rsid w:val="004451F9"/>
    <w:rsid w:val="004469DF"/>
    <w:rsid w:val="00447197"/>
    <w:rsid w:val="00450299"/>
    <w:rsid w:val="004502F8"/>
    <w:rsid w:val="00450BA8"/>
    <w:rsid w:val="00450CEC"/>
    <w:rsid w:val="0045284F"/>
    <w:rsid w:val="00455CB4"/>
    <w:rsid w:val="00463B82"/>
    <w:rsid w:val="004709F9"/>
    <w:rsid w:val="004714C8"/>
    <w:rsid w:val="00471D41"/>
    <w:rsid w:val="00471EA2"/>
    <w:rsid w:val="00477292"/>
    <w:rsid w:val="00484583"/>
    <w:rsid w:val="00485287"/>
    <w:rsid w:val="00485BA0"/>
    <w:rsid w:val="004919AC"/>
    <w:rsid w:val="0049389D"/>
    <w:rsid w:val="004A2B30"/>
    <w:rsid w:val="004A36B7"/>
    <w:rsid w:val="004A4CAF"/>
    <w:rsid w:val="004B2B33"/>
    <w:rsid w:val="004B3C72"/>
    <w:rsid w:val="004B510B"/>
    <w:rsid w:val="004C000A"/>
    <w:rsid w:val="004C5543"/>
    <w:rsid w:val="004C5DF5"/>
    <w:rsid w:val="004D0A73"/>
    <w:rsid w:val="004D7048"/>
    <w:rsid w:val="004E7EC2"/>
    <w:rsid w:val="004F3C4E"/>
    <w:rsid w:val="00501C0E"/>
    <w:rsid w:val="005062DA"/>
    <w:rsid w:val="0051148B"/>
    <w:rsid w:val="00511716"/>
    <w:rsid w:val="005124EC"/>
    <w:rsid w:val="005131C0"/>
    <w:rsid w:val="0051639B"/>
    <w:rsid w:val="0052055C"/>
    <w:rsid w:val="00523B9A"/>
    <w:rsid w:val="005279DD"/>
    <w:rsid w:val="00527FE7"/>
    <w:rsid w:val="00535503"/>
    <w:rsid w:val="00535607"/>
    <w:rsid w:val="00537D1A"/>
    <w:rsid w:val="00541696"/>
    <w:rsid w:val="00550899"/>
    <w:rsid w:val="00553A9C"/>
    <w:rsid w:val="005555BB"/>
    <w:rsid w:val="00562909"/>
    <w:rsid w:val="0056398E"/>
    <w:rsid w:val="005648E9"/>
    <w:rsid w:val="00567291"/>
    <w:rsid w:val="005712AB"/>
    <w:rsid w:val="005728BC"/>
    <w:rsid w:val="00575B87"/>
    <w:rsid w:val="00576739"/>
    <w:rsid w:val="00577C4E"/>
    <w:rsid w:val="00580862"/>
    <w:rsid w:val="00586718"/>
    <w:rsid w:val="00586C7E"/>
    <w:rsid w:val="00587BBC"/>
    <w:rsid w:val="00590389"/>
    <w:rsid w:val="0059559F"/>
    <w:rsid w:val="005A02BB"/>
    <w:rsid w:val="005A111B"/>
    <w:rsid w:val="005A14F7"/>
    <w:rsid w:val="005A3A23"/>
    <w:rsid w:val="005A6695"/>
    <w:rsid w:val="005A7598"/>
    <w:rsid w:val="005B12B2"/>
    <w:rsid w:val="005B5FC7"/>
    <w:rsid w:val="005B7AD6"/>
    <w:rsid w:val="005B7C3D"/>
    <w:rsid w:val="005C07D7"/>
    <w:rsid w:val="005C20E0"/>
    <w:rsid w:val="005C36E8"/>
    <w:rsid w:val="005C580C"/>
    <w:rsid w:val="005D2565"/>
    <w:rsid w:val="005D2720"/>
    <w:rsid w:val="005D4161"/>
    <w:rsid w:val="005D5C72"/>
    <w:rsid w:val="005D78C9"/>
    <w:rsid w:val="005E32C9"/>
    <w:rsid w:val="005E3704"/>
    <w:rsid w:val="005E55CB"/>
    <w:rsid w:val="005F3799"/>
    <w:rsid w:val="005F7A19"/>
    <w:rsid w:val="00600077"/>
    <w:rsid w:val="006013A7"/>
    <w:rsid w:val="00602021"/>
    <w:rsid w:val="006047DB"/>
    <w:rsid w:val="0060751C"/>
    <w:rsid w:val="006131DE"/>
    <w:rsid w:val="006136E8"/>
    <w:rsid w:val="00614B45"/>
    <w:rsid w:val="006161C6"/>
    <w:rsid w:val="00616CBB"/>
    <w:rsid w:val="00620F2C"/>
    <w:rsid w:val="006229EF"/>
    <w:rsid w:val="00632D69"/>
    <w:rsid w:val="00633B20"/>
    <w:rsid w:val="00640C27"/>
    <w:rsid w:val="006417EF"/>
    <w:rsid w:val="00650630"/>
    <w:rsid w:val="00651021"/>
    <w:rsid w:val="00652B6A"/>
    <w:rsid w:val="00653B53"/>
    <w:rsid w:val="00660884"/>
    <w:rsid w:val="00662316"/>
    <w:rsid w:val="006647D7"/>
    <w:rsid w:val="0067091A"/>
    <w:rsid w:val="00670FCB"/>
    <w:rsid w:val="006714CD"/>
    <w:rsid w:val="00680512"/>
    <w:rsid w:val="0068425D"/>
    <w:rsid w:val="00687DEB"/>
    <w:rsid w:val="00690117"/>
    <w:rsid w:val="006905A7"/>
    <w:rsid w:val="00692AF0"/>
    <w:rsid w:val="00692C1F"/>
    <w:rsid w:val="00696453"/>
    <w:rsid w:val="006A3728"/>
    <w:rsid w:val="006A626A"/>
    <w:rsid w:val="006A7808"/>
    <w:rsid w:val="006B561A"/>
    <w:rsid w:val="006B7430"/>
    <w:rsid w:val="006B7BF7"/>
    <w:rsid w:val="006C44B2"/>
    <w:rsid w:val="006C5369"/>
    <w:rsid w:val="006D0C89"/>
    <w:rsid w:val="006D3C1B"/>
    <w:rsid w:val="006D49D9"/>
    <w:rsid w:val="006D4C17"/>
    <w:rsid w:val="006E0312"/>
    <w:rsid w:val="006E5F5B"/>
    <w:rsid w:val="006E7ACE"/>
    <w:rsid w:val="006F6538"/>
    <w:rsid w:val="00703CA2"/>
    <w:rsid w:val="00703DA4"/>
    <w:rsid w:val="00711AE6"/>
    <w:rsid w:val="00713AC3"/>
    <w:rsid w:val="00715077"/>
    <w:rsid w:val="007151EB"/>
    <w:rsid w:val="00720BEA"/>
    <w:rsid w:val="007216AF"/>
    <w:rsid w:val="00721F13"/>
    <w:rsid w:val="00735388"/>
    <w:rsid w:val="00737316"/>
    <w:rsid w:val="00737CC1"/>
    <w:rsid w:val="007412FA"/>
    <w:rsid w:val="0074184B"/>
    <w:rsid w:val="00741F8C"/>
    <w:rsid w:val="00747DE5"/>
    <w:rsid w:val="00754690"/>
    <w:rsid w:val="00757ED0"/>
    <w:rsid w:val="007618F8"/>
    <w:rsid w:val="00766F79"/>
    <w:rsid w:val="00771160"/>
    <w:rsid w:val="00777C33"/>
    <w:rsid w:val="00783483"/>
    <w:rsid w:val="007834A0"/>
    <w:rsid w:val="00783530"/>
    <w:rsid w:val="007912F3"/>
    <w:rsid w:val="00792A4F"/>
    <w:rsid w:val="007947E4"/>
    <w:rsid w:val="00794F2F"/>
    <w:rsid w:val="007A061E"/>
    <w:rsid w:val="007A2765"/>
    <w:rsid w:val="007A2B68"/>
    <w:rsid w:val="007A3A84"/>
    <w:rsid w:val="007B045B"/>
    <w:rsid w:val="007B1809"/>
    <w:rsid w:val="007B214E"/>
    <w:rsid w:val="007B49E9"/>
    <w:rsid w:val="007C3593"/>
    <w:rsid w:val="007D1BCF"/>
    <w:rsid w:val="007D264F"/>
    <w:rsid w:val="007D5E87"/>
    <w:rsid w:val="00802BC1"/>
    <w:rsid w:val="00803A5E"/>
    <w:rsid w:val="00804CDF"/>
    <w:rsid w:val="008063B9"/>
    <w:rsid w:val="00806A6D"/>
    <w:rsid w:val="008077C4"/>
    <w:rsid w:val="008136D2"/>
    <w:rsid w:val="00814996"/>
    <w:rsid w:val="00816A85"/>
    <w:rsid w:val="00822561"/>
    <w:rsid w:val="00822612"/>
    <w:rsid w:val="00833A2E"/>
    <w:rsid w:val="008349A0"/>
    <w:rsid w:val="008378E7"/>
    <w:rsid w:val="00847498"/>
    <w:rsid w:val="00847995"/>
    <w:rsid w:val="008557A4"/>
    <w:rsid w:val="00855975"/>
    <w:rsid w:val="00860CC7"/>
    <w:rsid w:val="00861038"/>
    <w:rsid w:val="0086173B"/>
    <w:rsid w:val="0086309F"/>
    <w:rsid w:val="0086394C"/>
    <w:rsid w:val="00865EED"/>
    <w:rsid w:val="0087076F"/>
    <w:rsid w:val="00874473"/>
    <w:rsid w:val="00877E44"/>
    <w:rsid w:val="008818B1"/>
    <w:rsid w:val="00882906"/>
    <w:rsid w:val="0088362B"/>
    <w:rsid w:val="00885619"/>
    <w:rsid w:val="00885A4E"/>
    <w:rsid w:val="00886100"/>
    <w:rsid w:val="00892BFE"/>
    <w:rsid w:val="00892D13"/>
    <w:rsid w:val="00896049"/>
    <w:rsid w:val="00896DC0"/>
    <w:rsid w:val="008A313D"/>
    <w:rsid w:val="008A470C"/>
    <w:rsid w:val="008B0607"/>
    <w:rsid w:val="008B1439"/>
    <w:rsid w:val="008B1B12"/>
    <w:rsid w:val="008B6A11"/>
    <w:rsid w:val="008C253C"/>
    <w:rsid w:val="008C48C5"/>
    <w:rsid w:val="008C6429"/>
    <w:rsid w:val="008C791D"/>
    <w:rsid w:val="008D1340"/>
    <w:rsid w:val="008D3C08"/>
    <w:rsid w:val="008E363B"/>
    <w:rsid w:val="008F0926"/>
    <w:rsid w:val="008F2317"/>
    <w:rsid w:val="008F36AC"/>
    <w:rsid w:val="008F5686"/>
    <w:rsid w:val="008F64C1"/>
    <w:rsid w:val="008F7B7B"/>
    <w:rsid w:val="00907BC9"/>
    <w:rsid w:val="00923A28"/>
    <w:rsid w:val="00933DB6"/>
    <w:rsid w:val="009363F4"/>
    <w:rsid w:val="0093739C"/>
    <w:rsid w:val="0094215B"/>
    <w:rsid w:val="0094282D"/>
    <w:rsid w:val="00952057"/>
    <w:rsid w:val="009524D7"/>
    <w:rsid w:val="0096125C"/>
    <w:rsid w:val="009634A0"/>
    <w:rsid w:val="00966EF4"/>
    <w:rsid w:val="009700C7"/>
    <w:rsid w:val="00975565"/>
    <w:rsid w:val="009772D3"/>
    <w:rsid w:val="00977484"/>
    <w:rsid w:val="009849A6"/>
    <w:rsid w:val="00986713"/>
    <w:rsid w:val="0098723B"/>
    <w:rsid w:val="00987393"/>
    <w:rsid w:val="00991209"/>
    <w:rsid w:val="009950F2"/>
    <w:rsid w:val="009A4125"/>
    <w:rsid w:val="009C2309"/>
    <w:rsid w:val="009C38D1"/>
    <w:rsid w:val="009C4F67"/>
    <w:rsid w:val="009C6940"/>
    <w:rsid w:val="009D062E"/>
    <w:rsid w:val="009D076B"/>
    <w:rsid w:val="009D3A95"/>
    <w:rsid w:val="009D4C2E"/>
    <w:rsid w:val="009D4D13"/>
    <w:rsid w:val="009D758F"/>
    <w:rsid w:val="009E0CC2"/>
    <w:rsid w:val="009E6FFF"/>
    <w:rsid w:val="009F4145"/>
    <w:rsid w:val="009F74C2"/>
    <w:rsid w:val="00A01856"/>
    <w:rsid w:val="00A0422B"/>
    <w:rsid w:val="00A06E4E"/>
    <w:rsid w:val="00A15D01"/>
    <w:rsid w:val="00A1759B"/>
    <w:rsid w:val="00A21381"/>
    <w:rsid w:val="00A22A97"/>
    <w:rsid w:val="00A23A67"/>
    <w:rsid w:val="00A24D86"/>
    <w:rsid w:val="00A2532E"/>
    <w:rsid w:val="00A25B31"/>
    <w:rsid w:val="00A27C75"/>
    <w:rsid w:val="00A32FB0"/>
    <w:rsid w:val="00A373CD"/>
    <w:rsid w:val="00A37906"/>
    <w:rsid w:val="00A40EC9"/>
    <w:rsid w:val="00A44459"/>
    <w:rsid w:val="00A446D7"/>
    <w:rsid w:val="00A47256"/>
    <w:rsid w:val="00A50B87"/>
    <w:rsid w:val="00A5109C"/>
    <w:rsid w:val="00A5460F"/>
    <w:rsid w:val="00A60BAC"/>
    <w:rsid w:val="00A64052"/>
    <w:rsid w:val="00A77661"/>
    <w:rsid w:val="00A77D74"/>
    <w:rsid w:val="00A812E6"/>
    <w:rsid w:val="00A82B43"/>
    <w:rsid w:val="00A8388F"/>
    <w:rsid w:val="00A91236"/>
    <w:rsid w:val="00A92E91"/>
    <w:rsid w:val="00A934D9"/>
    <w:rsid w:val="00A94075"/>
    <w:rsid w:val="00A94145"/>
    <w:rsid w:val="00AA0A41"/>
    <w:rsid w:val="00AA1774"/>
    <w:rsid w:val="00AB1157"/>
    <w:rsid w:val="00AE7578"/>
    <w:rsid w:val="00AF407D"/>
    <w:rsid w:val="00B020B1"/>
    <w:rsid w:val="00B03DD9"/>
    <w:rsid w:val="00B04E94"/>
    <w:rsid w:val="00B07B11"/>
    <w:rsid w:val="00B12CCB"/>
    <w:rsid w:val="00B13AD9"/>
    <w:rsid w:val="00B14777"/>
    <w:rsid w:val="00B14DD1"/>
    <w:rsid w:val="00B20031"/>
    <w:rsid w:val="00B232E3"/>
    <w:rsid w:val="00B26B38"/>
    <w:rsid w:val="00B35916"/>
    <w:rsid w:val="00B41961"/>
    <w:rsid w:val="00B42282"/>
    <w:rsid w:val="00B440B4"/>
    <w:rsid w:val="00B44418"/>
    <w:rsid w:val="00B44646"/>
    <w:rsid w:val="00B508D7"/>
    <w:rsid w:val="00B604A2"/>
    <w:rsid w:val="00B60739"/>
    <w:rsid w:val="00B612F7"/>
    <w:rsid w:val="00B63580"/>
    <w:rsid w:val="00B63739"/>
    <w:rsid w:val="00B664A5"/>
    <w:rsid w:val="00B67924"/>
    <w:rsid w:val="00B70808"/>
    <w:rsid w:val="00B71052"/>
    <w:rsid w:val="00B74FBE"/>
    <w:rsid w:val="00B76986"/>
    <w:rsid w:val="00B7723F"/>
    <w:rsid w:val="00B8192D"/>
    <w:rsid w:val="00B86D7A"/>
    <w:rsid w:val="00B962BD"/>
    <w:rsid w:val="00BA2BC9"/>
    <w:rsid w:val="00BA3446"/>
    <w:rsid w:val="00BA4E67"/>
    <w:rsid w:val="00BA52E7"/>
    <w:rsid w:val="00BA5B45"/>
    <w:rsid w:val="00BA625C"/>
    <w:rsid w:val="00BC2ADE"/>
    <w:rsid w:val="00BC5A55"/>
    <w:rsid w:val="00BC6330"/>
    <w:rsid w:val="00BE1DAF"/>
    <w:rsid w:val="00BE2EAB"/>
    <w:rsid w:val="00BE47FD"/>
    <w:rsid w:val="00BE4CC4"/>
    <w:rsid w:val="00BE524D"/>
    <w:rsid w:val="00BF1ACD"/>
    <w:rsid w:val="00BF3952"/>
    <w:rsid w:val="00C060CB"/>
    <w:rsid w:val="00C13A4F"/>
    <w:rsid w:val="00C22053"/>
    <w:rsid w:val="00C24F4A"/>
    <w:rsid w:val="00C336B5"/>
    <w:rsid w:val="00C34B03"/>
    <w:rsid w:val="00C3640B"/>
    <w:rsid w:val="00C4117D"/>
    <w:rsid w:val="00C429BC"/>
    <w:rsid w:val="00C52F35"/>
    <w:rsid w:val="00C53EA0"/>
    <w:rsid w:val="00C54933"/>
    <w:rsid w:val="00C62BAE"/>
    <w:rsid w:val="00C63EC5"/>
    <w:rsid w:val="00C6775D"/>
    <w:rsid w:val="00C70699"/>
    <w:rsid w:val="00C70ECA"/>
    <w:rsid w:val="00C70FD1"/>
    <w:rsid w:val="00C8017E"/>
    <w:rsid w:val="00C85240"/>
    <w:rsid w:val="00C85C83"/>
    <w:rsid w:val="00C90C8E"/>
    <w:rsid w:val="00C9351F"/>
    <w:rsid w:val="00CA521A"/>
    <w:rsid w:val="00CB1677"/>
    <w:rsid w:val="00CB17F6"/>
    <w:rsid w:val="00CB337D"/>
    <w:rsid w:val="00CC21C4"/>
    <w:rsid w:val="00CC49F8"/>
    <w:rsid w:val="00CD6E1B"/>
    <w:rsid w:val="00CE0FCC"/>
    <w:rsid w:val="00CE649B"/>
    <w:rsid w:val="00CF49C3"/>
    <w:rsid w:val="00CF5B02"/>
    <w:rsid w:val="00CF6A5A"/>
    <w:rsid w:val="00CF79EA"/>
    <w:rsid w:val="00D00642"/>
    <w:rsid w:val="00D012C4"/>
    <w:rsid w:val="00D03F1D"/>
    <w:rsid w:val="00D05CFA"/>
    <w:rsid w:val="00D1175E"/>
    <w:rsid w:val="00D11FFA"/>
    <w:rsid w:val="00D122C7"/>
    <w:rsid w:val="00D14D74"/>
    <w:rsid w:val="00D20115"/>
    <w:rsid w:val="00D20AA1"/>
    <w:rsid w:val="00D344A0"/>
    <w:rsid w:val="00D36152"/>
    <w:rsid w:val="00D40611"/>
    <w:rsid w:val="00D42767"/>
    <w:rsid w:val="00D4599D"/>
    <w:rsid w:val="00D475F3"/>
    <w:rsid w:val="00D542EF"/>
    <w:rsid w:val="00D545A1"/>
    <w:rsid w:val="00D548AA"/>
    <w:rsid w:val="00D57405"/>
    <w:rsid w:val="00D61A50"/>
    <w:rsid w:val="00D63113"/>
    <w:rsid w:val="00D702A3"/>
    <w:rsid w:val="00D71968"/>
    <w:rsid w:val="00D71CC0"/>
    <w:rsid w:val="00D72291"/>
    <w:rsid w:val="00D740B0"/>
    <w:rsid w:val="00D77068"/>
    <w:rsid w:val="00D825C9"/>
    <w:rsid w:val="00D83C54"/>
    <w:rsid w:val="00D9221E"/>
    <w:rsid w:val="00D935C2"/>
    <w:rsid w:val="00D95D45"/>
    <w:rsid w:val="00DA1214"/>
    <w:rsid w:val="00DB2DD0"/>
    <w:rsid w:val="00DB6E40"/>
    <w:rsid w:val="00DC05CF"/>
    <w:rsid w:val="00DC62AE"/>
    <w:rsid w:val="00DD0BD6"/>
    <w:rsid w:val="00DD6B3F"/>
    <w:rsid w:val="00DD7303"/>
    <w:rsid w:val="00DD7DBE"/>
    <w:rsid w:val="00DE0753"/>
    <w:rsid w:val="00DE7A9B"/>
    <w:rsid w:val="00DF0050"/>
    <w:rsid w:val="00DF02C7"/>
    <w:rsid w:val="00DF31A8"/>
    <w:rsid w:val="00DF78BC"/>
    <w:rsid w:val="00E04229"/>
    <w:rsid w:val="00E05D10"/>
    <w:rsid w:val="00E07FBA"/>
    <w:rsid w:val="00E12290"/>
    <w:rsid w:val="00E142AA"/>
    <w:rsid w:val="00E15970"/>
    <w:rsid w:val="00E16071"/>
    <w:rsid w:val="00E25431"/>
    <w:rsid w:val="00E260EF"/>
    <w:rsid w:val="00E26162"/>
    <w:rsid w:val="00E412F0"/>
    <w:rsid w:val="00E41A1A"/>
    <w:rsid w:val="00E47517"/>
    <w:rsid w:val="00E47A34"/>
    <w:rsid w:val="00E520DC"/>
    <w:rsid w:val="00E52D77"/>
    <w:rsid w:val="00E53DDB"/>
    <w:rsid w:val="00E63494"/>
    <w:rsid w:val="00E63B8B"/>
    <w:rsid w:val="00E66B13"/>
    <w:rsid w:val="00E7266B"/>
    <w:rsid w:val="00E734FF"/>
    <w:rsid w:val="00E773B3"/>
    <w:rsid w:val="00E8142A"/>
    <w:rsid w:val="00E8247C"/>
    <w:rsid w:val="00E83D1A"/>
    <w:rsid w:val="00E84AFE"/>
    <w:rsid w:val="00E86DE6"/>
    <w:rsid w:val="00E87820"/>
    <w:rsid w:val="00E96791"/>
    <w:rsid w:val="00EA0807"/>
    <w:rsid w:val="00EA14E1"/>
    <w:rsid w:val="00EA42CD"/>
    <w:rsid w:val="00EA5723"/>
    <w:rsid w:val="00EA5D5F"/>
    <w:rsid w:val="00EB04E6"/>
    <w:rsid w:val="00EB2DCB"/>
    <w:rsid w:val="00EB6575"/>
    <w:rsid w:val="00EC066A"/>
    <w:rsid w:val="00EC28B7"/>
    <w:rsid w:val="00EC31E5"/>
    <w:rsid w:val="00ED69F8"/>
    <w:rsid w:val="00ED7E3C"/>
    <w:rsid w:val="00EE30C3"/>
    <w:rsid w:val="00EE403E"/>
    <w:rsid w:val="00EE5E22"/>
    <w:rsid w:val="00F10412"/>
    <w:rsid w:val="00F12EE9"/>
    <w:rsid w:val="00F245CA"/>
    <w:rsid w:val="00F25A82"/>
    <w:rsid w:val="00F27043"/>
    <w:rsid w:val="00F3086E"/>
    <w:rsid w:val="00F31DB4"/>
    <w:rsid w:val="00F322BF"/>
    <w:rsid w:val="00F355B8"/>
    <w:rsid w:val="00F40BC3"/>
    <w:rsid w:val="00F40CAA"/>
    <w:rsid w:val="00F417C2"/>
    <w:rsid w:val="00F42B1B"/>
    <w:rsid w:val="00F46865"/>
    <w:rsid w:val="00F56A5E"/>
    <w:rsid w:val="00F63E58"/>
    <w:rsid w:val="00F72D37"/>
    <w:rsid w:val="00F80E63"/>
    <w:rsid w:val="00F83E93"/>
    <w:rsid w:val="00F958D6"/>
    <w:rsid w:val="00F96B79"/>
    <w:rsid w:val="00F97734"/>
    <w:rsid w:val="00F97760"/>
    <w:rsid w:val="00FA1459"/>
    <w:rsid w:val="00FA47F0"/>
    <w:rsid w:val="00FA5277"/>
    <w:rsid w:val="00FA7312"/>
    <w:rsid w:val="00FB06F3"/>
    <w:rsid w:val="00FB3EE8"/>
    <w:rsid w:val="00FB6F23"/>
    <w:rsid w:val="00FC052C"/>
    <w:rsid w:val="00FC2132"/>
    <w:rsid w:val="00FC6AAD"/>
    <w:rsid w:val="00FD2AC3"/>
    <w:rsid w:val="00FD526D"/>
    <w:rsid w:val="00FD5A26"/>
    <w:rsid w:val="00FD6CC6"/>
    <w:rsid w:val="00FE1569"/>
    <w:rsid w:val="00FE1FDA"/>
    <w:rsid w:val="00FE2010"/>
    <w:rsid w:val="00FE5D38"/>
    <w:rsid w:val="00FE72E9"/>
    <w:rsid w:val="00FF08F4"/>
    <w:rsid w:val="00FF3982"/>
    <w:rsid w:val="00FF6050"/>
    <w:rsid w:val="00FF650C"/>
    <w:rsid w:val="0CAC997D"/>
    <w:rsid w:val="0F311797"/>
    <w:rsid w:val="103219D8"/>
    <w:rsid w:val="11B28D30"/>
    <w:rsid w:val="11C0AAEB"/>
    <w:rsid w:val="1612764B"/>
    <w:rsid w:val="1642682A"/>
    <w:rsid w:val="1ACCBF11"/>
    <w:rsid w:val="1CAE4FAF"/>
    <w:rsid w:val="1F4F28E7"/>
    <w:rsid w:val="2286C9A9"/>
    <w:rsid w:val="2A146DC2"/>
    <w:rsid w:val="2C0540F9"/>
    <w:rsid w:val="2C128B54"/>
    <w:rsid w:val="2CA690CC"/>
    <w:rsid w:val="2EA3AD6A"/>
    <w:rsid w:val="3298F1EA"/>
    <w:rsid w:val="35EDF300"/>
    <w:rsid w:val="36145AAB"/>
    <w:rsid w:val="3DD647BC"/>
    <w:rsid w:val="3F94D546"/>
    <w:rsid w:val="460416CA"/>
    <w:rsid w:val="47B90F88"/>
    <w:rsid w:val="48F5F74F"/>
    <w:rsid w:val="492D99D1"/>
    <w:rsid w:val="4BCB4AE0"/>
    <w:rsid w:val="4C653A93"/>
    <w:rsid w:val="4CF41FA4"/>
    <w:rsid w:val="50C523AE"/>
    <w:rsid w:val="552C6CE9"/>
    <w:rsid w:val="5AF52FC1"/>
    <w:rsid w:val="5BC8464D"/>
    <w:rsid w:val="5C9EA8EC"/>
    <w:rsid w:val="5D8A7E59"/>
    <w:rsid w:val="608D99B5"/>
    <w:rsid w:val="649C7B83"/>
    <w:rsid w:val="656F2893"/>
    <w:rsid w:val="66FCDB39"/>
    <w:rsid w:val="67257805"/>
    <w:rsid w:val="6901C173"/>
    <w:rsid w:val="69A7CB96"/>
    <w:rsid w:val="69B3B4A5"/>
    <w:rsid w:val="6A40A178"/>
    <w:rsid w:val="6B365CA9"/>
    <w:rsid w:val="6E6DFD6B"/>
    <w:rsid w:val="6F61C05E"/>
    <w:rsid w:val="7009CDCC"/>
    <w:rsid w:val="745B992C"/>
    <w:rsid w:val="79746C1D"/>
    <w:rsid w:val="7CF03E5A"/>
    <w:rsid w:val="7E72E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9E30"/>
  <w15:chartTrackingRefBased/>
  <w15:docId w15:val="{660BA1A6-6168-4320-BEE0-ADD17B99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312"/>
    <w:pPr>
      <w:ind w:left="720"/>
      <w:contextualSpacing/>
    </w:pPr>
  </w:style>
  <w:style w:type="character" w:customStyle="1" w:styleId="Heading1Char">
    <w:name w:val="Heading 1 Char"/>
    <w:basedOn w:val="DefaultParagraphFont"/>
    <w:link w:val="Heading1"/>
    <w:uiPriority w:val="9"/>
    <w:rsid w:val="002134A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134A5"/>
    <w:rPr>
      <w:color w:val="0563C1" w:themeColor="hyperlink"/>
      <w:u w:val="single"/>
    </w:rPr>
  </w:style>
  <w:style w:type="character" w:styleId="UnresolvedMention">
    <w:name w:val="Unresolved Mention"/>
    <w:basedOn w:val="DefaultParagraphFont"/>
    <w:uiPriority w:val="99"/>
    <w:semiHidden/>
    <w:unhideWhenUsed/>
    <w:rsid w:val="002134A5"/>
    <w:rPr>
      <w:color w:val="605E5C"/>
      <w:shd w:val="clear" w:color="auto" w:fill="E1DFDD"/>
    </w:rPr>
  </w:style>
  <w:style w:type="character" w:styleId="FollowedHyperlink">
    <w:name w:val="FollowedHyperlink"/>
    <w:basedOn w:val="DefaultParagraphFont"/>
    <w:uiPriority w:val="99"/>
    <w:semiHidden/>
    <w:unhideWhenUsed/>
    <w:rsid w:val="002134A5"/>
    <w:rPr>
      <w:color w:val="954F72" w:themeColor="followedHyperlink"/>
      <w:u w:val="single"/>
    </w:rPr>
  </w:style>
  <w:style w:type="paragraph" w:styleId="NormalWeb">
    <w:name w:val="Normal (Web)"/>
    <w:basedOn w:val="Normal"/>
    <w:uiPriority w:val="99"/>
    <w:semiHidden/>
    <w:unhideWhenUsed/>
    <w:rsid w:val="00E66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A4CAF"/>
    <w:rPr>
      <w:sz w:val="16"/>
      <w:szCs w:val="16"/>
    </w:rPr>
  </w:style>
  <w:style w:type="paragraph" w:styleId="CommentText">
    <w:name w:val="annotation text"/>
    <w:basedOn w:val="Normal"/>
    <w:link w:val="CommentTextChar"/>
    <w:uiPriority w:val="99"/>
    <w:semiHidden/>
    <w:unhideWhenUsed/>
    <w:rsid w:val="004A4CAF"/>
    <w:pPr>
      <w:spacing w:line="240" w:lineRule="auto"/>
    </w:pPr>
    <w:rPr>
      <w:sz w:val="20"/>
      <w:szCs w:val="20"/>
    </w:rPr>
  </w:style>
  <w:style w:type="character" w:customStyle="1" w:styleId="CommentTextChar">
    <w:name w:val="Comment Text Char"/>
    <w:basedOn w:val="DefaultParagraphFont"/>
    <w:link w:val="CommentText"/>
    <w:uiPriority w:val="99"/>
    <w:semiHidden/>
    <w:rsid w:val="004A4CAF"/>
    <w:rPr>
      <w:sz w:val="20"/>
      <w:szCs w:val="20"/>
    </w:rPr>
  </w:style>
  <w:style w:type="paragraph" w:styleId="CommentSubject">
    <w:name w:val="annotation subject"/>
    <w:basedOn w:val="CommentText"/>
    <w:next w:val="CommentText"/>
    <w:link w:val="CommentSubjectChar"/>
    <w:uiPriority w:val="99"/>
    <w:semiHidden/>
    <w:unhideWhenUsed/>
    <w:rsid w:val="004A4CAF"/>
    <w:rPr>
      <w:b/>
      <w:bCs/>
    </w:rPr>
  </w:style>
  <w:style w:type="character" w:customStyle="1" w:styleId="CommentSubjectChar">
    <w:name w:val="Comment Subject Char"/>
    <w:basedOn w:val="CommentTextChar"/>
    <w:link w:val="CommentSubject"/>
    <w:uiPriority w:val="99"/>
    <w:semiHidden/>
    <w:rsid w:val="004A4CAF"/>
    <w:rPr>
      <w:b/>
      <w:bCs/>
      <w:sz w:val="20"/>
      <w:szCs w:val="20"/>
    </w:rPr>
  </w:style>
  <w:style w:type="paragraph" w:styleId="BalloonText">
    <w:name w:val="Balloon Text"/>
    <w:basedOn w:val="Normal"/>
    <w:link w:val="BalloonTextChar"/>
    <w:uiPriority w:val="99"/>
    <w:semiHidden/>
    <w:unhideWhenUsed/>
    <w:rsid w:val="00F46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65"/>
    <w:rPr>
      <w:rFonts w:ascii="Segoe UI" w:hAnsi="Segoe UI" w:cs="Segoe UI"/>
      <w:sz w:val="18"/>
      <w:szCs w:val="18"/>
    </w:rPr>
  </w:style>
  <w:style w:type="paragraph" w:styleId="Title">
    <w:name w:val="Title"/>
    <w:basedOn w:val="Normal"/>
    <w:next w:val="Normal"/>
    <w:link w:val="TitleChar"/>
    <w:uiPriority w:val="10"/>
    <w:qFormat/>
    <w:rsid w:val="004E7E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EC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A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646"/>
  </w:style>
  <w:style w:type="paragraph" w:styleId="Footer">
    <w:name w:val="footer"/>
    <w:basedOn w:val="Normal"/>
    <w:link w:val="FooterChar"/>
    <w:uiPriority w:val="99"/>
    <w:unhideWhenUsed/>
    <w:rsid w:val="00B44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646"/>
  </w:style>
  <w:style w:type="paragraph" w:styleId="IntenseQuote">
    <w:name w:val="Intense Quote"/>
    <w:basedOn w:val="Normal"/>
    <w:next w:val="Normal"/>
    <w:link w:val="IntenseQuoteChar"/>
    <w:uiPriority w:val="30"/>
    <w:qFormat/>
    <w:rsid w:val="005D5C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5C72"/>
    <w:rPr>
      <w:i/>
      <w:iCs/>
      <w:color w:val="4472C4" w:themeColor="accent1"/>
    </w:rPr>
  </w:style>
  <w:style w:type="paragraph" w:customStyle="1" w:styleId="xxmsonormal">
    <w:name w:val="x_xmsonormal"/>
    <w:basedOn w:val="Normal"/>
    <w:rsid w:val="00DB2DD0"/>
    <w:pPr>
      <w:spacing w:after="0" w:line="240" w:lineRule="auto"/>
    </w:pPr>
    <w:rPr>
      <w:rFonts w:ascii="Calibri" w:hAnsi="Calibri" w:cs="Calibri"/>
      <w:lang w:eastAsia="en-GB"/>
    </w:rPr>
  </w:style>
  <w:style w:type="paragraph" w:customStyle="1" w:styleId="xxmsolistparagraph">
    <w:name w:val="x_xmsolistparagraph"/>
    <w:basedOn w:val="Normal"/>
    <w:rsid w:val="00DB2DD0"/>
    <w:pPr>
      <w:spacing w:line="252" w:lineRule="auto"/>
      <w:ind w:left="720"/>
    </w:pPr>
    <w:rPr>
      <w:rFonts w:ascii="Calibri" w:hAnsi="Calibri" w:cs="Calibri"/>
      <w:lang w:eastAsia="en-GB"/>
    </w:rPr>
  </w:style>
  <w:style w:type="character" w:customStyle="1" w:styleId="xxnormaltextrun">
    <w:name w:val="x_xnormaltextrun"/>
    <w:basedOn w:val="DefaultParagraphFont"/>
    <w:rsid w:val="00DB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8561">
      <w:bodyDiv w:val="1"/>
      <w:marLeft w:val="0"/>
      <w:marRight w:val="0"/>
      <w:marTop w:val="0"/>
      <w:marBottom w:val="0"/>
      <w:divBdr>
        <w:top w:val="none" w:sz="0" w:space="0" w:color="auto"/>
        <w:left w:val="none" w:sz="0" w:space="0" w:color="auto"/>
        <w:bottom w:val="none" w:sz="0" w:space="0" w:color="auto"/>
        <w:right w:val="none" w:sz="0" w:space="0" w:color="auto"/>
      </w:divBdr>
    </w:div>
    <w:div w:id="408190764">
      <w:bodyDiv w:val="1"/>
      <w:marLeft w:val="0"/>
      <w:marRight w:val="0"/>
      <w:marTop w:val="0"/>
      <w:marBottom w:val="0"/>
      <w:divBdr>
        <w:top w:val="none" w:sz="0" w:space="0" w:color="auto"/>
        <w:left w:val="none" w:sz="0" w:space="0" w:color="auto"/>
        <w:bottom w:val="none" w:sz="0" w:space="0" w:color="auto"/>
        <w:right w:val="none" w:sz="0" w:space="0" w:color="auto"/>
      </w:divBdr>
    </w:div>
    <w:div w:id="464087007">
      <w:bodyDiv w:val="1"/>
      <w:marLeft w:val="0"/>
      <w:marRight w:val="0"/>
      <w:marTop w:val="0"/>
      <w:marBottom w:val="0"/>
      <w:divBdr>
        <w:top w:val="none" w:sz="0" w:space="0" w:color="auto"/>
        <w:left w:val="none" w:sz="0" w:space="0" w:color="auto"/>
        <w:bottom w:val="none" w:sz="0" w:space="0" w:color="auto"/>
        <w:right w:val="none" w:sz="0" w:space="0" w:color="auto"/>
      </w:divBdr>
    </w:div>
    <w:div w:id="504786192">
      <w:bodyDiv w:val="1"/>
      <w:marLeft w:val="0"/>
      <w:marRight w:val="0"/>
      <w:marTop w:val="0"/>
      <w:marBottom w:val="0"/>
      <w:divBdr>
        <w:top w:val="none" w:sz="0" w:space="0" w:color="auto"/>
        <w:left w:val="none" w:sz="0" w:space="0" w:color="auto"/>
        <w:bottom w:val="none" w:sz="0" w:space="0" w:color="auto"/>
        <w:right w:val="none" w:sz="0" w:space="0" w:color="auto"/>
      </w:divBdr>
    </w:div>
    <w:div w:id="595554230">
      <w:bodyDiv w:val="1"/>
      <w:marLeft w:val="0"/>
      <w:marRight w:val="0"/>
      <w:marTop w:val="0"/>
      <w:marBottom w:val="0"/>
      <w:divBdr>
        <w:top w:val="none" w:sz="0" w:space="0" w:color="auto"/>
        <w:left w:val="none" w:sz="0" w:space="0" w:color="auto"/>
        <w:bottom w:val="none" w:sz="0" w:space="0" w:color="auto"/>
        <w:right w:val="none" w:sz="0" w:space="0" w:color="auto"/>
      </w:divBdr>
    </w:div>
    <w:div w:id="720790436">
      <w:bodyDiv w:val="1"/>
      <w:marLeft w:val="0"/>
      <w:marRight w:val="0"/>
      <w:marTop w:val="0"/>
      <w:marBottom w:val="0"/>
      <w:divBdr>
        <w:top w:val="none" w:sz="0" w:space="0" w:color="auto"/>
        <w:left w:val="none" w:sz="0" w:space="0" w:color="auto"/>
        <w:bottom w:val="none" w:sz="0" w:space="0" w:color="auto"/>
        <w:right w:val="none" w:sz="0" w:space="0" w:color="auto"/>
      </w:divBdr>
    </w:div>
    <w:div w:id="789398864">
      <w:bodyDiv w:val="1"/>
      <w:marLeft w:val="0"/>
      <w:marRight w:val="0"/>
      <w:marTop w:val="0"/>
      <w:marBottom w:val="0"/>
      <w:divBdr>
        <w:top w:val="none" w:sz="0" w:space="0" w:color="auto"/>
        <w:left w:val="none" w:sz="0" w:space="0" w:color="auto"/>
        <w:bottom w:val="none" w:sz="0" w:space="0" w:color="auto"/>
        <w:right w:val="none" w:sz="0" w:space="0" w:color="auto"/>
      </w:divBdr>
    </w:div>
    <w:div w:id="1078592916">
      <w:bodyDiv w:val="1"/>
      <w:marLeft w:val="0"/>
      <w:marRight w:val="0"/>
      <w:marTop w:val="0"/>
      <w:marBottom w:val="0"/>
      <w:divBdr>
        <w:top w:val="none" w:sz="0" w:space="0" w:color="auto"/>
        <w:left w:val="none" w:sz="0" w:space="0" w:color="auto"/>
        <w:bottom w:val="none" w:sz="0" w:space="0" w:color="auto"/>
        <w:right w:val="none" w:sz="0" w:space="0" w:color="auto"/>
      </w:divBdr>
    </w:div>
    <w:div w:id="1154644687">
      <w:bodyDiv w:val="1"/>
      <w:marLeft w:val="0"/>
      <w:marRight w:val="0"/>
      <w:marTop w:val="0"/>
      <w:marBottom w:val="0"/>
      <w:divBdr>
        <w:top w:val="none" w:sz="0" w:space="0" w:color="auto"/>
        <w:left w:val="none" w:sz="0" w:space="0" w:color="auto"/>
        <w:bottom w:val="none" w:sz="0" w:space="0" w:color="auto"/>
        <w:right w:val="none" w:sz="0" w:space="0" w:color="auto"/>
      </w:divBdr>
    </w:div>
    <w:div w:id="1186093668">
      <w:bodyDiv w:val="1"/>
      <w:marLeft w:val="0"/>
      <w:marRight w:val="0"/>
      <w:marTop w:val="0"/>
      <w:marBottom w:val="0"/>
      <w:divBdr>
        <w:top w:val="none" w:sz="0" w:space="0" w:color="auto"/>
        <w:left w:val="none" w:sz="0" w:space="0" w:color="auto"/>
        <w:bottom w:val="none" w:sz="0" w:space="0" w:color="auto"/>
        <w:right w:val="none" w:sz="0" w:space="0" w:color="auto"/>
      </w:divBdr>
    </w:div>
    <w:div w:id="1408528734">
      <w:bodyDiv w:val="1"/>
      <w:marLeft w:val="0"/>
      <w:marRight w:val="0"/>
      <w:marTop w:val="0"/>
      <w:marBottom w:val="0"/>
      <w:divBdr>
        <w:top w:val="none" w:sz="0" w:space="0" w:color="auto"/>
        <w:left w:val="none" w:sz="0" w:space="0" w:color="auto"/>
        <w:bottom w:val="none" w:sz="0" w:space="0" w:color="auto"/>
        <w:right w:val="none" w:sz="0" w:space="0" w:color="auto"/>
      </w:divBdr>
    </w:div>
    <w:div w:id="1479152121">
      <w:bodyDiv w:val="1"/>
      <w:marLeft w:val="0"/>
      <w:marRight w:val="0"/>
      <w:marTop w:val="0"/>
      <w:marBottom w:val="0"/>
      <w:divBdr>
        <w:top w:val="none" w:sz="0" w:space="0" w:color="auto"/>
        <w:left w:val="none" w:sz="0" w:space="0" w:color="auto"/>
        <w:bottom w:val="none" w:sz="0" w:space="0" w:color="auto"/>
        <w:right w:val="none" w:sz="0" w:space="0" w:color="auto"/>
      </w:divBdr>
    </w:div>
    <w:div w:id="1715226967">
      <w:bodyDiv w:val="1"/>
      <w:marLeft w:val="0"/>
      <w:marRight w:val="0"/>
      <w:marTop w:val="0"/>
      <w:marBottom w:val="0"/>
      <w:divBdr>
        <w:top w:val="none" w:sz="0" w:space="0" w:color="auto"/>
        <w:left w:val="none" w:sz="0" w:space="0" w:color="auto"/>
        <w:bottom w:val="none" w:sz="0" w:space="0" w:color="auto"/>
        <w:right w:val="none" w:sz="0" w:space="0" w:color="auto"/>
      </w:divBdr>
    </w:div>
    <w:div w:id="1718311947">
      <w:bodyDiv w:val="1"/>
      <w:marLeft w:val="0"/>
      <w:marRight w:val="0"/>
      <w:marTop w:val="0"/>
      <w:marBottom w:val="0"/>
      <w:divBdr>
        <w:top w:val="none" w:sz="0" w:space="0" w:color="auto"/>
        <w:left w:val="none" w:sz="0" w:space="0" w:color="auto"/>
        <w:bottom w:val="none" w:sz="0" w:space="0" w:color="auto"/>
        <w:right w:val="none" w:sz="0" w:space="0" w:color="auto"/>
      </w:divBdr>
    </w:div>
    <w:div w:id="19626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hyperlink" Target="https://www.healthwatchbucks.co.uk/2021/06/new-mental-health-hub-for-south-buckinghamshire/" TargetMode="External"/><Relationship Id="rId10" Type="http://schemas.openxmlformats.org/officeDocument/2006/relationships/hyperlink" Target="https://www.longtermplan.nhs.uk/wp-content/uploads/2019/07/nhs-mental-health-implementation-plan-2019-20-2023-24.pdf"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Figure X - Ox/ Bucks Access Rates to March 21</a:t>
            </a:r>
          </a:p>
        </c:rich>
      </c:tx>
      <c:overlay val="0"/>
      <c:spPr>
        <a:noFill/>
        <a:ln>
          <a:noFill/>
        </a:ln>
        <a:effectLst/>
      </c:spPr>
      <c:txPr>
        <a:bodyPr rot="0" spcFirstLastPara="1" vertOverflow="ellipsis" vert="horz" wrap="square" anchor="ctr" anchorCtr="1"/>
        <a:lstStyle/>
        <a:p>
          <a:pPr algn="ct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Sheet1!$A$2</c:f>
              <c:strCache>
                <c:ptCount val="1"/>
                <c:pt idx="0">
                  <c:v>Bucks CCG</c:v>
                </c:pt>
              </c:strCache>
            </c:strRef>
          </c:tx>
          <c:spPr>
            <a:ln w="28575" cap="rnd">
              <a:solidFill>
                <a:schemeClr val="accent1"/>
              </a:solidFill>
              <a:round/>
            </a:ln>
            <a:effectLst/>
          </c:spPr>
          <c:marker>
            <c:symbol val="none"/>
          </c:marker>
          <c:cat>
            <c:numRef>
              <c:f>Sheet1!$B$1:$I$1</c:f>
              <c:numCache>
                <c:formatCode>mmm\-yy</c:formatCode>
                <c:ptCount val="8"/>
                <c:pt idx="0">
                  <c:v>44044</c:v>
                </c:pt>
                <c:pt idx="1">
                  <c:v>44075</c:v>
                </c:pt>
                <c:pt idx="2">
                  <c:v>44105</c:v>
                </c:pt>
                <c:pt idx="3">
                  <c:v>44136</c:v>
                </c:pt>
                <c:pt idx="4">
                  <c:v>44166</c:v>
                </c:pt>
                <c:pt idx="5">
                  <c:v>44197</c:v>
                </c:pt>
                <c:pt idx="6">
                  <c:v>44228</c:v>
                </c:pt>
                <c:pt idx="7">
                  <c:v>44256</c:v>
                </c:pt>
              </c:numCache>
            </c:numRef>
          </c:cat>
          <c:val>
            <c:numRef>
              <c:f>Sheet1!$B$2:$I$2</c:f>
              <c:numCache>
                <c:formatCode>0%</c:formatCode>
                <c:ptCount val="8"/>
                <c:pt idx="0">
                  <c:v>0.44</c:v>
                </c:pt>
                <c:pt idx="1">
                  <c:v>0.45</c:v>
                </c:pt>
                <c:pt idx="2">
                  <c:v>0.46</c:v>
                </c:pt>
                <c:pt idx="3">
                  <c:v>0.47</c:v>
                </c:pt>
                <c:pt idx="4">
                  <c:v>0.47</c:v>
                </c:pt>
                <c:pt idx="5">
                  <c:v>0.47</c:v>
                </c:pt>
                <c:pt idx="6">
                  <c:v>0.47</c:v>
                </c:pt>
                <c:pt idx="7">
                  <c:v>0.5</c:v>
                </c:pt>
              </c:numCache>
            </c:numRef>
          </c:val>
          <c:smooth val="0"/>
          <c:extLst>
            <c:ext xmlns:c16="http://schemas.microsoft.com/office/drawing/2014/chart" uri="{C3380CC4-5D6E-409C-BE32-E72D297353CC}">
              <c16:uniqueId val="{00000000-D5BD-4035-BB11-56B8009C6699}"/>
            </c:ext>
          </c:extLst>
        </c:ser>
        <c:ser>
          <c:idx val="1"/>
          <c:order val="1"/>
          <c:tx>
            <c:strRef>
              <c:f>Sheet1!$A$3</c:f>
              <c:strCache>
                <c:ptCount val="1"/>
                <c:pt idx="0">
                  <c:v>Oxon CCG</c:v>
                </c:pt>
              </c:strCache>
            </c:strRef>
          </c:tx>
          <c:spPr>
            <a:ln w="28575" cap="rnd">
              <a:solidFill>
                <a:schemeClr val="accent2"/>
              </a:solidFill>
              <a:round/>
            </a:ln>
            <a:effectLst/>
          </c:spPr>
          <c:marker>
            <c:symbol val="none"/>
          </c:marker>
          <c:cat>
            <c:numRef>
              <c:f>Sheet1!$B$1:$I$1</c:f>
              <c:numCache>
                <c:formatCode>mmm\-yy</c:formatCode>
                <c:ptCount val="8"/>
                <c:pt idx="0">
                  <c:v>44044</c:v>
                </c:pt>
                <c:pt idx="1">
                  <c:v>44075</c:v>
                </c:pt>
                <c:pt idx="2">
                  <c:v>44105</c:v>
                </c:pt>
                <c:pt idx="3">
                  <c:v>44136</c:v>
                </c:pt>
                <c:pt idx="4">
                  <c:v>44166</c:v>
                </c:pt>
                <c:pt idx="5">
                  <c:v>44197</c:v>
                </c:pt>
                <c:pt idx="6">
                  <c:v>44228</c:v>
                </c:pt>
                <c:pt idx="7">
                  <c:v>44256</c:v>
                </c:pt>
              </c:numCache>
            </c:numRef>
          </c:cat>
          <c:val>
            <c:numRef>
              <c:f>Sheet1!$B$3:$I$3</c:f>
              <c:numCache>
                <c:formatCode>0%</c:formatCode>
                <c:ptCount val="8"/>
                <c:pt idx="0">
                  <c:v>0.54</c:v>
                </c:pt>
                <c:pt idx="1">
                  <c:v>0.56000000000000005</c:v>
                </c:pt>
                <c:pt idx="2">
                  <c:v>0.56000000000000005</c:v>
                </c:pt>
                <c:pt idx="3">
                  <c:v>0.56999999999999995</c:v>
                </c:pt>
                <c:pt idx="4">
                  <c:v>0.56999999999999995</c:v>
                </c:pt>
                <c:pt idx="5">
                  <c:v>0.56999999999999995</c:v>
                </c:pt>
                <c:pt idx="6">
                  <c:v>0.57999999999999996</c:v>
                </c:pt>
                <c:pt idx="7">
                  <c:v>0.6</c:v>
                </c:pt>
              </c:numCache>
            </c:numRef>
          </c:val>
          <c:smooth val="0"/>
          <c:extLst>
            <c:ext xmlns:c16="http://schemas.microsoft.com/office/drawing/2014/chart" uri="{C3380CC4-5D6E-409C-BE32-E72D297353CC}">
              <c16:uniqueId val="{00000001-D5BD-4035-BB11-56B8009C6699}"/>
            </c:ext>
          </c:extLst>
        </c:ser>
        <c:ser>
          <c:idx val="3"/>
          <c:order val="2"/>
          <c:tx>
            <c:strRef>
              <c:f>Sheet1!$A$5</c:f>
              <c:strCache>
                <c:ptCount val="1"/>
                <c:pt idx="0">
                  <c:v>Target</c:v>
                </c:pt>
              </c:strCache>
            </c:strRef>
          </c:tx>
          <c:spPr>
            <a:ln w="28575" cap="rnd">
              <a:solidFill>
                <a:srgbClr val="FF0000"/>
              </a:solidFill>
              <a:prstDash val="sysDash"/>
              <a:round/>
            </a:ln>
            <a:effectLst/>
          </c:spPr>
          <c:marker>
            <c:symbol val="none"/>
          </c:marker>
          <c:cat>
            <c:numRef>
              <c:f>Sheet1!$B$1:$I$1</c:f>
              <c:numCache>
                <c:formatCode>mmm\-yy</c:formatCode>
                <c:ptCount val="8"/>
                <c:pt idx="0">
                  <c:v>44044</c:v>
                </c:pt>
                <c:pt idx="1">
                  <c:v>44075</c:v>
                </c:pt>
                <c:pt idx="2">
                  <c:v>44105</c:v>
                </c:pt>
                <c:pt idx="3">
                  <c:v>44136</c:v>
                </c:pt>
                <c:pt idx="4">
                  <c:v>44166</c:v>
                </c:pt>
                <c:pt idx="5">
                  <c:v>44197</c:v>
                </c:pt>
                <c:pt idx="6">
                  <c:v>44228</c:v>
                </c:pt>
                <c:pt idx="7">
                  <c:v>44256</c:v>
                </c:pt>
              </c:numCache>
            </c:numRef>
          </c:cat>
          <c:val>
            <c:numRef>
              <c:f>Sheet1!$B$5:$I$5</c:f>
              <c:numCache>
                <c:formatCode>0%</c:formatCode>
                <c:ptCount val="8"/>
                <c:pt idx="0">
                  <c:v>0.35</c:v>
                </c:pt>
                <c:pt idx="1">
                  <c:v>0.35</c:v>
                </c:pt>
                <c:pt idx="2">
                  <c:v>0.35</c:v>
                </c:pt>
                <c:pt idx="3">
                  <c:v>0.35</c:v>
                </c:pt>
                <c:pt idx="4">
                  <c:v>0.35</c:v>
                </c:pt>
                <c:pt idx="5">
                  <c:v>0.35</c:v>
                </c:pt>
                <c:pt idx="6">
                  <c:v>0.35</c:v>
                </c:pt>
                <c:pt idx="7">
                  <c:v>0.35</c:v>
                </c:pt>
              </c:numCache>
            </c:numRef>
          </c:val>
          <c:smooth val="0"/>
          <c:extLst>
            <c:ext xmlns:c16="http://schemas.microsoft.com/office/drawing/2014/chart" uri="{C3380CC4-5D6E-409C-BE32-E72D297353CC}">
              <c16:uniqueId val="{00000002-D5BD-4035-BB11-56B8009C6699}"/>
            </c:ext>
          </c:extLst>
        </c:ser>
        <c:dLbls>
          <c:showLegendKey val="0"/>
          <c:showVal val="0"/>
          <c:showCatName val="0"/>
          <c:showSerName val="0"/>
          <c:showPercent val="0"/>
          <c:showBubbleSize val="0"/>
        </c:dLbls>
        <c:smooth val="0"/>
        <c:axId val="440918600"/>
        <c:axId val="440917944"/>
      </c:lineChart>
      <c:dateAx>
        <c:axId val="44091860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0917944"/>
        <c:crosses val="autoZero"/>
        <c:auto val="1"/>
        <c:lblOffset val="100"/>
        <c:baseTimeUnit val="months"/>
      </c:dateAx>
      <c:valAx>
        <c:axId val="440917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091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Figure Y - Ox/ Bucks Access in BOB from April 21</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7573194909870005"/>
          <c:y val="0.22705824452278014"/>
          <c:w val="0.57889239093968103"/>
          <c:h val="0.44877267181702807"/>
        </c:manualLayout>
      </c:layout>
      <c:lineChart>
        <c:grouping val="standard"/>
        <c:varyColors val="0"/>
        <c:ser>
          <c:idx val="0"/>
          <c:order val="0"/>
          <c:tx>
            <c:strRef>
              <c:f>Sheet1!$B$2</c:f>
              <c:strCache>
                <c:ptCount val="1"/>
                <c:pt idx="0">
                  <c:v>Bucks - CYP access (1+ contact)</c:v>
                </c:pt>
              </c:strCache>
            </c:strRef>
          </c:tx>
          <c:spPr>
            <a:ln w="28575" cap="rnd">
              <a:solidFill>
                <a:schemeClr val="accent1"/>
              </a:solidFill>
              <a:round/>
            </a:ln>
            <a:effectLst/>
          </c:spPr>
          <c:marker>
            <c:symbol val="none"/>
          </c:marker>
          <c:cat>
            <c:numRef>
              <c:f>Sheet1!$A$3:$A$10</c:f>
              <c:numCache>
                <c:formatCode>mmm\-yy</c:formatCode>
                <c:ptCount val="8"/>
                <c:pt idx="0">
                  <c:v>44287</c:v>
                </c:pt>
                <c:pt idx="1">
                  <c:v>44317</c:v>
                </c:pt>
                <c:pt idx="2">
                  <c:v>44348</c:v>
                </c:pt>
                <c:pt idx="3">
                  <c:v>44378</c:v>
                </c:pt>
                <c:pt idx="4">
                  <c:v>44409</c:v>
                </c:pt>
                <c:pt idx="5">
                  <c:v>44440</c:v>
                </c:pt>
                <c:pt idx="6">
                  <c:v>44470</c:v>
                </c:pt>
                <c:pt idx="7">
                  <c:v>44501</c:v>
                </c:pt>
              </c:numCache>
            </c:numRef>
          </c:cat>
          <c:val>
            <c:numRef>
              <c:f>Sheet1!$B$3:$B$10</c:f>
              <c:numCache>
                <c:formatCode>#,##0.00</c:formatCode>
                <c:ptCount val="8"/>
                <c:pt idx="0">
                  <c:v>6585</c:v>
                </c:pt>
                <c:pt idx="1">
                  <c:v>6725</c:v>
                </c:pt>
                <c:pt idx="2">
                  <c:v>6910</c:v>
                </c:pt>
                <c:pt idx="3">
                  <c:v>6975</c:v>
                </c:pt>
                <c:pt idx="4">
                  <c:v>7050</c:v>
                </c:pt>
                <c:pt idx="5">
                  <c:v>7070</c:v>
                </c:pt>
                <c:pt idx="6">
                  <c:v>7020</c:v>
                </c:pt>
                <c:pt idx="7">
                  <c:v>7030</c:v>
                </c:pt>
              </c:numCache>
            </c:numRef>
          </c:val>
          <c:smooth val="0"/>
          <c:extLst>
            <c:ext xmlns:c16="http://schemas.microsoft.com/office/drawing/2014/chart" uri="{C3380CC4-5D6E-409C-BE32-E72D297353CC}">
              <c16:uniqueId val="{00000000-C8F9-4DF0-A08E-E3623DE8D7FB}"/>
            </c:ext>
          </c:extLst>
        </c:ser>
        <c:ser>
          <c:idx val="1"/>
          <c:order val="1"/>
          <c:tx>
            <c:strRef>
              <c:f>Sheet1!$C$2</c:f>
              <c:strCache>
                <c:ptCount val="1"/>
                <c:pt idx="0">
                  <c:v>Oxfordshire - CYP access (1+ contact)</c:v>
                </c:pt>
              </c:strCache>
            </c:strRef>
          </c:tx>
          <c:spPr>
            <a:ln w="28575" cap="rnd">
              <a:solidFill>
                <a:schemeClr val="accent2"/>
              </a:solidFill>
              <a:round/>
            </a:ln>
            <a:effectLst/>
          </c:spPr>
          <c:marker>
            <c:symbol val="none"/>
          </c:marker>
          <c:cat>
            <c:numRef>
              <c:f>Sheet1!$A$3:$A$10</c:f>
              <c:numCache>
                <c:formatCode>mmm\-yy</c:formatCode>
                <c:ptCount val="8"/>
                <c:pt idx="0">
                  <c:v>44287</c:v>
                </c:pt>
                <c:pt idx="1">
                  <c:v>44317</c:v>
                </c:pt>
                <c:pt idx="2">
                  <c:v>44348</c:v>
                </c:pt>
                <c:pt idx="3">
                  <c:v>44378</c:v>
                </c:pt>
                <c:pt idx="4">
                  <c:v>44409</c:v>
                </c:pt>
                <c:pt idx="5">
                  <c:v>44440</c:v>
                </c:pt>
                <c:pt idx="6">
                  <c:v>44470</c:v>
                </c:pt>
                <c:pt idx="7">
                  <c:v>44501</c:v>
                </c:pt>
              </c:numCache>
            </c:numRef>
          </c:cat>
          <c:val>
            <c:numRef>
              <c:f>Sheet1!$C$3:$C$10</c:f>
              <c:numCache>
                <c:formatCode>#,##0.00</c:formatCode>
                <c:ptCount val="8"/>
                <c:pt idx="0">
                  <c:v>6845</c:v>
                </c:pt>
                <c:pt idx="1">
                  <c:v>6950</c:v>
                </c:pt>
                <c:pt idx="2">
                  <c:v>7020</c:v>
                </c:pt>
                <c:pt idx="3">
                  <c:v>7090</c:v>
                </c:pt>
                <c:pt idx="4">
                  <c:v>7070</c:v>
                </c:pt>
                <c:pt idx="5">
                  <c:v>7085</c:v>
                </c:pt>
                <c:pt idx="6">
                  <c:v>7080</c:v>
                </c:pt>
                <c:pt idx="7">
                  <c:v>7165</c:v>
                </c:pt>
              </c:numCache>
            </c:numRef>
          </c:val>
          <c:smooth val="0"/>
          <c:extLst>
            <c:ext xmlns:c16="http://schemas.microsoft.com/office/drawing/2014/chart" uri="{C3380CC4-5D6E-409C-BE32-E72D297353CC}">
              <c16:uniqueId val="{00000001-C8F9-4DF0-A08E-E3623DE8D7FB}"/>
            </c:ext>
          </c:extLst>
        </c:ser>
        <c:dLbls>
          <c:showLegendKey val="0"/>
          <c:showVal val="0"/>
          <c:showCatName val="0"/>
          <c:showSerName val="0"/>
          <c:showPercent val="0"/>
          <c:showBubbleSize val="0"/>
        </c:dLbls>
        <c:smooth val="0"/>
        <c:axId val="1596817103"/>
        <c:axId val="1596817935"/>
      </c:lineChart>
      <c:dateAx>
        <c:axId val="1596817103"/>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Month</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6817935"/>
        <c:crosses val="autoZero"/>
        <c:auto val="1"/>
        <c:lblOffset val="100"/>
        <c:baseTimeUnit val="months"/>
      </c:dateAx>
      <c:valAx>
        <c:axId val="15968179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CYP numbers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6817103"/>
        <c:crosses val="autoZero"/>
        <c:crossBetween val="between"/>
      </c:valAx>
      <c:spPr>
        <a:noFill/>
        <a:ln>
          <a:noFill/>
        </a:ln>
        <a:effectLst/>
      </c:spPr>
    </c:plotArea>
    <c:legend>
      <c:legendPos val="r"/>
      <c:layout>
        <c:manualLayout>
          <c:xMode val="edge"/>
          <c:yMode val="edge"/>
          <c:x val="0.75318051644803918"/>
          <c:y val="0.25670230657584525"/>
          <c:w val="0.22129149353120842"/>
          <c:h val="0.38909565665464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BSW CAMHs access rate up to March 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Sheet2!$C$1</c:f>
              <c:strCache>
                <c:ptCount val="1"/>
                <c:pt idx="0">
                  <c:v>BSW Access rate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Sheet2!$B$2:$B$9</c:f>
              <c:numCache>
                <c:formatCode>mmm\-yy</c:formatCode>
                <c:ptCount val="8"/>
                <c:pt idx="0">
                  <c:v>44044</c:v>
                </c:pt>
                <c:pt idx="1">
                  <c:v>44075</c:v>
                </c:pt>
                <c:pt idx="2">
                  <c:v>44105</c:v>
                </c:pt>
                <c:pt idx="3">
                  <c:v>44136</c:v>
                </c:pt>
                <c:pt idx="4">
                  <c:v>44166</c:v>
                </c:pt>
                <c:pt idx="5">
                  <c:v>44197</c:v>
                </c:pt>
                <c:pt idx="6">
                  <c:v>44228</c:v>
                </c:pt>
                <c:pt idx="7">
                  <c:v>44256</c:v>
                </c:pt>
              </c:numCache>
            </c:numRef>
          </c:cat>
          <c:val>
            <c:numRef>
              <c:f>Sheet2!$C$2:$C$9</c:f>
              <c:numCache>
                <c:formatCode>0%</c:formatCode>
                <c:ptCount val="8"/>
                <c:pt idx="0">
                  <c:v>0.3</c:v>
                </c:pt>
                <c:pt idx="1">
                  <c:v>0.28999999999999998</c:v>
                </c:pt>
                <c:pt idx="2">
                  <c:v>0.28999999999999998</c:v>
                </c:pt>
                <c:pt idx="3">
                  <c:v>0.28999999999999998</c:v>
                </c:pt>
                <c:pt idx="4">
                  <c:v>0.28000000000000003</c:v>
                </c:pt>
                <c:pt idx="5">
                  <c:v>0.28000000000000003</c:v>
                </c:pt>
                <c:pt idx="6">
                  <c:v>0.27</c:v>
                </c:pt>
                <c:pt idx="7">
                  <c:v>0.3</c:v>
                </c:pt>
              </c:numCache>
            </c:numRef>
          </c:val>
          <c:smooth val="0"/>
          <c:extLst>
            <c:ext xmlns:c16="http://schemas.microsoft.com/office/drawing/2014/chart" uri="{C3380CC4-5D6E-409C-BE32-E72D297353CC}">
              <c16:uniqueId val="{00000000-7469-4F5E-9EF3-D2E7FA8154BA}"/>
            </c:ext>
          </c:extLst>
        </c:ser>
        <c:ser>
          <c:idx val="1"/>
          <c:order val="1"/>
          <c:tx>
            <c:strRef>
              <c:f>Sheet2!$D$1</c:f>
              <c:strCache>
                <c:ptCount val="1"/>
                <c:pt idx="0">
                  <c:v>Target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Sheet2!$B$2:$B$9</c:f>
              <c:numCache>
                <c:formatCode>mmm\-yy</c:formatCode>
                <c:ptCount val="8"/>
                <c:pt idx="0">
                  <c:v>44044</c:v>
                </c:pt>
                <c:pt idx="1">
                  <c:v>44075</c:v>
                </c:pt>
                <c:pt idx="2">
                  <c:v>44105</c:v>
                </c:pt>
                <c:pt idx="3">
                  <c:v>44136</c:v>
                </c:pt>
                <c:pt idx="4">
                  <c:v>44166</c:v>
                </c:pt>
                <c:pt idx="5">
                  <c:v>44197</c:v>
                </c:pt>
                <c:pt idx="6">
                  <c:v>44228</c:v>
                </c:pt>
                <c:pt idx="7">
                  <c:v>44256</c:v>
                </c:pt>
              </c:numCache>
            </c:numRef>
          </c:cat>
          <c:val>
            <c:numRef>
              <c:f>Sheet2!$D$2:$D$9</c:f>
              <c:numCache>
                <c:formatCode>0%</c:formatCode>
                <c:ptCount val="8"/>
                <c:pt idx="0">
                  <c:v>0.35</c:v>
                </c:pt>
                <c:pt idx="1">
                  <c:v>0.35</c:v>
                </c:pt>
                <c:pt idx="2">
                  <c:v>0.35</c:v>
                </c:pt>
                <c:pt idx="3">
                  <c:v>0.35</c:v>
                </c:pt>
                <c:pt idx="4">
                  <c:v>0.35</c:v>
                </c:pt>
                <c:pt idx="5">
                  <c:v>0.35</c:v>
                </c:pt>
                <c:pt idx="6">
                  <c:v>0.35</c:v>
                </c:pt>
                <c:pt idx="7">
                  <c:v>0.35</c:v>
                </c:pt>
              </c:numCache>
            </c:numRef>
          </c:val>
          <c:smooth val="0"/>
          <c:extLst>
            <c:ext xmlns:c16="http://schemas.microsoft.com/office/drawing/2014/chart" uri="{C3380CC4-5D6E-409C-BE32-E72D297353CC}">
              <c16:uniqueId val="{00000001-7469-4F5E-9EF3-D2E7FA8154BA}"/>
            </c:ext>
          </c:extLst>
        </c:ser>
        <c:dLbls>
          <c:showLegendKey val="0"/>
          <c:showVal val="0"/>
          <c:showCatName val="0"/>
          <c:showSerName val="0"/>
          <c:showPercent val="0"/>
          <c:showBubbleSize val="0"/>
        </c:dLbls>
        <c:marker val="1"/>
        <c:smooth val="0"/>
        <c:axId val="1588907311"/>
        <c:axId val="1588916047"/>
      </c:lineChart>
      <c:dateAx>
        <c:axId val="1588907311"/>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8916047"/>
        <c:crosses val="autoZero"/>
        <c:auto val="1"/>
        <c:lblOffset val="100"/>
        <c:baseTimeUnit val="months"/>
      </c:dateAx>
      <c:valAx>
        <c:axId val="15889160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8907311"/>
        <c:crosses val="autoZero"/>
        <c:crossBetween val="between"/>
      </c:valAx>
      <c:spPr>
        <a:noFill/>
        <a:ln>
          <a:noFill/>
        </a:ln>
        <a:effectLst/>
      </c:spPr>
    </c:plotArea>
    <c:legend>
      <c:legendPos val="r"/>
      <c:layout>
        <c:manualLayout>
          <c:xMode val="edge"/>
          <c:yMode val="edge"/>
          <c:x val="0.73180212865712324"/>
          <c:y val="0.48225564924606801"/>
          <c:w val="0.23202647457047837"/>
          <c:h val="0.230485226872700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cked"/>
        <c:varyColors val="0"/>
        <c:ser>
          <c:idx val="0"/>
          <c:order val="0"/>
          <c:tx>
            <c:strRef>
              <c:f>Sheet2!$C$12</c:f>
              <c:strCache>
                <c:ptCount val="1"/>
                <c:pt idx="0">
                  <c:v>BSW Access rate for 1+ contact from April 21 onwards</c:v>
                </c:pt>
              </c:strCache>
            </c:strRef>
          </c:tx>
          <c:spPr>
            <a:ln w="28575" cap="rnd">
              <a:solidFill>
                <a:schemeClr val="accent1"/>
              </a:solidFill>
              <a:round/>
            </a:ln>
            <a:effectLst/>
          </c:spPr>
          <c:marker>
            <c:symbol val="none"/>
          </c:marker>
          <c:cat>
            <c:numRef>
              <c:f>Sheet2!$B$13:$B$20</c:f>
              <c:numCache>
                <c:formatCode>mmm\-yy</c:formatCode>
                <c:ptCount val="8"/>
                <c:pt idx="0">
                  <c:v>44287</c:v>
                </c:pt>
                <c:pt idx="1">
                  <c:v>44317</c:v>
                </c:pt>
                <c:pt idx="2">
                  <c:v>44348</c:v>
                </c:pt>
                <c:pt idx="3">
                  <c:v>44378</c:v>
                </c:pt>
                <c:pt idx="4">
                  <c:v>44409</c:v>
                </c:pt>
                <c:pt idx="5">
                  <c:v>44440</c:v>
                </c:pt>
                <c:pt idx="6">
                  <c:v>44470</c:v>
                </c:pt>
                <c:pt idx="7">
                  <c:v>44501</c:v>
                </c:pt>
              </c:numCache>
            </c:numRef>
          </c:cat>
          <c:val>
            <c:numRef>
              <c:f>Sheet2!$C$13:$C$20</c:f>
              <c:numCache>
                <c:formatCode>#,##0.00</c:formatCode>
                <c:ptCount val="8"/>
                <c:pt idx="0">
                  <c:v>6650</c:v>
                </c:pt>
                <c:pt idx="1">
                  <c:v>6640</c:v>
                </c:pt>
                <c:pt idx="2">
                  <c:v>6640</c:v>
                </c:pt>
                <c:pt idx="3">
                  <c:v>6660</c:v>
                </c:pt>
                <c:pt idx="4">
                  <c:v>6660</c:v>
                </c:pt>
                <c:pt idx="5">
                  <c:v>7135</c:v>
                </c:pt>
                <c:pt idx="6">
                  <c:v>7170</c:v>
                </c:pt>
                <c:pt idx="7">
                  <c:v>7140</c:v>
                </c:pt>
              </c:numCache>
            </c:numRef>
          </c:val>
          <c:smooth val="0"/>
          <c:extLst>
            <c:ext xmlns:c16="http://schemas.microsoft.com/office/drawing/2014/chart" uri="{C3380CC4-5D6E-409C-BE32-E72D297353CC}">
              <c16:uniqueId val="{00000000-C2E3-4670-9635-05C9059BFBB5}"/>
            </c:ext>
          </c:extLst>
        </c:ser>
        <c:dLbls>
          <c:showLegendKey val="0"/>
          <c:showVal val="0"/>
          <c:showCatName val="0"/>
          <c:showSerName val="0"/>
          <c:showPercent val="0"/>
          <c:showBubbleSize val="0"/>
        </c:dLbls>
        <c:smooth val="0"/>
        <c:axId val="1598309311"/>
        <c:axId val="1598310975"/>
      </c:lineChart>
      <c:dateAx>
        <c:axId val="1598309311"/>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8310975"/>
        <c:crosses val="autoZero"/>
        <c:auto val="1"/>
        <c:lblOffset val="100"/>
        <c:baseTimeUnit val="months"/>
      </c:dateAx>
      <c:valAx>
        <c:axId val="15983109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8309311"/>
        <c:crosses val="autoZero"/>
        <c:crossBetween val="between"/>
      </c:valAx>
      <c:spPr>
        <a:noFill/>
        <a:ln>
          <a:noFill/>
        </a:ln>
        <a:effectLst/>
      </c:spPr>
    </c:plotArea>
    <c:legend>
      <c:legendPos val="r"/>
      <c:layout>
        <c:manualLayout>
          <c:xMode val="edge"/>
          <c:yMode val="edge"/>
          <c:x val="0.73428388580715276"/>
          <c:y val="0.48339101334040696"/>
          <c:w val="0.24456887948518416"/>
          <c:h val="0.32321881337955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latin typeface="Arial" panose="020B0604020202020204" pitchFamily="34" charset="0"/>
                <a:cs typeface="Arial" panose="020B0604020202020204" pitchFamily="34" charset="0"/>
              </a:rPr>
              <a:t>IAPT Access Activity (Monthly)</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Sheet2!$A$2</c:f>
              <c:strCache>
                <c:ptCount val="1"/>
                <c:pt idx="0">
                  <c:v>Bucks CCG</c:v>
                </c:pt>
              </c:strCache>
            </c:strRef>
          </c:tx>
          <c:spPr>
            <a:ln w="28575" cap="rnd">
              <a:solidFill>
                <a:schemeClr val="accent1"/>
              </a:solidFill>
              <a:round/>
            </a:ln>
            <a:effectLst/>
          </c:spPr>
          <c:marker>
            <c:symbol val="none"/>
          </c:marker>
          <c:cat>
            <c:numRef>
              <c:f>Sheet2!$B$1:$K$1</c:f>
              <c:numCache>
                <c:formatCode>mmm\-yy</c:formatCode>
                <c:ptCount val="10"/>
                <c:pt idx="0">
                  <c:v>44075</c:v>
                </c:pt>
                <c:pt idx="1">
                  <c:v>44105</c:v>
                </c:pt>
                <c:pt idx="2">
                  <c:v>44136</c:v>
                </c:pt>
                <c:pt idx="3">
                  <c:v>44166</c:v>
                </c:pt>
                <c:pt idx="4">
                  <c:v>44197</c:v>
                </c:pt>
                <c:pt idx="5">
                  <c:v>44228</c:v>
                </c:pt>
                <c:pt idx="6">
                  <c:v>44256</c:v>
                </c:pt>
                <c:pt idx="7">
                  <c:v>44287</c:v>
                </c:pt>
                <c:pt idx="8">
                  <c:v>44317</c:v>
                </c:pt>
                <c:pt idx="9">
                  <c:v>44348</c:v>
                </c:pt>
              </c:numCache>
            </c:numRef>
          </c:cat>
          <c:val>
            <c:numRef>
              <c:f>Sheet2!$B$2:$K$2</c:f>
              <c:numCache>
                <c:formatCode>General</c:formatCode>
                <c:ptCount val="10"/>
                <c:pt idx="0">
                  <c:v>730</c:v>
                </c:pt>
                <c:pt idx="1">
                  <c:v>725</c:v>
                </c:pt>
                <c:pt idx="2">
                  <c:v>875</c:v>
                </c:pt>
                <c:pt idx="3">
                  <c:v>685</c:v>
                </c:pt>
                <c:pt idx="4">
                  <c:v>850</c:v>
                </c:pt>
                <c:pt idx="5">
                  <c:v>855</c:v>
                </c:pt>
                <c:pt idx="6">
                  <c:v>970</c:v>
                </c:pt>
                <c:pt idx="7">
                  <c:v>845</c:v>
                </c:pt>
                <c:pt idx="8">
                  <c:v>935</c:v>
                </c:pt>
                <c:pt idx="9">
                  <c:v>900</c:v>
                </c:pt>
              </c:numCache>
            </c:numRef>
          </c:val>
          <c:smooth val="0"/>
          <c:extLst>
            <c:ext xmlns:c16="http://schemas.microsoft.com/office/drawing/2014/chart" uri="{C3380CC4-5D6E-409C-BE32-E72D297353CC}">
              <c16:uniqueId val="{00000000-9589-44D7-A729-640C0E739352}"/>
            </c:ext>
          </c:extLst>
        </c:ser>
        <c:ser>
          <c:idx val="1"/>
          <c:order val="1"/>
          <c:tx>
            <c:strRef>
              <c:f>Sheet2!$A$3</c:f>
              <c:strCache>
                <c:ptCount val="1"/>
                <c:pt idx="0">
                  <c:v>Bucks CCG Target</c:v>
                </c:pt>
              </c:strCache>
            </c:strRef>
          </c:tx>
          <c:spPr>
            <a:ln w="28575" cap="rnd">
              <a:solidFill>
                <a:schemeClr val="tx1"/>
              </a:solidFill>
              <a:prstDash val="sysDash"/>
              <a:round/>
            </a:ln>
            <a:effectLst/>
          </c:spPr>
          <c:marker>
            <c:symbol val="none"/>
          </c:marker>
          <c:cat>
            <c:numRef>
              <c:f>Sheet2!$B$1:$K$1</c:f>
              <c:numCache>
                <c:formatCode>mmm\-yy</c:formatCode>
                <c:ptCount val="10"/>
                <c:pt idx="0">
                  <c:v>44075</c:v>
                </c:pt>
                <c:pt idx="1">
                  <c:v>44105</c:v>
                </c:pt>
                <c:pt idx="2">
                  <c:v>44136</c:v>
                </c:pt>
                <c:pt idx="3">
                  <c:v>44166</c:v>
                </c:pt>
                <c:pt idx="4">
                  <c:v>44197</c:v>
                </c:pt>
                <c:pt idx="5">
                  <c:v>44228</c:v>
                </c:pt>
                <c:pt idx="6">
                  <c:v>44256</c:v>
                </c:pt>
                <c:pt idx="7">
                  <c:v>44287</c:v>
                </c:pt>
                <c:pt idx="8">
                  <c:v>44317</c:v>
                </c:pt>
                <c:pt idx="9">
                  <c:v>44348</c:v>
                </c:pt>
              </c:numCache>
            </c:numRef>
          </c:cat>
          <c:val>
            <c:numRef>
              <c:f>Sheet2!$B$3:$K$3</c:f>
              <c:numCache>
                <c:formatCode>General</c:formatCode>
                <c:ptCount val="10"/>
                <c:pt idx="0">
                  <c:v>931</c:v>
                </c:pt>
                <c:pt idx="1">
                  <c:v>931</c:v>
                </c:pt>
                <c:pt idx="2">
                  <c:v>931</c:v>
                </c:pt>
                <c:pt idx="3">
                  <c:v>931</c:v>
                </c:pt>
                <c:pt idx="4">
                  <c:v>931</c:v>
                </c:pt>
                <c:pt idx="5">
                  <c:v>931</c:v>
                </c:pt>
                <c:pt idx="6">
                  <c:v>971</c:v>
                </c:pt>
                <c:pt idx="7">
                  <c:v>971</c:v>
                </c:pt>
                <c:pt idx="8">
                  <c:v>971</c:v>
                </c:pt>
                <c:pt idx="9">
                  <c:v>971</c:v>
                </c:pt>
              </c:numCache>
            </c:numRef>
          </c:val>
          <c:smooth val="0"/>
          <c:extLst>
            <c:ext xmlns:c16="http://schemas.microsoft.com/office/drawing/2014/chart" uri="{C3380CC4-5D6E-409C-BE32-E72D297353CC}">
              <c16:uniqueId val="{00000001-9589-44D7-A729-640C0E739352}"/>
            </c:ext>
          </c:extLst>
        </c:ser>
        <c:ser>
          <c:idx val="2"/>
          <c:order val="2"/>
          <c:tx>
            <c:strRef>
              <c:f>Sheet2!$A$4</c:f>
              <c:strCache>
                <c:ptCount val="1"/>
                <c:pt idx="0">
                  <c:v>Oxon CCG</c:v>
                </c:pt>
              </c:strCache>
            </c:strRef>
          </c:tx>
          <c:spPr>
            <a:ln w="28575" cap="rnd">
              <a:solidFill>
                <a:srgbClr val="FFC000"/>
              </a:solidFill>
              <a:round/>
            </a:ln>
            <a:effectLst/>
          </c:spPr>
          <c:marker>
            <c:symbol val="none"/>
          </c:marker>
          <c:cat>
            <c:numRef>
              <c:f>Sheet2!$B$1:$K$1</c:f>
              <c:numCache>
                <c:formatCode>mmm\-yy</c:formatCode>
                <c:ptCount val="10"/>
                <c:pt idx="0">
                  <c:v>44075</c:v>
                </c:pt>
                <c:pt idx="1">
                  <c:v>44105</c:v>
                </c:pt>
                <c:pt idx="2">
                  <c:v>44136</c:v>
                </c:pt>
                <c:pt idx="3">
                  <c:v>44166</c:v>
                </c:pt>
                <c:pt idx="4">
                  <c:v>44197</c:v>
                </c:pt>
                <c:pt idx="5">
                  <c:v>44228</c:v>
                </c:pt>
                <c:pt idx="6">
                  <c:v>44256</c:v>
                </c:pt>
                <c:pt idx="7">
                  <c:v>44287</c:v>
                </c:pt>
                <c:pt idx="8">
                  <c:v>44317</c:v>
                </c:pt>
                <c:pt idx="9">
                  <c:v>44348</c:v>
                </c:pt>
              </c:numCache>
            </c:numRef>
          </c:cat>
          <c:val>
            <c:numRef>
              <c:f>Sheet2!$B$4:$K$4</c:f>
              <c:numCache>
                <c:formatCode>General</c:formatCode>
                <c:ptCount val="10"/>
                <c:pt idx="0">
                  <c:v>1155</c:v>
                </c:pt>
                <c:pt idx="1">
                  <c:v>1130</c:v>
                </c:pt>
                <c:pt idx="2">
                  <c:v>1065</c:v>
                </c:pt>
                <c:pt idx="3">
                  <c:v>905</c:v>
                </c:pt>
                <c:pt idx="4">
                  <c:v>1090</c:v>
                </c:pt>
                <c:pt idx="5">
                  <c:v>1095</c:v>
                </c:pt>
                <c:pt idx="6">
                  <c:v>1285</c:v>
                </c:pt>
                <c:pt idx="7">
                  <c:v>1325</c:v>
                </c:pt>
                <c:pt idx="8">
                  <c:v>1145</c:v>
                </c:pt>
                <c:pt idx="9">
                  <c:v>1355</c:v>
                </c:pt>
              </c:numCache>
            </c:numRef>
          </c:val>
          <c:smooth val="0"/>
          <c:extLst>
            <c:ext xmlns:c16="http://schemas.microsoft.com/office/drawing/2014/chart" uri="{C3380CC4-5D6E-409C-BE32-E72D297353CC}">
              <c16:uniqueId val="{00000002-9589-44D7-A729-640C0E739352}"/>
            </c:ext>
          </c:extLst>
        </c:ser>
        <c:ser>
          <c:idx val="3"/>
          <c:order val="3"/>
          <c:tx>
            <c:strRef>
              <c:f>Sheet2!$A$5</c:f>
              <c:strCache>
                <c:ptCount val="1"/>
                <c:pt idx="0">
                  <c:v>Oxon CCG Target</c:v>
                </c:pt>
              </c:strCache>
            </c:strRef>
          </c:tx>
          <c:spPr>
            <a:ln w="28575" cap="rnd">
              <a:solidFill>
                <a:srgbClr val="FF0000"/>
              </a:solidFill>
              <a:prstDash val="sysDash"/>
              <a:round/>
            </a:ln>
            <a:effectLst/>
          </c:spPr>
          <c:marker>
            <c:symbol val="none"/>
          </c:marker>
          <c:cat>
            <c:numRef>
              <c:f>Sheet2!$B$1:$K$1</c:f>
              <c:numCache>
                <c:formatCode>mmm\-yy</c:formatCode>
                <c:ptCount val="10"/>
                <c:pt idx="0">
                  <c:v>44075</c:v>
                </c:pt>
                <c:pt idx="1">
                  <c:v>44105</c:v>
                </c:pt>
                <c:pt idx="2">
                  <c:v>44136</c:v>
                </c:pt>
                <c:pt idx="3">
                  <c:v>44166</c:v>
                </c:pt>
                <c:pt idx="4">
                  <c:v>44197</c:v>
                </c:pt>
                <c:pt idx="5">
                  <c:v>44228</c:v>
                </c:pt>
                <c:pt idx="6">
                  <c:v>44256</c:v>
                </c:pt>
                <c:pt idx="7">
                  <c:v>44287</c:v>
                </c:pt>
                <c:pt idx="8">
                  <c:v>44317</c:v>
                </c:pt>
                <c:pt idx="9">
                  <c:v>44348</c:v>
                </c:pt>
              </c:numCache>
            </c:numRef>
          </c:cat>
          <c:val>
            <c:numRef>
              <c:f>Sheet2!$B$5:$K$5</c:f>
              <c:numCache>
                <c:formatCode>General</c:formatCode>
                <c:ptCount val="10"/>
                <c:pt idx="0">
                  <c:v>1277</c:v>
                </c:pt>
                <c:pt idx="1">
                  <c:v>1277</c:v>
                </c:pt>
                <c:pt idx="2">
                  <c:v>1277</c:v>
                </c:pt>
                <c:pt idx="3">
                  <c:v>1277</c:v>
                </c:pt>
                <c:pt idx="4">
                  <c:v>1277</c:v>
                </c:pt>
                <c:pt idx="5">
                  <c:v>1277</c:v>
                </c:pt>
                <c:pt idx="6">
                  <c:v>1277</c:v>
                </c:pt>
                <c:pt idx="7">
                  <c:v>1324</c:v>
                </c:pt>
                <c:pt idx="8">
                  <c:v>1324</c:v>
                </c:pt>
                <c:pt idx="9">
                  <c:v>1324</c:v>
                </c:pt>
              </c:numCache>
            </c:numRef>
          </c:val>
          <c:smooth val="0"/>
          <c:extLst>
            <c:ext xmlns:c16="http://schemas.microsoft.com/office/drawing/2014/chart" uri="{C3380CC4-5D6E-409C-BE32-E72D297353CC}">
              <c16:uniqueId val="{00000003-9589-44D7-A729-640C0E739352}"/>
            </c:ext>
          </c:extLst>
        </c:ser>
        <c:dLbls>
          <c:showLegendKey val="0"/>
          <c:showVal val="0"/>
          <c:showCatName val="0"/>
          <c:showSerName val="0"/>
          <c:showPercent val="0"/>
          <c:showBubbleSize val="0"/>
        </c:dLbls>
        <c:smooth val="0"/>
        <c:axId val="441266616"/>
        <c:axId val="441265960"/>
      </c:lineChart>
      <c:dateAx>
        <c:axId val="44126661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265960"/>
        <c:crosses val="autoZero"/>
        <c:auto val="1"/>
        <c:lblOffset val="100"/>
        <c:baseTimeUnit val="months"/>
      </c:dateAx>
      <c:valAx>
        <c:axId val="441265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266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A0CDCC7295D468AC80140F61760F7" ma:contentTypeVersion="4" ma:contentTypeDescription="Create a new document." ma:contentTypeScope="" ma:versionID="c6876555c1d001d70a97fe64bc334042">
  <xsd:schema xmlns:xsd="http://www.w3.org/2001/XMLSchema" xmlns:xs="http://www.w3.org/2001/XMLSchema" xmlns:p="http://schemas.microsoft.com/office/2006/metadata/properties" xmlns:ns2="14252710-30c2-4d83-ba22-6c3624682374" targetNamespace="http://schemas.microsoft.com/office/2006/metadata/properties" ma:root="true" ma:fieldsID="2a20f1619d59bdd045fb764bf072f4e0" ns2:_="">
    <xsd:import namespace="14252710-30c2-4d83-ba22-6c3624682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52710-30c2-4d83-ba22-6c3624682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020BD-0911-48A9-BF67-227D0ED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52710-30c2-4d83-ba22-6c3624682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49DD9-0295-4557-BFF0-F54A6661E018}">
  <ds:schemaRefs>
    <ds:schemaRef ds:uri="http://schemas.microsoft.com/sharepoint/v3/contenttype/forms"/>
  </ds:schemaRefs>
</ds:datastoreItem>
</file>

<file path=customXml/itemProps3.xml><?xml version="1.0" encoding="utf-8"?>
<ds:datastoreItem xmlns:ds="http://schemas.openxmlformats.org/officeDocument/2006/customXml" ds:itemID="{686888A6-8237-4647-9FE5-581CE534A8F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4252710-30c2-4d83-ba22-6c36246823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14</Pages>
  <Words>4767</Words>
  <Characters>27176</Characters>
  <Application>Microsoft Office Word</Application>
  <DocSecurity>0</DocSecurity>
  <Lines>226</Lines>
  <Paragraphs>63</Paragraphs>
  <ScaleCrop>false</ScaleCrop>
  <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Christopher (RNU) Oxford Health</dc:creator>
  <cp:keywords/>
  <dc:description/>
  <cp:lastModifiedBy>Macdonald Grant (RNU) Oxford Health</cp:lastModifiedBy>
  <cp:revision>242</cp:revision>
  <dcterms:created xsi:type="dcterms:W3CDTF">2021-09-23T14:43:00Z</dcterms:created>
  <dcterms:modified xsi:type="dcterms:W3CDTF">2022-05-12T15:11:00Z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0x010100313A0CDCC7295D468AC80140F61760F7</vt:lpwstr>
  </property>
</Properties>
</file>