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8AD6" w14:textId="684C186D" w:rsidR="004A11CA" w:rsidRDefault="004A11CA" w:rsidP="004A11CA">
      <w:pPr>
        <w:pStyle w:val="Heading1"/>
        <w:jc w:val="center"/>
        <w:rPr>
          <w:rFonts w:ascii="Segoe UI" w:hAnsi="Segoe UI" w:cs="Segoe UI"/>
          <w:sz w:val="28"/>
          <w:u w:val="none"/>
        </w:rPr>
      </w:pPr>
      <w:r w:rsidRPr="00B77878">
        <w:rPr>
          <w:noProof/>
        </w:rPr>
        <w:drawing>
          <wp:anchor distT="0" distB="0" distL="114300" distR="114300" simplePos="0" relativeHeight="251659264" behindDoc="0" locked="0" layoutInCell="1" allowOverlap="1" wp14:anchorId="1D7089B2" wp14:editId="6403A99B">
            <wp:simplePos x="0" y="0"/>
            <wp:positionH relativeFrom="margin">
              <wp:posOffset>4857750</wp:posOffset>
            </wp:positionH>
            <wp:positionV relativeFrom="margin">
              <wp:posOffset>-175149</wp:posOffset>
            </wp:positionV>
            <wp:extent cx="1446530" cy="834390"/>
            <wp:effectExtent l="0" t="0" r="0" b="698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cstate="print">
                      <a:extLst>
                        <a:ext uri="{28A0092B-C50C-407E-A947-70E740481C1C}">
                          <a14:useLocalDpi xmlns:a14="http://schemas.microsoft.com/office/drawing/2010/main" val="0"/>
                        </a:ext>
                      </a:extLst>
                    </a:blip>
                    <a:srcRect t="21052" r="11947" b="22368"/>
                    <a:stretch/>
                  </pic:blipFill>
                  <pic:spPr bwMode="auto">
                    <a:xfrm>
                      <a:off x="0" y="0"/>
                      <a:ext cx="144653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F0732B" w14:textId="19CB8816" w:rsidR="004A11CA" w:rsidRDefault="004A11CA" w:rsidP="004A11CA">
      <w:pPr>
        <w:pStyle w:val="Heading1"/>
        <w:jc w:val="center"/>
        <w:rPr>
          <w:rFonts w:ascii="Segoe UI" w:hAnsi="Segoe UI" w:cs="Segoe UI"/>
          <w:sz w:val="28"/>
          <w:u w:val="none"/>
        </w:rPr>
      </w:pPr>
    </w:p>
    <w:p w14:paraId="546835EF" w14:textId="77777777" w:rsidR="004A11CA" w:rsidRDefault="004A11CA" w:rsidP="004A11CA">
      <w:pPr>
        <w:pStyle w:val="Heading1"/>
        <w:jc w:val="center"/>
        <w:rPr>
          <w:rFonts w:ascii="Segoe UI" w:hAnsi="Segoe UI" w:cs="Segoe UI"/>
          <w:sz w:val="28"/>
          <w:u w:val="none"/>
        </w:rPr>
      </w:pPr>
    </w:p>
    <w:p w14:paraId="0A26F5C1" w14:textId="397EE6C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Report to the Meeting of the </w:t>
      </w:r>
    </w:p>
    <w:p w14:paraId="13AE9162" w14:textId="0479F3C6"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 xml:space="preserve">Oxford Health NHS Foundation Trust </w:t>
      </w:r>
    </w:p>
    <w:p w14:paraId="2B0C0CC8" w14:textId="5589B0D2" w:rsidR="004A11CA" w:rsidRPr="00D357BC" w:rsidRDefault="004A11CA" w:rsidP="004A11CA">
      <w:pPr>
        <w:pStyle w:val="Heading1"/>
        <w:jc w:val="center"/>
        <w:rPr>
          <w:rFonts w:ascii="Segoe UI" w:hAnsi="Segoe UI" w:cs="Segoe UI"/>
          <w:sz w:val="28"/>
          <w:u w:val="none"/>
        </w:rPr>
      </w:pPr>
      <w:r w:rsidRPr="00D357BC">
        <w:rPr>
          <w:rFonts w:ascii="Segoe UI" w:hAnsi="Segoe UI" w:cs="Segoe UI"/>
          <w:noProof/>
          <w:lang w:val="en-US"/>
        </w:rPr>
        <mc:AlternateContent>
          <mc:Choice Requires="wps">
            <w:drawing>
              <wp:anchor distT="0" distB="0" distL="114300" distR="114300" simplePos="0" relativeHeight="251657216" behindDoc="0" locked="0" layoutInCell="1" allowOverlap="1" wp14:anchorId="62BE0990" wp14:editId="3B574C00">
                <wp:simplePos x="0" y="0"/>
                <wp:positionH relativeFrom="column">
                  <wp:posOffset>4683318</wp:posOffset>
                </wp:positionH>
                <wp:positionV relativeFrom="paragraph">
                  <wp:posOffset>83516</wp:posOffset>
                </wp:positionV>
                <wp:extent cx="1327344" cy="571500"/>
                <wp:effectExtent l="0" t="0" r="2540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44" cy="571500"/>
                        </a:xfrm>
                        <a:prstGeom prst="rect">
                          <a:avLst/>
                        </a:prstGeom>
                        <a:solidFill>
                          <a:srgbClr val="FFFFFF"/>
                        </a:solidFill>
                        <a:ln w="9525">
                          <a:solidFill>
                            <a:srgbClr val="000000"/>
                          </a:solidFill>
                          <a:miter lim="800000"/>
                          <a:headEnd/>
                          <a:tailEnd/>
                        </a:ln>
                      </wps:spPr>
                      <wps:txbx>
                        <w:txbxContent>
                          <w:p w14:paraId="5C313B29" w14:textId="762DB6C8" w:rsidR="004A11CA" w:rsidRDefault="004A11CA" w:rsidP="004A11CA">
                            <w:pPr>
                              <w:jc w:val="center"/>
                              <w:rPr>
                                <w:rFonts w:ascii="Segoe UI" w:hAnsi="Segoe UI" w:cs="Segoe UI"/>
                              </w:rPr>
                            </w:pPr>
                            <w:r>
                              <w:rPr>
                                <w:rFonts w:ascii="Segoe UI" w:hAnsi="Segoe UI" w:cs="Segoe UI"/>
                                <w:b/>
                              </w:rPr>
                              <w:t xml:space="preserve">BOD </w:t>
                            </w:r>
                            <w:r w:rsidR="00E40625">
                              <w:rPr>
                                <w:rFonts w:ascii="Segoe UI" w:hAnsi="Segoe UI" w:cs="Segoe UI"/>
                                <w:b/>
                              </w:rPr>
                              <w:t>36</w:t>
                            </w:r>
                            <w:r>
                              <w:rPr>
                                <w:rFonts w:ascii="Segoe UI" w:hAnsi="Segoe UI" w:cs="Segoe UI"/>
                                <w:b/>
                              </w:rPr>
                              <w:t>/202</w:t>
                            </w:r>
                            <w:r w:rsidR="001D3D2E">
                              <w:rPr>
                                <w:rFonts w:ascii="Segoe UI" w:hAnsi="Segoe UI" w:cs="Segoe UI"/>
                                <w:b/>
                              </w:rPr>
                              <w:t>2</w:t>
                            </w:r>
                          </w:p>
                          <w:p w14:paraId="67B78BB4" w14:textId="2C4BCC07"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E40625">
                              <w:rPr>
                                <w:rFonts w:ascii="Segoe UI" w:hAnsi="Segoe UI" w:cs="Segoe UI"/>
                                <w:sz w:val="22"/>
                                <w:szCs w:val="22"/>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0990" id="Rectangle 10" o:spid="_x0000_s1026" style="position:absolute;left:0;text-align:left;margin-left:368.75pt;margin-top:6.6pt;width:10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">
                <v:textbox inset="0,0,0,0">
                  <w:txbxContent>
                    <w:p w14:paraId="5C313B29" w14:textId="762DB6C8" w:rsidR="004A11CA" w:rsidRDefault="004A11CA" w:rsidP="004A11CA">
                      <w:pPr>
                        <w:jc w:val="center"/>
                        <w:rPr>
                          <w:rFonts w:ascii="Segoe UI" w:hAnsi="Segoe UI" w:cs="Segoe UI"/>
                        </w:rPr>
                      </w:pPr>
                      <w:r>
                        <w:rPr>
                          <w:rFonts w:ascii="Segoe UI" w:hAnsi="Segoe UI" w:cs="Segoe UI"/>
                          <w:b/>
                        </w:rPr>
                        <w:t xml:space="preserve">BOD </w:t>
                      </w:r>
                      <w:r w:rsidR="00E40625">
                        <w:rPr>
                          <w:rFonts w:ascii="Segoe UI" w:hAnsi="Segoe UI" w:cs="Segoe UI"/>
                          <w:b/>
                        </w:rPr>
                        <w:t>36</w:t>
                      </w:r>
                      <w:r>
                        <w:rPr>
                          <w:rFonts w:ascii="Segoe UI" w:hAnsi="Segoe UI" w:cs="Segoe UI"/>
                          <w:b/>
                        </w:rPr>
                        <w:t>/202</w:t>
                      </w:r>
                      <w:r w:rsidR="001D3D2E">
                        <w:rPr>
                          <w:rFonts w:ascii="Segoe UI" w:hAnsi="Segoe UI" w:cs="Segoe UI"/>
                          <w:b/>
                        </w:rPr>
                        <w:t>2</w:t>
                      </w:r>
                    </w:p>
                    <w:p w14:paraId="67B78BB4" w14:textId="2C4BCC07" w:rsidR="004A11CA" w:rsidRPr="00FA3993" w:rsidRDefault="004A11CA" w:rsidP="004A11CA">
                      <w:pPr>
                        <w:jc w:val="center"/>
                        <w:rPr>
                          <w:rFonts w:ascii="Segoe UI" w:hAnsi="Segoe UI" w:cs="Segoe UI"/>
                          <w:sz w:val="22"/>
                          <w:szCs w:val="22"/>
                        </w:rPr>
                      </w:pPr>
                      <w:r>
                        <w:rPr>
                          <w:rFonts w:ascii="Segoe UI" w:hAnsi="Segoe UI" w:cs="Segoe UI"/>
                          <w:sz w:val="22"/>
                          <w:szCs w:val="22"/>
                        </w:rPr>
                        <w:t xml:space="preserve">(Agenda item: </w:t>
                      </w:r>
                      <w:r w:rsidR="00E40625">
                        <w:rPr>
                          <w:rFonts w:ascii="Segoe UI" w:hAnsi="Segoe UI" w:cs="Segoe UI"/>
                          <w:sz w:val="22"/>
                          <w:szCs w:val="22"/>
                        </w:rPr>
                        <w:t>19</w:t>
                      </w:r>
                    </w:p>
                  </w:txbxContent>
                </v:textbox>
              </v:rect>
            </w:pict>
          </mc:Fallback>
        </mc:AlternateContent>
      </w:r>
    </w:p>
    <w:p w14:paraId="085326A2" w14:textId="744DE9F7" w:rsidR="004A11CA" w:rsidRPr="00D357BC" w:rsidRDefault="004A11CA" w:rsidP="004A11CA">
      <w:pPr>
        <w:pStyle w:val="Heading1"/>
        <w:jc w:val="center"/>
        <w:rPr>
          <w:rFonts w:ascii="Segoe UI" w:hAnsi="Segoe UI" w:cs="Segoe UI"/>
          <w:sz w:val="28"/>
          <w:u w:val="none"/>
        </w:rPr>
      </w:pPr>
      <w:r w:rsidRPr="00D357BC">
        <w:rPr>
          <w:rFonts w:ascii="Segoe UI" w:hAnsi="Segoe UI" w:cs="Segoe UI"/>
          <w:sz w:val="28"/>
          <w:u w:val="none"/>
        </w:rPr>
        <w:t>Board of Directors</w:t>
      </w:r>
    </w:p>
    <w:p w14:paraId="78FDBD62" w14:textId="77777777" w:rsidR="004A11CA" w:rsidRPr="00D357BC" w:rsidRDefault="004A11CA" w:rsidP="004A11CA">
      <w:pPr>
        <w:rPr>
          <w:rFonts w:ascii="Segoe UI" w:hAnsi="Segoe UI" w:cs="Segoe UI"/>
          <w:b/>
        </w:rPr>
      </w:pPr>
    </w:p>
    <w:p w14:paraId="39576312" w14:textId="74659DA8" w:rsidR="004A11CA" w:rsidRPr="00D357BC" w:rsidRDefault="00F74073" w:rsidP="004A11CA">
      <w:pPr>
        <w:jc w:val="center"/>
        <w:rPr>
          <w:rFonts w:ascii="Segoe UI" w:hAnsi="Segoe UI" w:cs="Segoe UI"/>
          <w:b/>
        </w:rPr>
      </w:pPr>
      <w:r>
        <w:rPr>
          <w:rFonts w:ascii="Segoe UI" w:hAnsi="Segoe UI" w:cs="Segoe UI"/>
          <w:b/>
        </w:rPr>
        <w:t>25</w:t>
      </w:r>
      <w:r w:rsidR="00E55250" w:rsidRPr="00E55250">
        <w:rPr>
          <w:rFonts w:ascii="Segoe UI" w:hAnsi="Segoe UI" w:cs="Segoe UI"/>
          <w:b/>
          <w:vertAlign w:val="superscript"/>
        </w:rPr>
        <w:t>th</w:t>
      </w:r>
      <w:r w:rsidR="00E55250">
        <w:rPr>
          <w:rFonts w:ascii="Segoe UI" w:hAnsi="Segoe UI" w:cs="Segoe UI"/>
          <w:b/>
        </w:rPr>
        <w:t xml:space="preserve"> Ma</w:t>
      </w:r>
      <w:r>
        <w:rPr>
          <w:rFonts w:ascii="Segoe UI" w:hAnsi="Segoe UI" w:cs="Segoe UI"/>
          <w:b/>
        </w:rPr>
        <w:t>y</w:t>
      </w:r>
      <w:r w:rsidR="00A86710">
        <w:rPr>
          <w:rFonts w:ascii="Segoe UI" w:hAnsi="Segoe UI" w:cs="Segoe UI"/>
          <w:b/>
        </w:rPr>
        <w:t xml:space="preserve"> 2022</w:t>
      </w:r>
    </w:p>
    <w:p w14:paraId="688076CA" w14:textId="77777777" w:rsidR="004A11CA" w:rsidRPr="00D357BC" w:rsidRDefault="004A11CA" w:rsidP="004A11CA">
      <w:pPr>
        <w:jc w:val="center"/>
        <w:rPr>
          <w:rFonts w:ascii="Segoe UI" w:hAnsi="Segoe UI" w:cs="Segoe UI"/>
          <w:b/>
        </w:rPr>
      </w:pPr>
    </w:p>
    <w:p w14:paraId="235A07A4" w14:textId="702372CF" w:rsidR="004A11CA" w:rsidRPr="00D357BC" w:rsidRDefault="004A11CA" w:rsidP="004A11CA">
      <w:pPr>
        <w:jc w:val="center"/>
        <w:rPr>
          <w:rFonts w:ascii="Segoe UI" w:hAnsi="Segoe UI" w:cs="Segoe UI"/>
          <w:b/>
        </w:rPr>
      </w:pPr>
      <w:r w:rsidRPr="00D357BC">
        <w:rPr>
          <w:rFonts w:ascii="Segoe UI" w:hAnsi="Segoe UI" w:cs="Segoe UI"/>
          <w:b/>
        </w:rPr>
        <w:t>Legal</w:t>
      </w:r>
      <w:r w:rsidR="00F74073">
        <w:rPr>
          <w:rFonts w:ascii="Segoe UI" w:hAnsi="Segoe UI" w:cs="Segoe UI"/>
          <w:b/>
        </w:rPr>
        <w:t>,</w:t>
      </w:r>
      <w:r w:rsidRPr="00D357BC">
        <w:rPr>
          <w:rFonts w:ascii="Segoe UI" w:hAnsi="Segoe UI" w:cs="Segoe UI"/>
          <w:b/>
        </w:rPr>
        <w:t xml:space="preserve"> Regulatory</w:t>
      </w:r>
      <w:r w:rsidR="00F74073">
        <w:rPr>
          <w:rFonts w:ascii="Segoe UI" w:hAnsi="Segoe UI" w:cs="Segoe UI"/>
          <w:b/>
        </w:rPr>
        <w:t xml:space="preserve"> and Policy</w:t>
      </w:r>
      <w:r w:rsidRPr="00D357BC">
        <w:rPr>
          <w:rFonts w:ascii="Segoe UI" w:hAnsi="Segoe UI" w:cs="Segoe UI"/>
          <w:b/>
        </w:rPr>
        <w:t xml:space="preserve"> Update</w:t>
      </w:r>
    </w:p>
    <w:p w14:paraId="4FE3D367" w14:textId="77777777" w:rsidR="004A11CA" w:rsidRPr="00D357BC" w:rsidRDefault="004A11CA" w:rsidP="004A11CA">
      <w:pPr>
        <w:rPr>
          <w:rFonts w:ascii="Segoe UI" w:hAnsi="Segoe UI" w:cs="Segoe UI"/>
          <w:b/>
        </w:rPr>
      </w:pPr>
    </w:p>
    <w:p w14:paraId="7231F26D" w14:textId="6A2C47B7" w:rsidR="004A11CA" w:rsidRPr="00D357BC" w:rsidRDefault="004A11CA" w:rsidP="004A11CA">
      <w:pPr>
        <w:jc w:val="center"/>
        <w:rPr>
          <w:rFonts w:ascii="Segoe UI" w:hAnsi="Segoe UI" w:cs="Segoe UI"/>
        </w:rPr>
      </w:pPr>
      <w:r w:rsidRPr="00D357BC">
        <w:rPr>
          <w:rFonts w:ascii="Segoe UI" w:hAnsi="Segoe UI" w:cs="Segoe UI"/>
          <w:b/>
          <w:u w:val="single"/>
        </w:rPr>
        <w:t xml:space="preserve">For: </w:t>
      </w:r>
      <w:r w:rsidR="00821896">
        <w:rPr>
          <w:rFonts w:ascii="Segoe UI" w:hAnsi="Segoe UI" w:cs="Segoe UI"/>
          <w:b/>
          <w:u w:val="single"/>
        </w:rPr>
        <w:t>Awareness</w:t>
      </w:r>
      <w:r w:rsidRPr="00D357BC">
        <w:rPr>
          <w:rFonts w:ascii="Segoe UI" w:hAnsi="Segoe UI" w:cs="Segoe UI"/>
          <w:b/>
          <w:u w:val="single"/>
        </w:rPr>
        <w:t xml:space="preserve"> and Assurance</w:t>
      </w:r>
    </w:p>
    <w:p w14:paraId="012E41E7" w14:textId="77777777" w:rsidR="004A11CA" w:rsidRPr="00D357BC" w:rsidRDefault="004A11CA" w:rsidP="004A11CA">
      <w:pPr>
        <w:rPr>
          <w:rFonts w:ascii="Segoe UI" w:hAnsi="Segoe UI" w:cs="Segoe UI"/>
          <w:b/>
        </w:rPr>
      </w:pPr>
    </w:p>
    <w:p w14:paraId="66A2E999" w14:textId="77777777" w:rsidR="004A11CA" w:rsidRPr="00D357BC" w:rsidRDefault="004A11CA" w:rsidP="004A11CA">
      <w:pPr>
        <w:jc w:val="both"/>
        <w:rPr>
          <w:rFonts w:ascii="Segoe UI" w:hAnsi="Segoe UI" w:cs="Segoe UI"/>
          <w:b/>
          <w:sz w:val="22"/>
          <w:szCs w:val="22"/>
        </w:rPr>
      </w:pPr>
      <w:r w:rsidRPr="00D357BC">
        <w:rPr>
          <w:rFonts w:ascii="Segoe UI" w:hAnsi="Segoe UI" w:cs="Segoe UI"/>
          <w:b/>
          <w:sz w:val="22"/>
          <w:szCs w:val="22"/>
        </w:rPr>
        <w:t>Executive Summary</w:t>
      </w:r>
    </w:p>
    <w:p w14:paraId="12E872A5" w14:textId="51798A1B"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Reading Room contains the detail of the regular report to inform the Board of Directors on recent legislation, regulation and compliance</w:t>
      </w:r>
      <w:r w:rsidR="003466E5">
        <w:rPr>
          <w:rFonts w:ascii="Segoe UI" w:hAnsi="Segoe UI" w:cs="Segoe UI"/>
          <w:sz w:val="22"/>
          <w:szCs w:val="22"/>
        </w:rPr>
        <w:t>/policy</w:t>
      </w:r>
      <w:r w:rsidRPr="00D357BC">
        <w:rPr>
          <w:rFonts w:ascii="Segoe UI" w:hAnsi="Segoe UI" w:cs="Segoe UI"/>
          <w:sz w:val="22"/>
          <w:szCs w:val="22"/>
        </w:rPr>
        <w:t xml:space="preserve"> guidance issued by bodies such as NHS</w:t>
      </w:r>
      <w:r w:rsidR="0044240B">
        <w:rPr>
          <w:rFonts w:ascii="Segoe UI" w:hAnsi="Segoe UI" w:cs="Segoe UI"/>
          <w:sz w:val="22"/>
          <w:szCs w:val="22"/>
        </w:rPr>
        <w:t>E/</w:t>
      </w:r>
      <w:r w:rsidRPr="00D357BC">
        <w:rPr>
          <w:rFonts w:ascii="Segoe UI" w:hAnsi="Segoe UI" w:cs="Segoe UI"/>
          <w:sz w:val="22"/>
          <w:szCs w:val="22"/>
        </w:rPr>
        <w:t>I, the Care Quality Commission, and other relevant bodies where their action/publications have a consequential impact on the Trust or an awareness of the change/impending change is relevant to the Board of Directors and its committee</w:t>
      </w:r>
      <w:r w:rsidR="00256C62">
        <w:rPr>
          <w:rFonts w:ascii="Segoe UI" w:hAnsi="Segoe UI" w:cs="Segoe UI"/>
          <w:sz w:val="22"/>
          <w:szCs w:val="22"/>
        </w:rPr>
        <w:t>s</w:t>
      </w:r>
      <w:r w:rsidR="00F234DC">
        <w:rPr>
          <w:rFonts w:ascii="Segoe UI" w:hAnsi="Segoe UI" w:cs="Segoe UI"/>
          <w:sz w:val="22"/>
          <w:szCs w:val="22"/>
        </w:rPr>
        <w:t>’</w:t>
      </w:r>
      <w:r w:rsidRPr="00D357BC">
        <w:rPr>
          <w:rFonts w:ascii="Segoe UI" w:hAnsi="Segoe UI" w:cs="Segoe UI"/>
          <w:sz w:val="22"/>
          <w:szCs w:val="22"/>
        </w:rPr>
        <w:t xml:space="preserve"> business.  This report covers the period since the last report to Board and includes any noteworthy contributions covered by health think tanks and a section in the Addendum to this report on learning / ‘True for Us’ considerations. </w:t>
      </w:r>
    </w:p>
    <w:p w14:paraId="7A82DDA2" w14:textId="77777777" w:rsidR="004A11CA" w:rsidRPr="00D357BC" w:rsidRDefault="004A11CA" w:rsidP="004A11CA">
      <w:pPr>
        <w:jc w:val="both"/>
        <w:rPr>
          <w:rFonts w:ascii="Segoe UI" w:hAnsi="Segoe UI" w:cs="Segoe UI"/>
          <w:sz w:val="22"/>
          <w:szCs w:val="22"/>
        </w:rPr>
      </w:pPr>
    </w:p>
    <w:p w14:paraId="097D8AD0" w14:textId="0F9DD933"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 xml:space="preserve">The Update Report is designed to reflect changes in legislation, guidance, the structure of the NHS, and government policy and direction on health and social care. A summation of the change is provided for each item and where relevant, a sense of the Trust’s position with regard to the change. </w:t>
      </w:r>
      <w:r w:rsidRPr="00D357BC">
        <w:rPr>
          <w:rFonts w:ascii="Segoe UI" w:hAnsi="Segoe UI" w:cs="Segoe UI"/>
          <w:b/>
          <w:sz w:val="22"/>
          <w:szCs w:val="22"/>
        </w:rPr>
        <w:t xml:space="preserve">The Board of Directors is </w:t>
      </w:r>
      <w:r w:rsidR="00B234F5">
        <w:rPr>
          <w:rFonts w:ascii="Segoe UI" w:hAnsi="Segoe UI" w:cs="Segoe UI"/>
          <w:b/>
          <w:sz w:val="22"/>
          <w:szCs w:val="22"/>
        </w:rPr>
        <w:t>invited</w:t>
      </w:r>
      <w:r w:rsidRPr="00D357BC">
        <w:rPr>
          <w:rFonts w:ascii="Segoe UI" w:hAnsi="Segoe UI" w:cs="Segoe UI"/>
          <w:b/>
          <w:sz w:val="22"/>
          <w:szCs w:val="22"/>
        </w:rPr>
        <w:t xml:space="preserve"> to consider and note the content of the report and where relevant, members should each be satisfied of their individual and collective assurances that the internal controls in place to deliver compliance against any Trust’s obligations are effective.  The Appendix should</w:t>
      </w:r>
      <w:r w:rsidR="005C74DE">
        <w:rPr>
          <w:rFonts w:ascii="Segoe UI" w:hAnsi="Segoe UI" w:cs="Segoe UI"/>
          <w:b/>
          <w:sz w:val="22"/>
          <w:szCs w:val="22"/>
        </w:rPr>
        <w:t>, on a risk bas</w:t>
      </w:r>
      <w:r w:rsidR="00B54FB9">
        <w:rPr>
          <w:rFonts w:ascii="Segoe UI" w:hAnsi="Segoe UI" w:cs="Segoe UI"/>
          <w:b/>
          <w:sz w:val="22"/>
          <w:szCs w:val="22"/>
        </w:rPr>
        <w:t>is,</w:t>
      </w:r>
      <w:r w:rsidRPr="00D357BC">
        <w:rPr>
          <w:rFonts w:ascii="Segoe UI" w:hAnsi="Segoe UI" w:cs="Segoe UI"/>
          <w:b/>
          <w:sz w:val="22"/>
          <w:szCs w:val="22"/>
        </w:rPr>
        <w:t xml:space="preserve"> prompt consideration of the need to commission any deep dive (</w:t>
      </w:r>
      <w:r w:rsidR="00E00681">
        <w:rPr>
          <w:rFonts w:ascii="Segoe UI" w:hAnsi="Segoe UI" w:cs="Segoe UI"/>
          <w:b/>
          <w:sz w:val="22"/>
          <w:szCs w:val="22"/>
        </w:rPr>
        <w:t xml:space="preserve">or </w:t>
      </w:r>
      <w:r w:rsidRPr="00D357BC">
        <w:rPr>
          <w:rFonts w:ascii="Segoe UI" w:hAnsi="Segoe UI" w:cs="Segoe UI"/>
          <w:b/>
          <w:sz w:val="22"/>
          <w:szCs w:val="22"/>
        </w:rPr>
        <w:t>‘true for us’ review</w:t>
      </w:r>
      <w:r w:rsidR="00E00681">
        <w:rPr>
          <w:rFonts w:ascii="Segoe UI" w:hAnsi="Segoe UI" w:cs="Segoe UI"/>
          <w:b/>
          <w:sz w:val="22"/>
          <w:szCs w:val="22"/>
        </w:rPr>
        <w:t>s</w:t>
      </w:r>
      <w:r w:rsidRPr="00D357BC">
        <w:rPr>
          <w:rFonts w:ascii="Segoe UI" w:hAnsi="Segoe UI" w:cs="Segoe UI"/>
          <w:b/>
          <w:sz w:val="22"/>
          <w:szCs w:val="22"/>
        </w:rPr>
        <w:t>) in order to enhance the level of assurance or to improve the control environment, and/or decisions about the focus of any relevant Board Committee.</w:t>
      </w:r>
      <w:r w:rsidRPr="00D357BC">
        <w:rPr>
          <w:rFonts w:ascii="Segoe UI" w:hAnsi="Segoe UI" w:cs="Segoe UI"/>
          <w:sz w:val="22"/>
          <w:szCs w:val="22"/>
        </w:rPr>
        <w:t xml:space="preserve">  </w:t>
      </w:r>
    </w:p>
    <w:p w14:paraId="304303E3" w14:textId="77777777" w:rsidR="004A11CA" w:rsidRPr="00D357BC" w:rsidRDefault="004A11CA" w:rsidP="004A11CA">
      <w:pPr>
        <w:jc w:val="both"/>
        <w:rPr>
          <w:rFonts w:ascii="Segoe UI" w:hAnsi="Segoe UI" w:cs="Segoe UI"/>
          <w:sz w:val="22"/>
          <w:szCs w:val="22"/>
        </w:rPr>
      </w:pPr>
    </w:p>
    <w:p w14:paraId="15F8E965" w14:textId="26A1CDCC" w:rsidR="004A11CA" w:rsidRPr="00D357BC" w:rsidRDefault="006A434E" w:rsidP="004A11CA">
      <w:pPr>
        <w:jc w:val="both"/>
        <w:rPr>
          <w:rFonts w:ascii="Segoe UI" w:hAnsi="Segoe UI" w:cs="Segoe UI"/>
          <w:sz w:val="22"/>
          <w:szCs w:val="22"/>
        </w:rPr>
      </w:pPr>
      <w:r w:rsidRPr="006A434E">
        <w:rPr>
          <w:rFonts w:ascii="Segoe UI" w:hAnsi="Segoe UI" w:cs="Segoe UI"/>
          <w:sz w:val="22"/>
          <w:szCs w:val="22"/>
        </w:rPr>
        <w:t>Early consideration of certain items supports a prospective understanding of risk and opportunity.</w:t>
      </w:r>
      <w:r>
        <w:rPr>
          <w:rFonts w:ascii="Segoe UI" w:hAnsi="Segoe UI" w:cs="Segoe UI"/>
          <w:sz w:val="22"/>
          <w:szCs w:val="22"/>
        </w:rPr>
        <w:t xml:space="preserve">  </w:t>
      </w:r>
      <w:r w:rsidR="004A11CA" w:rsidRPr="00D357BC">
        <w:rPr>
          <w:rFonts w:ascii="Segoe UI" w:hAnsi="Segoe UI" w:cs="Segoe UI"/>
          <w:sz w:val="22"/>
          <w:szCs w:val="22"/>
        </w:rPr>
        <w:t>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091E7793" w14:textId="77777777" w:rsidR="004A11CA" w:rsidRPr="00D357BC" w:rsidRDefault="004A11CA" w:rsidP="004A11CA">
      <w:pPr>
        <w:jc w:val="both"/>
        <w:rPr>
          <w:rFonts w:ascii="Segoe UI" w:hAnsi="Segoe UI" w:cs="Segoe UI"/>
          <w:sz w:val="22"/>
          <w:szCs w:val="22"/>
        </w:rPr>
      </w:pPr>
    </w:p>
    <w:p w14:paraId="70DDF87F" w14:textId="5BFD73E5" w:rsidR="004A11CA" w:rsidRPr="00D357BC" w:rsidRDefault="004A11CA" w:rsidP="004A11CA">
      <w:pPr>
        <w:jc w:val="both"/>
        <w:rPr>
          <w:rFonts w:ascii="Segoe UI" w:hAnsi="Segoe UI" w:cs="Segoe UI"/>
          <w:sz w:val="22"/>
          <w:szCs w:val="22"/>
        </w:rPr>
      </w:pPr>
      <w:r w:rsidRPr="00D357BC">
        <w:rPr>
          <w:rFonts w:ascii="Segoe UI" w:hAnsi="Segoe UI" w:cs="Segoe UI"/>
          <w:sz w:val="22"/>
          <w:szCs w:val="22"/>
        </w:rPr>
        <w:t>The Executive team meeting</w:t>
      </w:r>
      <w:r w:rsidR="003742D5">
        <w:rPr>
          <w:rFonts w:ascii="Segoe UI" w:hAnsi="Segoe UI" w:cs="Segoe UI"/>
          <w:sz w:val="22"/>
          <w:szCs w:val="22"/>
        </w:rPr>
        <w:t>’</w:t>
      </w:r>
      <w:r w:rsidRPr="00D357BC">
        <w:rPr>
          <w:rFonts w:ascii="Segoe UI" w:hAnsi="Segoe UI" w:cs="Segoe UI"/>
          <w:sz w:val="22"/>
          <w:szCs w:val="22"/>
        </w:rPr>
        <w:t xml:space="preserve"> focus will where relevant ensure Executive Directors are aware of the changes related to their portfolios and will take forward any key actions arising from the Legal, Regulatory and Policy Updates. Progress updates on any relevant actions will be reported to the Board of Directors, as pertinent and appropriate either through the report itself or via the relevant Board reports of individual Executives.</w:t>
      </w:r>
    </w:p>
    <w:p w14:paraId="0E9325E3" w14:textId="77777777" w:rsidR="004A11CA" w:rsidRPr="00D357BC" w:rsidRDefault="004A11CA" w:rsidP="004A11CA">
      <w:pPr>
        <w:jc w:val="both"/>
        <w:rPr>
          <w:rFonts w:ascii="Segoe UI" w:hAnsi="Segoe UI" w:cs="Segoe UI"/>
          <w:sz w:val="22"/>
          <w:szCs w:val="22"/>
        </w:rPr>
      </w:pPr>
    </w:p>
    <w:p w14:paraId="0C23DCFF" w14:textId="04E822DD" w:rsidR="00B12FA8" w:rsidRPr="00836DDB" w:rsidRDefault="004A11CA" w:rsidP="00993793">
      <w:pPr>
        <w:jc w:val="both"/>
        <w:rPr>
          <w:rFonts w:ascii="Segoe UI" w:hAnsi="Segoe UI" w:cs="Segoe UI"/>
          <w:sz w:val="22"/>
          <w:szCs w:val="22"/>
        </w:rPr>
      </w:pPr>
      <w:r w:rsidRPr="00836DDB">
        <w:rPr>
          <w:rFonts w:ascii="Segoe UI" w:hAnsi="Segoe UI" w:cs="Segoe UI"/>
          <w:b/>
          <w:bCs/>
          <w:sz w:val="22"/>
          <w:szCs w:val="22"/>
        </w:rPr>
        <w:t>In this m</w:t>
      </w:r>
      <w:r w:rsidR="0071150B" w:rsidRPr="00836DDB">
        <w:rPr>
          <w:rFonts w:ascii="Segoe UI" w:hAnsi="Segoe UI" w:cs="Segoe UI"/>
          <w:b/>
          <w:bCs/>
          <w:sz w:val="22"/>
          <w:szCs w:val="22"/>
        </w:rPr>
        <w:t>onth</w:t>
      </w:r>
      <w:r w:rsidRPr="00836DDB">
        <w:rPr>
          <w:rFonts w:ascii="Segoe UI" w:hAnsi="Segoe UI" w:cs="Segoe UI"/>
          <w:b/>
          <w:bCs/>
          <w:sz w:val="22"/>
          <w:szCs w:val="22"/>
        </w:rPr>
        <w:t>’s Legal and Regulatory Update</w:t>
      </w:r>
      <w:r w:rsidRPr="00836DDB">
        <w:rPr>
          <w:rFonts w:ascii="Segoe UI" w:hAnsi="Segoe UI" w:cs="Segoe UI"/>
          <w:sz w:val="22"/>
          <w:szCs w:val="22"/>
        </w:rPr>
        <w:t xml:space="preserve">, </w:t>
      </w:r>
      <w:r w:rsidR="00B12FA8" w:rsidRPr="00836DDB">
        <w:rPr>
          <w:rFonts w:ascii="Segoe UI" w:hAnsi="Segoe UI" w:cs="Segoe UI"/>
          <w:sz w:val="22"/>
          <w:szCs w:val="22"/>
        </w:rPr>
        <w:t xml:space="preserve">a number of </w:t>
      </w:r>
      <w:r w:rsidR="00D33E8C" w:rsidRPr="00836DDB">
        <w:rPr>
          <w:rFonts w:ascii="Segoe UI" w:hAnsi="Segoe UI" w:cs="Segoe UI"/>
          <w:sz w:val="22"/>
          <w:szCs w:val="22"/>
        </w:rPr>
        <w:t>entries continue to acknowledge</w:t>
      </w:r>
      <w:r w:rsidR="00B12FA8" w:rsidRPr="00836DDB">
        <w:rPr>
          <w:rFonts w:ascii="Segoe UI" w:hAnsi="Segoe UI" w:cs="Segoe UI"/>
          <w:sz w:val="22"/>
          <w:szCs w:val="22"/>
        </w:rPr>
        <w:t xml:space="preserve"> </w:t>
      </w:r>
      <w:r w:rsidR="0026412D" w:rsidRPr="00836DDB">
        <w:rPr>
          <w:rFonts w:ascii="Segoe UI" w:hAnsi="Segoe UI" w:cs="Segoe UI"/>
          <w:sz w:val="22"/>
          <w:szCs w:val="22"/>
        </w:rPr>
        <w:t>the</w:t>
      </w:r>
      <w:r w:rsidR="005B2F2A" w:rsidRPr="00836DDB">
        <w:rPr>
          <w:rFonts w:ascii="Segoe UI" w:hAnsi="Segoe UI" w:cs="Segoe UI"/>
          <w:sz w:val="22"/>
          <w:szCs w:val="22"/>
        </w:rPr>
        <w:t xml:space="preserve"> </w:t>
      </w:r>
      <w:r w:rsidR="00B12FA8" w:rsidRPr="00836DDB">
        <w:rPr>
          <w:rFonts w:ascii="Segoe UI" w:hAnsi="Segoe UI" w:cs="Segoe UI"/>
          <w:sz w:val="22"/>
          <w:szCs w:val="22"/>
        </w:rPr>
        <w:t>impact of the pandemic</w:t>
      </w:r>
      <w:r w:rsidR="0026412D" w:rsidRPr="00836DDB">
        <w:rPr>
          <w:rFonts w:ascii="Segoe UI" w:hAnsi="Segoe UI" w:cs="Segoe UI"/>
          <w:sz w:val="22"/>
          <w:szCs w:val="22"/>
        </w:rPr>
        <w:t xml:space="preserve"> on Trusts</w:t>
      </w:r>
      <w:r w:rsidR="005B2F2A" w:rsidRPr="00836DDB">
        <w:rPr>
          <w:rFonts w:ascii="Segoe UI" w:hAnsi="Segoe UI" w:cs="Segoe UI"/>
          <w:sz w:val="22"/>
          <w:szCs w:val="22"/>
        </w:rPr>
        <w:t>.</w:t>
      </w:r>
    </w:p>
    <w:p w14:paraId="4B7A9BC1" w14:textId="39B6151A" w:rsidR="00BE1137" w:rsidRPr="00836DDB" w:rsidRDefault="00BE1137" w:rsidP="00993793">
      <w:pPr>
        <w:jc w:val="both"/>
        <w:rPr>
          <w:rFonts w:ascii="Segoe UI" w:hAnsi="Segoe UI" w:cs="Segoe UI"/>
          <w:sz w:val="22"/>
          <w:szCs w:val="22"/>
        </w:rPr>
      </w:pPr>
    </w:p>
    <w:p w14:paraId="78AF68F3" w14:textId="1D66C31E" w:rsidR="004A11CA" w:rsidRPr="00836DDB" w:rsidRDefault="004A11CA" w:rsidP="004A11CA">
      <w:pPr>
        <w:jc w:val="both"/>
        <w:rPr>
          <w:rFonts w:ascii="Segoe UI" w:hAnsi="Segoe UI" w:cs="Segoe UI"/>
          <w:sz w:val="22"/>
          <w:szCs w:val="22"/>
        </w:rPr>
      </w:pPr>
      <w:r w:rsidRPr="00836DDB">
        <w:rPr>
          <w:rFonts w:ascii="Segoe UI" w:hAnsi="Segoe UI" w:cs="Segoe UI"/>
          <w:sz w:val="22"/>
          <w:szCs w:val="22"/>
        </w:rPr>
        <w:t xml:space="preserve">Board members </w:t>
      </w:r>
      <w:r w:rsidR="008E2BDA" w:rsidRPr="00836DDB">
        <w:rPr>
          <w:rFonts w:ascii="Segoe UI" w:hAnsi="Segoe UI" w:cs="Segoe UI"/>
          <w:sz w:val="22"/>
          <w:szCs w:val="22"/>
        </w:rPr>
        <w:t>have previously</w:t>
      </w:r>
      <w:r w:rsidRPr="00836DDB">
        <w:rPr>
          <w:rFonts w:ascii="Segoe UI" w:hAnsi="Segoe UI" w:cs="Segoe UI"/>
          <w:sz w:val="22"/>
          <w:szCs w:val="22"/>
        </w:rPr>
        <w:t xml:space="preserve"> note</w:t>
      </w:r>
      <w:r w:rsidR="008E2BDA" w:rsidRPr="00836DDB">
        <w:rPr>
          <w:rFonts w:ascii="Segoe UI" w:hAnsi="Segoe UI" w:cs="Segoe UI"/>
          <w:sz w:val="22"/>
          <w:szCs w:val="22"/>
        </w:rPr>
        <w:t>d</w:t>
      </w:r>
      <w:r w:rsidRPr="00836DDB">
        <w:rPr>
          <w:rFonts w:ascii="Segoe UI" w:hAnsi="Segoe UI" w:cs="Segoe UI"/>
          <w:sz w:val="22"/>
          <w:szCs w:val="22"/>
        </w:rPr>
        <w:t xml:space="preserve"> the </w:t>
      </w:r>
      <w:r w:rsidR="00760536" w:rsidRPr="00836DDB">
        <w:rPr>
          <w:rFonts w:ascii="Segoe UI" w:hAnsi="Segoe UI" w:cs="Segoe UI"/>
          <w:sz w:val="22"/>
          <w:szCs w:val="22"/>
        </w:rPr>
        <w:t>delays regarding t</w:t>
      </w:r>
      <w:r w:rsidRPr="00836DDB">
        <w:rPr>
          <w:rFonts w:ascii="Segoe UI" w:hAnsi="Segoe UI" w:cs="Segoe UI"/>
          <w:sz w:val="22"/>
          <w:szCs w:val="22"/>
        </w:rPr>
        <w:t>he</w:t>
      </w:r>
      <w:r w:rsidR="00760536" w:rsidRPr="00836DDB">
        <w:rPr>
          <w:rFonts w:ascii="Segoe UI" w:hAnsi="Segoe UI" w:cs="Segoe UI"/>
          <w:sz w:val="22"/>
          <w:szCs w:val="22"/>
        </w:rPr>
        <w:t xml:space="preserve"> formal status </w:t>
      </w:r>
      <w:r w:rsidRPr="00836DDB">
        <w:rPr>
          <w:rFonts w:ascii="Segoe UI" w:hAnsi="Segoe UI" w:cs="Segoe UI"/>
          <w:sz w:val="22"/>
          <w:szCs w:val="22"/>
        </w:rPr>
        <w:t xml:space="preserve">of the Integrated Care Systems </w:t>
      </w:r>
      <w:r w:rsidR="00760536" w:rsidRPr="00836DDB">
        <w:rPr>
          <w:rFonts w:ascii="Segoe UI" w:hAnsi="Segoe UI" w:cs="Segoe UI"/>
          <w:sz w:val="22"/>
          <w:szCs w:val="22"/>
        </w:rPr>
        <w:t>now gaining</w:t>
      </w:r>
      <w:r w:rsidRPr="00836DDB">
        <w:rPr>
          <w:rFonts w:ascii="Segoe UI" w:hAnsi="Segoe UI" w:cs="Segoe UI"/>
          <w:sz w:val="22"/>
          <w:szCs w:val="22"/>
        </w:rPr>
        <w:t xml:space="preserve"> statutory status from </w:t>
      </w:r>
      <w:r w:rsidR="00760536" w:rsidRPr="00836DDB">
        <w:rPr>
          <w:rFonts w:ascii="Segoe UI" w:hAnsi="Segoe UI" w:cs="Segoe UI"/>
          <w:sz w:val="22"/>
          <w:szCs w:val="22"/>
        </w:rPr>
        <w:t>July</w:t>
      </w:r>
      <w:r w:rsidRPr="00836DDB">
        <w:rPr>
          <w:rFonts w:ascii="Segoe UI" w:hAnsi="Segoe UI" w:cs="Segoe UI"/>
          <w:sz w:val="22"/>
          <w:szCs w:val="22"/>
        </w:rPr>
        <w:t xml:space="preserve"> 2022 and the Health and Care Bill</w:t>
      </w:r>
      <w:r w:rsidR="00E20D11" w:rsidRPr="00836DDB">
        <w:rPr>
          <w:rFonts w:ascii="Segoe UI" w:hAnsi="Segoe UI" w:cs="Segoe UI"/>
          <w:sz w:val="22"/>
          <w:szCs w:val="22"/>
        </w:rPr>
        <w:t xml:space="preserve"> also</w:t>
      </w:r>
      <w:r w:rsidR="008B6B34" w:rsidRPr="00836DDB">
        <w:rPr>
          <w:rFonts w:ascii="Segoe UI" w:hAnsi="Segoe UI" w:cs="Segoe UI"/>
          <w:sz w:val="22"/>
          <w:szCs w:val="22"/>
        </w:rPr>
        <w:t xml:space="preserve"> referenced in </w:t>
      </w:r>
      <w:r w:rsidR="00E20D11" w:rsidRPr="00836DDB">
        <w:rPr>
          <w:rFonts w:ascii="Segoe UI" w:hAnsi="Segoe UI" w:cs="Segoe UI"/>
          <w:sz w:val="22"/>
          <w:szCs w:val="22"/>
        </w:rPr>
        <w:t>previous</w:t>
      </w:r>
      <w:r w:rsidR="008B6B34" w:rsidRPr="00836DDB">
        <w:rPr>
          <w:rFonts w:ascii="Segoe UI" w:hAnsi="Segoe UI" w:cs="Segoe UI"/>
          <w:sz w:val="22"/>
          <w:szCs w:val="22"/>
        </w:rPr>
        <w:t xml:space="preserve"> report</w:t>
      </w:r>
      <w:r w:rsidR="00E20D11" w:rsidRPr="00836DDB">
        <w:rPr>
          <w:rFonts w:ascii="Segoe UI" w:hAnsi="Segoe UI" w:cs="Segoe UI"/>
          <w:sz w:val="22"/>
          <w:szCs w:val="22"/>
        </w:rPr>
        <w:t>s has now achieved Royal Assent and has become law</w:t>
      </w:r>
      <w:r w:rsidR="00836DDB" w:rsidRPr="00836DDB">
        <w:rPr>
          <w:rFonts w:ascii="Segoe UI" w:hAnsi="Segoe UI" w:cs="Segoe UI"/>
          <w:sz w:val="22"/>
          <w:szCs w:val="22"/>
        </w:rPr>
        <w:t xml:space="preserve"> </w:t>
      </w:r>
      <w:r w:rsidR="00565269">
        <w:rPr>
          <w:rFonts w:ascii="Segoe UI" w:hAnsi="Segoe UI" w:cs="Segoe UI"/>
          <w:sz w:val="22"/>
          <w:szCs w:val="22"/>
        </w:rPr>
        <w:t>by way of the Health and Care Act.</w:t>
      </w:r>
      <w:r w:rsidR="00836DDB" w:rsidRPr="00836DDB">
        <w:rPr>
          <w:rFonts w:ascii="Segoe UI" w:hAnsi="Segoe UI" w:cs="Segoe UI"/>
          <w:sz w:val="22"/>
          <w:szCs w:val="22"/>
        </w:rPr>
        <w:t xml:space="preserve">          </w:t>
      </w:r>
      <w:r w:rsidR="008B6B34" w:rsidRPr="00836DDB">
        <w:rPr>
          <w:rFonts w:ascii="Segoe UI" w:hAnsi="Segoe UI" w:cs="Segoe UI"/>
          <w:sz w:val="22"/>
          <w:szCs w:val="22"/>
        </w:rPr>
        <w:t xml:space="preserve">.  </w:t>
      </w:r>
    </w:p>
    <w:p w14:paraId="5BA479A6" w14:textId="77777777" w:rsidR="008E2BDA" w:rsidRPr="00836DDB" w:rsidRDefault="008E2BDA" w:rsidP="004A11CA">
      <w:pPr>
        <w:jc w:val="both"/>
        <w:rPr>
          <w:rFonts w:ascii="Segoe UI" w:hAnsi="Segoe UI" w:cs="Segoe UI"/>
          <w:sz w:val="22"/>
          <w:szCs w:val="22"/>
        </w:rPr>
      </w:pPr>
    </w:p>
    <w:p w14:paraId="7C5A3579" w14:textId="13BCC6E5" w:rsidR="004A11CA" w:rsidRPr="00836DDB" w:rsidRDefault="004A11CA" w:rsidP="004A11CA">
      <w:pPr>
        <w:jc w:val="both"/>
        <w:rPr>
          <w:rFonts w:ascii="Segoe UI" w:hAnsi="Segoe UI" w:cs="Segoe UI"/>
          <w:sz w:val="22"/>
          <w:szCs w:val="22"/>
        </w:rPr>
      </w:pPr>
      <w:r w:rsidRPr="00836DDB">
        <w:rPr>
          <w:rFonts w:ascii="Segoe UI" w:hAnsi="Segoe UI" w:cs="Segoe UI"/>
          <w:sz w:val="22"/>
          <w:szCs w:val="22"/>
        </w:rPr>
        <w:t xml:space="preserve">Also, with the theme of learning and </w:t>
      </w:r>
      <w:r w:rsidR="00860D75" w:rsidRPr="00836DDB">
        <w:rPr>
          <w:rFonts w:ascii="Segoe UI" w:hAnsi="Segoe UI" w:cs="Segoe UI"/>
          <w:sz w:val="22"/>
          <w:szCs w:val="22"/>
        </w:rPr>
        <w:t>the encouraged</w:t>
      </w:r>
      <w:r w:rsidRPr="00836DDB">
        <w:rPr>
          <w:rFonts w:ascii="Segoe UI" w:hAnsi="Segoe UI" w:cs="Segoe UI"/>
          <w:sz w:val="22"/>
          <w:szCs w:val="22"/>
        </w:rPr>
        <w:t xml:space="preserve"> ‘True for Us’ curiosity, Board and Committee members </w:t>
      </w:r>
      <w:r w:rsidR="00062312" w:rsidRPr="00836DDB">
        <w:rPr>
          <w:rFonts w:ascii="Segoe UI" w:hAnsi="Segoe UI" w:cs="Segoe UI"/>
          <w:sz w:val="22"/>
          <w:szCs w:val="22"/>
        </w:rPr>
        <w:t xml:space="preserve">are invited </w:t>
      </w:r>
      <w:r w:rsidRPr="00836DDB">
        <w:rPr>
          <w:rFonts w:ascii="Segoe UI" w:hAnsi="Segoe UI" w:cs="Segoe UI"/>
          <w:sz w:val="22"/>
          <w:szCs w:val="22"/>
        </w:rPr>
        <w:t xml:space="preserve">to consider the Addendum to the Report in the Reading Room.  Notable is </w:t>
      </w:r>
      <w:r w:rsidR="00062312" w:rsidRPr="00836DDB">
        <w:rPr>
          <w:rFonts w:ascii="Segoe UI" w:hAnsi="Segoe UI" w:cs="Segoe UI"/>
          <w:sz w:val="22"/>
          <w:szCs w:val="22"/>
        </w:rPr>
        <w:t xml:space="preserve">the ongoing </w:t>
      </w:r>
      <w:r w:rsidR="00FE2084" w:rsidRPr="00836DDB">
        <w:rPr>
          <w:rFonts w:ascii="Segoe UI" w:hAnsi="Segoe UI" w:cs="Segoe UI"/>
          <w:sz w:val="22"/>
          <w:szCs w:val="22"/>
        </w:rPr>
        <w:t xml:space="preserve">theme </w:t>
      </w:r>
      <w:r w:rsidR="00062312" w:rsidRPr="00836DDB">
        <w:rPr>
          <w:rFonts w:ascii="Segoe UI" w:hAnsi="Segoe UI" w:cs="Segoe UI"/>
          <w:sz w:val="22"/>
          <w:szCs w:val="22"/>
        </w:rPr>
        <w:t>of the</w:t>
      </w:r>
      <w:r w:rsidRPr="00836DDB">
        <w:rPr>
          <w:rFonts w:ascii="Segoe UI" w:hAnsi="Segoe UI" w:cs="Segoe UI"/>
          <w:sz w:val="22"/>
          <w:szCs w:val="22"/>
        </w:rPr>
        <w:t xml:space="preserve"> importance </w:t>
      </w:r>
      <w:r w:rsidR="00AE1EA6" w:rsidRPr="00836DDB">
        <w:rPr>
          <w:rFonts w:ascii="Segoe UI" w:hAnsi="Segoe UI" w:cs="Segoe UI"/>
          <w:sz w:val="22"/>
          <w:szCs w:val="22"/>
        </w:rPr>
        <w:t xml:space="preserve">of </w:t>
      </w:r>
      <w:r w:rsidR="00836DDB" w:rsidRPr="00836DDB">
        <w:rPr>
          <w:rFonts w:ascii="Segoe UI" w:hAnsi="Segoe UI" w:cs="Segoe UI"/>
          <w:sz w:val="22"/>
          <w:szCs w:val="22"/>
        </w:rPr>
        <w:t>culture and safe environments for speaking up</w:t>
      </w:r>
      <w:r w:rsidR="002A3A11">
        <w:rPr>
          <w:rFonts w:ascii="Segoe UI" w:hAnsi="Segoe UI" w:cs="Segoe UI"/>
          <w:sz w:val="22"/>
          <w:szCs w:val="22"/>
        </w:rPr>
        <w:t xml:space="preserve"> and a number of CQC inspections included in the report </w:t>
      </w:r>
      <w:r w:rsidR="00E50430">
        <w:rPr>
          <w:rFonts w:ascii="Segoe UI" w:hAnsi="Segoe UI" w:cs="Segoe UI"/>
          <w:sz w:val="22"/>
          <w:szCs w:val="22"/>
        </w:rPr>
        <w:t>will assist with our own development focus.</w:t>
      </w:r>
      <w:r w:rsidR="00836DDB" w:rsidRPr="00836DDB">
        <w:rPr>
          <w:rFonts w:ascii="Segoe UI" w:hAnsi="Segoe UI" w:cs="Segoe UI"/>
          <w:sz w:val="22"/>
          <w:szCs w:val="22"/>
        </w:rPr>
        <w:t xml:space="preserve">           </w:t>
      </w:r>
    </w:p>
    <w:p w14:paraId="2BC26542" w14:textId="77777777" w:rsidR="004A11CA" w:rsidRPr="00FD27BE" w:rsidRDefault="004A11CA" w:rsidP="004A11CA">
      <w:pPr>
        <w:jc w:val="both"/>
        <w:rPr>
          <w:rFonts w:ascii="Segoe UI" w:hAnsi="Segoe UI" w:cs="Segoe UI"/>
          <w:sz w:val="22"/>
          <w:szCs w:val="22"/>
          <w:highlight w:val="yellow"/>
        </w:rPr>
      </w:pPr>
    </w:p>
    <w:p w14:paraId="18C4471A"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Governance Route/Approval Process</w:t>
      </w:r>
    </w:p>
    <w:p w14:paraId="3CE88258" w14:textId="4B31B488" w:rsidR="004A11CA" w:rsidRPr="009C3CC8" w:rsidRDefault="004A11CA" w:rsidP="004A11CA">
      <w:pPr>
        <w:jc w:val="both"/>
        <w:rPr>
          <w:rFonts w:ascii="Segoe UI" w:hAnsi="Segoe UI" w:cs="Segoe UI"/>
          <w:sz w:val="22"/>
          <w:szCs w:val="22"/>
        </w:rPr>
      </w:pPr>
      <w:r w:rsidRPr="009C3CC8">
        <w:rPr>
          <w:rFonts w:ascii="Segoe UI" w:hAnsi="Segoe UI" w:cs="Segoe UI"/>
          <w:sz w:val="22"/>
          <w:szCs w:val="22"/>
        </w:rPr>
        <w:t>This is a routine report with direct relevance to the Board</w:t>
      </w:r>
      <w:r w:rsidR="00FD27BE">
        <w:rPr>
          <w:rFonts w:ascii="Segoe UI" w:hAnsi="Segoe UI" w:cs="Segoe UI"/>
          <w:sz w:val="22"/>
          <w:szCs w:val="22"/>
        </w:rPr>
        <w:t xml:space="preserve"> and its committees and serves to provide</w:t>
      </w:r>
      <w:r w:rsidR="00165B79">
        <w:rPr>
          <w:rFonts w:ascii="Segoe UI" w:hAnsi="Segoe UI" w:cs="Segoe UI"/>
          <w:sz w:val="22"/>
          <w:szCs w:val="22"/>
        </w:rPr>
        <w:t xml:space="preserve"> early insight into the changing legal, regulatory and policy environment thereby allowing a risk based approach to </w:t>
      </w:r>
      <w:r w:rsidR="00D1294F">
        <w:rPr>
          <w:rFonts w:ascii="Segoe UI" w:hAnsi="Segoe UI" w:cs="Segoe UI"/>
          <w:sz w:val="22"/>
          <w:szCs w:val="22"/>
        </w:rPr>
        <w:t>stimulating further enquiry</w:t>
      </w:r>
      <w:r w:rsidR="00C4631C">
        <w:rPr>
          <w:rFonts w:ascii="Segoe UI" w:hAnsi="Segoe UI" w:cs="Segoe UI"/>
          <w:sz w:val="22"/>
          <w:szCs w:val="22"/>
        </w:rPr>
        <w:t xml:space="preserve"> where relevant</w:t>
      </w:r>
      <w:r w:rsidRPr="009C3CC8">
        <w:rPr>
          <w:rFonts w:ascii="Segoe UI" w:hAnsi="Segoe UI" w:cs="Segoe UI"/>
          <w:sz w:val="22"/>
          <w:szCs w:val="22"/>
        </w:rPr>
        <w:t xml:space="preserve">. </w:t>
      </w:r>
    </w:p>
    <w:p w14:paraId="3EDD31E6" w14:textId="77777777" w:rsidR="004A11CA" w:rsidRPr="009C3CC8" w:rsidRDefault="004A11CA" w:rsidP="004A11CA">
      <w:pPr>
        <w:jc w:val="both"/>
        <w:rPr>
          <w:rFonts w:ascii="Segoe UI" w:hAnsi="Segoe UI" w:cs="Segoe UI"/>
          <w:b/>
          <w:sz w:val="22"/>
          <w:szCs w:val="22"/>
        </w:rPr>
      </w:pPr>
    </w:p>
    <w:p w14:paraId="46D02CC8" w14:textId="77777777" w:rsidR="004A11CA" w:rsidRPr="009C3CC8" w:rsidRDefault="004A11CA" w:rsidP="004A11CA">
      <w:pPr>
        <w:jc w:val="both"/>
        <w:rPr>
          <w:rFonts w:ascii="Segoe UI" w:hAnsi="Segoe UI" w:cs="Segoe UI"/>
          <w:b/>
          <w:sz w:val="22"/>
          <w:szCs w:val="22"/>
        </w:rPr>
      </w:pPr>
      <w:r w:rsidRPr="009C3CC8">
        <w:rPr>
          <w:rFonts w:ascii="Segoe UI" w:hAnsi="Segoe UI" w:cs="Segoe UI"/>
          <w:b/>
          <w:sz w:val="22"/>
          <w:szCs w:val="22"/>
        </w:rPr>
        <w:t>Recommendation</w:t>
      </w:r>
    </w:p>
    <w:p w14:paraId="3B52C189" w14:textId="77777777" w:rsidR="004A11CA" w:rsidRPr="0072538C" w:rsidRDefault="004A11CA" w:rsidP="004A11CA">
      <w:pPr>
        <w:jc w:val="both"/>
        <w:rPr>
          <w:rFonts w:ascii="Segoe UI" w:hAnsi="Segoe UI" w:cs="Segoe UI"/>
          <w:sz w:val="22"/>
          <w:szCs w:val="22"/>
        </w:rPr>
      </w:pPr>
      <w:r w:rsidRPr="0072538C">
        <w:rPr>
          <w:rFonts w:ascii="Segoe UI" w:hAnsi="Segoe UI" w:cs="Segoe UI"/>
          <w:sz w:val="22"/>
          <w:szCs w:val="22"/>
        </w:rPr>
        <w:t>The Board of Directors is invited to consider and be aware of the content of the report and where relevant, members should each be satisfied of their individual and collective assurances that the internal plans and controls in place to deliver compliance against any Trust’s obligations are appropriate and effective.  Chairs of Board Committees should consider whether more detailed assurances relevant to their committees, are necessary, utilising this report as a constructive stimulant to inform the composition of meeting agendas and reporting focus as necessary or appropriate.</w:t>
      </w:r>
    </w:p>
    <w:p w14:paraId="70D7662E" w14:textId="77777777" w:rsidR="004A11CA" w:rsidRPr="0072538C" w:rsidRDefault="004A11CA" w:rsidP="004A11CA">
      <w:pPr>
        <w:jc w:val="both"/>
        <w:rPr>
          <w:rFonts w:ascii="Segoe UI" w:hAnsi="Segoe UI" w:cs="Segoe UI"/>
          <w:b/>
          <w:sz w:val="22"/>
          <w:szCs w:val="22"/>
        </w:rPr>
      </w:pPr>
    </w:p>
    <w:p w14:paraId="1277E282" w14:textId="77777777" w:rsidR="004A11CA" w:rsidRPr="0072538C" w:rsidRDefault="004A11CA" w:rsidP="004A11CA">
      <w:pPr>
        <w:jc w:val="both"/>
        <w:rPr>
          <w:rFonts w:ascii="Segoe UI" w:hAnsi="Segoe UI" w:cs="Segoe UI"/>
          <w:sz w:val="22"/>
          <w:szCs w:val="22"/>
        </w:rPr>
      </w:pPr>
      <w:r w:rsidRPr="0072538C">
        <w:rPr>
          <w:rFonts w:ascii="Segoe UI" w:hAnsi="Segoe UI" w:cs="Segoe UI"/>
          <w:b/>
          <w:sz w:val="22"/>
          <w:szCs w:val="22"/>
        </w:rPr>
        <w:t xml:space="preserve">Author and Title: </w:t>
      </w:r>
      <w:r w:rsidRPr="0072538C">
        <w:rPr>
          <w:rFonts w:ascii="Segoe UI" w:hAnsi="Segoe UI" w:cs="Segoe UI"/>
          <w:b/>
          <w:sz w:val="22"/>
          <w:szCs w:val="22"/>
        </w:rPr>
        <w:tab/>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Company Secretary </w:t>
      </w:r>
    </w:p>
    <w:p w14:paraId="1C394901" w14:textId="77777777" w:rsidR="004A11CA" w:rsidRPr="0072538C" w:rsidRDefault="004A11CA" w:rsidP="004A11CA">
      <w:pPr>
        <w:jc w:val="both"/>
        <w:rPr>
          <w:rFonts w:ascii="Segoe UI" w:hAnsi="Segoe UI" w:cs="Segoe UI"/>
          <w:b/>
          <w:sz w:val="22"/>
          <w:szCs w:val="22"/>
        </w:rPr>
      </w:pPr>
      <w:r w:rsidRPr="0072538C">
        <w:rPr>
          <w:rFonts w:ascii="Segoe UI" w:hAnsi="Segoe UI" w:cs="Segoe UI"/>
          <w:b/>
          <w:sz w:val="22"/>
          <w:szCs w:val="22"/>
        </w:rPr>
        <w:t xml:space="preserve">Lead Executive Director:  </w:t>
      </w:r>
      <w:r w:rsidRPr="0072538C">
        <w:rPr>
          <w:rFonts w:ascii="Segoe UI" w:hAnsi="Segoe UI" w:cs="Segoe UI"/>
          <w:b/>
          <w:sz w:val="22"/>
          <w:szCs w:val="22"/>
        </w:rPr>
        <w:tab/>
        <w:t xml:space="preserve">Kerry Rogers, Director of Corporate Affairs &amp; </w:t>
      </w:r>
      <w:r w:rsidRPr="0072538C">
        <w:rPr>
          <w:rFonts w:ascii="Segoe UI" w:hAnsi="Segoe UI" w:cs="Segoe UI"/>
          <w:b/>
          <w:sz w:val="22"/>
          <w:szCs w:val="22"/>
        </w:rPr>
        <w:tab/>
      </w:r>
      <w:r w:rsidRPr="0072538C">
        <w:rPr>
          <w:rFonts w:ascii="Segoe UI" w:hAnsi="Segoe UI" w:cs="Segoe UI"/>
          <w:b/>
          <w:sz w:val="22"/>
          <w:szCs w:val="22"/>
        </w:rPr>
        <w:tab/>
      </w:r>
      <w:r w:rsidRPr="0072538C">
        <w:rPr>
          <w:rFonts w:ascii="Segoe UI" w:hAnsi="Segoe UI" w:cs="Segoe UI"/>
          <w:b/>
          <w:sz w:val="22"/>
          <w:szCs w:val="22"/>
        </w:rPr>
        <w:tab/>
        <w:t xml:space="preserve">                     </w:t>
      </w:r>
      <w:r w:rsidRPr="0072538C">
        <w:rPr>
          <w:rFonts w:ascii="Segoe UI" w:hAnsi="Segoe UI" w:cs="Segoe UI"/>
          <w:b/>
          <w:sz w:val="22"/>
          <w:szCs w:val="22"/>
        </w:rPr>
        <w:tab/>
      </w:r>
      <w:r w:rsidRPr="0072538C">
        <w:rPr>
          <w:rFonts w:ascii="Segoe UI" w:hAnsi="Segoe UI" w:cs="Segoe UI"/>
          <w:b/>
          <w:sz w:val="22"/>
          <w:szCs w:val="22"/>
        </w:rPr>
        <w:tab/>
        <w:t xml:space="preserve">Company Secretary </w:t>
      </w:r>
      <w:r w:rsidRPr="0072538C">
        <w:rPr>
          <w:rFonts w:ascii="Segoe UI" w:hAnsi="Segoe UI" w:cs="Segoe UI"/>
          <w:sz w:val="22"/>
          <w:szCs w:val="22"/>
        </w:rPr>
        <w:tab/>
        <w:t xml:space="preserve"> </w:t>
      </w:r>
    </w:p>
    <w:p w14:paraId="5CB2728B" w14:textId="77777777" w:rsidR="004A11CA" w:rsidRPr="0072538C" w:rsidRDefault="004A11CA" w:rsidP="004A11CA">
      <w:pPr>
        <w:jc w:val="both"/>
        <w:rPr>
          <w:rFonts w:ascii="Segoe UI" w:hAnsi="Segoe UI" w:cs="Segoe UI"/>
        </w:rPr>
      </w:pPr>
    </w:p>
    <w:p w14:paraId="44E12DC4"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i/>
          <w:sz w:val="20"/>
          <w:szCs w:val="20"/>
        </w:rPr>
        <w:t>A risk assessment has been undertaken around the legal issues that this report presents and there are no issues that need to be referred to the Trust Solicitors</w:t>
      </w:r>
    </w:p>
    <w:p w14:paraId="0DA587EE" w14:textId="77777777" w:rsidR="004A11CA" w:rsidRPr="0072538C" w:rsidRDefault="004A11CA" w:rsidP="004A11CA">
      <w:pPr>
        <w:ind w:left="720"/>
        <w:jc w:val="both"/>
        <w:rPr>
          <w:rFonts w:ascii="Segoe UI" w:hAnsi="Segoe UI" w:cs="Segoe UI"/>
          <w:i/>
          <w:sz w:val="20"/>
          <w:szCs w:val="20"/>
        </w:rPr>
      </w:pPr>
    </w:p>
    <w:p w14:paraId="225C7321" w14:textId="77777777" w:rsidR="004A11CA" w:rsidRPr="0072538C" w:rsidRDefault="004A11CA" w:rsidP="004A11CA">
      <w:pPr>
        <w:numPr>
          <w:ilvl w:val="0"/>
          <w:numId w:val="4"/>
        </w:numPr>
        <w:jc w:val="both"/>
        <w:rPr>
          <w:rFonts w:ascii="Segoe UI" w:hAnsi="Segoe UI" w:cs="Segoe UI"/>
          <w:i/>
          <w:sz w:val="20"/>
          <w:szCs w:val="20"/>
        </w:rPr>
      </w:pPr>
      <w:r w:rsidRPr="0072538C">
        <w:rPr>
          <w:rFonts w:ascii="Segoe UI" w:hAnsi="Segoe UI" w:cs="Segoe UI"/>
          <w:b/>
          <w:i/>
          <w:sz w:val="20"/>
          <w:szCs w:val="20"/>
        </w:rPr>
        <w:t>Strategic Objectives/Priorities</w:t>
      </w:r>
      <w:r w:rsidRPr="0072538C">
        <w:rPr>
          <w:rFonts w:ascii="Segoe UI" w:hAnsi="Segoe UI" w:cs="Segoe UI"/>
          <w:i/>
          <w:sz w:val="20"/>
          <w:szCs w:val="20"/>
        </w:rPr>
        <w:t xml:space="preserve"> – this report relates to or provides assurance and evidence against aspects of each of the Strategic Objectives/Priorities of the Trust </w:t>
      </w:r>
    </w:p>
    <w:p w14:paraId="4FB97F45" w14:textId="6545F6D1" w:rsidR="004A11CA" w:rsidRDefault="004A11CA" w:rsidP="004A11CA">
      <w:pPr>
        <w:pStyle w:val="ListParagraph"/>
        <w:rPr>
          <w:rFonts w:ascii="Segoe UI" w:hAnsi="Segoe UI" w:cs="Segoe UI"/>
          <w:i/>
          <w:sz w:val="20"/>
          <w:szCs w:val="20"/>
        </w:rPr>
      </w:pPr>
    </w:p>
    <w:p w14:paraId="481AACD5" w14:textId="4265395A" w:rsidR="00A07AC3" w:rsidRDefault="00A07AC3" w:rsidP="004A11CA">
      <w:pPr>
        <w:pStyle w:val="ListParagraph"/>
        <w:rPr>
          <w:rFonts w:ascii="Segoe UI" w:hAnsi="Segoe UI" w:cs="Segoe UI"/>
          <w:i/>
          <w:sz w:val="20"/>
          <w:szCs w:val="20"/>
        </w:rPr>
      </w:pPr>
    </w:p>
    <w:p w14:paraId="55F0E213" w14:textId="77777777" w:rsidR="00A07AC3" w:rsidRPr="00106344" w:rsidRDefault="00A07AC3" w:rsidP="00106344">
      <w:pPr>
        <w:rPr>
          <w:rFonts w:ascii="Segoe UI" w:hAnsi="Segoe UI" w:cs="Segoe UI"/>
          <w:i/>
          <w:sz w:val="20"/>
          <w:szCs w:val="20"/>
        </w:rPr>
      </w:pPr>
    </w:p>
    <w:sectPr w:rsidR="00A07AC3" w:rsidRPr="00106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2F846" w14:textId="77777777" w:rsidR="00E721EF" w:rsidRDefault="00E721EF" w:rsidP="004A11CA">
      <w:r>
        <w:separator/>
      </w:r>
    </w:p>
  </w:endnote>
  <w:endnote w:type="continuationSeparator" w:id="0">
    <w:p w14:paraId="47407FC3" w14:textId="77777777" w:rsidR="00E721EF" w:rsidRDefault="00E721EF" w:rsidP="004A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804469"/>
      <w:docPartObj>
        <w:docPartGallery w:val="Page Numbers (Bottom of Page)"/>
        <w:docPartUnique/>
      </w:docPartObj>
    </w:sdtPr>
    <w:sdtEndPr>
      <w:rPr>
        <w:color w:val="7F7F7F" w:themeColor="background1" w:themeShade="7F"/>
        <w:spacing w:val="60"/>
      </w:rPr>
    </w:sdtEndPr>
    <w:sdtContent>
      <w:p w14:paraId="1B5527C3" w14:textId="23B0FA2C" w:rsidR="008E705C" w:rsidRDefault="008E70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45306B5" w14:textId="77777777" w:rsidR="008E705C" w:rsidRDefault="008E7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24291" w14:textId="77777777" w:rsidR="00E721EF" w:rsidRDefault="00E721EF" w:rsidP="004A11CA">
      <w:r>
        <w:separator/>
      </w:r>
    </w:p>
  </w:footnote>
  <w:footnote w:type="continuationSeparator" w:id="0">
    <w:p w14:paraId="0948C8DD" w14:textId="77777777" w:rsidR="00E721EF" w:rsidRDefault="00E721EF" w:rsidP="004A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EE95F" w14:textId="687B6C00" w:rsidR="004A11CA" w:rsidRPr="004A11CA" w:rsidRDefault="004A11CA" w:rsidP="004A11CA">
    <w:pPr>
      <w:pStyle w:val="Header"/>
      <w:jc w:val="center"/>
      <w:rPr>
        <w:rFonts w:ascii="Segoe UI" w:hAnsi="Segoe UI" w:cs="Segoe UI"/>
        <w:b/>
        <w:bCs/>
        <w:i/>
        <w:iCs/>
      </w:rPr>
    </w:pPr>
    <w:r w:rsidRPr="004A11CA">
      <w:rPr>
        <w:rFonts w:ascii="Segoe UI" w:hAnsi="Segoe UI" w:cs="Segoe UI"/>
        <w:b/>
        <w:bCs/>
        <w:i/>
        <w:iCs/>
      </w:rPr>
      <w:t>PUBLIC – NOT TO BE REMOVE UNTIL END OF BOARD MEETING</w:t>
    </w:r>
  </w:p>
  <w:p w14:paraId="1E470BF7" w14:textId="77777777" w:rsidR="004A11CA" w:rsidRDefault="004A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B0463"/>
    <w:multiLevelType w:val="multilevel"/>
    <w:tmpl w:val="F8EA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959F9"/>
    <w:multiLevelType w:val="multilevel"/>
    <w:tmpl w:val="D36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831AE"/>
    <w:multiLevelType w:val="hybridMultilevel"/>
    <w:tmpl w:val="57D4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357BDD"/>
    <w:multiLevelType w:val="multilevel"/>
    <w:tmpl w:val="1D14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250725BA"/>
    <w:multiLevelType w:val="multilevel"/>
    <w:tmpl w:val="2ED4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6256A"/>
    <w:multiLevelType w:val="multilevel"/>
    <w:tmpl w:val="2B48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333A4"/>
    <w:multiLevelType w:val="multilevel"/>
    <w:tmpl w:val="B2D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414BC"/>
    <w:multiLevelType w:val="multilevel"/>
    <w:tmpl w:val="407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C663913"/>
    <w:multiLevelType w:val="hybridMultilevel"/>
    <w:tmpl w:val="B928D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4" w15:restartNumberingAfterBreak="0">
    <w:nsid w:val="5F3D7FEE"/>
    <w:multiLevelType w:val="multilevel"/>
    <w:tmpl w:val="4E44E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7D6889"/>
    <w:multiLevelType w:val="multilevel"/>
    <w:tmpl w:val="34B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112640"/>
    <w:multiLevelType w:val="hybridMultilevel"/>
    <w:tmpl w:val="42F62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2"/>
  </w:num>
  <w:num w:numId="4">
    <w:abstractNumId w:val="1"/>
  </w:num>
  <w:num w:numId="5">
    <w:abstractNumId w:val="13"/>
  </w:num>
  <w:num w:numId="6">
    <w:abstractNumId w:val="5"/>
  </w:num>
  <w:num w:numId="7">
    <w:abstractNumId w:val="15"/>
  </w:num>
  <w:num w:numId="8">
    <w:abstractNumId w:val="3"/>
  </w:num>
  <w:num w:numId="9">
    <w:abstractNumId w:val="16"/>
  </w:num>
  <w:num w:numId="10">
    <w:abstractNumId w:val="18"/>
  </w:num>
  <w:num w:numId="11">
    <w:abstractNumId w:val="0"/>
  </w:num>
  <w:num w:numId="12">
    <w:abstractNumId w:val="6"/>
  </w:num>
  <w:num w:numId="13">
    <w:abstractNumId w:val="7"/>
  </w:num>
  <w:num w:numId="14">
    <w:abstractNumId w:val="14"/>
  </w:num>
  <w:num w:numId="15">
    <w:abstractNumId w:val="9"/>
  </w:num>
  <w:num w:numId="16">
    <w:abstractNumId w:val="4"/>
  </w:num>
  <w:num w:numId="17">
    <w:abstractNumId w:val="8"/>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A"/>
    <w:rsid w:val="00023B36"/>
    <w:rsid w:val="00030C5F"/>
    <w:rsid w:val="00031C4C"/>
    <w:rsid w:val="00062312"/>
    <w:rsid w:val="00092559"/>
    <w:rsid w:val="000E6E09"/>
    <w:rsid w:val="000F2C61"/>
    <w:rsid w:val="000F7910"/>
    <w:rsid w:val="00106344"/>
    <w:rsid w:val="0014008C"/>
    <w:rsid w:val="0014257B"/>
    <w:rsid w:val="00165B79"/>
    <w:rsid w:val="0018017E"/>
    <w:rsid w:val="001D251A"/>
    <w:rsid w:val="001D3D2E"/>
    <w:rsid w:val="001E0518"/>
    <w:rsid w:val="001E37C2"/>
    <w:rsid w:val="001F6EF4"/>
    <w:rsid w:val="00216000"/>
    <w:rsid w:val="00256C62"/>
    <w:rsid w:val="00262B7A"/>
    <w:rsid w:val="0026412D"/>
    <w:rsid w:val="0028433A"/>
    <w:rsid w:val="002846D2"/>
    <w:rsid w:val="002A3A11"/>
    <w:rsid w:val="002C5536"/>
    <w:rsid w:val="002D3E71"/>
    <w:rsid w:val="002D572D"/>
    <w:rsid w:val="00336423"/>
    <w:rsid w:val="003466E5"/>
    <w:rsid w:val="003742D5"/>
    <w:rsid w:val="00380B84"/>
    <w:rsid w:val="003D1715"/>
    <w:rsid w:val="003F5F1E"/>
    <w:rsid w:val="00401CF4"/>
    <w:rsid w:val="00402A7B"/>
    <w:rsid w:val="0044240B"/>
    <w:rsid w:val="00444F70"/>
    <w:rsid w:val="00461F54"/>
    <w:rsid w:val="00471765"/>
    <w:rsid w:val="004A11CA"/>
    <w:rsid w:val="004B28D3"/>
    <w:rsid w:val="00564B8C"/>
    <w:rsid w:val="00564D8A"/>
    <w:rsid w:val="00565269"/>
    <w:rsid w:val="00583F86"/>
    <w:rsid w:val="005B2F2A"/>
    <w:rsid w:val="005C74DE"/>
    <w:rsid w:val="005D0950"/>
    <w:rsid w:val="006A0D10"/>
    <w:rsid w:val="006A434E"/>
    <w:rsid w:val="006E769B"/>
    <w:rsid w:val="006F249A"/>
    <w:rsid w:val="00710FEF"/>
    <w:rsid w:val="0071150B"/>
    <w:rsid w:val="00760536"/>
    <w:rsid w:val="00771C22"/>
    <w:rsid w:val="007C0342"/>
    <w:rsid w:val="00821896"/>
    <w:rsid w:val="00836DDB"/>
    <w:rsid w:val="008543FD"/>
    <w:rsid w:val="00860D75"/>
    <w:rsid w:val="00860ED7"/>
    <w:rsid w:val="008B6B34"/>
    <w:rsid w:val="008E2BDA"/>
    <w:rsid w:val="008E705C"/>
    <w:rsid w:val="00900349"/>
    <w:rsid w:val="00965BFC"/>
    <w:rsid w:val="0097097E"/>
    <w:rsid w:val="009828FE"/>
    <w:rsid w:val="009849A3"/>
    <w:rsid w:val="00993793"/>
    <w:rsid w:val="009A61EA"/>
    <w:rsid w:val="00A07AC3"/>
    <w:rsid w:val="00A33CA1"/>
    <w:rsid w:val="00A52B23"/>
    <w:rsid w:val="00A86710"/>
    <w:rsid w:val="00AA4E52"/>
    <w:rsid w:val="00AB51E9"/>
    <w:rsid w:val="00AE1EA6"/>
    <w:rsid w:val="00AF35D6"/>
    <w:rsid w:val="00B12FA8"/>
    <w:rsid w:val="00B159CE"/>
    <w:rsid w:val="00B234F5"/>
    <w:rsid w:val="00B33DAD"/>
    <w:rsid w:val="00B54FB9"/>
    <w:rsid w:val="00BE1137"/>
    <w:rsid w:val="00BE26A9"/>
    <w:rsid w:val="00BF422C"/>
    <w:rsid w:val="00C22E7D"/>
    <w:rsid w:val="00C4631C"/>
    <w:rsid w:val="00D04BD1"/>
    <w:rsid w:val="00D1294F"/>
    <w:rsid w:val="00D33E8C"/>
    <w:rsid w:val="00D35EAA"/>
    <w:rsid w:val="00D6133C"/>
    <w:rsid w:val="00D61913"/>
    <w:rsid w:val="00D74317"/>
    <w:rsid w:val="00D853C5"/>
    <w:rsid w:val="00D92B34"/>
    <w:rsid w:val="00DC4ED4"/>
    <w:rsid w:val="00E00681"/>
    <w:rsid w:val="00E00AD3"/>
    <w:rsid w:val="00E20D11"/>
    <w:rsid w:val="00E40625"/>
    <w:rsid w:val="00E50430"/>
    <w:rsid w:val="00E510F7"/>
    <w:rsid w:val="00E55250"/>
    <w:rsid w:val="00E65935"/>
    <w:rsid w:val="00E721EF"/>
    <w:rsid w:val="00E95F9C"/>
    <w:rsid w:val="00EA2E2D"/>
    <w:rsid w:val="00EF44A4"/>
    <w:rsid w:val="00F234DC"/>
    <w:rsid w:val="00F24B7B"/>
    <w:rsid w:val="00F46E11"/>
    <w:rsid w:val="00F74073"/>
    <w:rsid w:val="00F8673A"/>
    <w:rsid w:val="00FD1F38"/>
    <w:rsid w:val="00FD27BE"/>
    <w:rsid w:val="00FD6E03"/>
    <w:rsid w:val="00FE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61C6"/>
  <w15:chartTrackingRefBased/>
  <w15:docId w15:val="{3988BA40-03FD-4380-97A1-0EDE4E365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A11C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1CA"/>
    <w:rPr>
      <w:rFonts w:ascii="Arial" w:eastAsia="Times New Roman" w:hAnsi="Arial" w:cs="Times New Roman"/>
      <w:b/>
      <w:sz w:val="20"/>
      <w:szCs w:val="20"/>
      <w:u w:val="single"/>
    </w:rPr>
  </w:style>
  <w:style w:type="paragraph" w:styleId="BodyText">
    <w:name w:val="Body Text"/>
    <w:basedOn w:val="Normal"/>
    <w:link w:val="BodyTextChar"/>
    <w:rsid w:val="004A11CA"/>
    <w:pPr>
      <w:jc w:val="center"/>
    </w:pPr>
    <w:rPr>
      <w:rFonts w:ascii="Arial" w:hAnsi="Arial" w:cs="Arial"/>
      <w:b/>
    </w:rPr>
  </w:style>
  <w:style w:type="character" w:customStyle="1" w:styleId="BodyTextChar">
    <w:name w:val="Body Text Char"/>
    <w:basedOn w:val="DefaultParagraphFont"/>
    <w:link w:val="BodyText"/>
    <w:rsid w:val="004A11CA"/>
    <w:rPr>
      <w:rFonts w:ascii="Arial" w:eastAsia="Times New Roman" w:hAnsi="Arial" w:cs="Arial"/>
      <w:b/>
      <w:sz w:val="24"/>
      <w:szCs w:val="24"/>
      <w:lang w:val="en-US"/>
    </w:rPr>
  </w:style>
  <w:style w:type="paragraph" w:styleId="Header">
    <w:name w:val="header"/>
    <w:basedOn w:val="Normal"/>
    <w:link w:val="HeaderChar"/>
    <w:uiPriority w:val="99"/>
    <w:rsid w:val="004A11CA"/>
    <w:pPr>
      <w:tabs>
        <w:tab w:val="center" w:pos="4513"/>
        <w:tab w:val="right" w:pos="9026"/>
      </w:tabs>
    </w:pPr>
  </w:style>
  <w:style w:type="character" w:customStyle="1" w:styleId="HeaderChar">
    <w:name w:val="Header Char"/>
    <w:basedOn w:val="DefaultParagraphFont"/>
    <w:link w:val="Header"/>
    <w:uiPriority w:val="99"/>
    <w:rsid w:val="004A11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A11CA"/>
    <w:pPr>
      <w:tabs>
        <w:tab w:val="center" w:pos="4513"/>
        <w:tab w:val="right" w:pos="9026"/>
      </w:tabs>
    </w:pPr>
  </w:style>
  <w:style w:type="character" w:customStyle="1" w:styleId="FooterChar">
    <w:name w:val="Footer Char"/>
    <w:basedOn w:val="DefaultParagraphFont"/>
    <w:link w:val="Footer"/>
    <w:uiPriority w:val="99"/>
    <w:rsid w:val="004A11C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A11CA"/>
    <w:pPr>
      <w:ind w:left="720"/>
    </w:pPr>
  </w:style>
  <w:style w:type="paragraph" w:styleId="BalloonText">
    <w:name w:val="Balloon Text"/>
    <w:basedOn w:val="Normal"/>
    <w:link w:val="BalloonTextChar"/>
    <w:rsid w:val="004A11CA"/>
    <w:rPr>
      <w:rFonts w:ascii="Tahoma" w:hAnsi="Tahoma" w:cs="Tahoma"/>
      <w:sz w:val="16"/>
      <w:szCs w:val="16"/>
    </w:rPr>
  </w:style>
  <w:style w:type="character" w:customStyle="1" w:styleId="BalloonTextChar">
    <w:name w:val="Balloon Text Char"/>
    <w:basedOn w:val="DefaultParagraphFont"/>
    <w:link w:val="BalloonText"/>
    <w:rsid w:val="004A11CA"/>
    <w:rPr>
      <w:rFonts w:ascii="Tahoma" w:eastAsia="Times New Roman" w:hAnsi="Tahoma" w:cs="Tahoma"/>
      <w:sz w:val="16"/>
      <w:szCs w:val="16"/>
      <w:lang w:val="en-US"/>
    </w:rPr>
  </w:style>
  <w:style w:type="character" w:styleId="Hyperlink">
    <w:name w:val="Hyperlink"/>
    <w:basedOn w:val="DefaultParagraphFont"/>
    <w:rsid w:val="004A11CA"/>
    <w:rPr>
      <w:color w:val="0563C1" w:themeColor="hyperlink"/>
      <w:u w:val="single"/>
    </w:rPr>
  </w:style>
  <w:style w:type="character" w:styleId="FollowedHyperlink">
    <w:name w:val="FollowedHyperlink"/>
    <w:basedOn w:val="DefaultParagraphFont"/>
    <w:semiHidden/>
    <w:unhideWhenUsed/>
    <w:rsid w:val="004A11CA"/>
    <w:rPr>
      <w:color w:val="954F72" w:themeColor="followedHyperlink"/>
      <w:u w:val="single"/>
    </w:rPr>
  </w:style>
  <w:style w:type="paragraph" w:customStyle="1" w:styleId="Default">
    <w:name w:val="Default"/>
    <w:rsid w:val="004A11CA"/>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NormalWeb">
    <w:name w:val="Normal (Web)"/>
    <w:basedOn w:val="Normal"/>
    <w:semiHidden/>
    <w:unhideWhenUsed/>
    <w:rsid w:val="004A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Susan (RNU) Oxford Health</dc:creator>
  <cp:keywords/>
  <dc:description/>
  <cp:lastModifiedBy>Gill Nicola (RNU) Oxford Health</cp:lastModifiedBy>
  <cp:revision>119</cp:revision>
  <dcterms:created xsi:type="dcterms:W3CDTF">2021-11-27T15:48:00Z</dcterms:created>
  <dcterms:modified xsi:type="dcterms:W3CDTF">2022-05-24T06:41:00Z</dcterms:modified>
</cp:coreProperties>
</file>