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40D4" w14:textId="77777777" w:rsidR="005D3499" w:rsidRPr="004D0692" w:rsidRDefault="001058A7" w:rsidP="004D0692">
      <w:pPr>
        <w:ind w:right="-900"/>
        <w:jc w:val="right"/>
        <w:rPr>
          <w:rFonts w:ascii="Segoe UI" w:hAnsi="Segoe UI" w:cs="Segoe UI"/>
          <w:lang w:val="en-GB"/>
        </w:rPr>
      </w:pPr>
      <w:r w:rsidRPr="00913639">
        <w:rPr>
          <w:noProof/>
          <w:lang w:val="en-GB" w:eastAsia="en-GB"/>
        </w:rPr>
        <w:drawing>
          <wp:inline distT="0" distB="0" distL="0" distR="0" wp14:anchorId="6420959E" wp14:editId="5118B726">
            <wp:extent cx="194310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1947" b="22368"/>
                    <a:stretch/>
                  </pic:blipFill>
                  <pic:spPr bwMode="auto">
                    <a:xfrm>
                      <a:off x="0" y="0"/>
                      <a:ext cx="19431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DD6EA" w14:textId="77777777" w:rsidR="005E2583" w:rsidRPr="00FA3993" w:rsidRDefault="005D3499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FA3993">
        <w:rPr>
          <w:rFonts w:ascii="Segoe UI" w:hAnsi="Segoe UI" w:cs="Segoe UI"/>
          <w:sz w:val="28"/>
          <w:u w:val="none"/>
        </w:rPr>
        <w:t xml:space="preserve">Report to the Meeting </w:t>
      </w:r>
      <w:r w:rsidR="00B50D5E" w:rsidRPr="00FA3993">
        <w:rPr>
          <w:rFonts w:ascii="Segoe UI" w:hAnsi="Segoe UI" w:cs="Segoe UI"/>
          <w:sz w:val="28"/>
          <w:u w:val="none"/>
        </w:rPr>
        <w:t xml:space="preserve">of the </w:t>
      </w:r>
    </w:p>
    <w:p w14:paraId="3A2A96F1" w14:textId="23B0B2EE" w:rsidR="002821F8" w:rsidRPr="00FA3993" w:rsidRDefault="00B50D5E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FA3993">
        <w:rPr>
          <w:rFonts w:ascii="Segoe UI" w:hAnsi="Segoe UI" w:cs="Segoe UI"/>
          <w:sz w:val="28"/>
          <w:u w:val="none"/>
        </w:rPr>
        <w:t xml:space="preserve">Oxford Health NHS </w:t>
      </w:r>
      <w:r w:rsidR="002821F8" w:rsidRPr="00FA3993">
        <w:rPr>
          <w:rFonts w:ascii="Segoe UI" w:hAnsi="Segoe UI" w:cs="Segoe UI"/>
          <w:sz w:val="28"/>
          <w:u w:val="none"/>
        </w:rPr>
        <w:t xml:space="preserve">Foundation Trust </w:t>
      </w:r>
    </w:p>
    <w:p w14:paraId="0EED5D6B" w14:textId="4CCD25C2" w:rsidR="00FA3993" w:rsidRDefault="005532CB">
      <w:pPr>
        <w:pStyle w:val="Heading1"/>
        <w:jc w:val="center"/>
        <w:rPr>
          <w:rFonts w:ascii="Segoe UI" w:hAnsi="Segoe UI" w:cs="Segoe UI"/>
          <w:sz w:val="28"/>
          <w:u w:val="none"/>
        </w:rPr>
      </w:pPr>
      <w:r>
        <w:rPr>
          <w:rFonts w:ascii="Segoe UI" w:hAnsi="Segoe UI" w:cs="Sego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70419" wp14:editId="7A33A9A8">
                <wp:simplePos x="0" y="0"/>
                <wp:positionH relativeFrom="column">
                  <wp:posOffset>4838491</wp:posOffset>
                </wp:positionH>
                <wp:positionV relativeFrom="paragraph">
                  <wp:posOffset>32167</wp:posOffset>
                </wp:positionV>
                <wp:extent cx="1371600" cy="571500"/>
                <wp:effectExtent l="8255" t="10795" r="10795" b="825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BE13" w14:textId="3A18CE9F" w:rsidR="00781566" w:rsidRDefault="00FA3993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 xml:space="preserve">BOD </w:t>
                            </w:r>
                            <w:r w:rsidR="005532CB">
                              <w:rPr>
                                <w:rFonts w:ascii="Segoe UI" w:hAnsi="Segoe UI" w:cs="Segoe UI"/>
                                <w:b/>
                              </w:rPr>
                              <w:t>45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/20</w:t>
                            </w:r>
                            <w:r w:rsidR="0097530A">
                              <w:rPr>
                                <w:rFonts w:ascii="Segoe UI" w:hAnsi="Segoe UI" w:cs="Segoe UI"/>
                                <w:b/>
                              </w:rPr>
                              <w:t>2</w:t>
                            </w:r>
                            <w:r w:rsidR="005532CB">
                              <w:rPr>
                                <w:rFonts w:ascii="Segoe UI" w:hAnsi="Segoe UI" w:cs="Segoe UI"/>
                                <w:b/>
                              </w:rPr>
                              <w:t>2</w:t>
                            </w:r>
                          </w:p>
                          <w:p w14:paraId="6C95D97C" w14:textId="04FA278F" w:rsidR="00FA3993" w:rsidRPr="00FA3993" w:rsidRDefault="00FA3993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(Agenda item: </w:t>
                            </w:r>
                            <w:r w:rsidR="005532CB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70419" id="Rectangle 10" o:spid="_x0000_s1026" style="position:absolute;left:0;text-align:left;margin-left:381pt;margin-top:2.55pt;width:10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Gc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">
                <v:textbox inset="0,0,0,0">
                  <w:txbxContent>
                    <w:p w14:paraId="7E71BE13" w14:textId="3A18CE9F" w:rsidR="00781566" w:rsidRDefault="00FA3993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 xml:space="preserve">BOD </w:t>
                      </w:r>
                      <w:r w:rsidR="005532CB">
                        <w:rPr>
                          <w:rFonts w:ascii="Segoe UI" w:hAnsi="Segoe UI" w:cs="Segoe UI"/>
                          <w:b/>
                        </w:rPr>
                        <w:t>45</w:t>
                      </w:r>
                      <w:r>
                        <w:rPr>
                          <w:rFonts w:ascii="Segoe UI" w:hAnsi="Segoe UI" w:cs="Segoe UI"/>
                          <w:b/>
                        </w:rPr>
                        <w:t>/20</w:t>
                      </w:r>
                      <w:r w:rsidR="0097530A">
                        <w:rPr>
                          <w:rFonts w:ascii="Segoe UI" w:hAnsi="Segoe UI" w:cs="Segoe UI"/>
                          <w:b/>
                        </w:rPr>
                        <w:t>2</w:t>
                      </w:r>
                      <w:r w:rsidR="005532CB">
                        <w:rPr>
                          <w:rFonts w:ascii="Segoe UI" w:hAnsi="Segoe UI" w:cs="Segoe UI"/>
                          <w:b/>
                        </w:rPr>
                        <w:t>2</w:t>
                      </w:r>
                    </w:p>
                    <w:p w14:paraId="6C95D97C" w14:textId="04FA278F" w:rsidR="00FA3993" w:rsidRPr="00FA3993" w:rsidRDefault="00FA3993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(Agenda item: </w:t>
                      </w:r>
                      <w:r w:rsidR="005532CB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3257862" w14:textId="77777777" w:rsidR="005D3499" w:rsidRPr="00FA3993" w:rsidRDefault="005D3499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FA3993">
        <w:rPr>
          <w:rFonts w:ascii="Segoe UI" w:hAnsi="Segoe UI" w:cs="Segoe UI"/>
          <w:sz w:val="28"/>
          <w:u w:val="none"/>
        </w:rPr>
        <w:t>Board</w:t>
      </w:r>
      <w:r w:rsidR="002821F8" w:rsidRPr="00FA3993">
        <w:rPr>
          <w:rFonts w:ascii="Segoe UI" w:hAnsi="Segoe UI" w:cs="Segoe UI"/>
          <w:sz w:val="28"/>
          <w:u w:val="none"/>
        </w:rPr>
        <w:t xml:space="preserve"> of Directors</w:t>
      </w:r>
    </w:p>
    <w:p w14:paraId="0F882F61" w14:textId="77777777" w:rsidR="005D3499" w:rsidRPr="00FA3993" w:rsidRDefault="005D3499" w:rsidP="00A85311">
      <w:pPr>
        <w:rPr>
          <w:rFonts w:ascii="Segoe UI" w:hAnsi="Segoe UI" w:cs="Segoe UI"/>
          <w:b/>
        </w:rPr>
      </w:pPr>
    </w:p>
    <w:p w14:paraId="768E65AA" w14:textId="6114A668" w:rsidR="005D3499" w:rsidRPr="00FA3993" w:rsidRDefault="007D04AE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20 July</w:t>
      </w:r>
      <w:r w:rsidR="005C4203">
        <w:rPr>
          <w:rFonts w:ascii="Segoe UI" w:hAnsi="Segoe UI" w:cs="Segoe UI"/>
          <w:b/>
        </w:rPr>
        <w:t xml:space="preserve"> 2022</w:t>
      </w:r>
    </w:p>
    <w:p w14:paraId="4FDF2B42" w14:textId="77777777" w:rsidR="005D3499" w:rsidRPr="00FA3993" w:rsidRDefault="005D3499">
      <w:pPr>
        <w:jc w:val="center"/>
        <w:rPr>
          <w:rFonts w:ascii="Segoe UI" w:hAnsi="Segoe UI" w:cs="Segoe UI"/>
          <w:b/>
        </w:rPr>
      </w:pPr>
    </w:p>
    <w:p w14:paraId="3F8B7099" w14:textId="743C8DF3" w:rsidR="005D3499" w:rsidRPr="00FA3993" w:rsidRDefault="00D90129" w:rsidP="00FD2279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Integrated Performance Report (IPR)</w:t>
      </w:r>
      <w:r w:rsidR="001A47DC">
        <w:rPr>
          <w:rFonts w:ascii="Segoe UI" w:hAnsi="Segoe UI" w:cs="Segoe UI"/>
          <w:b/>
        </w:rPr>
        <w:t xml:space="preserve"> and IPR Supporting Report</w:t>
      </w:r>
    </w:p>
    <w:p w14:paraId="636B6D74" w14:textId="77777777" w:rsidR="005D3499" w:rsidRPr="00FA3993" w:rsidRDefault="005D3499">
      <w:pPr>
        <w:rPr>
          <w:rFonts w:ascii="Segoe UI" w:hAnsi="Segoe UI" w:cs="Segoe UI"/>
          <w:b/>
        </w:rPr>
      </w:pPr>
    </w:p>
    <w:p w14:paraId="2B52ED1C" w14:textId="04F91391" w:rsidR="00241A66" w:rsidRDefault="00292613" w:rsidP="00241A66">
      <w:pPr>
        <w:jc w:val="center"/>
        <w:rPr>
          <w:rFonts w:ascii="Segoe UI" w:hAnsi="Segoe UI" w:cs="Segoe UI"/>
        </w:rPr>
      </w:pPr>
      <w:r w:rsidRPr="00FA3993">
        <w:rPr>
          <w:rFonts w:ascii="Segoe UI" w:hAnsi="Segoe UI" w:cs="Segoe UI"/>
          <w:b/>
          <w:u w:val="single"/>
        </w:rPr>
        <w:t xml:space="preserve">For: </w:t>
      </w:r>
      <w:r w:rsidR="00D90129">
        <w:rPr>
          <w:rFonts w:ascii="Segoe UI" w:hAnsi="Segoe UI" w:cs="Segoe UI"/>
          <w:b/>
          <w:u w:val="single"/>
        </w:rPr>
        <w:t>Information &amp; Assurance</w:t>
      </w:r>
    </w:p>
    <w:p w14:paraId="03F145BF" w14:textId="77777777" w:rsidR="00292613" w:rsidRPr="00FA3993" w:rsidRDefault="00292613">
      <w:pPr>
        <w:rPr>
          <w:rFonts w:ascii="Segoe UI" w:hAnsi="Segoe UI" w:cs="Segoe UI"/>
          <w:b/>
        </w:rPr>
      </w:pPr>
    </w:p>
    <w:p w14:paraId="5A0D5DCB" w14:textId="77777777" w:rsidR="007A2CF0" w:rsidRPr="00101A8F" w:rsidRDefault="007A2CF0" w:rsidP="007A2CF0">
      <w:pPr>
        <w:jc w:val="both"/>
        <w:rPr>
          <w:rFonts w:ascii="Segoe UI" w:hAnsi="Segoe UI" w:cs="Segoe UI"/>
        </w:rPr>
      </w:pPr>
      <w:r w:rsidRPr="00FA3993">
        <w:rPr>
          <w:rFonts w:ascii="Segoe UI" w:hAnsi="Segoe UI" w:cs="Segoe UI"/>
          <w:b/>
        </w:rPr>
        <w:t>Executive Summary</w:t>
      </w:r>
      <w:r w:rsidR="00101A8F">
        <w:rPr>
          <w:rFonts w:ascii="Segoe UI" w:hAnsi="Segoe UI" w:cs="Segoe UI"/>
          <w:b/>
        </w:rPr>
        <w:t xml:space="preserve"> </w:t>
      </w:r>
    </w:p>
    <w:p w14:paraId="0EA2FDC5" w14:textId="78F0EEE9" w:rsidR="00D90129" w:rsidRDefault="00D90129" w:rsidP="00D90129">
      <w:pPr>
        <w:jc w:val="both"/>
        <w:rPr>
          <w:rFonts w:ascii="Segoe UI" w:hAnsi="Segoe UI" w:cs="Segoe UI"/>
          <w:iCs/>
        </w:rPr>
      </w:pPr>
    </w:p>
    <w:p w14:paraId="0C09A630" w14:textId="289739D1" w:rsidR="0015530E" w:rsidRDefault="0015530E" w:rsidP="00D901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Integrated Performance Report (IPR) </w:t>
      </w:r>
      <w:r w:rsidR="001A47DC">
        <w:rPr>
          <w:rFonts w:ascii="Arial" w:hAnsi="Arial" w:cs="Arial"/>
        </w:rPr>
        <w:t xml:space="preserve">report </w:t>
      </w:r>
      <w:r w:rsidR="00B10BF3">
        <w:rPr>
          <w:rFonts w:ascii="Arial" w:hAnsi="Arial" w:cs="Arial"/>
        </w:rPr>
        <w:t>provides</w:t>
      </w:r>
      <w:r>
        <w:rPr>
          <w:rFonts w:ascii="Arial" w:hAnsi="Arial" w:cs="Arial"/>
        </w:rPr>
        <w:t xml:space="preserve"> the Board of Directors with a </w:t>
      </w:r>
      <w:r w:rsidR="004E5389">
        <w:rPr>
          <w:rFonts w:ascii="Arial" w:hAnsi="Arial" w:cs="Arial"/>
        </w:rPr>
        <w:t>Trust wide view of the</w:t>
      </w:r>
      <w:r w:rsidR="006F269A">
        <w:rPr>
          <w:rFonts w:ascii="Arial" w:hAnsi="Arial" w:cs="Arial"/>
        </w:rPr>
        <w:t xml:space="preserve"> strategic</w:t>
      </w:r>
      <w:r w:rsidR="004E5389">
        <w:rPr>
          <w:rFonts w:ascii="Arial" w:hAnsi="Arial" w:cs="Arial"/>
        </w:rPr>
        <w:t xml:space="preserve"> domains of Operational Performance, Quality</w:t>
      </w:r>
      <w:r w:rsidR="00C81390">
        <w:rPr>
          <w:rFonts w:ascii="Arial" w:hAnsi="Arial" w:cs="Arial"/>
        </w:rPr>
        <w:t>, People, Finance and Research</w:t>
      </w:r>
      <w:r w:rsidR="00A663C9">
        <w:rPr>
          <w:rFonts w:ascii="Arial" w:hAnsi="Arial" w:cs="Arial"/>
        </w:rPr>
        <w:t xml:space="preserve"> &amp; Education</w:t>
      </w:r>
      <w:r w:rsidR="00C628E2">
        <w:rPr>
          <w:rFonts w:ascii="Arial" w:hAnsi="Arial" w:cs="Arial"/>
        </w:rPr>
        <w:t xml:space="preserve"> in a ‘joined up’ way</w:t>
      </w:r>
      <w:r w:rsidR="00C81390">
        <w:rPr>
          <w:rFonts w:ascii="Arial" w:hAnsi="Arial" w:cs="Arial"/>
        </w:rPr>
        <w:t xml:space="preserve">.  </w:t>
      </w:r>
    </w:p>
    <w:p w14:paraId="10EE4E54" w14:textId="213FB0ED" w:rsidR="00030459" w:rsidRDefault="00030459" w:rsidP="00D90129">
      <w:pPr>
        <w:rPr>
          <w:rFonts w:ascii="Arial" w:hAnsi="Arial" w:cs="Arial"/>
        </w:rPr>
      </w:pPr>
    </w:p>
    <w:p w14:paraId="237347B8" w14:textId="179AF2AA" w:rsidR="00030459" w:rsidRDefault="00030459" w:rsidP="008C38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IPR supporting report </w:t>
      </w:r>
      <w:r w:rsidR="00C62DBE">
        <w:rPr>
          <w:rFonts w:ascii="Arial" w:hAnsi="Arial" w:cs="Arial"/>
        </w:rPr>
        <w:t>provides</w:t>
      </w:r>
      <w:r w:rsidR="00F22116">
        <w:rPr>
          <w:rFonts w:ascii="Arial" w:hAnsi="Arial" w:cs="Arial"/>
        </w:rPr>
        <w:t xml:space="preserve"> further,</w:t>
      </w:r>
      <w:r w:rsidR="00C62DBE">
        <w:rPr>
          <w:rFonts w:ascii="Arial" w:hAnsi="Arial" w:cs="Arial"/>
        </w:rPr>
        <w:t xml:space="preserve"> more detailed</w:t>
      </w:r>
      <w:r w:rsidR="00F22116">
        <w:rPr>
          <w:rFonts w:ascii="Arial" w:hAnsi="Arial" w:cs="Arial"/>
        </w:rPr>
        <w:t>,</w:t>
      </w:r>
      <w:r w:rsidR="00C62DBE">
        <w:rPr>
          <w:rFonts w:ascii="Arial" w:hAnsi="Arial" w:cs="Arial"/>
        </w:rPr>
        <w:t xml:space="preserve"> </w:t>
      </w:r>
      <w:r w:rsidR="00F22116">
        <w:rPr>
          <w:rFonts w:ascii="Arial" w:hAnsi="Arial" w:cs="Arial"/>
        </w:rPr>
        <w:t>information and assurance</w:t>
      </w:r>
      <w:r w:rsidR="00C62DBE">
        <w:rPr>
          <w:rFonts w:ascii="Arial" w:hAnsi="Arial" w:cs="Arial"/>
        </w:rPr>
        <w:t xml:space="preserve"> in relation to </w:t>
      </w:r>
      <w:r w:rsidR="008C389C" w:rsidRPr="008C389C">
        <w:rPr>
          <w:rFonts w:ascii="Arial" w:hAnsi="Arial" w:cs="Arial"/>
        </w:rPr>
        <w:t>COVID-19</w:t>
      </w:r>
      <w:r w:rsidR="008C389C">
        <w:rPr>
          <w:rFonts w:ascii="Arial" w:hAnsi="Arial" w:cs="Arial"/>
        </w:rPr>
        <w:t>, p</w:t>
      </w:r>
      <w:r w:rsidR="008C389C" w:rsidRPr="008C389C">
        <w:rPr>
          <w:rFonts w:ascii="Arial" w:hAnsi="Arial" w:cs="Arial"/>
        </w:rPr>
        <w:t xml:space="preserve">atient </w:t>
      </w:r>
      <w:r w:rsidR="008C389C">
        <w:rPr>
          <w:rFonts w:ascii="Arial" w:hAnsi="Arial" w:cs="Arial"/>
        </w:rPr>
        <w:t>a</w:t>
      </w:r>
      <w:r w:rsidR="008C389C" w:rsidRPr="008C389C">
        <w:rPr>
          <w:rFonts w:ascii="Arial" w:hAnsi="Arial" w:cs="Arial"/>
        </w:rPr>
        <w:t xml:space="preserve">ctivity and </w:t>
      </w:r>
      <w:r w:rsidR="008C389C">
        <w:rPr>
          <w:rFonts w:ascii="Arial" w:hAnsi="Arial" w:cs="Arial"/>
        </w:rPr>
        <w:t>d</w:t>
      </w:r>
      <w:r w:rsidR="008C389C" w:rsidRPr="008C389C">
        <w:rPr>
          <w:rFonts w:ascii="Arial" w:hAnsi="Arial" w:cs="Arial"/>
        </w:rPr>
        <w:t>emand</w:t>
      </w:r>
      <w:r w:rsidR="008C389C">
        <w:rPr>
          <w:rFonts w:ascii="Arial" w:hAnsi="Arial" w:cs="Arial"/>
        </w:rPr>
        <w:t xml:space="preserve">, </w:t>
      </w:r>
      <w:r w:rsidR="00F22116">
        <w:rPr>
          <w:rFonts w:ascii="Arial" w:hAnsi="Arial" w:cs="Arial"/>
        </w:rPr>
        <w:t>patients waits and c</w:t>
      </w:r>
      <w:r w:rsidR="008C389C" w:rsidRPr="008C389C">
        <w:rPr>
          <w:rFonts w:ascii="Arial" w:hAnsi="Arial" w:cs="Arial"/>
        </w:rPr>
        <w:t>ontractual KPI Performance </w:t>
      </w:r>
    </w:p>
    <w:p w14:paraId="63499607" w14:textId="190D66DB" w:rsidR="002F68D2" w:rsidRDefault="002F68D2" w:rsidP="00D90129">
      <w:pPr>
        <w:rPr>
          <w:rFonts w:ascii="Arial" w:hAnsi="Arial" w:cs="Arial"/>
        </w:rPr>
      </w:pPr>
    </w:p>
    <w:p w14:paraId="56F3CCE1" w14:textId="6CF346C2" w:rsidR="00EB5C3A" w:rsidRPr="00FF5475" w:rsidRDefault="007535CA" w:rsidP="00D90129">
      <w:pPr>
        <w:rPr>
          <w:rFonts w:ascii="Arial" w:hAnsi="Arial" w:cs="Arial"/>
          <w:b/>
          <w:bCs/>
          <w:u w:val="single"/>
        </w:rPr>
      </w:pPr>
      <w:r w:rsidRPr="00FF5475">
        <w:rPr>
          <w:rFonts w:ascii="Arial" w:hAnsi="Arial" w:cs="Arial"/>
          <w:b/>
          <w:bCs/>
          <w:u w:val="single"/>
        </w:rPr>
        <w:t xml:space="preserve">IPR </w:t>
      </w:r>
      <w:r w:rsidR="00896E0E" w:rsidRPr="00FF5475">
        <w:rPr>
          <w:rFonts w:ascii="Arial" w:hAnsi="Arial" w:cs="Arial"/>
          <w:b/>
          <w:bCs/>
          <w:u w:val="single"/>
        </w:rPr>
        <w:t xml:space="preserve">- </w:t>
      </w:r>
      <w:r w:rsidR="00EB5C3A" w:rsidRPr="00FF5475">
        <w:rPr>
          <w:rFonts w:ascii="Arial" w:hAnsi="Arial" w:cs="Arial"/>
          <w:b/>
          <w:bCs/>
          <w:u w:val="single"/>
        </w:rPr>
        <w:t>Performance Summary</w:t>
      </w:r>
    </w:p>
    <w:p w14:paraId="409B7A8F" w14:textId="1F4E28AA" w:rsidR="001933A1" w:rsidRPr="00372D77" w:rsidRDefault="001933A1" w:rsidP="00D90129">
      <w:pPr>
        <w:rPr>
          <w:rFonts w:ascii="Arial" w:hAnsi="Arial" w:cs="Arial"/>
          <w:b/>
          <w:bCs/>
        </w:rPr>
      </w:pPr>
    </w:p>
    <w:p w14:paraId="147AC87E" w14:textId="1F8831E5" w:rsidR="001933A1" w:rsidRPr="00372D77" w:rsidRDefault="00632969" w:rsidP="00D90129">
      <w:pPr>
        <w:rPr>
          <w:rFonts w:ascii="Arial" w:hAnsi="Arial" w:cs="Arial"/>
          <w:b/>
          <w:bCs/>
        </w:rPr>
      </w:pPr>
      <w:r w:rsidRPr="00372D77">
        <w:rPr>
          <w:rFonts w:ascii="Arial" w:hAnsi="Arial" w:cs="Arial"/>
          <w:b/>
          <w:bCs/>
        </w:rPr>
        <w:t>Delivery o</w:t>
      </w:r>
      <w:r w:rsidR="001933A1" w:rsidRPr="00372D77">
        <w:rPr>
          <w:rFonts w:ascii="Arial" w:hAnsi="Arial" w:cs="Arial"/>
          <w:b/>
          <w:bCs/>
        </w:rPr>
        <w:t xml:space="preserve">f the </w:t>
      </w:r>
      <w:r w:rsidR="00923166">
        <w:rPr>
          <w:rFonts w:ascii="Arial" w:hAnsi="Arial" w:cs="Arial"/>
          <w:b/>
          <w:bCs/>
        </w:rPr>
        <w:t>NHS</w:t>
      </w:r>
      <w:r w:rsidR="001933A1" w:rsidRPr="00372D77">
        <w:rPr>
          <w:rFonts w:ascii="Arial" w:hAnsi="Arial" w:cs="Arial"/>
          <w:b/>
          <w:bCs/>
        </w:rPr>
        <w:t xml:space="preserve"> National Oversight Framework</w:t>
      </w:r>
    </w:p>
    <w:p w14:paraId="367FCFDC" w14:textId="6056061C" w:rsidR="001933A1" w:rsidRPr="00372D77" w:rsidRDefault="001933A1" w:rsidP="00D90129">
      <w:pPr>
        <w:rPr>
          <w:rFonts w:ascii="Arial" w:hAnsi="Arial" w:cs="Arial"/>
          <w:b/>
          <w:bCs/>
        </w:rPr>
      </w:pPr>
    </w:p>
    <w:p w14:paraId="28F88C23" w14:textId="77777777" w:rsidR="002157CF" w:rsidRDefault="001933A1" w:rsidP="00D90129">
      <w:pPr>
        <w:rPr>
          <w:rFonts w:ascii="Arial" w:hAnsi="Arial" w:cs="Arial"/>
        </w:rPr>
      </w:pPr>
      <w:r w:rsidRPr="00372D77">
        <w:rPr>
          <w:rFonts w:ascii="Arial" w:hAnsi="Arial" w:cs="Arial"/>
        </w:rPr>
        <w:t xml:space="preserve">The Trust </w:t>
      </w:r>
      <w:r w:rsidR="0063336D" w:rsidRPr="00372D77">
        <w:rPr>
          <w:rFonts w:ascii="Arial" w:hAnsi="Arial" w:cs="Arial"/>
        </w:rPr>
        <w:t xml:space="preserve">is performing well against </w:t>
      </w:r>
      <w:r w:rsidR="00086151">
        <w:rPr>
          <w:rFonts w:ascii="Arial" w:hAnsi="Arial" w:cs="Arial"/>
        </w:rPr>
        <w:t>the</w:t>
      </w:r>
      <w:r w:rsidR="0063336D" w:rsidRPr="00372D77">
        <w:rPr>
          <w:rFonts w:ascii="Arial" w:hAnsi="Arial" w:cs="Arial"/>
        </w:rPr>
        <w:t xml:space="preserve"> </w:t>
      </w:r>
      <w:r w:rsidR="00AE7742" w:rsidRPr="00372D77">
        <w:rPr>
          <w:rFonts w:ascii="Arial" w:hAnsi="Arial" w:cs="Arial"/>
        </w:rPr>
        <w:t xml:space="preserve">targeted metrics with the exception </w:t>
      </w:r>
      <w:proofErr w:type="gramStart"/>
      <w:r w:rsidR="00AE7742" w:rsidRPr="00372D77">
        <w:rPr>
          <w:rFonts w:ascii="Arial" w:hAnsi="Arial" w:cs="Arial"/>
        </w:rPr>
        <w:t>of</w:t>
      </w:r>
      <w:r w:rsidR="002157CF">
        <w:rPr>
          <w:rFonts w:ascii="Arial" w:hAnsi="Arial" w:cs="Arial"/>
        </w:rPr>
        <w:t>;</w:t>
      </w:r>
      <w:proofErr w:type="gramEnd"/>
    </w:p>
    <w:p w14:paraId="3DE3A77A" w14:textId="77777777" w:rsidR="002157CF" w:rsidRDefault="002157CF" w:rsidP="00D90129">
      <w:pPr>
        <w:rPr>
          <w:rFonts w:ascii="Arial" w:hAnsi="Arial" w:cs="Arial"/>
        </w:rPr>
      </w:pPr>
    </w:p>
    <w:p w14:paraId="4C1FFEDB" w14:textId="77777777" w:rsidR="002157CF" w:rsidRPr="002157CF" w:rsidRDefault="006A5736" w:rsidP="002157CF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2157CF">
        <w:rPr>
          <w:rFonts w:ascii="Arial" w:hAnsi="Arial" w:cs="Arial"/>
        </w:rPr>
        <w:t>Inappropriate OAP</w:t>
      </w:r>
      <w:r w:rsidR="00447DDF" w:rsidRPr="002157CF">
        <w:rPr>
          <w:rFonts w:ascii="Arial" w:hAnsi="Arial" w:cs="Arial"/>
        </w:rPr>
        <w:t>s</w:t>
      </w:r>
      <w:r w:rsidRPr="002157CF">
        <w:rPr>
          <w:rFonts w:ascii="Arial" w:hAnsi="Arial" w:cs="Arial"/>
        </w:rPr>
        <w:t xml:space="preserve"> bed days use</w:t>
      </w:r>
      <w:r w:rsidR="002157CF" w:rsidRPr="002157CF">
        <w:rPr>
          <w:rFonts w:ascii="Arial" w:hAnsi="Arial" w:cs="Arial"/>
        </w:rPr>
        <w:t>d</w:t>
      </w:r>
    </w:p>
    <w:p w14:paraId="05240B76" w14:textId="77777777" w:rsidR="002157CF" w:rsidRPr="002157CF" w:rsidRDefault="006A19D0" w:rsidP="002157CF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2157CF">
        <w:rPr>
          <w:rFonts w:ascii="Arial" w:hAnsi="Arial" w:cs="Arial"/>
        </w:rPr>
        <w:t>Minor Injury Units (MIU)</w:t>
      </w:r>
      <w:r w:rsidR="00086151" w:rsidRPr="002157CF">
        <w:rPr>
          <w:rFonts w:ascii="Arial" w:hAnsi="Arial" w:cs="Arial"/>
        </w:rPr>
        <w:t xml:space="preserve"> </w:t>
      </w:r>
      <w:proofErr w:type="gramStart"/>
      <w:r w:rsidR="00086151" w:rsidRPr="002157CF">
        <w:rPr>
          <w:rFonts w:ascii="Arial" w:hAnsi="Arial" w:cs="Arial"/>
        </w:rPr>
        <w:t>4 hour</w:t>
      </w:r>
      <w:proofErr w:type="gramEnd"/>
      <w:r w:rsidR="00086151" w:rsidRPr="002157CF">
        <w:rPr>
          <w:rFonts w:ascii="Arial" w:hAnsi="Arial" w:cs="Arial"/>
        </w:rPr>
        <w:t xml:space="preserve"> performance and</w:t>
      </w:r>
    </w:p>
    <w:p w14:paraId="2F7A50B8" w14:textId="527CFA3E" w:rsidR="006A19D0" w:rsidRPr="002157CF" w:rsidRDefault="007B4BCE" w:rsidP="002157CF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2157CF">
        <w:rPr>
          <w:rFonts w:ascii="Arial" w:hAnsi="Arial" w:cs="Arial"/>
        </w:rPr>
        <w:t>IAPT; the percentage of people completing a course of IAPT treatment moving to recovery</w:t>
      </w:r>
    </w:p>
    <w:p w14:paraId="3DAF0EF8" w14:textId="77777777" w:rsidR="006A19D0" w:rsidRDefault="006A19D0" w:rsidP="00D90129">
      <w:pPr>
        <w:rPr>
          <w:rFonts w:ascii="Arial" w:hAnsi="Arial" w:cs="Arial"/>
          <w:b/>
          <w:bCs/>
        </w:rPr>
      </w:pPr>
    </w:p>
    <w:p w14:paraId="3D716FF3" w14:textId="2FB09943" w:rsidR="00654884" w:rsidRPr="00447DDF" w:rsidRDefault="00654884" w:rsidP="00D90129">
      <w:pPr>
        <w:rPr>
          <w:rFonts w:ascii="Arial" w:hAnsi="Arial" w:cs="Arial"/>
          <w:u w:val="single"/>
        </w:rPr>
      </w:pPr>
      <w:r w:rsidRPr="00447DDF">
        <w:rPr>
          <w:rFonts w:ascii="Arial" w:hAnsi="Arial" w:cs="Arial"/>
          <w:u w:val="single"/>
        </w:rPr>
        <w:t>Inappropriate OAPs</w:t>
      </w:r>
      <w:r w:rsidR="00447DDF" w:rsidRPr="00447DDF">
        <w:rPr>
          <w:rFonts w:ascii="Arial" w:hAnsi="Arial" w:cs="Arial"/>
          <w:u w:val="single"/>
        </w:rPr>
        <w:t xml:space="preserve"> bed days used</w:t>
      </w:r>
    </w:p>
    <w:p w14:paraId="24F4761C" w14:textId="77777777" w:rsidR="00447DDF" w:rsidRDefault="00447DDF" w:rsidP="00D90129">
      <w:pPr>
        <w:rPr>
          <w:rFonts w:ascii="Arial" w:hAnsi="Arial" w:cs="Arial"/>
        </w:rPr>
      </w:pPr>
    </w:p>
    <w:p w14:paraId="79817E47" w14:textId="3081E405" w:rsidR="00227A3F" w:rsidRDefault="00CE1D0A" w:rsidP="00D90129">
      <w:pPr>
        <w:rPr>
          <w:rFonts w:ascii="Arial" w:hAnsi="Arial" w:cs="Arial"/>
        </w:rPr>
      </w:pPr>
      <w:r w:rsidRPr="00372D77">
        <w:rPr>
          <w:rFonts w:ascii="Arial" w:hAnsi="Arial" w:cs="Arial"/>
        </w:rPr>
        <w:t xml:space="preserve">The Trust </w:t>
      </w:r>
      <w:r w:rsidR="00AF49EF">
        <w:rPr>
          <w:rFonts w:ascii="Arial" w:hAnsi="Arial" w:cs="Arial"/>
        </w:rPr>
        <w:t>used</w:t>
      </w:r>
      <w:r w:rsidR="00A44118">
        <w:rPr>
          <w:rFonts w:ascii="Arial" w:hAnsi="Arial" w:cs="Arial"/>
        </w:rPr>
        <w:t xml:space="preserve"> </w:t>
      </w:r>
      <w:r w:rsidR="00227A3F">
        <w:rPr>
          <w:rFonts w:ascii="Arial" w:hAnsi="Arial" w:cs="Arial"/>
          <w:b/>
          <w:bCs/>
        </w:rPr>
        <w:t xml:space="preserve">199 OAP bed days in May; </w:t>
      </w:r>
      <w:r w:rsidR="00227A3F" w:rsidRPr="00227A3F">
        <w:rPr>
          <w:rFonts w:ascii="Arial" w:hAnsi="Arial" w:cs="Arial"/>
          <w:b/>
          <w:bCs/>
        </w:rPr>
        <w:t>55 in Bucks and 124 in Oxon</w:t>
      </w:r>
      <w:r w:rsidR="00561B83">
        <w:rPr>
          <w:rFonts w:ascii="Arial" w:hAnsi="Arial" w:cs="Arial"/>
          <w:b/>
          <w:bCs/>
        </w:rPr>
        <w:t xml:space="preserve"> </w:t>
      </w:r>
      <w:r w:rsidR="00561B83" w:rsidRPr="00561B83">
        <w:rPr>
          <w:rFonts w:ascii="Arial" w:hAnsi="Arial" w:cs="Arial"/>
        </w:rPr>
        <w:t>which is a slight reduction on the previous month</w:t>
      </w:r>
      <w:r w:rsidR="00227A3F" w:rsidRPr="00561B83">
        <w:rPr>
          <w:rFonts w:ascii="Arial" w:hAnsi="Arial" w:cs="Arial"/>
        </w:rPr>
        <w:t>.</w:t>
      </w:r>
      <w:r w:rsidR="00227A3F" w:rsidRPr="00227A3F">
        <w:rPr>
          <w:rFonts w:ascii="Arial" w:hAnsi="Arial" w:cs="Arial"/>
          <w:b/>
          <w:bCs/>
        </w:rPr>
        <w:t xml:space="preserve"> </w:t>
      </w:r>
      <w:r w:rsidR="00227A3F" w:rsidRPr="00227A3F">
        <w:rPr>
          <w:rFonts w:ascii="Arial" w:hAnsi="Arial" w:cs="Arial"/>
        </w:rPr>
        <w:t xml:space="preserve">In April, changes to </w:t>
      </w:r>
      <w:r w:rsidR="00227A3F">
        <w:rPr>
          <w:rFonts w:ascii="Arial" w:hAnsi="Arial" w:cs="Arial"/>
        </w:rPr>
        <w:t xml:space="preserve">Infection Prevention Control </w:t>
      </w:r>
      <w:r w:rsidR="00227A3F" w:rsidRPr="00282923">
        <w:rPr>
          <w:rFonts w:ascii="Arial" w:hAnsi="Arial" w:cs="Arial"/>
        </w:rPr>
        <w:t>(IPC) guidance</w:t>
      </w:r>
      <w:r w:rsidR="00227A3F" w:rsidRPr="00227A3F">
        <w:rPr>
          <w:rFonts w:ascii="Arial" w:hAnsi="Arial" w:cs="Arial"/>
        </w:rPr>
        <w:t xml:space="preserve"> allowed patients who have completed their 14-day period of isolation and are COVID negative to be repatriated to vacant Oxford Health beds</w:t>
      </w:r>
      <w:r w:rsidR="00227A3F">
        <w:rPr>
          <w:rFonts w:ascii="Arial" w:hAnsi="Arial" w:cs="Arial"/>
        </w:rPr>
        <w:t xml:space="preserve">; </w:t>
      </w:r>
      <w:proofErr w:type="spellStart"/>
      <w:r w:rsidR="00227A3F" w:rsidRPr="00227A3F">
        <w:rPr>
          <w:rFonts w:ascii="Arial" w:hAnsi="Arial" w:cs="Arial"/>
        </w:rPr>
        <w:t>maximising</w:t>
      </w:r>
      <w:proofErr w:type="spellEnd"/>
      <w:r w:rsidR="00227A3F" w:rsidRPr="00227A3F">
        <w:rPr>
          <w:rFonts w:ascii="Arial" w:hAnsi="Arial" w:cs="Arial"/>
        </w:rPr>
        <w:t xml:space="preserve"> bed capacity and reducing the need to purchase further OAP capacity.   The Trust has an agreed </w:t>
      </w:r>
      <w:r w:rsidR="00227A3F" w:rsidRPr="00227A3F">
        <w:rPr>
          <w:rFonts w:ascii="Arial" w:hAnsi="Arial" w:cs="Arial"/>
        </w:rPr>
        <w:lastRenderedPageBreak/>
        <w:t xml:space="preserve">trajectory to reduce the number of </w:t>
      </w:r>
      <w:proofErr w:type="gramStart"/>
      <w:r w:rsidR="00227A3F" w:rsidRPr="00227A3F">
        <w:rPr>
          <w:rFonts w:ascii="Arial" w:hAnsi="Arial" w:cs="Arial"/>
        </w:rPr>
        <w:t>block</w:t>
      </w:r>
      <w:proofErr w:type="gramEnd"/>
      <w:r w:rsidR="00227A3F" w:rsidRPr="00227A3F">
        <w:rPr>
          <w:rFonts w:ascii="Arial" w:hAnsi="Arial" w:cs="Arial"/>
        </w:rPr>
        <w:t xml:space="preserve"> purchased beds</w:t>
      </w:r>
      <w:r w:rsidR="001D0E20">
        <w:rPr>
          <w:rFonts w:ascii="Arial" w:hAnsi="Arial" w:cs="Arial"/>
        </w:rPr>
        <w:t xml:space="preserve"> from an external provider</w:t>
      </w:r>
      <w:r w:rsidR="00227A3F" w:rsidRPr="00227A3F">
        <w:rPr>
          <w:rFonts w:ascii="Arial" w:hAnsi="Arial" w:cs="Arial"/>
        </w:rPr>
        <w:t xml:space="preserve">.  </w:t>
      </w:r>
      <w:proofErr w:type="gramStart"/>
      <w:r w:rsidR="00227A3F" w:rsidRPr="00227A3F">
        <w:rPr>
          <w:rFonts w:ascii="Arial" w:hAnsi="Arial" w:cs="Arial"/>
        </w:rPr>
        <w:t>At</w:t>
      </w:r>
      <w:proofErr w:type="gramEnd"/>
      <w:r w:rsidR="00227A3F" w:rsidRPr="00227A3F">
        <w:rPr>
          <w:rFonts w:ascii="Arial" w:hAnsi="Arial" w:cs="Arial"/>
        </w:rPr>
        <w:t xml:space="preserve"> 10 June there </w:t>
      </w:r>
      <w:r w:rsidR="00227A3F">
        <w:rPr>
          <w:rFonts w:ascii="Arial" w:hAnsi="Arial" w:cs="Arial"/>
        </w:rPr>
        <w:t>are</w:t>
      </w:r>
      <w:r w:rsidR="00227A3F" w:rsidRPr="00227A3F">
        <w:rPr>
          <w:rFonts w:ascii="Arial" w:hAnsi="Arial" w:cs="Arial"/>
        </w:rPr>
        <w:t xml:space="preserve"> 10 contracted beds with a plan to reduce by a further 5 by 22</w:t>
      </w:r>
      <w:r w:rsidR="00227A3F">
        <w:rPr>
          <w:rFonts w:ascii="Arial" w:hAnsi="Arial" w:cs="Arial"/>
          <w:vertAlign w:val="superscript"/>
        </w:rPr>
        <w:t xml:space="preserve"> </w:t>
      </w:r>
      <w:r w:rsidR="00227A3F" w:rsidRPr="00227A3F">
        <w:rPr>
          <w:rFonts w:ascii="Arial" w:hAnsi="Arial" w:cs="Arial"/>
        </w:rPr>
        <w:t>July 2022 and down to 3 beds from 9 December 2022.</w:t>
      </w:r>
    </w:p>
    <w:p w14:paraId="71F77776" w14:textId="083DE24B" w:rsidR="00654884" w:rsidRDefault="00654884" w:rsidP="00D90129">
      <w:pPr>
        <w:rPr>
          <w:rFonts w:ascii="Arial" w:hAnsi="Arial" w:cs="Arial"/>
        </w:rPr>
      </w:pPr>
    </w:p>
    <w:p w14:paraId="446749D9" w14:textId="14AE5523" w:rsidR="00654884" w:rsidRPr="00654884" w:rsidRDefault="00654884" w:rsidP="00654884">
      <w:pPr>
        <w:rPr>
          <w:rFonts w:ascii="Arial" w:hAnsi="Arial" w:cs="Arial"/>
          <w:lang w:val="en-GB"/>
        </w:rPr>
      </w:pPr>
      <w:r w:rsidRPr="00654884">
        <w:rPr>
          <w:rFonts w:ascii="Arial" w:hAnsi="Arial" w:cs="Arial"/>
          <w:lang w:val="en-GB"/>
        </w:rPr>
        <w:t xml:space="preserve">In comparison to the 8 Trusts across the region, Oxford Health has low numbers of </w:t>
      </w:r>
      <w:r w:rsidRPr="00654884">
        <w:rPr>
          <w:rFonts w:ascii="Arial" w:hAnsi="Arial" w:cs="Arial"/>
          <w:b/>
          <w:bCs/>
          <w:lang w:val="en-GB"/>
        </w:rPr>
        <w:t>inappropriate out of area placements.</w:t>
      </w:r>
      <w:r w:rsidRPr="00654884">
        <w:rPr>
          <w:rFonts w:ascii="Arial" w:hAnsi="Arial" w:cs="Arial"/>
          <w:lang w:val="en-GB"/>
        </w:rPr>
        <w:t xml:space="preserve">  </w:t>
      </w:r>
      <w:r w:rsidR="006333B3">
        <w:rPr>
          <w:rFonts w:ascii="Arial" w:hAnsi="Arial" w:cs="Arial"/>
          <w:lang w:val="en-GB"/>
        </w:rPr>
        <w:t>T</w:t>
      </w:r>
      <w:r w:rsidR="002A63D9" w:rsidRPr="00654884">
        <w:rPr>
          <w:rFonts w:ascii="Arial" w:hAnsi="Arial" w:cs="Arial"/>
          <w:lang w:val="en-GB"/>
        </w:rPr>
        <w:t xml:space="preserve">he average </w:t>
      </w:r>
      <w:r w:rsidR="006B39A0">
        <w:rPr>
          <w:rFonts w:ascii="Arial" w:hAnsi="Arial" w:cs="Arial"/>
          <w:lang w:val="en-GB"/>
        </w:rPr>
        <w:t>for the Trust over the</w:t>
      </w:r>
      <w:r w:rsidR="002A63D9" w:rsidRPr="00654884">
        <w:rPr>
          <w:rFonts w:ascii="Arial" w:hAnsi="Arial" w:cs="Arial"/>
          <w:lang w:val="en-GB"/>
        </w:rPr>
        <w:t xml:space="preserve"> last 12 weeks was 4</w:t>
      </w:r>
      <w:r w:rsidRPr="00654884">
        <w:rPr>
          <w:rFonts w:ascii="Arial" w:hAnsi="Arial" w:cs="Arial"/>
          <w:lang w:val="en-GB"/>
        </w:rPr>
        <w:t xml:space="preserve"> </w:t>
      </w:r>
      <w:r w:rsidR="00F811E1">
        <w:rPr>
          <w:rFonts w:ascii="Arial" w:hAnsi="Arial" w:cs="Arial"/>
          <w:lang w:val="en-GB"/>
        </w:rPr>
        <w:t xml:space="preserve">patients </w:t>
      </w:r>
      <w:r w:rsidRPr="00654884">
        <w:rPr>
          <w:rFonts w:ascii="Arial" w:hAnsi="Arial" w:cs="Arial"/>
          <w:lang w:val="en-GB"/>
        </w:rPr>
        <w:t xml:space="preserve">and </w:t>
      </w:r>
      <w:r w:rsidR="006B39A0">
        <w:rPr>
          <w:rFonts w:ascii="Arial" w:hAnsi="Arial" w:cs="Arial"/>
          <w:lang w:val="en-GB"/>
        </w:rPr>
        <w:t>across the SE region</w:t>
      </w:r>
      <w:r w:rsidRPr="00654884">
        <w:rPr>
          <w:rFonts w:ascii="Arial" w:hAnsi="Arial" w:cs="Arial"/>
          <w:lang w:val="en-GB"/>
        </w:rPr>
        <w:t>, 4% of inappropriate OAPs relate to Oxford Health.</w:t>
      </w:r>
    </w:p>
    <w:p w14:paraId="491EF9F0" w14:textId="6734FC07" w:rsidR="00654884" w:rsidRDefault="00654884" w:rsidP="00D90129">
      <w:pPr>
        <w:rPr>
          <w:rFonts w:ascii="Arial" w:hAnsi="Arial" w:cs="Arial"/>
        </w:rPr>
      </w:pPr>
    </w:p>
    <w:p w14:paraId="76B595D2" w14:textId="289E6BD8" w:rsidR="00447DDF" w:rsidRPr="00447DDF" w:rsidRDefault="00447DDF" w:rsidP="00D90129">
      <w:pPr>
        <w:rPr>
          <w:rFonts w:ascii="Arial" w:hAnsi="Arial" w:cs="Arial"/>
          <w:u w:val="single"/>
        </w:rPr>
      </w:pPr>
      <w:r w:rsidRPr="00447DDF">
        <w:rPr>
          <w:rFonts w:ascii="Arial" w:hAnsi="Arial" w:cs="Arial"/>
          <w:u w:val="single"/>
        </w:rPr>
        <w:t xml:space="preserve">Minor Injuries Unit (MIU) </w:t>
      </w:r>
      <w:proofErr w:type="gramStart"/>
      <w:r w:rsidRPr="00447DDF">
        <w:rPr>
          <w:rFonts w:ascii="Arial" w:hAnsi="Arial" w:cs="Arial"/>
          <w:u w:val="single"/>
        </w:rPr>
        <w:t>4 hour</w:t>
      </w:r>
      <w:proofErr w:type="gramEnd"/>
      <w:r w:rsidRPr="00447DDF">
        <w:rPr>
          <w:rFonts w:ascii="Arial" w:hAnsi="Arial" w:cs="Arial"/>
          <w:u w:val="single"/>
        </w:rPr>
        <w:t xml:space="preserve"> performance</w:t>
      </w:r>
    </w:p>
    <w:p w14:paraId="3DF72E84" w14:textId="4EC06175" w:rsidR="00EF06FF" w:rsidRDefault="00EF06FF" w:rsidP="00D90129">
      <w:pPr>
        <w:rPr>
          <w:rFonts w:ascii="Arial" w:hAnsi="Arial" w:cs="Arial"/>
        </w:rPr>
      </w:pPr>
    </w:p>
    <w:p w14:paraId="0D2825D3" w14:textId="77777777" w:rsidR="005D5FB9" w:rsidRDefault="00BD5F8A" w:rsidP="008445EB">
      <w:pPr>
        <w:rPr>
          <w:rFonts w:ascii="Arial" w:hAnsi="Arial" w:cs="Arial"/>
        </w:rPr>
      </w:pPr>
      <w:r w:rsidRPr="008445EB">
        <w:rPr>
          <w:rFonts w:ascii="Arial" w:hAnsi="Arial" w:cs="Arial"/>
        </w:rPr>
        <w:t xml:space="preserve">MIU performance in May was 89.4% which is 5.6% under target.  </w:t>
      </w:r>
      <w:r w:rsidR="009868B0">
        <w:rPr>
          <w:rFonts w:ascii="Arial" w:hAnsi="Arial" w:cs="Arial"/>
        </w:rPr>
        <w:t xml:space="preserve">Abingdon MIU which accounts for 48% of MIU activity </w:t>
      </w:r>
      <w:r w:rsidR="000D06D7">
        <w:rPr>
          <w:rFonts w:ascii="Arial" w:hAnsi="Arial" w:cs="Arial"/>
        </w:rPr>
        <w:t>was able to deliver</w:t>
      </w:r>
      <w:r w:rsidR="009C4E62">
        <w:rPr>
          <w:rFonts w:ascii="Arial" w:hAnsi="Arial" w:cs="Arial"/>
        </w:rPr>
        <w:t xml:space="preserve"> 87%</w:t>
      </w:r>
      <w:r w:rsidR="000D06D7">
        <w:rPr>
          <w:rFonts w:ascii="Arial" w:hAnsi="Arial" w:cs="Arial"/>
        </w:rPr>
        <w:t xml:space="preserve"> against the target of 95%</w:t>
      </w:r>
      <w:r w:rsidR="009C4E62">
        <w:rPr>
          <w:rFonts w:ascii="Arial" w:hAnsi="Arial" w:cs="Arial"/>
        </w:rPr>
        <w:t xml:space="preserve">.  </w:t>
      </w:r>
      <w:r w:rsidR="005D5FB9">
        <w:rPr>
          <w:rFonts w:ascii="Arial" w:hAnsi="Arial" w:cs="Arial"/>
        </w:rPr>
        <w:t>As a comparison, the national position is</w:t>
      </w:r>
      <w:r w:rsidR="005A4452" w:rsidRPr="008445EB">
        <w:rPr>
          <w:rFonts w:ascii="Arial" w:hAnsi="Arial" w:cs="Arial"/>
        </w:rPr>
        <w:t xml:space="preserve"> 73%</w:t>
      </w:r>
      <w:r w:rsidR="00B3591D" w:rsidRPr="008445EB">
        <w:rPr>
          <w:rFonts w:ascii="Arial" w:hAnsi="Arial" w:cs="Arial"/>
        </w:rPr>
        <w:t xml:space="preserve">.  </w:t>
      </w:r>
    </w:p>
    <w:p w14:paraId="23E53B5E" w14:textId="77777777" w:rsidR="005D5FB9" w:rsidRDefault="005D5FB9" w:rsidP="008445EB">
      <w:pPr>
        <w:rPr>
          <w:rFonts w:ascii="Arial" w:hAnsi="Arial" w:cs="Arial"/>
        </w:rPr>
      </w:pPr>
    </w:p>
    <w:p w14:paraId="7550AFA5" w14:textId="087B66FD" w:rsidR="00A15680" w:rsidRDefault="00B3591D" w:rsidP="008445EB">
      <w:pPr>
        <w:rPr>
          <w:rFonts w:ascii="Arial" w:hAnsi="Arial" w:cs="Arial"/>
        </w:rPr>
      </w:pPr>
      <w:r w:rsidRPr="008445EB">
        <w:rPr>
          <w:rFonts w:ascii="Arial" w:hAnsi="Arial" w:cs="Arial"/>
        </w:rPr>
        <w:t>T</w:t>
      </w:r>
      <w:r w:rsidR="005A4452" w:rsidRPr="008445EB">
        <w:rPr>
          <w:rFonts w:ascii="Arial" w:hAnsi="Arial" w:cs="Arial"/>
        </w:rPr>
        <w:t xml:space="preserve">he </w:t>
      </w:r>
      <w:r w:rsidR="005D5FB9">
        <w:rPr>
          <w:rFonts w:ascii="Arial" w:hAnsi="Arial" w:cs="Arial"/>
        </w:rPr>
        <w:t xml:space="preserve">root </w:t>
      </w:r>
      <w:r w:rsidR="005A4452" w:rsidRPr="008445EB">
        <w:rPr>
          <w:rFonts w:ascii="Arial" w:hAnsi="Arial" w:cs="Arial"/>
        </w:rPr>
        <w:t>cause</w:t>
      </w:r>
      <w:r w:rsidRPr="008445EB">
        <w:rPr>
          <w:rFonts w:ascii="Arial" w:hAnsi="Arial" w:cs="Arial"/>
        </w:rPr>
        <w:t xml:space="preserve"> of the </w:t>
      </w:r>
      <w:r w:rsidR="005D5FB9">
        <w:rPr>
          <w:rFonts w:ascii="Arial" w:hAnsi="Arial" w:cs="Arial"/>
        </w:rPr>
        <w:t>variation</w:t>
      </w:r>
      <w:r w:rsidR="005A4452" w:rsidRPr="008445EB">
        <w:rPr>
          <w:rFonts w:ascii="Arial" w:hAnsi="Arial" w:cs="Arial"/>
        </w:rPr>
        <w:t xml:space="preserve"> is due to</w:t>
      </w:r>
      <w:r w:rsidR="008445EB">
        <w:rPr>
          <w:rFonts w:ascii="Arial" w:hAnsi="Arial" w:cs="Arial"/>
        </w:rPr>
        <w:t xml:space="preserve"> increased levels of activity </w:t>
      </w:r>
      <w:r w:rsidR="00841FE0">
        <w:rPr>
          <w:rFonts w:ascii="Arial" w:hAnsi="Arial" w:cs="Arial"/>
        </w:rPr>
        <w:t xml:space="preserve">(+18% </w:t>
      </w:r>
      <w:r w:rsidR="00C7375D">
        <w:rPr>
          <w:rFonts w:ascii="Arial" w:hAnsi="Arial" w:cs="Arial"/>
        </w:rPr>
        <w:t>compared to</w:t>
      </w:r>
      <w:r w:rsidR="00841FE0">
        <w:rPr>
          <w:rFonts w:ascii="Arial" w:hAnsi="Arial" w:cs="Arial"/>
        </w:rPr>
        <w:t xml:space="preserve"> </w:t>
      </w:r>
      <w:r w:rsidR="00C7375D">
        <w:rPr>
          <w:rFonts w:ascii="Arial" w:hAnsi="Arial" w:cs="Arial"/>
        </w:rPr>
        <w:t>this time last year)</w:t>
      </w:r>
      <w:r w:rsidR="00DC0E04">
        <w:rPr>
          <w:rFonts w:ascii="Arial" w:hAnsi="Arial" w:cs="Arial"/>
        </w:rPr>
        <w:t>,</w:t>
      </w:r>
      <w:r w:rsidR="00C7375D">
        <w:rPr>
          <w:rFonts w:ascii="Arial" w:hAnsi="Arial" w:cs="Arial"/>
        </w:rPr>
        <w:t xml:space="preserve"> longer consultation times</w:t>
      </w:r>
      <w:r w:rsidR="00DC0E04">
        <w:rPr>
          <w:rFonts w:ascii="Arial" w:hAnsi="Arial" w:cs="Arial"/>
        </w:rPr>
        <w:t xml:space="preserve"> due to increased </w:t>
      </w:r>
      <w:r w:rsidR="00097E9A">
        <w:rPr>
          <w:rFonts w:ascii="Arial" w:hAnsi="Arial" w:cs="Arial"/>
        </w:rPr>
        <w:t xml:space="preserve">patient </w:t>
      </w:r>
      <w:r w:rsidR="00DC0E04">
        <w:rPr>
          <w:rFonts w:ascii="Arial" w:hAnsi="Arial" w:cs="Arial"/>
        </w:rPr>
        <w:t>complexity</w:t>
      </w:r>
      <w:r w:rsidR="00DD502A">
        <w:rPr>
          <w:rFonts w:ascii="Arial" w:hAnsi="Arial" w:cs="Arial"/>
        </w:rPr>
        <w:t xml:space="preserve">, </w:t>
      </w:r>
      <w:r w:rsidR="00097E9A">
        <w:rPr>
          <w:rFonts w:ascii="Arial" w:hAnsi="Arial" w:cs="Arial"/>
        </w:rPr>
        <w:t xml:space="preserve">staff </w:t>
      </w:r>
      <w:r w:rsidR="00DD502A">
        <w:rPr>
          <w:rFonts w:ascii="Arial" w:hAnsi="Arial" w:cs="Arial"/>
        </w:rPr>
        <w:t xml:space="preserve">sickness and staff vacancies.  Recruitment is underway and </w:t>
      </w:r>
      <w:r w:rsidR="002C7AA1">
        <w:rPr>
          <w:rFonts w:ascii="Arial" w:hAnsi="Arial" w:cs="Arial"/>
        </w:rPr>
        <w:t xml:space="preserve">there is a </w:t>
      </w:r>
      <w:proofErr w:type="gramStart"/>
      <w:r w:rsidR="002C7AA1">
        <w:rPr>
          <w:rFonts w:ascii="Arial" w:hAnsi="Arial" w:cs="Arial"/>
        </w:rPr>
        <w:t>111 campaign</w:t>
      </w:r>
      <w:proofErr w:type="gramEnd"/>
      <w:r w:rsidR="002C7AA1">
        <w:rPr>
          <w:rFonts w:ascii="Arial" w:hAnsi="Arial" w:cs="Arial"/>
        </w:rPr>
        <w:t xml:space="preserve"> promoting the appropriate use of emergency services.</w:t>
      </w:r>
      <w:r w:rsidR="00046185">
        <w:rPr>
          <w:rFonts w:ascii="Arial" w:hAnsi="Arial" w:cs="Arial"/>
        </w:rPr>
        <w:t xml:space="preserve"> </w:t>
      </w:r>
    </w:p>
    <w:p w14:paraId="4EBBC3F3" w14:textId="77777777" w:rsidR="00A15680" w:rsidRDefault="00A15680" w:rsidP="008445EB">
      <w:pPr>
        <w:rPr>
          <w:rFonts w:ascii="Arial" w:hAnsi="Arial" w:cs="Arial"/>
        </w:rPr>
      </w:pPr>
    </w:p>
    <w:p w14:paraId="24D8FB8F" w14:textId="6E120060" w:rsidR="002157CF" w:rsidRPr="002157CF" w:rsidRDefault="002157CF" w:rsidP="002157CF">
      <w:pPr>
        <w:rPr>
          <w:rFonts w:ascii="Arial" w:hAnsi="Arial" w:cs="Arial"/>
          <w:u w:val="single"/>
        </w:rPr>
      </w:pPr>
      <w:r w:rsidRPr="002157CF">
        <w:rPr>
          <w:rFonts w:ascii="Arial" w:hAnsi="Arial" w:cs="Arial"/>
          <w:u w:val="single"/>
        </w:rPr>
        <w:t>IAPT; the percentage of people completing a course of IAPT treatment moving to recovery</w:t>
      </w:r>
    </w:p>
    <w:p w14:paraId="33375DB0" w14:textId="77777777" w:rsidR="002157CF" w:rsidRDefault="002157CF" w:rsidP="002157CF">
      <w:pPr>
        <w:rPr>
          <w:rFonts w:ascii="Arial" w:hAnsi="Arial" w:cs="Arial"/>
          <w:b/>
          <w:bCs/>
        </w:rPr>
      </w:pPr>
    </w:p>
    <w:p w14:paraId="2D3BAA97" w14:textId="1ABFA3D0" w:rsidR="002157CF" w:rsidRDefault="002157CF" w:rsidP="00D90129">
      <w:pPr>
        <w:rPr>
          <w:rFonts w:ascii="Arial" w:hAnsi="Arial" w:cs="Arial"/>
        </w:rPr>
      </w:pPr>
      <w:r>
        <w:rPr>
          <w:rFonts w:ascii="Arial" w:hAnsi="Arial" w:cs="Arial"/>
        </w:rPr>
        <w:t>Performance is slightly under target</w:t>
      </w:r>
      <w:r w:rsidR="002B10E1">
        <w:rPr>
          <w:rFonts w:ascii="Arial" w:hAnsi="Arial" w:cs="Arial"/>
        </w:rPr>
        <w:t xml:space="preserve"> but higher than the national position.</w:t>
      </w:r>
      <w:r>
        <w:rPr>
          <w:rFonts w:ascii="Arial" w:hAnsi="Arial" w:cs="Arial"/>
        </w:rPr>
        <w:t xml:space="preserve">  This will be monitored</w:t>
      </w:r>
      <w:r w:rsidR="002B10E1">
        <w:rPr>
          <w:rFonts w:ascii="Arial" w:hAnsi="Arial" w:cs="Arial"/>
        </w:rPr>
        <w:t xml:space="preserve"> but is </w:t>
      </w:r>
      <w:r w:rsidR="00B3591D">
        <w:rPr>
          <w:rFonts w:ascii="Arial" w:hAnsi="Arial" w:cs="Arial"/>
        </w:rPr>
        <w:t xml:space="preserve">currently </w:t>
      </w:r>
      <w:r w:rsidR="002B10E1">
        <w:rPr>
          <w:rFonts w:ascii="Arial" w:hAnsi="Arial" w:cs="Arial"/>
        </w:rPr>
        <w:t xml:space="preserve">considered </w:t>
      </w:r>
      <w:r w:rsidR="002E1A57">
        <w:rPr>
          <w:rFonts w:ascii="Arial" w:hAnsi="Arial" w:cs="Arial"/>
        </w:rPr>
        <w:t>to be</w:t>
      </w:r>
      <w:r w:rsidR="002B10E1">
        <w:rPr>
          <w:rFonts w:ascii="Arial" w:hAnsi="Arial" w:cs="Arial"/>
        </w:rPr>
        <w:t xml:space="preserve"> low risk</w:t>
      </w:r>
      <w:r w:rsidR="00B3591D">
        <w:rPr>
          <w:rFonts w:ascii="Arial" w:hAnsi="Arial" w:cs="Arial"/>
        </w:rPr>
        <w:t>.</w:t>
      </w:r>
    </w:p>
    <w:p w14:paraId="6304E935" w14:textId="77777777" w:rsidR="00CA59D7" w:rsidRDefault="00CA59D7" w:rsidP="00D90129">
      <w:pPr>
        <w:rPr>
          <w:rFonts w:ascii="Arial" w:hAnsi="Arial" w:cs="Arial"/>
        </w:rPr>
      </w:pPr>
    </w:p>
    <w:p w14:paraId="3FB6C256" w14:textId="5A270896" w:rsidR="00CA59D7" w:rsidRDefault="00CA59D7" w:rsidP="00D901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NHS </w:t>
      </w:r>
      <w:r w:rsidRPr="00CA59D7">
        <w:rPr>
          <w:rFonts w:ascii="Arial" w:hAnsi="Arial" w:cs="Arial"/>
          <w:b/>
          <w:bCs/>
        </w:rPr>
        <w:t>Benchmarking</w:t>
      </w:r>
      <w:r w:rsidR="00007177">
        <w:rPr>
          <w:rFonts w:ascii="Arial" w:hAnsi="Arial" w:cs="Arial"/>
          <w:b/>
          <w:bCs/>
        </w:rPr>
        <w:t xml:space="preserve"> (latest data </w:t>
      </w:r>
      <w:r w:rsidR="00084C43">
        <w:rPr>
          <w:rFonts w:ascii="Arial" w:hAnsi="Arial" w:cs="Arial"/>
          <w:b/>
          <w:bCs/>
        </w:rPr>
        <w:t>–</w:t>
      </w:r>
      <w:r w:rsidR="00007177">
        <w:rPr>
          <w:rFonts w:ascii="Arial" w:hAnsi="Arial" w:cs="Arial"/>
          <w:b/>
          <w:bCs/>
        </w:rPr>
        <w:t xml:space="preserve"> </w:t>
      </w:r>
      <w:r w:rsidR="00084C43">
        <w:rPr>
          <w:rFonts w:ascii="Arial" w:hAnsi="Arial" w:cs="Arial"/>
          <w:b/>
          <w:bCs/>
        </w:rPr>
        <w:t>March 2022)</w:t>
      </w:r>
    </w:p>
    <w:p w14:paraId="5FADD907" w14:textId="77777777" w:rsidR="00CA3FB4" w:rsidRDefault="00CA3FB4" w:rsidP="00D90129">
      <w:pPr>
        <w:rPr>
          <w:rFonts w:ascii="Arial" w:hAnsi="Arial" w:cs="Arial"/>
        </w:rPr>
      </w:pPr>
    </w:p>
    <w:p w14:paraId="63FF96B9" w14:textId="6318F39F" w:rsidR="00CA3FB4" w:rsidRPr="00BA37AF" w:rsidRDefault="00CA3FB4" w:rsidP="00D901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Benchmarking data is now published on a quarterly basis.  </w:t>
      </w:r>
      <w:r w:rsidR="00641A38">
        <w:rPr>
          <w:rFonts w:ascii="Arial" w:hAnsi="Arial" w:cs="Arial"/>
        </w:rPr>
        <w:t xml:space="preserve">A detailed report </w:t>
      </w:r>
      <w:r w:rsidR="00693BD0">
        <w:rPr>
          <w:rFonts w:ascii="Arial" w:hAnsi="Arial" w:cs="Arial"/>
        </w:rPr>
        <w:t xml:space="preserve">and action plan </w:t>
      </w:r>
      <w:r w:rsidR="00641A38">
        <w:rPr>
          <w:rFonts w:ascii="Arial" w:hAnsi="Arial" w:cs="Arial"/>
        </w:rPr>
        <w:t>will be provided to the Autumn Board following receipt of the next published data.</w:t>
      </w:r>
      <w:r w:rsidR="001F2148">
        <w:rPr>
          <w:rFonts w:ascii="Arial" w:hAnsi="Arial" w:cs="Arial"/>
        </w:rPr>
        <w:t xml:space="preserve">  Please refer to the IPR for a summary of </w:t>
      </w:r>
      <w:r w:rsidR="00B918F8">
        <w:rPr>
          <w:rFonts w:ascii="Arial" w:hAnsi="Arial" w:cs="Arial"/>
        </w:rPr>
        <w:t>our performance in relation to 4 key currencies.</w:t>
      </w:r>
    </w:p>
    <w:p w14:paraId="0AEB4F74" w14:textId="77777777" w:rsidR="00CA59D7" w:rsidRPr="00CA59D7" w:rsidRDefault="00CA59D7" w:rsidP="00D90129">
      <w:pPr>
        <w:rPr>
          <w:rFonts w:ascii="Arial" w:hAnsi="Arial" w:cs="Arial"/>
          <w:b/>
          <w:bCs/>
        </w:rPr>
      </w:pPr>
    </w:p>
    <w:p w14:paraId="46BFDC5B" w14:textId="03DFF5DD" w:rsidR="00FF5475" w:rsidRPr="00282923" w:rsidRDefault="00FF5475" w:rsidP="00D90129">
      <w:pPr>
        <w:rPr>
          <w:rFonts w:ascii="Arial" w:hAnsi="Arial" w:cs="Arial"/>
          <w:b/>
          <w:bCs/>
        </w:rPr>
      </w:pPr>
      <w:r w:rsidRPr="00282923">
        <w:rPr>
          <w:rFonts w:ascii="Arial" w:hAnsi="Arial" w:cs="Arial"/>
          <w:b/>
          <w:bCs/>
        </w:rPr>
        <w:t>SE Regional Performance and how we compare</w:t>
      </w:r>
    </w:p>
    <w:p w14:paraId="2934508B" w14:textId="77777777" w:rsidR="00FF5475" w:rsidRDefault="00FF5475" w:rsidP="00D90129">
      <w:pPr>
        <w:rPr>
          <w:rFonts w:ascii="Arial" w:hAnsi="Arial" w:cs="Arial"/>
          <w:b/>
          <w:bCs/>
        </w:rPr>
      </w:pPr>
    </w:p>
    <w:p w14:paraId="0727AE14" w14:textId="5528FC8A" w:rsidR="0078594B" w:rsidRPr="005C231E" w:rsidRDefault="00875C44" w:rsidP="00D90129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Performance </w:t>
      </w:r>
      <w:r w:rsidR="006D0F84">
        <w:rPr>
          <w:rFonts w:ascii="Arial" w:hAnsi="Arial" w:cs="Arial"/>
        </w:rPr>
        <w:t xml:space="preserve">is reported quarterly.  </w:t>
      </w:r>
      <w:r w:rsidR="00ED0FA5">
        <w:rPr>
          <w:rFonts w:ascii="Arial" w:hAnsi="Arial" w:cs="Arial"/>
        </w:rPr>
        <w:t>T</w:t>
      </w:r>
      <w:r w:rsidR="007E5A70">
        <w:rPr>
          <w:rFonts w:ascii="Arial" w:hAnsi="Arial" w:cs="Arial"/>
        </w:rPr>
        <w:t xml:space="preserve">here </w:t>
      </w:r>
      <w:r>
        <w:rPr>
          <w:rFonts w:ascii="Arial" w:hAnsi="Arial" w:cs="Arial"/>
        </w:rPr>
        <w:t xml:space="preserve">has been </w:t>
      </w:r>
      <w:r w:rsidR="007E5A70">
        <w:rPr>
          <w:rFonts w:ascii="Arial" w:hAnsi="Arial" w:cs="Arial"/>
        </w:rPr>
        <w:t xml:space="preserve">no change in the Trust’s performance </w:t>
      </w:r>
      <w:r w:rsidR="00BE603F">
        <w:rPr>
          <w:rFonts w:ascii="Arial" w:hAnsi="Arial" w:cs="Arial"/>
        </w:rPr>
        <w:t>in relation to its peers</w:t>
      </w:r>
      <w:r w:rsidR="00ED0FA5">
        <w:rPr>
          <w:rFonts w:ascii="Arial" w:hAnsi="Arial" w:cs="Arial"/>
        </w:rPr>
        <w:t xml:space="preserve"> since the last report in March 2022. </w:t>
      </w:r>
    </w:p>
    <w:p w14:paraId="5E92E657" w14:textId="1316BA85" w:rsidR="00BE4A91" w:rsidRPr="00BE4A91" w:rsidRDefault="00BE4A91" w:rsidP="005C231E">
      <w:pPr>
        <w:pStyle w:val="ListParagraph"/>
        <w:rPr>
          <w:rFonts w:ascii="Arial" w:hAnsi="Arial" w:cs="Arial"/>
          <w:lang w:val="en-GB"/>
        </w:rPr>
      </w:pPr>
    </w:p>
    <w:p w14:paraId="2AC194B3" w14:textId="139C3404" w:rsidR="003E0F7E" w:rsidRDefault="00274347" w:rsidP="00D90129">
      <w:pPr>
        <w:rPr>
          <w:rFonts w:ascii="Arial" w:hAnsi="Arial" w:cs="Arial"/>
          <w:b/>
          <w:bCs/>
        </w:rPr>
      </w:pPr>
      <w:r w:rsidRPr="007F1D70">
        <w:rPr>
          <w:rFonts w:ascii="Arial" w:hAnsi="Arial" w:cs="Arial"/>
          <w:b/>
          <w:bCs/>
        </w:rPr>
        <w:t>Delivery of strategic objective</w:t>
      </w:r>
      <w:r w:rsidR="007674AA" w:rsidRPr="007F1D70">
        <w:rPr>
          <w:rFonts w:ascii="Arial" w:hAnsi="Arial" w:cs="Arial"/>
          <w:b/>
          <w:bCs/>
        </w:rPr>
        <w:t>s</w:t>
      </w:r>
      <w:r w:rsidRPr="007F1D70">
        <w:rPr>
          <w:rFonts w:ascii="Arial" w:hAnsi="Arial" w:cs="Arial"/>
          <w:b/>
          <w:bCs/>
        </w:rPr>
        <w:t xml:space="preserve"> (O</w:t>
      </w:r>
      <w:r w:rsidR="007674AA" w:rsidRPr="007F1D70">
        <w:rPr>
          <w:rFonts w:ascii="Arial" w:hAnsi="Arial" w:cs="Arial"/>
          <w:b/>
          <w:bCs/>
        </w:rPr>
        <w:t>bjective Key Results (OKRs</w:t>
      </w:r>
      <w:r w:rsidRPr="007F1D70">
        <w:rPr>
          <w:rFonts w:ascii="Arial" w:hAnsi="Arial" w:cs="Arial"/>
          <w:b/>
          <w:bCs/>
        </w:rPr>
        <w:t>)</w:t>
      </w:r>
    </w:p>
    <w:p w14:paraId="6DC19EC3" w14:textId="77777777" w:rsidR="00E74196" w:rsidRDefault="00E74196" w:rsidP="00D90129">
      <w:pPr>
        <w:rPr>
          <w:rFonts w:ascii="Arial" w:hAnsi="Arial" w:cs="Arial"/>
          <w:b/>
          <w:bCs/>
        </w:rPr>
      </w:pPr>
    </w:p>
    <w:p w14:paraId="3C43508F" w14:textId="553BD1BF" w:rsidR="00907098" w:rsidRDefault="007A2BF5" w:rsidP="00D90129">
      <w:pPr>
        <w:rPr>
          <w:rFonts w:ascii="Arial" w:hAnsi="Arial" w:cs="Arial"/>
        </w:rPr>
      </w:pPr>
      <w:r w:rsidRPr="007A2BF5">
        <w:rPr>
          <w:rFonts w:ascii="Arial" w:hAnsi="Arial" w:cs="Arial"/>
        </w:rPr>
        <w:t xml:space="preserve">The Trust has </w:t>
      </w:r>
      <w:r w:rsidR="00973975">
        <w:rPr>
          <w:rFonts w:ascii="Arial" w:hAnsi="Arial" w:cs="Arial"/>
        </w:rPr>
        <w:t xml:space="preserve">32 OKRs (18 relating to quality, 9 to people and 5 to sustainability).  </w:t>
      </w:r>
      <w:r w:rsidR="00984A27">
        <w:rPr>
          <w:rFonts w:ascii="Arial" w:hAnsi="Arial" w:cs="Arial"/>
        </w:rPr>
        <w:t>20 of the OKRs have targets</w:t>
      </w:r>
      <w:r w:rsidR="00C62B63">
        <w:rPr>
          <w:rFonts w:ascii="Arial" w:hAnsi="Arial" w:cs="Arial"/>
        </w:rPr>
        <w:t>; t</w:t>
      </w:r>
      <w:r w:rsidR="004D76BF">
        <w:rPr>
          <w:rFonts w:ascii="Arial" w:hAnsi="Arial" w:cs="Arial"/>
        </w:rPr>
        <w:t xml:space="preserve">he </w:t>
      </w:r>
      <w:r w:rsidR="00C62B63">
        <w:rPr>
          <w:rFonts w:ascii="Arial" w:hAnsi="Arial" w:cs="Arial"/>
        </w:rPr>
        <w:t>T</w:t>
      </w:r>
      <w:r w:rsidR="004D76BF">
        <w:rPr>
          <w:rFonts w:ascii="Arial" w:hAnsi="Arial" w:cs="Arial"/>
        </w:rPr>
        <w:t xml:space="preserve">rust </w:t>
      </w:r>
      <w:r w:rsidR="00E81A5B">
        <w:rPr>
          <w:rFonts w:ascii="Arial" w:hAnsi="Arial" w:cs="Arial"/>
        </w:rPr>
        <w:t>has successfully achieved 8</w:t>
      </w:r>
      <w:r w:rsidR="00C62B63">
        <w:rPr>
          <w:rFonts w:ascii="Arial" w:hAnsi="Arial" w:cs="Arial"/>
        </w:rPr>
        <w:t xml:space="preserve"> of the</w:t>
      </w:r>
      <w:r w:rsidR="00D80067">
        <w:rPr>
          <w:rFonts w:ascii="Arial" w:hAnsi="Arial" w:cs="Arial"/>
        </w:rPr>
        <w:t xml:space="preserve"> targeted OKRs</w:t>
      </w:r>
      <w:r w:rsidR="00C62B63">
        <w:rPr>
          <w:rFonts w:ascii="Arial" w:hAnsi="Arial" w:cs="Arial"/>
        </w:rPr>
        <w:t xml:space="preserve"> </w:t>
      </w:r>
      <w:r w:rsidR="00E81A5B">
        <w:rPr>
          <w:rFonts w:ascii="Arial" w:hAnsi="Arial" w:cs="Arial"/>
        </w:rPr>
        <w:t>by</w:t>
      </w:r>
      <w:r w:rsidR="00C62B63">
        <w:rPr>
          <w:rFonts w:ascii="Arial" w:hAnsi="Arial" w:cs="Arial"/>
        </w:rPr>
        <w:t xml:space="preserve"> May 2022.  </w:t>
      </w:r>
    </w:p>
    <w:p w14:paraId="3F9157E0" w14:textId="77777777" w:rsidR="00907098" w:rsidRDefault="00907098" w:rsidP="00D90129">
      <w:pPr>
        <w:rPr>
          <w:rFonts w:ascii="Arial" w:hAnsi="Arial" w:cs="Arial"/>
        </w:rPr>
      </w:pPr>
    </w:p>
    <w:p w14:paraId="6956E9D3" w14:textId="5B3D69D3" w:rsidR="005C1CBA" w:rsidRPr="00700C38" w:rsidRDefault="00700C38" w:rsidP="00700C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table below provides an overview of the OKRs that </w:t>
      </w:r>
      <w:r w:rsidR="001A4488">
        <w:rPr>
          <w:rFonts w:ascii="Arial" w:hAnsi="Arial" w:cs="Arial"/>
        </w:rPr>
        <w:t xml:space="preserve">are not </w:t>
      </w:r>
      <w:r w:rsidR="008A29F0">
        <w:rPr>
          <w:rFonts w:ascii="Arial" w:hAnsi="Arial" w:cs="Arial"/>
        </w:rPr>
        <w:t xml:space="preserve">yet </w:t>
      </w:r>
      <w:r w:rsidR="001A4488">
        <w:rPr>
          <w:rFonts w:ascii="Arial" w:hAnsi="Arial" w:cs="Arial"/>
        </w:rPr>
        <w:t>being achieved and their performance compared to last month.</w:t>
      </w:r>
      <w:r w:rsidRPr="00700C38">
        <w:rPr>
          <w:rFonts w:ascii="Arial" w:hAnsi="Arial" w:cs="Arial"/>
        </w:rPr>
        <w:t xml:space="preserve">  </w:t>
      </w:r>
    </w:p>
    <w:p w14:paraId="735B0BDC" w14:textId="77777777" w:rsidR="008F5FE1" w:rsidRDefault="008F5FE1" w:rsidP="00D90129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7"/>
        <w:gridCol w:w="2020"/>
        <w:gridCol w:w="1337"/>
        <w:gridCol w:w="1670"/>
        <w:gridCol w:w="1670"/>
        <w:gridCol w:w="1297"/>
      </w:tblGrid>
      <w:tr w:rsidR="001A4488" w14:paraId="69CFFB51" w14:textId="3C58FD0A" w:rsidTr="001A4488">
        <w:tc>
          <w:tcPr>
            <w:tcW w:w="1777" w:type="dxa"/>
            <w:shd w:val="clear" w:color="auto" w:fill="DBE5F1" w:themeFill="accent1" w:themeFillTint="33"/>
          </w:tcPr>
          <w:p w14:paraId="18CB2F71" w14:textId="6BF9BF3A" w:rsidR="00396E3B" w:rsidRDefault="00396E3B" w:rsidP="00D901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Strategic objective</w:t>
            </w:r>
          </w:p>
        </w:tc>
        <w:tc>
          <w:tcPr>
            <w:tcW w:w="2045" w:type="dxa"/>
            <w:shd w:val="clear" w:color="auto" w:fill="DBE5F1" w:themeFill="accent1" w:themeFillTint="33"/>
          </w:tcPr>
          <w:p w14:paraId="45E7C869" w14:textId="2B9A037C" w:rsidR="00396E3B" w:rsidRDefault="00396E3B" w:rsidP="00D901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OKR</w:t>
            </w:r>
          </w:p>
        </w:tc>
        <w:tc>
          <w:tcPr>
            <w:tcW w:w="1337" w:type="dxa"/>
            <w:shd w:val="clear" w:color="auto" w:fill="DBE5F1" w:themeFill="accent1" w:themeFillTint="33"/>
          </w:tcPr>
          <w:p w14:paraId="25EF111A" w14:textId="32EEEC40" w:rsidR="00396E3B" w:rsidRDefault="00396E3B" w:rsidP="00D901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Target</w:t>
            </w:r>
          </w:p>
        </w:tc>
        <w:tc>
          <w:tcPr>
            <w:tcW w:w="1670" w:type="dxa"/>
            <w:shd w:val="clear" w:color="auto" w:fill="DBE5F1" w:themeFill="accent1" w:themeFillTint="33"/>
          </w:tcPr>
          <w:p w14:paraId="21A40C8D" w14:textId="15818C46" w:rsidR="00396E3B" w:rsidRDefault="00396E3B" w:rsidP="00D901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Last month’s performance</w:t>
            </w:r>
          </w:p>
        </w:tc>
        <w:tc>
          <w:tcPr>
            <w:tcW w:w="1670" w:type="dxa"/>
            <w:shd w:val="clear" w:color="auto" w:fill="DBE5F1" w:themeFill="accent1" w:themeFillTint="33"/>
          </w:tcPr>
          <w:p w14:paraId="68002D1F" w14:textId="44DE85C7" w:rsidR="00396E3B" w:rsidRDefault="00396E3B" w:rsidP="00D901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This month’s performance</w:t>
            </w:r>
          </w:p>
        </w:tc>
        <w:tc>
          <w:tcPr>
            <w:tcW w:w="1272" w:type="dxa"/>
            <w:shd w:val="clear" w:color="auto" w:fill="DBE5F1" w:themeFill="accent1" w:themeFillTint="33"/>
          </w:tcPr>
          <w:p w14:paraId="3CF02FBE" w14:textId="6F29E710" w:rsidR="00396E3B" w:rsidRDefault="00396E3B" w:rsidP="00D901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1A4488" w14:paraId="178991D5" w14:textId="7801BD45" w:rsidTr="001A4488">
        <w:tc>
          <w:tcPr>
            <w:tcW w:w="1777" w:type="dxa"/>
          </w:tcPr>
          <w:p w14:paraId="322C2901" w14:textId="6A5F33AB" w:rsidR="00396E3B" w:rsidRDefault="00396E3B" w:rsidP="00DE3D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Quality</w:t>
            </w:r>
          </w:p>
        </w:tc>
        <w:tc>
          <w:tcPr>
            <w:tcW w:w="2045" w:type="dxa"/>
          </w:tcPr>
          <w:p w14:paraId="632DCE7F" w14:textId="665FC11F" w:rsidR="00396E3B" w:rsidRPr="00DE3D3C" w:rsidRDefault="00396E3B" w:rsidP="00D90129">
            <w:pPr>
              <w:rPr>
                <w:rFonts w:ascii="Arial" w:hAnsi="Arial" w:cs="Arial"/>
              </w:rPr>
            </w:pPr>
            <w:r w:rsidRPr="00DE3D3C">
              <w:rPr>
                <w:rFonts w:ascii="Arial" w:hAnsi="Arial" w:cs="Arial"/>
              </w:rPr>
              <w:t>Clinical supervision compliance</w:t>
            </w:r>
          </w:p>
        </w:tc>
        <w:tc>
          <w:tcPr>
            <w:tcW w:w="1337" w:type="dxa"/>
          </w:tcPr>
          <w:p w14:paraId="0ADE4CC5" w14:textId="2C2AF01B" w:rsidR="00396E3B" w:rsidRPr="00396E3B" w:rsidRDefault="00396E3B" w:rsidP="00D90129">
            <w:pPr>
              <w:rPr>
                <w:rFonts w:ascii="Arial" w:hAnsi="Arial" w:cs="Arial"/>
              </w:rPr>
            </w:pPr>
            <w:r w:rsidRPr="00396E3B">
              <w:rPr>
                <w:rFonts w:ascii="Arial" w:hAnsi="Arial" w:cs="Arial"/>
              </w:rPr>
              <w:t>95%</w:t>
            </w:r>
          </w:p>
        </w:tc>
        <w:tc>
          <w:tcPr>
            <w:tcW w:w="1670" w:type="dxa"/>
          </w:tcPr>
          <w:p w14:paraId="53A5CCD9" w14:textId="11D7477D" w:rsidR="00396E3B" w:rsidRPr="00396E3B" w:rsidRDefault="00396E3B" w:rsidP="00D90129">
            <w:pPr>
              <w:rPr>
                <w:rFonts w:ascii="Arial" w:hAnsi="Arial" w:cs="Arial"/>
              </w:rPr>
            </w:pPr>
            <w:r w:rsidRPr="00396E3B">
              <w:rPr>
                <w:rFonts w:ascii="Arial" w:hAnsi="Arial" w:cs="Arial"/>
              </w:rPr>
              <w:t>39%</w:t>
            </w:r>
          </w:p>
        </w:tc>
        <w:tc>
          <w:tcPr>
            <w:tcW w:w="1670" w:type="dxa"/>
          </w:tcPr>
          <w:p w14:paraId="6F57D4BF" w14:textId="1B6A88EC" w:rsidR="00396E3B" w:rsidRPr="00396E3B" w:rsidRDefault="00396E3B" w:rsidP="00D90129">
            <w:pPr>
              <w:rPr>
                <w:rFonts w:ascii="Arial" w:hAnsi="Arial" w:cs="Arial"/>
              </w:rPr>
            </w:pPr>
            <w:r w:rsidRPr="00396E3B">
              <w:rPr>
                <w:rFonts w:ascii="Arial" w:hAnsi="Arial" w:cs="Arial"/>
              </w:rPr>
              <w:t>53.6%</w:t>
            </w:r>
          </w:p>
        </w:tc>
        <w:tc>
          <w:tcPr>
            <w:tcW w:w="1272" w:type="dxa"/>
            <w:shd w:val="clear" w:color="auto" w:fill="92D050"/>
          </w:tcPr>
          <w:p w14:paraId="75C6F03B" w14:textId="2111FA41" w:rsidR="00396E3B" w:rsidRPr="00396E3B" w:rsidRDefault="00396E3B" w:rsidP="00D90129">
            <w:pPr>
              <w:rPr>
                <w:rFonts w:ascii="Arial" w:hAnsi="Arial" w:cs="Arial"/>
              </w:rPr>
            </w:pPr>
            <w:r w:rsidRPr="00396E3B">
              <w:rPr>
                <w:rFonts w:ascii="Arial" w:hAnsi="Arial" w:cs="Arial"/>
              </w:rPr>
              <w:t>Improv</w:t>
            </w:r>
            <w:r w:rsidR="000339AF">
              <w:rPr>
                <w:rFonts w:ascii="Arial" w:hAnsi="Arial" w:cs="Arial"/>
              </w:rPr>
              <w:t>ed</w:t>
            </w:r>
          </w:p>
        </w:tc>
      </w:tr>
      <w:tr w:rsidR="001A4488" w14:paraId="73CF1277" w14:textId="77777777" w:rsidTr="001A4488">
        <w:tc>
          <w:tcPr>
            <w:tcW w:w="1777" w:type="dxa"/>
          </w:tcPr>
          <w:p w14:paraId="71B22E78" w14:textId="7067825E" w:rsidR="00396E3B" w:rsidRDefault="005C1CBA" w:rsidP="00DE3D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Quality</w:t>
            </w:r>
          </w:p>
        </w:tc>
        <w:tc>
          <w:tcPr>
            <w:tcW w:w="2045" w:type="dxa"/>
          </w:tcPr>
          <w:p w14:paraId="5BADB59E" w14:textId="1D6F040C" w:rsidR="00396E3B" w:rsidRPr="00DE3D3C" w:rsidRDefault="00396E3B" w:rsidP="00DE3D3C">
            <w:pPr>
              <w:ind w:left="36"/>
              <w:rPr>
                <w:rFonts w:ascii="Arial" w:hAnsi="Arial" w:cs="Arial"/>
              </w:rPr>
            </w:pPr>
            <w:r w:rsidRPr="00DE3D3C">
              <w:rPr>
                <w:rFonts w:ascii="Arial" w:hAnsi="Arial" w:cs="Arial"/>
              </w:rPr>
              <w:t>Lester Tool completion in the community</w:t>
            </w:r>
          </w:p>
        </w:tc>
        <w:tc>
          <w:tcPr>
            <w:tcW w:w="1337" w:type="dxa"/>
          </w:tcPr>
          <w:p w14:paraId="653FE702" w14:textId="3FCEC451" w:rsidR="00396E3B" w:rsidRPr="00396E3B" w:rsidRDefault="00A50BD4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396E3B" w:rsidRPr="00396E3B">
              <w:rPr>
                <w:rFonts w:ascii="Arial" w:hAnsi="Arial" w:cs="Arial"/>
              </w:rPr>
              <w:t>5%</w:t>
            </w:r>
          </w:p>
        </w:tc>
        <w:tc>
          <w:tcPr>
            <w:tcW w:w="1670" w:type="dxa"/>
          </w:tcPr>
          <w:p w14:paraId="321D4A56" w14:textId="3BAE664F" w:rsidR="00396E3B" w:rsidRPr="00396E3B" w:rsidRDefault="003F2273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60.1%</w:t>
            </w:r>
          </w:p>
        </w:tc>
        <w:tc>
          <w:tcPr>
            <w:tcW w:w="1670" w:type="dxa"/>
          </w:tcPr>
          <w:p w14:paraId="28B99A36" w14:textId="43D88610" w:rsidR="00396E3B" w:rsidRPr="00396E3B" w:rsidRDefault="00396E3B" w:rsidP="00D90129">
            <w:pPr>
              <w:rPr>
                <w:rFonts w:ascii="Arial" w:hAnsi="Arial" w:cs="Arial"/>
              </w:rPr>
            </w:pPr>
            <w:r w:rsidRPr="00396E3B">
              <w:rPr>
                <w:rFonts w:ascii="Arial" w:hAnsi="Arial" w:cs="Arial"/>
              </w:rPr>
              <w:t>66%</w:t>
            </w:r>
          </w:p>
        </w:tc>
        <w:tc>
          <w:tcPr>
            <w:tcW w:w="1272" w:type="dxa"/>
            <w:shd w:val="clear" w:color="auto" w:fill="92D050"/>
          </w:tcPr>
          <w:p w14:paraId="735DE2B4" w14:textId="49088A14" w:rsidR="00396E3B" w:rsidRPr="00396E3B" w:rsidRDefault="00396E3B" w:rsidP="00D90129">
            <w:pPr>
              <w:rPr>
                <w:rFonts w:ascii="Arial" w:hAnsi="Arial" w:cs="Arial"/>
              </w:rPr>
            </w:pPr>
            <w:r w:rsidRPr="00396E3B">
              <w:rPr>
                <w:rFonts w:ascii="Arial" w:hAnsi="Arial" w:cs="Arial"/>
              </w:rPr>
              <w:t>Improv</w:t>
            </w:r>
            <w:r w:rsidR="000339AF">
              <w:rPr>
                <w:rFonts w:ascii="Arial" w:hAnsi="Arial" w:cs="Arial"/>
              </w:rPr>
              <w:t>ed</w:t>
            </w:r>
          </w:p>
        </w:tc>
      </w:tr>
      <w:tr w:rsidR="001A4488" w14:paraId="0DA855F0" w14:textId="77777777" w:rsidTr="00801648">
        <w:tc>
          <w:tcPr>
            <w:tcW w:w="1777" w:type="dxa"/>
          </w:tcPr>
          <w:p w14:paraId="4734AF0E" w14:textId="05C7FAD6" w:rsidR="00396E3B" w:rsidRDefault="005C1CBA" w:rsidP="00DE3D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Quality</w:t>
            </w:r>
          </w:p>
        </w:tc>
        <w:tc>
          <w:tcPr>
            <w:tcW w:w="2045" w:type="dxa"/>
          </w:tcPr>
          <w:p w14:paraId="4B2C8DCB" w14:textId="24182D86" w:rsidR="00396E3B" w:rsidRPr="00DE3D3C" w:rsidRDefault="00396E3B" w:rsidP="00DE3D3C">
            <w:pPr>
              <w:ind w:left="36"/>
              <w:rPr>
                <w:rFonts w:ascii="Arial" w:hAnsi="Arial" w:cs="Arial"/>
              </w:rPr>
            </w:pPr>
            <w:r w:rsidRPr="00DE3D3C">
              <w:rPr>
                <w:rFonts w:ascii="Arial" w:hAnsi="Arial" w:cs="Arial"/>
              </w:rPr>
              <w:t>Evidence patients have been involved in their care plans</w:t>
            </w:r>
          </w:p>
        </w:tc>
        <w:tc>
          <w:tcPr>
            <w:tcW w:w="1337" w:type="dxa"/>
          </w:tcPr>
          <w:p w14:paraId="5D01E93D" w14:textId="25F7193A" w:rsidR="00396E3B" w:rsidRPr="005C59AE" w:rsidRDefault="00A50BD4" w:rsidP="00D90129">
            <w:pPr>
              <w:rPr>
                <w:rFonts w:ascii="Arial" w:hAnsi="Arial" w:cs="Arial"/>
              </w:rPr>
            </w:pPr>
            <w:r w:rsidRPr="005C59AE">
              <w:rPr>
                <w:rFonts w:ascii="Arial" w:hAnsi="Arial" w:cs="Arial"/>
              </w:rPr>
              <w:t>95%</w:t>
            </w:r>
          </w:p>
        </w:tc>
        <w:tc>
          <w:tcPr>
            <w:tcW w:w="1670" w:type="dxa"/>
          </w:tcPr>
          <w:p w14:paraId="07487932" w14:textId="2375D4AA" w:rsidR="00396E3B" w:rsidRPr="005C59AE" w:rsidRDefault="005C59AE" w:rsidP="00D90129">
            <w:pPr>
              <w:rPr>
                <w:rFonts w:ascii="Arial" w:hAnsi="Arial" w:cs="Arial"/>
              </w:rPr>
            </w:pPr>
            <w:r w:rsidRPr="005C59AE">
              <w:rPr>
                <w:rFonts w:ascii="Arial" w:hAnsi="Arial" w:cs="Arial"/>
              </w:rPr>
              <w:t>92%</w:t>
            </w:r>
          </w:p>
        </w:tc>
        <w:tc>
          <w:tcPr>
            <w:tcW w:w="1670" w:type="dxa"/>
          </w:tcPr>
          <w:p w14:paraId="025E1B7B" w14:textId="14E8DE26" w:rsidR="00396E3B" w:rsidRPr="005C59AE" w:rsidRDefault="005C59AE" w:rsidP="00D90129">
            <w:pPr>
              <w:rPr>
                <w:rFonts w:ascii="Arial" w:hAnsi="Arial" w:cs="Arial"/>
              </w:rPr>
            </w:pPr>
            <w:r w:rsidRPr="005C59AE">
              <w:rPr>
                <w:rFonts w:ascii="Arial" w:hAnsi="Arial" w:cs="Arial"/>
              </w:rPr>
              <w:t>82%</w:t>
            </w:r>
          </w:p>
        </w:tc>
        <w:tc>
          <w:tcPr>
            <w:tcW w:w="1272" w:type="dxa"/>
            <w:shd w:val="clear" w:color="auto" w:fill="C6D9F1" w:themeFill="text2" w:themeFillTint="33"/>
          </w:tcPr>
          <w:p w14:paraId="6F50E684" w14:textId="7006207C" w:rsidR="00396E3B" w:rsidRPr="005C59AE" w:rsidRDefault="008A29F0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Reduction</w:t>
            </w:r>
          </w:p>
        </w:tc>
      </w:tr>
      <w:tr w:rsidR="005F74EE" w14:paraId="5567D01F" w14:textId="77777777" w:rsidTr="001A4488">
        <w:tc>
          <w:tcPr>
            <w:tcW w:w="1777" w:type="dxa"/>
          </w:tcPr>
          <w:p w14:paraId="2B4E881E" w14:textId="71B87F69" w:rsidR="005C1CBA" w:rsidRDefault="005C1CBA" w:rsidP="00DE3D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People</w:t>
            </w:r>
          </w:p>
        </w:tc>
        <w:tc>
          <w:tcPr>
            <w:tcW w:w="2045" w:type="dxa"/>
          </w:tcPr>
          <w:p w14:paraId="7EC8BE69" w14:textId="5BC7D885" w:rsidR="005C1CBA" w:rsidRPr="00DE3D3C" w:rsidRDefault="005C1CBA" w:rsidP="004D1A8E">
            <w:pPr>
              <w:ind w:left="14"/>
              <w:rPr>
                <w:rFonts w:ascii="Arial" w:hAnsi="Arial" w:cs="Arial"/>
              </w:rPr>
            </w:pPr>
            <w:r w:rsidRPr="005C1CBA">
              <w:rPr>
                <w:rFonts w:ascii="Arial" w:hAnsi="Arial" w:cs="Arial"/>
              </w:rPr>
              <w:t>Reduce agency usage to NHSE/I target </w:t>
            </w:r>
          </w:p>
        </w:tc>
        <w:tc>
          <w:tcPr>
            <w:tcW w:w="1337" w:type="dxa"/>
          </w:tcPr>
          <w:p w14:paraId="763DC857" w14:textId="7EBFFB20" w:rsidR="005C1CBA" w:rsidRPr="00AB1D92" w:rsidRDefault="001475D6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&lt;18</w:t>
            </w:r>
            <w:r w:rsidR="00EB3206">
              <w:rPr>
                <w:rFonts w:ascii="Arial" w:hAnsi="Arial" w:cs="Arial"/>
              </w:rPr>
              <w:t>.1%</w:t>
            </w:r>
            <w:r>
              <w:rPr>
                <w:rFonts w:ascii="Arial" w:hAnsi="Arial" w:cs="Arial"/>
              </w:rPr>
              <w:t>, revised to &lt;</w:t>
            </w:r>
            <w:r w:rsidR="00EB3206">
              <w:rPr>
                <w:rFonts w:ascii="Arial" w:hAnsi="Arial" w:cs="Arial"/>
              </w:rPr>
              <w:t>12.3%</w:t>
            </w:r>
          </w:p>
        </w:tc>
        <w:tc>
          <w:tcPr>
            <w:tcW w:w="1670" w:type="dxa"/>
          </w:tcPr>
          <w:p w14:paraId="3B3B97BC" w14:textId="2C8EBD9D" w:rsidR="005C1CBA" w:rsidRPr="00AB1D92" w:rsidRDefault="001475D6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13.9%</w:t>
            </w:r>
          </w:p>
        </w:tc>
        <w:tc>
          <w:tcPr>
            <w:tcW w:w="1670" w:type="dxa"/>
          </w:tcPr>
          <w:p w14:paraId="7838D0F3" w14:textId="239ACEB2" w:rsidR="005C1CBA" w:rsidRPr="00AB1D92" w:rsidRDefault="004D1A8E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13.1%</w:t>
            </w:r>
          </w:p>
        </w:tc>
        <w:tc>
          <w:tcPr>
            <w:tcW w:w="1272" w:type="dxa"/>
            <w:shd w:val="clear" w:color="auto" w:fill="92D050"/>
          </w:tcPr>
          <w:p w14:paraId="36B4E952" w14:textId="5A3550D6" w:rsidR="005C1CBA" w:rsidRPr="00AB1D92" w:rsidRDefault="00EB3206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</w:t>
            </w:r>
            <w:r w:rsidR="000339AF">
              <w:rPr>
                <w:rFonts w:ascii="Arial" w:hAnsi="Arial" w:cs="Arial"/>
              </w:rPr>
              <w:t>ed</w:t>
            </w:r>
          </w:p>
        </w:tc>
      </w:tr>
      <w:tr w:rsidR="005F74EE" w14:paraId="0257BD59" w14:textId="77777777" w:rsidTr="001A4488">
        <w:tc>
          <w:tcPr>
            <w:tcW w:w="1777" w:type="dxa"/>
          </w:tcPr>
          <w:p w14:paraId="72F3F8E2" w14:textId="31301072" w:rsidR="005C1CBA" w:rsidRDefault="00842077" w:rsidP="00DE3D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People</w:t>
            </w:r>
          </w:p>
        </w:tc>
        <w:tc>
          <w:tcPr>
            <w:tcW w:w="2045" w:type="dxa"/>
          </w:tcPr>
          <w:p w14:paraId="149FFA81" w14:textId="2A455470" w:rsidR="005C1CBA" w:rsidRPr="005C1CBA" w:rsidRDefault="005C1CBA" w:rsidP="004D1A8E">
            <w:pPr>
              <w:ind w:left="14"/>
              <w:rPr>
                <w:rFonts w:ascii="Arial" w:hAnsi="Arial" w:cs="Arial"/>
              </w:rPr>
            </w:pPr>
            <w:r w:rsidRPr="005C1CBA">
              <w:rPr>
                <w:rFonts w:ascii="Arial" w:hAnsi="Arial" w:cs="Arial"/>
              </w:rPr>
              <w:t>Staff sickness</w:t>
            </w:r>
          </w:p>
        </w:tc>
        <w:tc>
          <w:tcPr>
            <w:tcW w:w="1337" w:type="dxa"/>
          </w:tcPr>
          <w:p w14:paraId="5859D8D7" w14:textId="326BFC05" w:rsidR="005C1CBA" w:rsidRPr="00AB1D92" w:rsidRDefault="009B029E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&lt;3.5%</w:t>
            </w:r>
          </w:p>
        </w:tc>
        <w:tc>
          <w:tcPr>
            <w:tcW w:w="1670" w:type="dxa"/>
          </w:tcPr>
          <w:p w14:paraId="09E08FDE" w14:textId="21B33D6A" w:rsidR="005C1CBA" w:rsidRPr="00AB1D92" w:rsidRDefault="009B029E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5.6%</w:t>
            </w:r>
          </w:p>
        </w:tc>
        <w:tc>
          <w:tcPr>
            <w:tcW w:w="1670" w:type="dxa"/>
          </w:tcPr>
          <w:p w14:paraId="06FBF05F" w14:textId="66FAE530" w:rsidR="005C1CBA" w:rsidRPr="00AB1D92" w:rsidRDefault="009B029E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5.3%</w:t>
            </w:r>
          </w:p>
        </w:tc>
        <w:tc>
          <w:tcPr>
            <w:tcW w:w="1272" w:type="dxa"/>
            <w:shd w:val="clear" w:color="auto" w:fill="92D050"/>
          </w:tcPr>
          <w:p w14:paraId="0A41333F" w14:textId="293FF025" w:rsidR="005C1CBA" w:rsidRPr="00AB1D92" w:rsidRDefault="009B029E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</w:t>
            </w:r>
            <w:r w:rsidR="000339AF">
              <w:rPr>
                <w:rFonts w:ascii="Arial" w:hAnsi="Arial" w:cs="Arial"/>
              </w:rPr>
              <w:t>ed</w:t>
            </w:r>
          </w:p>
        </w:tc>
      </w:tr>
      <w:tr w:rsidR="009A2389" w14:paraId="6514A717" w14:textId="77777777" w:rsidTr="00801648">
        <w:tc>
          <w:tcPr>
            <w:tcW w:w="1777" w:type="dxa"/>
          </w:tcPr>
          <w:p w14:paraId="028DC413" w14:textId="4079E624" w:rsidR="005C1CBA" w:rsidRDefault="00842077" w:rsidP="00DE3D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People</w:t>
            </w:r>
          </w:p>
        </w:tc>
        <w:tc>
          <w:tcPr>
            <w:tcW w:w="2045" w:type="dxa"/>
          </w:tcPr>
          <w:p w14:paraId="13A7CEC4" w14:textId="3D015B0F" w:rsidR="005C1CBA" w:rsidRPr="005C1CBA" w:rsidRDefault="005C1CBA" w:rsidP="005C1CBA">
            <w:pPr>
              <w:ind w:left="14"/>
              <w:rPr>
                <w:rFonts w:ascii="Arial" w:hAnsi="Arial" w:cs="Arial"/>
              </w:rPr>
            </w:pPr>
            <w:r w:rsidRPr="005C1CBA">
              <w:rPr>
                <w:rFonts w:ascii="Arial" w:hAnsi="Arial" w:cs="Arial"/>
              </w:rPr>
              <w:t>Turnover</w:t>
            </w:r>
          </w:p>
        </w:tc>
        <w:tc>
          <w:tcPr>
            <w:tcW w:w="1337" w:type="dxa"/>
          </w:tcPr>
          <w:p w14:paraId="27B40215" w14:textId="132EEEBA" w:rsidR="005C1CBA" w:rsidRPr="00AB1D92" w:rsidRDefault="000339AF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&lt;10%</w:t>
            </w:r>
          </w:p>
        </w:tc>
        <w:tc>
          <w:tcPr>
            <w:tcW w:w="1670" w:type="dxa"/>
          </w:tcPr>
          <w:p w14:paraId="3FC0B80B" w14:textId="49BAD8A5" w:rsidR="005C1CBA" w:rsidRPr="00AB1D92" w:rsidRDefault="000339AF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14.1%</w:t>
            </w:r>
          </w:p>
        </w:tc>
        <w:tc>
          <w:tcPr>
            <w:tcW w:w="1670" w:type="dxa"/>
          </w:tcPr>
          <w:p w14:paraId="5F6164B9" w14:textId="2A17C610" w:rsidR="005C1CBA" w:rsidRPr="00AB1D92" w:rsidRDefault="000339AF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14.5%</w:t>
            </w:r>
          </w:p>
        </w:tc>
        <w:tc>
          <w:tcPr>
            <w:tcW w:w="1272" w:type="dxa"/>
            <w:shd w:val="clear" w:color="auto" w:fill="C6D9F1" w:themeFill="text2" w:themeFillTint="33"/>
          </w:tcPr>
          <w:p w14:paraId="3661E82C" w14:textId="136CEE21" w:rsidR="005C1CBA" w:rsidRPr="00AB1D92" w:rsidRDefault="00801648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Reduction</w:t>
            </w:r>
          </w:p>
        </w:tc>
      </w:tr>
      <w:tr w:rsidR="00700C38" w14:paraId="3E3C2EB0" w14:textId="77777777" w:rsidTr="00801648">
        <w:tc>
          <w:tcPr>
            <w:tcW w:w="1777" w:type="dxa"/>
          </w:tcPr>
          <w:p w14:paraId="5277759F" w14:textId="0C4904CE" w:rsidR="005C1CBA" w:rsidRDefault="00842077" w:rsidP="00DE3D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People</w:t>
            </w:r>
          </w:p>
        </w:tc>
        <w:tc>
          <w:tcPr>
            <w:tcW w:w="2045" w:type="dxa"/>
          </w:tcPr>
          <w:p w14:paraId="4BE83772" w14:textId="7ED5F0E0" w:rsidR="005C1CBA" w:rsidRPr="005C1CBA" w:rsidRDefault="005C1CBA" w:rsidP="005C1CBA">
            <w:pPr>
              <w:ind w:left="14"/>
              <w:rPr>
                <w:rFonts w:ascii="Arial" w:hAnsi="Arial" w:cs="Arial"/>
              </w:rPr>
            </w:pPr>
            <w:r w:rsidRPr="005C1CBA">
              <w:rPr>
                <w:rFonts w:ascii="Arial" w:hAnsi="Arial" w:cs="Arial"/>
              </w:rPr>
              <w:t>Reduction in vacancies</w:t>
            </w:r>
          </w:p>
        </w:tc>
        <w:tc>
          <w:tcPr>
            <w:tcW w:w="1337" w:type="dxa"/>
          </w:tcPr>
          <w:p w14:paraId="26A3E35D" w14:textId="68377B98" w:rsidR="005C1CBA" w:rsidRPr="00AB1D92" w:rsidRDefault="0065142A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&lt;9%</w:t>
            </w:r>
          </w:p>
        </w:tc>
        <w:tc>
          <w:tcPr>
            <w:tcW w:w="1670" w:type="dxa"/>
          </w:tcPr>
          <w:p w14:paraId="78561D2E" w14:textId="05DFCFD7" w:rsidR="005C1CBA" w:rsidRPr="00AB1D92" w:rsidRDefault="0065142A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8.7%</w:t>
            </w:r>
          </w:p>
        </w:tc>
        <w:tc>
          <w:tcPr>
            <w:tcW w:w="1670" w:type="dxa"/>
          </w:tcPr>
          <w:p w14:paraId="1AAA68F8" w14:textId="06AB1A38" w:rsidR="005C1CBA" w:rsidRPr="00AB1D92" w:rsidRDefault="0065142A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11.4%</w:t>
            </w:r>
          </w:p>
        </w:tc>
        <w:tc>
          <w:tcPr>
            <w:tcW w:w="1272" w:type="dxa"/>
            <w:shd w:val="clear" w:color="auto" w:fill="C6D9F1" w:themeFill="text2" w:themeFillTint="33"/>
          </w:tcPr>
          <w:p w14:paraId="1689C44B" w14:textId="4D4555C6" w:rsidR="005C1CBA" w:rsidRPr="00AB1D92" w:rsidRDefault="00801648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Reduction</w:t>
            </w:r>
          </w:p>
        </w:tc>
      </w:tr>
      <w:tr w:rsidR="00700C38" w14:paraId="52E6063C" w14:textId="77777777" w:rsidTr="00801648">
        <w:tc>
          <w:tcPr>
            <w:tcW w:w="1777" w:type="dxa"/>
          </w:tcPr>
          <w:p w14:paraId="5C1F347B" w14:textId="48C8C874" w:rsidR="005C1CBA" w:rsidRDefault="00842077" w:rsidP="00DE3D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People</w:t>
            </w:r>
          </w:p>
        </w:tc>
        <w:tc>
          <w:tcPr>
            <w:tcW w:w="2045" w:type="dxa"/>
          </w:tcPr>
          <w:p w14:paraId="342D3464" w14:textId="3392E3AD" w:rsidR="005C1CBA" w:rsidRPr="005C1CBA" w:rsidRDefault="005C1CBA" w:rsidP="005C1CBA">
            <w:pPr>
              <w:ind w:left="14"/>
              <w:rPr>
                <w:rFonts w:ascii="Arial" w:hAnsi="Arial" w:cs="Arial"/>
              </w:rPr>
            </w:pPr>
            <w:r w:rsidRPr="005C1CBA">
              <w:rPr>
                <w:rFonts w:ascii="Arial" w:hAnsi="Arial" w:cs="Arial"/>
              </w:rPr>
              <w:t>Personal Development Review (PDR) compliance</w:t>
            </w:r>
          </w:p>
        </w:tc>
        <w:tc>
          <w:tcPr>
            <w:tcW w:w="1337" w:type="dxa"/>
          </w:tcPr>
          <w:p w14:paraId="453FB4C6" w14:textId="1D7BB5C2" w:rsidR="005C1CBA" w:rsidRPr="00AB1D92" w:rsidRDefault="0065142A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90%</w:t>
            </w:r>
          </w:p>
        </w:tc>
        <w:tc>
          <w:tcPr>
            <w:tcW w:w="1670" w:type="dxa"/>
          </w:tcPr>
          <w:p w14:paraId="3806DE9B" w14:textId="410B1ED6" w:rsidR="005C1CBA" w:rsidRPr="00AB1D92" w:rsidRDefault="00842077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32%</w:t>
            </w:r>
          </w:p>
        </w:tc>
        <w:tc>
          <w:tcPr>
            <w:tcW w:w="1670" w:type="dxa"/>
          </w:tcPr>
          <w:p w14:paraId="7A96AF81" w14:textId="72AF9042" w:rsidR="005C1CBA" w:rsidRPr="00AB1D92" w:rsidRDefault="0065142A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29%</w:t>
            </w:r>
          </w:p>
        </w:tc>
        <w:tc>
          <w:tcPr>
            <w:tcW w:w="1272" w:type="dxa"/>
            <w:shd w:val="clear" w:color="auto" w:fill="C6D9F1" w:themeFill="text2" w:themeFillTint="33"/>
          </w:tcPr>
          <w:p w14:paraId="01D7E7D8" w14:textId="0EDC0D21" w:rsidR="005C1CBA" w:rsidRPr="00AB1D92" w:rsidRDefault="00801648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Reduction</w:t>
            </w:r>
          </w:p>
        </w:tc>
      </w:tr>
      <w:tr w:rsidR="001A4488" w14:paraId="241C7B0D" w14:textId="77777777" w:rsidTr="001A4488">
        <w:tc>
          <w:tcPr>
            <w:tcW w:w="1777" w:type="dxa"/>
          </w:tcPr>
          <w:p w14:paraId="50F33B25" w14:textId="7E647DA2" w:rsidR="005C1CBA" w:rsidRDefault="00842077" w:rsidP="00DE3D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People</w:t>
            </w:r>
          </w:p>
        </w:tc>
        <w:tc>
          <w:tcPr>
            <w:tcW w:w="2045" w:type="dxa"/>
          </w:tcPr>
          <w:p w14:paraId="1E30E00C" w14:textId="49BC1094" w:rsidR="005C1CBA" w:rsidRPr="005C1CBA" w:rsidRDefault="005C1CBA" w:rsidP="005C1C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PPST compliance</w:t>
            </w:r>
          </w:p>
        </w:tc>
        <w:tc>
          <w:tcPr>
            <w:tcW w:w="1337" w:type="dxa"/>
          </w:tcPr>
          <w:p w14:paraId="540FEB86" w14:textId="59676A32" w:rsidR="005C1CBA" w:rsidRPr="00AB1D92" w:rsidRDefault="00842077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90%</w:t>
            </w:r>
          </w:p>
        </w:tc>
        <w:tc>
          <w:tcPr>
            <w:tcW w:w="1670" w:type="dxa"/>
          </w:tcPr>
          <w:p w14:paraId="01CB523E" w14:textId="6A4EFDF1" w:rsidR="005C1CBA" w:rsidRPr="00AB1D92" w:rsidRDefault="00842077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73%</w:t>
            </w:r>
          </w:p>
        </w:tc>
        <w:tc>
          <w:tcPr>
            <w:tcW w:w="1670" w:type="dxa"/>
          </w:tcPr>
          <w:p w14:paraId="701ED0D7" w14:textId="7BDF20D5" w:rsidR="005C1CBA" w:rsidRPr="00AB1D92" w:rsidRDefault="00842077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78%</w:t>
            </w:r>
          </w:p>
        </w:tc>
        <w:tc>
          <w:tcPr>
            <w:tcW w:w="1272" w:type="dxa"/>
            <w:shd w:val="clear" w:color="auto" w:fill="92D050"/>
          </w:tcPr>
          <w:p w14:paraId="693EAA69" w14:textId="60B2E3C4" w:rsidR="005C1CBA" w:rsidRPr="00AB1D92" w:rsidRDefault="00842077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</w:t>
            </w:r>
          </w:p>
        </w:tc>
      </w:tr>
      <w:tr w:rsidR="001A4488" w14:paraId="577FED20" w14:textId="77777777" w:rsidTr="00801648">
        <w:tc>
          <w:tcPr>
            <w:tcW w:w="1777" w:type="dxa"/>
          </w:tcPr>
          <w:p w14:paraId="2399085D" w14:textId="76A52150" w:rsidR="00842077" w:rsidRDefault="005F74EE" w:rsidP="00DE3D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Sustainability</w:t>
            </w:r>
          </w:p>
        </w:tc>
        <w:tc>
          <w:tcPr>
            <w:tcW w:w="2045" w:type="dxa"/>
          </w:tcPr>
          <w:p w14:paraId="40E28CAF" w14:textId="4657317D" w:rsidR="00842077" w:rsidRDefault="00842077" w:rsidP="005F74EE">
            <w:pPr>
              <w:ind w:left="26"/>
              <w:rPr>
                <w:rFonts w:ascii="Arial" w:hAnsi="Arial" w:cs="Arial"/>
              </w:rPr>
            </w:pPr>
            <w:r w:rsidRPr="005F74EE">
              <w:rPr>
                <w:rFonts w:ascii="Arial" w:hAnsi="Arial" w:cs="Arial"/>
              </w:rPr>
              <w:t>Achievement of financial plan</w:t>
            </w:r>
          </w:p>
        </w:tc>
        <w:tc>
          <w:tcPr>
            <w:tcW w:w="1337" w:type="dxa"/>
          </w:tcPr>
          <w:p w14:paraId="4E3BF88E" w14:textId="256A02B9" w:rsidR="00842077" w:rsidRDefault="009A2389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breakeven</w:t>
            </w:r>
          </w:p>
        </w:tc>
        <w:tc>
          <w:tcPr>
            <w:tcW w:w="1670" w:type="dxa"/>
          </w:tcPr>
          <w:p w14:paraId="6DBB3766" w14:textId="5FA1BB76" w:rsidR="00842077" w:rsidRDefault="009A2389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£3.1m </w:t>
            </w:r>
            <w:proofErr w:type="spellStart"/>
            <w:r>
              <w:rPr>
                <w:rFonts w:ascii="Arial" w:hAnsi="Arial" w:cs="Arial"/>
              </w:rPr>
              <w:t>favourable</w:t>
            </w:r>
            <w:proofErr w:type="spellEnd"/>
          </w:p>
        </w:tc>
        <w:tc>
          <w:tcPr>
            <w:tcW w:w="1670" w:type="dxa"/>
          </w:tcPr>
          <w:p w14:paraId="42493FC3" w14:textId="52E6C2A5" w:rsidR="00842077" w:rsidRDefault="009A2389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£0.3m adverse</w:t>
            </w:r>
          </w:p>
        </w:tc>
        <w:tc>
          <w:tcPr>
            <w:tcW w:w="1272" w:type="dxa"/>
            <w:shd w:val="clear" w:color="auto" w:fill="C6D9F1" w:themeFill="text2" w:themeFillTint="33"/>
          </w:tcPr>
          <w:p w14:paraId="0F1FF17C" w14:textId="6583E8F3" w:rsidR="00842077" w:rsidRDefault="00801648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Reduction</w:t>
            </w:r>
          </w:p>
        </w:tc>
      </w:tr>
      <w:tr w:rsidR="001A4488" w14:paraId="62A78B58" w14:textId="77777777" w:rsidTr="001A4488">
        <w:tc>
          <w:tcPr>
            <w:tcW w:w="1777" w:type="dxa"/>
          </w:tcPr>
          <w:p w14:paraId="5BE2E22F" w14:textId="201D113E" w:rsidR="00842077" w:rsidRDefault="005F74EE" w:rsidP="00DE3D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Sustainability</w:t>
            </w:r>
          </w:p>
        </w:tc>
        <w:tc>
          <w:tcPr>
            <w:tcW w:w="2045" w:type="dxa"/>
          </w:tcPr>
          <w:p w14:paraId="2A0C0728" w14:textId="7697CDB5" w:rsidR="00842077" w:rsidRPr="005F74EE" w:rsidRDefault="005F74EE" w:rsidP="005F74EE">
            <w:pPr>
              <w:ind w:left="26"/>
              <w:rPr>
                <w:rFonts w:ascii="Arial" w:hAnsi="Arial" w:cs="Arial"/>
              </w:rPr>
            </w:pPr>
            <w:r w:rsidRPr="005F74EE">
              <w:rPr>
                <w:rFonts w:ascii="Arial" w:hAnsi="Arial" w:cs="Arial"/>
              </w:rPr>
              <w:t>Delivery of cost improvement plan</w:t>
            </w:r>
          </w:p>
        </w:tc>
        <w:tc>
          <w:tcPr>
            <w:tcW w:w="1337" w:type="dxa"/>
          </w:tcPr>
          <w:p w14:paraId="2A7B5A75" w14:textId="3F445307" w:rsidR="00842077" w:rsidRDefault="00700C38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£-</w:t>
            </w:r>
          </w:p>
        </w:tc>
        <w:tc>
          <w:tcPr>
            <w:tcW w:w="1670" w:type="dxa"/>
          </w:tcPr>
          <w:p w14:paraId="5949F492" w14:textId="1258F9E4" w:rsidR="00842077" w:rsidRDefault="00724671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£2.8m adverse</w:t>
            </w:r>
          </w:p>
        </w:tc>
        <w:tc>
          <w:tcPr>
            <w:tcW w:w="1670" w:type="dxa"/>
          </w:tcPr>
          <w:p w14:paraId="05387C7B" w14:textId="149C06E2" w:rsidR="00842077" w:rsidRDefault="00E563F6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£0.9m adverse</w:t>
            </w:r>
          </w:p>
        </w:tc>
        <w:tc>
          <w:tcPr>
            <w:tcW w:w="1272" w:type="dxa"/>
            <w:shd w:val="clear" w:color="auto" w:fill="92D050"/>
          </w:tcPr>
          <w:p w14:paraId="630C1C53" w14:textId="489B0059" w:rsidR="00842077" w:rsidRDefault="00724671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</w:t>
            </w:r>
          </w:p>
        </w:tc>
      </w:tr>
      <w:tr w:rsidR="001A4488" w14:paraId="4DCD9425" w14:textId="77777777" w:rsidTr="00801648">
        <w:tc>
          <w:tcPr>
            <w:tcW w:w="1777" w:type="dxa"/>
          </w:tcPr>
          <w:p w14:paraId="61E8DA2F" w14:textId="626B150E" w:rsidR="005F74EE" w:rsidRDefault="005F74EE" w:rsidP="00DE3D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Sustainability</w:t>
            </w:r>
          </w:p>
        </w:tc>
        <w:tc>
          <w:tcPr>
            <w:tcW w:w="2045" w:type="dxa"/>
          </w:tcPr>
          <w:p w14:paraId="3D0731BD" w14:textId="7F799B65" w:rsidR="005F74EE" w:rsidRPr="005F74EE" w:rsidRDefault="005F74EE" w:rsidP="005F74EE">
            <w:pPr>
              <w:ind w:left="26"/>
              <w:rPr>
                <w:rFonts w:ascii="Arial" w:hAnsi="Arial" w:cs="Arial"/>
              </w:rPr>
            </w:pPr>
            <w:r w:rsidRPr="005F74EE">
              <w:rPr>
                <w:rFonts w:ascii="Arial" w:hAnsi="Arial" w:cs="Arial"/>
              </w:rPr>
              <w:t>Achievement of all 8 targeted NOF measures</w:t>
            </w:r>
          </w:p>
        </w:tc>
        <w:tc>
          <w:tcPr>
            <w:tcW w:w="1337" w:type="dxa"/>
          </w:tcPr>
          <w:p w14:paraId="580BF261" w14:textId="619C5448" w:rsidR="005F74EE" w:rsidRDefault="00700C38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70" w:type="dxa"/>
          </w:tcPr>
          <w:p w14:paraId="5D5E6175" w14:textId="69A39238" w:rsidR="005F74EE" w:rsidRDefault="00700C38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6/8</w:t>
            </w:r>
          </w:p>
        </w:tc>
        <w:tc>
          <w:tcPr>
            <w:tcW w:w="1670" w:type="dxa"/>
          </w:tcPr>
          <w:p w14:paraId="08CDA6C4" w14:textId="1A072AAA" w:rsidR="005F74EE" w:rsidRDefault="00724671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4/8</w:t>
            </w:r>
          </w:p>
        </w:tc>
        <w:tc>
          <w:tcPr>
            <w:tcW w:w="1272" w:type="dxa"/>
            <w:shd w:val="clear" w:color="auto" w:fill="C6D9F1" w:themeFill="text2" w:themeFillTint="33"/>
          </w:tcPr>
          <w:p w14:paraId="548357D6" w14:textId="7BA0244A" w:rsidR="005F74EE" w:rsidRDefault="00801648" w:rsidP="00D9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Reduction</w:t>
            </w:r>
          </w:p>
        </w:tc>
      </w:tr>
    </w:tbl>
    <w:p w14:paraId="7A70383C" w14:textId="77777777" w:rsidR="00234DF1" w:rsidRPr="00CB77F3" w:rsidRDefault="00234DF1" w:rsidP="00234DF1">
      <w:pPr>
        <w:pStyle w:val="ListParagraph"/>
        <w:rPr>
          <w:rFonts w:ascii="Arial" w:hAnsi="Arial" w:cs="Arial"/>
        </w:rPr>
      </w:pPr>
    </w:p>
    <w:p w14:paraId="207DB99E" w14:textId="72715DEE" w:rsidR="001846A7" w:rsidRPr="007F1D70" w:rsidRDefault="001846A7" w:rsidP="001846A7">
      <w:pPr>
        <w:rPr>
          <w:rFonts w:ascii="Arial" w:hAnsi="Arial" w:cs="Arial"/>
        </w:rPr>
      </w:pPr>
      <w:r w:rsidRPr="00CB77F3">
        <w:rPr>
          <w:rFonts w:ascii="Arial" w:hAnsi="Arial" w:cs="Arial"/>
        </w:rPr>
        <w:t>Please see the report for further information and plans to address.</w:t>
      </w:r>
    </w:p>
    <w:p w14:paraId="6B338743" w14:textId="77777777" w:rsidR="000D5CA7" w:rsidRDefault="000D5CA7" w:rsidP="00A477AC">
      <w:pPr>
        <w:rPr>
          <w:rFonts w:ascii="Arial" w:hAnsi="Arial" w:cs="Arial"/>
          <w:b/>
          <w:bCs/>
          <w:u w:val="single"/>
        </w:rPr>
      </w:pPr>
    </w:p>
    <w:p w14:paraId="519258F3" w14:textId="77777777" w:rsidR="00973D44" w:rsidRDefault="00973D4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6A19AF30" w14:textId="14EFE0DE" w:rsidR="00A477AC" w:rsidRPr="00FF5475" w:rsidRDefault="00A477AC" w:rsidP="00A477AC">
      <w:pPr>
        <w:rPr>
          <w:rFonts w:ascii="Arial" w:hAnsi="Arial" w:cs="Arial"/>
          <w:b/>
          <w:bCs/>
          <w:u w:val="single"/>
        </w:rPr>
      </w:pPr>
      <w:r w:rsidRPr="00FF5475">
        <w:rPr>
          <w:rFonts w:ascii="Arial" w:hAnsi="Arial" w:cs="Arial"/>
          <w:b/>
          <w:bCs/>
          <w:u w:val="single"/>
        </w:rPr>
        <w:lastRenderedPageBreak/>
        <w:t>IPR Supporting Report</w:t>
      </w:r>
      <w:r w:rsidR="001C0E43" w:rsidRPr="00FF5475">
        <w:rPr>
          <w:rFonts w:ascii="Arial" w:hAnsi="Arial" w:cs="Arial"/>
          <w:b/>
          <w:bCs/>
          <w:u w:val="single"/>
        </w:rPr>
        <w:t xml:space="preserve"> - </w:t>
      </w:r>
      <w:r w:rsidRPr="00FF5475">
        <w:rPr>
          <w:rFonts w:ascii="Arial" w:hAnsi="Arial" w:cs="Arial"/>
          <w:b/>
          <w:bCs/>
          <w:u w:val="single"/>
        </w:rPr>
        <w:t>Performance Summary</w:t>
      </w:r>
    </w:p>
    <w:p w14:paraId="2128C5B1" w14:textId="3434CE26" w:rsidR="00E43917" w:rsidRDefault="00E43917" w:rsidP="00D90129">
      <w:pPr>
        <w:rPr>
          <w:rFonts w:ascii="Arial" w:hAnsi="Arial" w:cs="Arial"/>
        </w:rPr>
      </w:pPr>
    </w:p>
    <w:p w14:paraId="45424D83" w14:textId="6311A9D6" w:rsidR="002B15C1" w:rsidRDefault="002B15C1" w:rsidP="00896E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COVID-19:</w:t>
      </w:r>
      <w:r w:rsidR="00C51626">
        <w:rPr>
          <w:rFonts w:ascii="Arial" w:hAnsi="Arial" w:cs="Arial"/>
          <w:b/>
          <w:bCs/>
        </w:rPr>
        <w:t xml:space="preserve"> </w:t>
      </w:r>
    </w:p>
    <w:p w14:paraId="3339E0A1" w14:textId="4E6B4ABE" w:rsidR="00A50A18" w:rsidRDefault="00A50A18" w:rsidP="00896E0E">
      <w:pPr>
        <w:rPr>
          <w:rFonts w:ascii="Arial" w:hAnsi="Arial" w:cs="Arial"/>
          <w:b/>
          <w:bCs/>
        </w:rPr>
      </w:pPr>
    </w:p>
    <w:p w14:paraId="7BFDC195" w14:textId="33093EB9" w:rsidR="00C51626" w:rsidRPr="00C51626" w:rsidRDefault="00C63034" w:rsidP="00C5162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1</w:t>
      </w:r>
      <w:r w:rsidR="000B355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July, the</w:t>
      </w:r>
      <w:r w:rsidR="00043376" w:rsidRPr="00C51626">
        <w:rPr>
          <w:rFonts w:ascii="Arial" w:hAnsi="Arial" w:cs="Arial"/>
        </w:rPr>
        <w:t xml:space="preserve"> number of inpatients with COVID-19 </w:t>
      </w:r>
      <w:r w:rsidR="0031543B">
        <w:rPr>
          <w:rFonts w:ascii="Arial" w:hAnsi="Arial" w:cs="Arial"/>
        </w:rPr>
        <w:t xml:space="preserve">as confirmed by IPC </w:t>
      </w:r>
      <w:r w:rsidR="0062042F">
        <w:rPr>
          <w:rFonts w:ascii="Arial" w:hAnsi="Arial" w:cs="Arial"/>
        </w:rPr>
        <w:t>was</w:t>
      </w:r>
      <w:r w:rsidR="008446D2" w:rsidRPr="00C51626">
        <w:rPr>
          <w:rFonts w:ascii="Arial" w:hAnsi="Arial" w:cs="Arial"/>
        </w:rPr>
        <w:t xml:space="preserve"> </w:t>
      </w:r>
      <w:r w:rsidR="0031543B">
        <w:rPr>
          <w:rFonts w:ascii="Arial" w:hAnsi="Arial" w:cs="Arial"/>
        </w:rPr>
        <w:t>23</w:t>
      </w:r>
      <w:r w:rsidR="008446D2" w:rsidRPr="00C51626">
        <w:rPr>
          <w:rFonts w:ascii="Arial" w:hAnsi="Arial" w:cs="Arial"/>
        </w:rPr>
        <w:t xml:space="preserve"> </w:t>
      </w:r>
      <w:r w:rsidR="001B4CFB">
        <w:rPr>
          <w:rFonts w:ascii="Arial" w:hAnsi="Arial" w:cs="Arial"/>
        </w:rPr>
        <w:t>(an increase of 21 since 16 May)</w:t>
      </w:r>
    </w:p>
    <w:p w14:paraId="051F3517" w14:textId="2D088992" w:rsidR="00A50A18" w:rsidRPr="00C51626" w:rsidRDefault="008446D2" w:rsidP="00C5162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C51626">
        <w:rPr>
          <w:rFonts w:ascii="Arial" w:hAnsi="Arial" w:cs="Arial"/>
        </w:rPr>
        <w:t>The</w:t>
      </w:r>
      <w:r w:rsidR="00A50A18" w:rsidRPr="00C51626">
        <w:rPr>
          <w:rFonts w:ascii="Arial" w:hAnsi="Arial" w:cs="Arial"/>
        </w:rPr>
        <w:t xml:space="preserve"> cumulative number </w:t>
      </w:r>
      <w:r w:rsidR="00591645">
        <w:rPr>
          <w:rFonts w:ascii="Arial" w:hAnsi="Arial" w:cs="Arial"/>
        </w:rPr>
        <w:t>was</w:t>
      </w:r>
      <w:r w:rsidR="00A50A18" w:rsidRPr="00C51626">
        <w:rPr>
          <w:rFonts w:ascii="Arial" w:hAnsi="Arial" w:cs="Arial"/>
        </w:rPr>
        <w:t xml:space="preserve"> </w:t>
      </w:r>
      <w:r w:rsidR="0062042F">
        <w:rPr>
          <w:rFonts w:ascii="Arial" w:hAnsi="Arial" w:cs="Arial"/>
        </w:rPr>
        <w:t>749</w:t>
      </w:r>
      <w:r w:rsidR="00BA3D5A">
        <w:rPr>
          <w:rFonts w:ascii="Arial" w:hAnsi="Arial" w:cs="Arial"/>
        </w:rPr>
        <w:t xml:space="preserve"> </w:t>
      </w:r>
      <w:r w:rsidR="008E3076">
        <w:rPr>
          <w:rFonts w:ascii="Arial" w:hAnsi="Arial" w:cs="Arial"/>
        </w:rPr>
        <w:t>(an increase of 52 since 16 May)</w:t>
      </w:r>
    </w:p>
    <w:p w14:paraId="136BDBD1" w14:textId="7D21FE92" w:rsidR="0096212E" w:rsidRDefault="00747A6F" w:rsidP="00747A6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47A6F">
        <w:rPr>
          <w:rFonts w:ascii="Arial" w:hAnsi="Arial" w:cs="Arial"/>
        </w:rPr>
        <w:t xml:space="preserve">COVID-19 vaccination uptake as </w:t>
      </w:r>
      <w:proofErr w:type="gramStart"/>
      <w:r w:rsidRPr="00747A6F">
        <w:rPr>
          <w:rFonts w:ascii="Arial" w:hAnsi="Arial" w:cs="Arial"/>
        </w:rPr>
        <w:t>at</w:t>
      </w:r>
      <w:proofErr w:type="gramEnd"/>
      <w:r w:rsidRPr="00747A6F">
        <w:rPr>
          <w:rFonts w:ascii="Arial" w:hAnsi="Arial" w:cs="Arial"/>
        </w:rPr>
        <w:t xml:space="preserve"> 13 July 2022</w:t>
      </w:r>
      <w:r w:rsidRPr="00747A6F">
        <w:rPr>
          <w:rFonts w:ascii="Arial" w:hAnsi="Arial" w:cs="Arial"/>
          <w:b/>
          <w:bCs/>
        </w:rPr>
        <w:t xml:space="preserve">: </w:t>
      </w:r>
      <w:r w:rsidRPr="00747A6F">
        <w:rPr>
          <w:rFonts w:ascii="Arial" w:hAnsi="Arial" w:cs="Arial"/>
        </w:rPr>
        <w:t>Dose 1 = 90.6%, Dose 2 = 88.6% and Dose 3 (eligible staff only) 70.7%.  Patient Facing Dose 1 = 90.6%, Dose 2 = 88.5% and Dose 3 (eligible staff only) 70.9%</w:t>
      </w:r>
    </w:p>
    <w:p w14:paraId="77C35229" w14:textId="77777777" w:rsidR="00747A6F" w:rsidRDefault="00747A6F" w:rsidP="0096212E">
      <w:pPr>
        <w:pStyle w:val="ListParagraph"/>
        <w:rPr>
          <w:rFonts w:ascii="Arial" w:hAnsi="Arial" w:cs="Arial"/>
          <w:b/>
          <w:bCs/>
        </w:rPr>
      </w:pPr>
    </w:p>
    <w:p w14:paraId="1F8BA349" w14:textId="77777777" w:rsidR="00467914" w:rsidRDefault="00F437AA" w:rsidP="005D6D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Patient Activity and </w:t>
      </w:r>
      <w:r w:rsidR="005D6DE8">
        <w:rPr>
          <w:rFonts w:ascii="Arial" w:hAnsi="Arial" w:cs="Arial"/>
          <w:b/>
          <w:bCs/>
        </w:rPr>
        <w:t>Demand</w:t>
      </w:r>
      <w:r w:rsidR="0098716C">
        <w:rPr>
          <w:rFonts w:ascii="Arial" w:hAnsi="Arial" w:cs="Arial"/>
          <w:b/>
          <w:bCs/>
        </w:rPr>
        <w:t xml:space="preserve">: </w:t>
      </w:r>
    </w:p>
    <w:p w14:paraId="7122B5B5" w14:textId="77777777" w:rsidR="00467914" w:rsidRDefault="00467914" w:rsidP="005D6DE8">
      <w:pPr>
        <w:rPr>
          <w:rFonts w:ascii="Arial" w:hAnsi="Arial" w:cs="Arial"/>
          <w:b/>
          <w:bCs/>
        </w:rPr>
      </w:pPr>
    </w:p>
    <w:p w14:paraId="7F708328" w14:textId="7FA1DFD5" w:rsidR="00871AC9" w:rsidRDefault="0098716C" w:rsidP="005D6D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F11CC">
        <w:rPr>
          <w:rFonts w:ascii="Arial" w:hAnsi="Arial" w:cs="Arial"/>
        </w:rPr>
        <w:t>report that accompanies the IPR</w:t>
      </w:r>
      <w:r w:rsidR="00DD6E32">
        <w:rPr>
          <w:rFonts w:ascii="Arial" w:hAnsi="Arial" w:cs="Arial"/>
        </w:rPr>
        <w:t xml:space="preserve"> </w:t>
      </w:r>
      <w:r w:rsidR="006A5848">
        <w:rPr>
          <w:rFonts w:ascii="Arial" w:hAnsi="Arial" w:cs="Arial"/>
        </w:rPr>
        <w:t>provides an over</w:t>
      </w:r>
      <w:r w:rsidR="00CB1F7B">
        <w:rPr>
          <w:rFonts w:ascii="Arial" w:hAnsi="Arial" w:cs="Arial"/>
        </w:rPr>
        <w:t>view</w:t>
      </w:r>
      <w:r w:rsidR="006A5848">
        <w:rPr>
          <w:rFonts w:ascii="Arial" w:hAnsi="Arial" w:cs="Arial"/>
        </w:rPr>
        <w:t xml:space="preserve"> of activity levels by Directorate for referrals received, appointments delivered, inpatient admissions, inpatient length of stay and inpatient bed </w:t>
      </w:r>
      <w:r w:rsidR="00CB1F7B">
        <w:rPr>
          <w:rFonts w:ascii="Arial" w:hAnsi="Arial" w:cs="Arial"/>
        </w:rPr>
        <w:t>occupancy</w:t>
      </w:r>
      <w:r w:rsidR="006A5848">
        <w:rPr>
          <w:rFonts w:ascii="Arial" w:hAnsi="Arial" w:cs="Arial"/>
        </w:rPr>
        <w:t>.  Activity over</w:t>
      </w:r>
      <w:r w:rsidR="00FF423F">
        <w:rPr>
          <w:rFonts w:ascii="Arial" w:hAnsi="Arial" w:cs="Arial"/>
        </w:rPr>
        <w:t xml:space="preserve"> </w:t>
      </w:r>
      <w:r w:rsidR="006A5848">
        <w:rPr>
          <w:rFonts w:ascii="Arial" w:hAnsi="Arial" w:cs="Arial"/>
        </w:rPr>
        <w:t xml:space="preserve">time </w:t>
      </w:r>
      <w:r w:rsidR="00931A84">
        <w:rPr>
          <w:rFonts w:ascii="Arial" w:hAnsi="Arial" w:cs="Arial"/>
        </w:rPr>
        <w:t xml:space="preserve">(24 months) </w:t>
      </w:r>
      <w:r w:rsidR="00CB161A">
        <w:rPr>
          <w:rFonts w:ascii="Arial" w:hAnsi="Arial" w:cs="Arial"/>
        </w:rPr>
        <w:t xml:space="preserve">is shown using statistical process charts to indicate where activity is outside of ‘usual/expected’ levels.  </w:t>
      </w:r>
    </w:p>
    <w:p w14:paraId="6057303C" w14:textId="77777777" w:rsidR="00DB025A" w:rsidRDefault="00DB025A" w:rsidP="005D6DE8">
      <w:pPr>
        <w:rPr>
          <w:rFonts w:ascii="Arial" w:hAnsi="Arial" w:cs="Arial"/>
        </w:rPr>
      </w:pPr>
    </w:p>
    <w:p w14:paraId="6E4DB1AF" w14:textId="6DA1EA5A" w:rsidR="00896E0E" w:rsidRPr="002B3FE9" w:rsidRDefault="00282923" w:rsidP="00896E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="00896E0E" w:rsidRPr="002B3FE9">
        <w:rPr>
          <w:rFonts w:ascii="Arial" w:hAnsi="Arial" w:cs="Arial"/>
          <w:b/>
          <w:bCs/>
        </w:rPr>
        <w:t>eferrals:</w:t>
      </w:r>
    </w:p>
    <w:p w14:paraId="35A6698E" w14:textId="77777777" w:rsidR="00896E0E" w:rsidRDefault="00896E0E" w:rsidP="00896E0E">
      <w:pPr>
        <w:rPr>
          <w:rFonts w:ascii="Arial" w:hAnsi="Arial" w:cs="Arial"/>
        </w:rPr>
      </w:pPr>
    </w:p>
    <w:p w14:paraId="32E77B1D" w14:textId="7744C33B" w:rsidR="003255C1" w:rsidRPr="00787D5A" w:rsidRDefault="00C9215A" w:rsidP="008B082E">
      <w:pPr>
        <w:rPr>
          <w:rFonts w:ascii="Arial" w:hAnsi="Arial" w:cs="Arial"/>
        </w:rPr>
      </w:pPr>
      <w:r>
        <w:rPr>
          <w:rFonts w:ascii="Arial" w:hAnsi="Arial" w:cs="Arial"/>
        </w:rPr>
        <w:t>Overall, referrals to the Trust</w:t>
      </w:r>
      <w:r w:rsidR="00A805BD">
        <w:rPr>
          <w:rFonts w:ascii="Arial" w:hAnsi="Arial" w:cs="Arial"/>
        </w:rPr>
        <w:t xml:space="preserve"> in </w:t>
      </w:r>
      <w:r w:rsidR="00DF7383">
        <w:rPr>
          <w:rFonts w:ascii="Arial" w:hAnsi="Arial" w:cs="Arial"/>
        </w:rPr>
        <w:t>May</w:t>
      </w:r>
      <w:r w:rsidR="00A805BD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 xml:space="preserve"> </w:t>
      </w:r>
      <w:r w:rsidR="00DF7383">
        <w:rPr>
          <w:rFonts w:ascii="Arial" w:hAnsi="Arial" w:cs="Arial"/>
        </w:rPr>
        <w:t>were</w:t>
      </w:r>
      <w:r>
        <w:rPr>
          <w:rFonts w:ascii="Arial" w:hAnsi="Arial" w:cs="Arial"/>
        </w:rPr>
        <w:t xml:space="preserve"> </w:t>
      </w:r>
      <w:r w:rsidR="00E04825">
        <w:rPr>
          <w:rFonts w:ascii="Arial" w:hAnsi="Arial" w:cs="Arial"/>
        </w:rPr>
        <w:t>consistent</w:t>
      </w:r>
      <w:r>
        <w:rPr>
          <w:rFonts w:ascii="Arial" w:hAnsi="Arial" w:cs="Arial"/>
        </w:rPr>
        <w:t xml:space="preserve"> with the </w:t>
      </w:r>
      <w:r w:rsidR="00E04825">
        <w:rPr>
          <w:rFonts w:ascii="Arial" w:hAnsi="Arial" w:cs="Arial"/>
        </w:rPr>
        <w:t>numbers reported in previous months.</w:t>
      </w:r>
      <w:r w:rsidR="00615109">
        <w:rPr>
          <w:rFonts w:ascii="Arial" w:hAnsi="Arial" w:cs="Arial"/>
        </w:rPr>
        <w:t xml:space="preserve">  See slide 49 – 52 in </w:t>
      </w:r>
      <w:r w:rsidR="00E719B3">
        <w:rPr>
          <w:rFonts w:ascii="Arial" w:hAnsi="Arial" w:cs="Arial"/>
        </w:rPr>
        <w:t>the IPR</w:t>
      </w:r>
      <w:r w:rsidR="0008660A">
        <w:rPr>
          <w:rFonts w:ascii="Arial" w:hAnsi="Arial" w:cs="Arial"/>
        </w:rPr>
        <w:t xml:space="preserve"> for the </w:t>
      </w:r>
      <w:proofErr w:type="gramStart"/>
      <w:r w:rsidR="0008660A">
        <w:rPr>
          <w:rFonts w:ascii="Arial" w:hAnsi="Arial" w:cs="Arial"/>
        </w:rPr>
        <w:t>high level</w:t>
      </w:r>
      <w:proofErr w:type="gramEnd"/>
      <w:r w:rsidR="0008660A">
        <w:rPr>
          <w:rFonts w:ascii="Arial" w:hAnsi="Arial" w:cs="Arial"/>
        </w:rPr>
        <w:t xml:space="preserve"> summary</w:t>
      </w:r>
      <w:r w:rsidR="00E719B3">
        <w:rPr>
          <w:rFonts w:ascii="Arial" w:hAnsi="Arial" w:cs="Arial"/>
        </w:rPr>
        <w:t xml:space="preserve"> with further detail </w:t>
      </w:r>
      <w:r w:rsidR="0008660A">
        <w:rPr>
          <w:rFonts w:ascii="Arial" w:hAnsi="Arial" w:cs="Arial"/>
        </w:rPr>
        <w:t>available i</w:t>
      </w:r>
      <w:r w:rsidR="00E719B3">
        <w:rPr>
          <w:rFonts w:ascii="Arial" w:hAnsi="Arial" w:cs="Arial"/>
        </w:rPr>
        <w:t xml:space="preserve">n the </w:t>
      </w:r>
      <w:r w:rsidR="0008660A">
        <w:rPr>
          <w:rFonts w:ascii="Arial" w:hAnsi="Arial" w:cs="Arial"/>
        </w:rPr>
        <w:t xml:space="preserve">IPR </w:t>
      </w:r>
      <w:r w:rsidR="00E719B3">
        <w:rPr>
          <w:rFonts w:ascii="Arial" w:hAnsi="Arial" w:cs="Arial"/>
        </w:rPr>
        <w:t>supporting document</w:t>
      </w:r>
      <w:r w:rsidR="00E04825">
        <w:rPr>
          <w:rFonts w:ascii="Arial" w:hAnsi="Arial" w:cs="Arial"/>
        </w:rPr>
        <w:t xml:space="preserve"> showing service lines that have received increased referrals</w:t>
      </w:r>
      <w:r w:rsidR="004E1598">
        <w:rPr>
          <w:rFonts w:ascii="Arial" w:hAnsi="Arial" w:cs="Arial"/>
        </w:rPr>
        <w:t xml:space="preserve"> (above their average)</w:t>
      </w:r>
      <w:r w:rsidR="00E719B3">
        <w:rPr>
          <w:rFonts w:ascii="Arial" w:hAnsi="Arial" w:cs="Arial"/>
        </w:rPr>
        <w:t>.</w:t>
      </w:r>
    </w:p>
    <w:p w14:paraId="46DC1A95" w14:textId="77777777" w:rsidR="005824E7" w:rsidRDefault="005824E7" w:rsidP="00896E0E">
      <w:pPr>
        <w:rPr>
          <w:rFonts w:ascii="Arial" w:hAnsi="Arial" w:cs="Arial"/>
        </w:rPr>
      </w:pPr>
    </w:p>
    <w:p w14:paraId="5FC1DFE5" w14:textId="3B30317F" w:rsidR="005824E7" w:rsidRPr="00966D9C" w:rsidRDefault="005824E7" w:rsidP="005824E7">
      <w:pPr>
        <w:rPr>
          <w:rFonts w:ascii="Arial" w:hAnsi="Arial" w:cs="Arial"/>
          <w:b/>
          <w:bCs/>
        </w:rPr>
      </w:pPr>
      <w:r w:rsidRPr="00966D9C">
        <w:rPr>
          <w:rFonts w:ascii="Arial" w:hAnsi="Arial" w:cs="Arial"/>
          <w:b/>
          <w:bCs/>
        </w:rPr>
        <w:t>Activity:</w:t>
      </w:r>
    </w:p>
    <w:p w14:paraId="2BB73C58" w14:textId="77777777" w:rsidR="005824E7" w:rsidRPr="00966D9C" w:rsidRDefault="005824E7" w:rsidP="005824E7">
      <w:pPr>
        <w:rPr>
          <w:rFonts w:ascii="Arial" w:hAnsi="Arial" w:cs="Arial"/>
        </w:rPr>
      </w:pPr>
    </w:p>
    <w:p w14:paraId="24577FC1" w14:textId="7ECE7389" w:rsidR="00F6507C" w:rsidRDefault="005824E7" w:rsidP="005824E7">
      <w:pPr>
        <w:rPr>
          <w:rFonts w:ascii="Arial" w:hAnsi="Arial" w:cs="Arial"/>
        </w:rPr>
      </w:pPr>
      <w:r w:rsidRPr="00082BF3">
        <w:rPr>
          <w:rFonts w:ascii="Arial" w:hAnsi="Arial" w:cs="Arial"/>
        </w:rPr>
        <w:t xml:space="preserve">Despite shortages in available workforce, the Trust continues to deliver overall activity </w:t>
      </w:r>
      <w:r w:rsidR="00224C9E" w:rsidRPr="00082BF3">
        <w:rPr>
          <w:rFonts w:ascii="Arial" w:hAnsi="Arial" w:cs="Arial"/>
        </w:rPr>
        <w:t xml:space="preserve">in line with </w:t>
      </w:r>
      <w:r w:rsidR="00235483" w:rsidRPr="00082BF3">
        <w:rPr>
          <w:rFonts w:ascii="Arial" w:hAnsi="Arial" w:cs="Arial"/>
        </w:rPr>
        <w:t xml:space="preserve">normal/expected.  </w:t>
      </w:r>
    </w:p>
    <w:p w14:paraId="51333B1D" w14:textId="356FBA8D" w:rsidR="0098753A" w:rsidRDefault="0098753A" w:rsidP="005824E7">
      <w:pPr>
        <w:rPr>
          <w:rFonts w:ascii="Arial" w:hAnsi="Arial" w:cs="Arial"/>
        </w:rPr>
      </w:pPr>
    </w:p>
    <w:p w14:paraId="1A548619" w14:textId="682633A9" w:rsidR="0098753A" w:rsidRDefault="0098753A" w:rsidP="005824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Performance &amp; Information team are planning to undertake a one-off piece of analysis to look at the </w:t>
      </w:r>
      <w:proofErr w:type="gramStart"/>
      <w:r>
        <w:rPr>
          <w:rFonts w:ascii="Arial" w:hAnsi="Arial" w:cs="Arial"/>
        </w:rPr>
        <w:t>longer term</w:t>
      </w:r>
      <w:proofErr w:type="gramEnd"/>
      <w:r>
        <w:rPr>
          <w:rFonts w:ascii="Arial" w:hAnsi="Arial" w:cs="Arial"/>
        </w:rPr>
        <w:t xml:space="preserve"> impact of the pandemic and whether there has been a shift in activity levels and the creation of new activity ‘norms’.  This report will be prepared for the September Board meeting.</w:t>
      </w:r>
    </w:p>
    <w:p w14:paraId="0940AD4F" w14:textId="77777777" w:rsidR="00F6507C" w:rsidRDefault="00F6507C" w:rsidP="005824E7">
      <w:pPr>
        <w:rPr>
          <w:rFonts w:ascii="Arial" w:hAnsi="Arial" w:cs="Arial"/>
        </w:rPr>
      </w:pPr>
    </w:p>
    <w:p w14:paraId="133F387D" w14:textId="4F00D4C0" w:rsidR="005824E7" w:rsidRPr="00082BF3" w:rsidRDefault="005824E7" w:rsidP="005824E7">
      <w:pPr>
        <w:rPr>
          <w:rFonts w:ascii="Arial" w:hAnsi="Arial" w:cs="Arial"/>
          <w:b/>
          <w:bCs/>
        </w:rPr>
      </w:pPr>
      <w:r w:rsidRPr="00082BF3">
        <w:rPr>
          <w:rFonts w:ascii="Arial" w:hAnsi="Arial" w:cs="Arial"/>
          <w:b/>
          <w:bCs/>
        </w:rPr>
        <w:t>Admissions</w:t>
      </w:r>
      <w:r w:rsidR="00CF0F51" w:rsidRPr="00082BF3">
        <w:rPr>
          <w:rFonts w:ascii="Arial" w:hAnsi="Arial" w:cs="Arial"/>
          <w:b/>
          <w:bCs/>
        </w:rPr>
        <w:t xml:space="preserve">, </w:t>
      </w:r>
      <w:r w:rsidRPr="00082BF3">
        <w:rPr>
          <w:rFonts w:ascii="Arial" w:hAnsi="Arial" w:cs="Arial"/>
          <w:b/>
          <w:bCs/>
        </w:rPr>
        <w:t>Length of Stay (LOS)</w:t>
      </w:r>
      <w:r w:rsidR="00CF0F51" w:rsidRPr="00082BF3">
        <w:rPr>
          <w:rFonts w:ascii="Arial" w:hAnsi="Arial" w:cs="Arial"/>
          <w:b/>
          <w:bCs/>
        </w:rPr>
        <w:t xml:space="preserve"> &amp; Bed Occupancy</w:t>
      </w:r>
      <w:r w:rsidRPr="00082BF3">
        <w:rPr>
          <w:rFonts w:ascii="Arial" w:hAnsi="Arial" w:cs="Arial"/>
          <w:b/>
          <w:bCs/>
        </w:rPr>
        <w:t xml:space="preserve">: </w:t>
      </w:r>
    </w:p>
    <w:p w14:paraId="4B59FD6F" w14:textId="77777777" w:rsidR="005B2DC6" w:rsidRPr="00082BF3" w:rsidRDefault="005B2DC6" w:rsidP="005824E7">
      <w:pPr>
        <w:rPr>
          <w:rFonts w:ascii="Arial" w:hAnsi="Arial" w:cs="Arial"/>
        </w:rPr>
      </w:pPr>
    </w:p>
    <w:p w14:paraId="1F65431F" w14:textId="33DE8954" w:rsidR="005824E7" w:rsidRDefault="00EE500A" w:rsidP="4434B310">
      <w:pPr>
        <w:rPr>
          <w:rFonts w:ascii="Arial" w:hAnsi="Arial" w:cs="Arial"/>
        </w:rPr>
      </w:pPr>
      <w:r w:rsidRPr="4434B310">
        <w:rPr>
          <w:rFonts w:ascii="Arial" w:hAnsi="Arial" w:cs="Arial"/>
        </w:rPr>
        <w:t xml:space="preserve">Although </w:t>
      </w:r>
      <w:r w:rsidR="005824E7" w:rsidRPr="4434B310">
        <w:rPr>
          <w:rFonts w:ascii="Arial" w:hAnsi="Arial" w:cs="Arial"/>
        </w:rPr>
        <w:t>Length of Stay (LOS) in</w:t>
      </w:r>
      <w:r w:rsidRPr="4434B310">
        <w:rPr>
          <w:rFonts w:ascii="Arial" w:hAnsi="Arial" w:cs="Arial"/>
        </w:rPr>
        <w:t xml:space="preserve"> Adult MH inpatient wards has seen consistent improvement in recent months, the number of patients medically </w:t>
      </w:r>
      <w:proofErr w:type="spellStart"/>
      <w:r w:rsidRPr="4434B310">
        <w:rPr>
          <w:rFonts w:ascii="Arial" w:hAnsi="Arial" w:cs="Arial"/>
        </w:rPr>
        <w:t>optimised</w:t>
      </w:r>
      <w:proofErr w:type="spellEnd"/>
      <w:r w:rsidRPr="4434B310">
        <w:rPr>
          <w:rFonts w:ascii="Arial" w:hAnsi="Arial" w:cs="Arial"/>
        </w:rPr>
        <w:t xml:space="preserve"> for discharge (MOFD) in community hospitals has seen a sharp increase in the past month or so.  This increase is a consequence of considerable pressure within the Oxfordshire System.  </w:t>
      </w:r>
    </w:p>
    <w:p w14:paraId="79A29615" w14:textId="7638779A" w:rsidR="005824E7" w:rsidRDefault="005824E7" w:rsidP="4434B310">
      <w:pPr>
        <w:rPr>
          <w:rFonts w:ascii="Arial" w:hAnsi="Arial" w:cs="Arial"/>
        </w:rPr>
      </w:pPr>
    </w:p>
    <w:p w14:paraId="317B5D8B" w14:textId="3A3EC254" w:rsidR="005824E7" w:rsidRDefault="00EE500A" w:rsidP="005824E7">
      <w:pPr>
        <w:rPr>
          <w:rFonts w:ascii="Arial" w:hAnsi="Arial" w:cs="Arial"/>
        </w:rPr>
      </w:pPr>
      <w:r w:rsidRPr="4434B310">
        <w:rPr>
          <w:rFonts w:ascii="Arial" w:hAnsi="Arial" w:cs="Arial"/>
        </w:rPr>
        <w:t>Due to the reporting timescales for this paper, the issue will be visible within the data for the next Board meeting.</w:t>
      </w:r>
      <w:r w:rsidR="00640B14" w:rsidRPr="4434B310">
        <w:rPr>
          <w:rFonts w:ascii="Arial" w:hAnsi="Arial" w:cs="Arial"/>
        </w:rPr>
        <w:t xml:space="preserve"> </w:t>
      </w:r>
    </w:p>
    <w:p w14:paraId="4714934F" w14:textId="77777777" w:rsidR="00C17216" w:rsidRDefault="00C17216" w:rsidP="005824E7">
      <w:pPr>
        <w:rPr>
          <w:rFonts w:ascii="Arial" w:hAnsi="Arial" w:cs="Arial"/>
        </w:rPr>
      </w:pPr>
    </w:p>
    <w:p w14:paraId="049E7276" w14:textId="3F1EFD47" w:rsidR="004471AA" w:rsidRPr="000C3694" w:rsidRDefault="004471AA" w:rsidP="00D90129">
      <w:pPr>
        <w:rPr>
          <w:rFonts w:ascii="Arial" w:hAnsi="Arial" w:cs="Arial"/>
        </w:rPr>
      </w:pPr>
      <w:r w:rsidRPr="000C3694">
        <w:rPr>
          <w:rFonts w:ascii="Arial" w:hAnsi="Arial" w:cs="Arial"/>
          <w:b/>
          <w:bCs/>
        </w:rPr>
        <w:t>Waiting Times</w:t>
      </w:r>
      <w:r w:rsidR="008169BA" w:rsidRPr="000C3694">
        <w:rPr>
          <w:rFonts w:ascii="Arial" w:hAnsi="Arial" w:cs="Arial"/>
          <w:b/>
          <w:bCs/>
        </w:rPr>
        <w:t>*</w:t>
      </w:r>
      <w:r w:rsidR="000C3694" w:rsidRPr="000C3694">
        <w:rPr>
          <w:rFonts w:ascii="Arial" w:hAnsi="Arial" w:cs="Arial"/>
          <w:b/>
          <w:bCs/>
        </w:rPr>
        <w:t>:</w:t>
      </w:r>
      <w:r w:rsidR="004D4496">
        <w:rPr>
          <w:rFonts w:ascii="Arial" w:hAnsi="Arial" w:cs="Arial"/>
          <w:b/>
          <w:bCs/>
        </w:rPr>
        <w:t xml:space="preserve"> </w:t>
      </w:r>
      <w:r w:rsidR="000C3694" w:rsidRPr="000C3694">
        <w:rPr>
          <w:rFonts w:ascii="Arial" w:hAnsi="Arial" w:cs="Arial"/>
        </w:rPr>
        <w:t>*</w:t>
      </w:r>
      <w:r w:rsidR="00652E61" w:rsidRPr="000C3694">
        <w:rPr>
          <w:rFonts w:ascii="Arial" w:hAnsi="Arial" w:cs="Arial"/>
          <w:sz w:val="16"/>
          <w:szCs w:val="16"/>
        </w:rPr>
        <w:t xml:space="preserve">against generic Trust wait time of </w:t>
      </w:r>
      <w:r w:rsidR="008169BA" w:rsidRPr="000C3694">
        <w:rPr>
          <w:rFonts w:ascii="Arial" w:hAnsi="Arial" w:cs="Arial"/>
          <w:sz w:val="16"/>
          <w:szCs w:val="16"/>
        </w:rPr>
        <w:t>&gt;48 hour for emergency &amp; &gt;7 days for urgent, work is underway to develop service specific waiting time standards</w:t>
      </w:r>
    </w:p>
    <w:p w14:paraId="5C19DA04" w14:textId="66CDA956" w:rsidR="00C814CC" w:rsidRPr="000C3694" w:rsidRDefault="00C814CC" w:rsidP="00D90129">
      <w:pPr>
        <w:rPr>
          <w:rFonts w:ascii="Arial" w:hAnsi="Arial" w:cs="Arial"/>
        </w:rPr>
      </w:pPr>
    </w:p>
    <w:p w14:paraId="52A70B0D" w14:textId="5D3254E4" w:rsidR="00D90129" w:rsidRPr="000C3694" w:rsidRDefault="00B812F8" w:rsidP="001846A7">
      <w:pPr>
        <w:rPr>
          <w:rFonts w:ascii="Arial" w:hAnsi="Arial" w:cs="Arial"/>
        </w:rPr>
      </w:pPr>
      <w:r w:rsidRPr="000C3694">
        <w:rPr>
          <w:rFonts w:ascii="Arial" w:hAnsi="Arial" w:cs="Arial"/>
        </w:rPr>
        <w:t xml:space="preserve">In </w:t>
      </w:r>
      <w:r w:rsidR="008D47EC">
        <w:rPr>
          <w:rFonts w:ascii="Arial" w:hAnsi="Arial" w:cs="Arial"/>
        </w:rPr>
        <w:t>May</w:t>
      </w:r>
      <w:r w:rsidRPr="000C3694">
        <w:rPr>
          <w:rFonts w:ascii="Arial" w:hAnsi="Arial" w:cs="Arial"/>
        </w:rPr>
        <w:t>, the</w:t>
      </w:r>
      <w:r w:rsidR="00D90129" w:rsidRPr="000C3694">
        <w:rPr>
          <w:rFonts w:ascii="Arial" w:hAnsi="Arial" w:cs="Arial"/>
        </w:rPr>
        <w:t xml:space="preserve"> following </w:t>
      </w:r>
      <w:r w:rsidR="00595994">
        <w:rPr>
          <w:rFonts w:ascii="Arial" w:hAnsi="Arial" w:cs="Arial"/>
        </w:rPr>
        <w:t>areas are</w:t>
      </w:r>
      <w:r w:rsidR="00952D52" w:rsidRPr="000C3694">
        <w:rPr>
          <w:rFonts w:ascii="Arial" w:hAnsi="Arial" w:cs="Arial"/>
        </w:rPr>
        <w:t xml:space="preserve"> showing the greatest</w:t>
      </w:r>
      <w:r w:rsidR="006C5513" w:rsidRPr="000C3694">
        <w:rPr>
          <w:rFonts w:ascii="Arial" w:hAnsi="Arial" w:cs="Arial"/>
        </w:rPr>
        <w:t xml:space="preserve"> press</w:t>
      </w:r>
      <w:r w:rsidR="0062212A" w:rsidRPr="000C3694">
        <w:rPr>
          <w:rFonts w:ascii="Arial" w:hAnsi="Arial" w:cs="Arial"/>
        </w:rPr>
        <w:t>ure</w:t>
      </w:r>
      <w:r w:rsidR="003C7368" w:rsidRPr="000C3694">
        <w:rPr>
          <w:rFonts w:ascii="Arial" w:hAnsi="Arial" w:cs="Arial"/>
        </w:rPr>
        <w:t xml:space="preserve"> in relation to waiting times for </w:t>
      </w:r>
      <w:r w:rsidR="00CC171B" w:rsidRPr="002E1316">
        <w:rPr>
          <w:rFonts w:ascii="Arial" w:hAnsi="Arial" w:cs="Arial"/>
          <w:b/>
          <w:bCs/>
        </w:rPr>
        <w:t>emergency/</w:t>
      </w:r>
      <w:r w:rsidR="003C7368" w:rsidRPr="002E1316">
        <w:rPr>
          <w:rFonts w:ascii="Arial" w:hAnsi="Arial" w:cs="Arial"/>
          <w:b/>
          <w:bCs/>
        </w:rPr>
        <w:t>urgent</w:t>
      </w:r>
      <w:r w:rsidR="003C7368" w:rsidRPr="000C3694">
        <w:rPr>
          <w:rFonts w:ascii="Arial" w:hAnsi="Arial" w:cs="Arial"/>
        </w:rPr>
        <w:t xml:space="preserve"> re</w:t>
      </w:r>
      <w:r w:rsidRPr="000C3694">
        <w:rPr>
          <w:rFonts w:ascii="Arial" w:hAnsi="Arial" w:cs="Arial"/>
        </w:rPr>
        <w:t xml:space="preserve">ferrals </w:t>
      </w:r>
      <w:r w:rsidRPr="000C3694">
        <w:rPr>
          <w:rFonts w:ascii="Arial" w:hAnsi="Arial" w:cs="Arial"/>
          <w:b/>
          <w:bCs/>
        </w:rPr>
        <w:t>seen</w:t>
      </w:r>
      <w:r w:rsidRPr="000C3694">
        <w:rPr>
          <w:rFonts w:ascii="Arial" w:hAnsi="Arial" w:cs="Arial"/>
        </w:rPr>
        <w:t>.</w:t>
      </w:r>
    </w:p>
    <w:p w14:paraId="403ECFDD" w14:textId="77777777" w:rsidR="00D90129" w:rsidRPr="000C3694" w:rsidRDefault="00D90129" w:rsidP="001846A7">
      <w:pPr>
        <w:rPr>
          <w:rFonts w:ascii="Arial" w:hAnsi="Arial" w:cs="Arial"/>
        </w:rPr>
      </w:pPr>
    </w:p>
    <w:p w14:paraId="1C557069" w14:textId="7AEC74E3" w:rsidR="00A1673D" w:rsidRDefault="00AA0D4E" w:rsidP="001846A7">
      <w:pPr>
        <w:pStyle w:val="ListParagraph"/>
        <w:numPr>
          <w:ilvl w:val="0"/>
          <w:numId w:val="8"/>
        </w:numPr>
        <w:contextualSpacing/>
        <w:rPr>
          <w:rFonts w:ascii="Arial" w:hAnsi="Arial" w:cs="Arial"/>
        </w:rPr>
      </w:pPr>
      <w:r w:rsidRPr="000C3694">
        <w:rPr>
          <w:rFonts w:ascii="Arial" w:hAnsi="Arial" w:cs="Arial"/>
        </w:rPr>
        <w:t>Oxon and BSW C</w:t>
      </w:r>
      <w:r w:rsidR="0014655C" w:rsidRPr="000C3694">
        <w:rPr>
          <w:rFonts w:ascii="Arial" w:hAnsi="Arial" w:cs="Arial"/>
        </w:rPr>
        <w:t>hild and Adolescent Mental Health Services (CAMHS)</w:t>
      </w:r>
      <w:r w:rsidR="001E62A8">
        <w:rPr>
          <w:rFonts w:ascii="Arial" w:hAnsi="Arial" w:cs="Arial"/>
        </w:rPr>
        <w:t xml:space="preserve"> – </w:t>
      </w:r>
      <w:r w:rsidR="008476A3">
        <w:rPr>
          <w:rFonts w:ascii="Arial" w:hAnsi="Arial" w:cs="Arial"/>
        </w:rPr>
        <w:t>urgent referrals (82% seen within 7 days)</w:t>
      </w:r>
    </w:p>
    <w:p w14:paraId="7FEC778F" w14:textId="71F94AC4" w:rsidR="007818DC" w:rsidRDefault="00652E61" w:rsidP="007818DC">
      <w:pPr>
        <w:pStyle w:val="ListParagraph"/>
        <w:numPr>
          <w:ilvl w:val="0"/>
          <w:numId w:val="8"/>
        </w:numPr>
        <w:contextualSpacing/>
        <w:rPr>
          <w:rFonts w:ascii="Arial" w:hAnsi="Arial" w:cs="Arial"/>
        </w:rPr>
      </w:pPr>
      <w:r w:rsidRPr="000C3694">
        <w:rPr>
          <w:rFonts w:ascii="Arial" w:hAnsi="Arial" w:cs="Arial"/>
        </w:rPr>
        <w:t>Community Services Directorate</w:t>
      </w:r>
      <w:r w:rsidR="008476A3">
        <w:rPr>
          <w:rFonts w:ascii="Arial" w:hAnsi="Arial" w:cs="Arial"/>
        </w:rPr>
        <w:t xml:space="preserve"> – urgent referrals (82% seen within 7 days</w:t>
      </w:r>
      <w:r w:rsidR="00A26A5E">
        <w:rPr>
          <w:rFonts w:ascii="Arial" w:hAnsi="Arial" w:cs="Arial"/>
        </w:rPr>
        <w:t xml:space="preserve"> – based on the generic waiting time standards</w:t>
      </w:r>
      <w:r w:rsidR="008476A3">
        <w:rPr>
          <w:rFonts w:ascii="Arial" w:hAnsi="Arial" w:cs="Arial"/>
        </w:rPr>
        <w:t>)</w:t>
      </w:r>
    </w:p>
    <w:p w14:paraId="36B1F811" w14:textId="77777777" w:rsidR="001846A7" w:rsidRPr="000C3694" w:rsidRDefault="001846A7" w:rsidP="001846A7">
      <w:pPr>
        <w:pStyle w:val="ListParagraph"/>
        <w:contextualSpacing/>
        <w:rPr>
          <w:rFonts w:ascii="Arial" w:hAnsi="Arial" w:cs="Arial"/>
        </w:rPr>
      </w:pPr>
    </w:p>
    <w:p w14:paraId="573158C4" w14:textId="26BA35A4" w:rsidR="003B34F3" w:rsidRDefault="007818DC" w:rsidP="001846A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There continue to be pressures in both the Buckinghamshire and </w:t>
      </w:r>
      <w:r w:rsidR="003B34F3">
        <w:rPr>
          <w:rFonts w:ascii="Arial" w:hAnsi="Arial" w:cs="Arial"/>
        </w:rPr>
        <w:t>Oxfordshire</w:t>
      </w:r>
      <w:r>
        <w:rPr>
          <w:rFonts w:ascii="Arial" w:hAnsi="Arial" w:cs="Arial"/>
        </w:rPr>
        <w:t xml:space="preserve"> Children</w:t>
      </w:r>
      <w:r w:rsidR="00595994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and Young People Neuro Diagnostic Conditions </w:t>
      </w:r>
      <w:r w:rsidR="00484D43">
        <w:rPr>
          <w:rFonts w:ascii="Arial" w:hAnsi="Arial" w:cs="Arial"/>
        </w:rPr>
        <w:t>(NDC)</w:t>
      </w:r>
      <w:r>
        <w:rPr>
          <w:rFonts w:ascii="Arial" w:hAnsi="Arial" w:cs="Arial"/>
        </w:rPr>
        <w:t xml:space="preserve"> </w:t>
      </w:r>
      <w:r w:rsidR="003B34F3">
        <w:rPr>
          <w:rFonts w:ascii="Arial" w:hAnsi="Arial" w:cs="Arial"/>
        </w:rPr>
        <w:t xml:space="preserve">wait times for referrals.  </w:t>
      </w:r>
    </w:p>
    <w:p w14:paraId="499CC426" w14:textId="77777777" w:rsidR="003B34F3" w:rsidRDefault="003B34F3" w:rsidP="001846A7">
      <w:pPr>
        <w:contextualSpacing/>
        <w:rPr>
          <w:rFonts w:ascii="Arial" w:hAnsi="Arial" w:cs="Arial"/>
        </w:rPr>
      </w:pPr>
    </w:p>
    <w:p w14:paraId="1B8882FE" w14:textId="1B273158" w:rsidR="0062212A" w:rsidRPr="000C3694" w:rsidRDefault="0062212A" w:rsidP="001846A7">
      <w:pPr>
        <w:contextualSpacing/>
        <w:rPr>
          <w:rFonts w:ascii="Arial" w:hAnsi="Arial" w:cs="Arial"/>
        </w:rPr>
      </w:pPr>
      <w:r w:rsidRPr="000C3694">
        <w:rPr>
          <w:rFonts w:ascii="Arial" w:hAnsi="Arial" w:cs="Arial"/>
        </w:rPr>
        <w:t xml:space="preserve">In terms of emergency and urgent patients </w:t>
      </w:r>
      <w:r w:rsidRPr="000C3694">
        <w:rPr>
          <w:rFonts w:ascii="Arial" w:hAnsi="Arial" w:cs="Arial"/>
          <w:b/>
          <w:bCs/>
        </w:rPr>
        <w:t>still waiting</w:t>
      </w:r>
      <w:r w:rsidRPr="000C3694">
        <w:rPr>
          <w:rFonts w:ascii="Arial" w:hAnsi="Arial" w:cs="Arial"/>
        </w:rPr>
        <w:t xml:space="preserve"> to be seen, the following areas are reporting the longest waits o</w:t>
      </w:r>
      <w:r w:rsidR="00B812F8" w:rsidRPr="000C3694">
        <w:rPr>
          <w:rFonts w:ascii="Arial" w:hAnsi="Arial" w:cs="Arial"/>
        </w:rPr>
        <w:t>r</w:t>
      </w:r>
      <w:r w:rsidRPr="000C3694">
        <w:rPr>
          <w:rFonts w:ascii="Arial" w:hAnsi="Arial" w:cs="Arial"/>
        </w:rPr>
        <w:t xml:space="preserve"> highest number of patients </w:t>
      </w:r>
      <w:proofErr w:type="gramStart"/>
      <w:r w:rsidRPr="000C3694">
        <w:rPr>
          <w:rFonts w:ascii="Arial" w:hAnsi="Arial" w:cs="Arial"/>
        </w:rPr>
        <w:t>waiting;</w:t>
      </w:r>
      <w:proofErr w:type="gramEnd"/>
    </w:p>
    <w:p w14:paraId="6A32B69F" w14:textId="52940B1E" w:rsidR="0062212A" w:rsidRPr="000C3694" w:rsidRDefault="0062212A" w:rsidP="001846A7">
      <w:pPr>
        <w:contextualSpacing/>
        <w:rPr>
          <w:rFonts w:ascii="Arial" w:hAnsi="Arial" w:cs="Arial"/>
        </w:rPr>
      </w:pPr>
    </w:p>
    <w:p w14:paraId="3449A462" w14:textId="56C8BE3B" w:rsidR="006F3729" w:rsidRDefault="006F3729" w:rsidP="001846A7">
      <w:pPr>
        <w:pStyle w:val="ListParagraph"/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Oxon</w:t>
      </w:r>
      <w:r w:rsidR="00140611">
        <w:rPr>
          <w:rFonts w:ascii="Arial" w:hAnsi="Arial" w:cs="Arial"/>
        </w:rPr>
        <w:t xml:space="preserve"> and BSW</w:t>
      </w:r>
      <w:r>
        <w:rPr>
          <w:rFonts w:ascii="Arial" w:hAnsi="Arial" w:cs="Arial"/>
        </w:rPr>
        <w:t xml:space="preserve"> Adult</w:t>
      </w:r>
      <w:r w:rsidR="00BE1846">
        <w:rPr>
          <w:rFonts w:ascii="Arial" w:hAnsi="Arial" w:cs="Arial"/>
        </w:rPr>
        <w:t>s</w:t>
      </w:r>
      <w:r w:rsidR="00140611">
        <w:rPr>
          <w:rFonts w:ascii="Arial" w:hAnsi="Arial" w:cs="Arial"/>
        </w:rPr>
        <w:t xml:space="preserve"> (</w:t>
      </w:r>
      <w:proofErr w:type="gramStart"/>
      <w:r w:rsidR="00B7607B">
        <w:rPr>
          <w:rFonts w:ascii="Arial" w:hAnsi="Arial" w:cs="Arial"/>
        </w:rPr>
        <w:t>at</w:t>
      </w:r>
      <w:proofErr w:type="gramEnd"/>
      <w:r w:rsidR="00B7607B">
        <w:rPr>
          <w:rFonts w:ascii="Arial" w:hAnsi="Arial" w:cs="Arial"/>
        </w:rPr>
        <w:t xml:space="preserve"> 10 June there were </w:t>
      </w:r>
      <w:r w:rsidR="00140611">
        <w:rPr>
          <w:rFonts w:ascii="Arial" w:hAnsi="Arial" w:cs="Arial"/>
        </w:rPr>
        <w:t>44 urgent referrals waiting longer than 7 days)</w:t>
      </w:r>
    </w:p>
    <w:p w14:paraId="6E8490AC" w14:textId="178A2896" w:rsidR="00401D4E" w:rsidRPr="00DE31AF" w:rsidRDefault="003C6DD4" w:rsidP="001846A7">
      <w:pPr>
        <w:pStyle w:val="ListParagraph"/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Oxon an</w:t>
      </w:r>
      <w:r w:rsidR="004934D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401D4E" w:rsidRPr="00DE31AF">
        <w:rPr>
          <w:rFonts w:ascii="Arial" w:hAnsi="Arial" w:cs="Arial"/>
        </w:rPr>
        <w:t>B</w:t>
      </w:r>
      <w:r w:rsidR="0014655C" w:rsidRPr="00DE31AF">
        <w:rPr>
          <w:rFonts w:ascii="Arial" w:hAnsi="Arial" w:cs="Arial"/>
        </w:rPr>
        <w:t>SW</w:t>
      </w:r>
      <w:r w:rsidR="00401D4E" w:rsidRPr="00DE31AF">
        <w:rPr>
          <w:rFonts w:ascii="Arial" w:hAnsi="Arial" w:cs="Arial"/>
        </w:rPr>
        <w:t xml:space="preserve"> CAMHS</w:t>
      </w:r>
      <w:r w:rsidR="00B7607B">
        <w:rPr>
          <w:rFonts w:ascii="Arial" w:hAnsi="Arial" w:cs="Arial"/>
        </w:rPr>
        <w:t xml:space="preserve"> (</w:t>
      </w:r>
      <w:proofErr w:type="gramStart"/>
      <w:r w:rsidR="00B7607B">
        <w:rPr>
          <w:rFonts w:ascii="Arial" w:hAnsi="Arial" w:cs="Arial"/>
        </w:rPr>
        <w:t>at</w:t>
      </w:r>
      <w:proofErr w:type="gramEnd"/>
      <w:r w:rsidR="00B7607B">
        <w:rPr>
          <w:rFonts w:ascii="Arial" w:hAnsi="Arial" w:cs="Arial"/>
        </w:rPr>
        <w:t xml:space="preserve"> 10 June there were </w:t>
      </w:r>
      <w:r w:rsidR="000B5DB0">
        <w:rPr>
          <w:rFonts w:ascii="Arial" w:hAnsi="Arial" w:cs="Arial"/>
        </w:rPr>
        <w:t xml:space="preserve">21 </w:t>
      </w:r>
      <w:r w:rsidR="00B7607B">
        <w:rPr>
          <w:rFonts w:ascii="Arial" w:hAnsi="Arial" w:cs="Arial"/>
        </w:rPr>
        <w:t xml:space="preserve">emergency referrals </w:t>
      </w:r>
      <w:r w:rsidR="00214DCB">
        <w:rPr>
          <w:rFonts w:ascii="Arial" w:hAnsi="Arial" w:cs="Arial"/>
        </w:rPr>
        <w:t xml:space="preserve">who have already waited </w:t>
      </w:r>
      <w:r w:rsidR="00B7607B">
        <w:rPr>
          <w:rFonts w:ascii="Arial" w:hAnsi="Arial" w:cs="Arial"/>
        </w:rPr>
        <w:t xml:space="preserve">longer than 48 hours and </w:t>
      </w:r>
      <w:r w:rsidR="000B5DB0">
        <w:rPr>
          <w:rFonts w:ascii="Arial" w:hAnsi="Arial" w:cs="Arial"/>
        </w:rPr>
        <w:t>37 urgent referrals waiting longer than 7 days)</w:t>
      </w:r>
    </w:p>
    <w:p w14:paraId="3A08A33D" w14:textId="203FC15C" w:rsidR="002B08F2" w:rsidRDefault="009902EA" w:rsidP="002B08F2">
      <w:pPr>
        <w:pStyle w:val="ListParagraph"/>
        <w:numPr>
          <w:ilvl w:val="0"/>
          <w:numId w:val="8"/>
        </w:numPr>
        <w:contextualSpacing/>
        <w:rPr>
          <w:rFonts w:ascii="Arial" w:hAnsi="Arial" w:cs="Arial"/>
        </w:rPr>
      </w:pPr>
      <w:r w:rsidRPr="00DE31AF">
        <w:rPr>
          <w:rFonts w:ascii="Arial" w:hAnsi="Arial" w:cs="Arial"/>
        </w:rPr>
        <w:t xml:space="preserve">Community Services </w:t>
      </w:r>
      <w:r w:rsidR="0051395C">
        <w:rPr>
          <w:rFonts w:ascii="Arial" w:hAnsi="Arial" w:cs="Arial"/>
        </w:rPr>
        <w:t>(</w:t>
      </w:r>
      <w:proofErr w:type="gramStart"/>
      <w:r w:rsidR="0051395C">
        <w:rPr>
          <w:rFonts w:ascii="Arial" w:hAnsi="Arial" w:cs="Arial"/>
        </w:rPr>
        <w:t>at</w:t>
      </w:r>
      <w:proofErr w:type="gramEnd"/>
      <w:r w:rsidR="0051395C">
        <w:rPr>
          <w:rFonts w:ascii="Arial" w:hAnsi="Arial" w:cs="Arial"/>
        </w:rPr>
        <w:t xml:space="preserve"> 10 June there were </w:t>
      </w:r>
      <w:r w:rsidR="00F21675">
        <w:rPr>
          <w:rFonts w:ascii="Arial" w:hAnsi="Arial" w:cs="Arial"/>
        </w:rPr>
        <w:t xml:space="preserve">106 emergency referrals </w:t>
      </w:r>
      <w:r w:rsidR="00214DCB">
        <w:rPr>
          <w:rFonts w:ascii="Arial" w:hAnsi="Arial" w:cs="Arial"/>
        </w:rPr>
        <w:t>who have already waited</w:t>
      </w:r>
      <w:r w:rsidR="00F21675">
        <w:rPr>
          <w:rFonts w:ascii="Arial" w:hAnsi="Arial" w:cs="Arial"/>
        </w:rPr>
        <w:t xml:space="preserve"> longer than 48 hours and </w:t>
      </w:r>
      <w:r w:rsidR="00214DCB">
        <w:rPr>
          <w:rFonts w:ascii="Arial" w:hAnsi="Arial" w:cs="Arial"/>
        </w:rPr>
        <w:t>579 urgent referrals who have already waited longer than 7 days)</w:t>
      </w:r>
      <w:r w:rsidRPr="00DE31AF">
        <w:rPr>
          <w:rFonts w:ascii="Arial" w:hAnsi="Arial" w:cs="Arial"/>
        </w:rPr>
        <w:t xml:space="preserve"> </w:t>
      </w:r>
      <w:r w:rsidR="002619E0" w:rsidRPr="00DE31AF">
        <w:rPr>
          <w:rFonts w:ascii="Arial" w:hAnsi="Arial" w:cs="Arial"/>
        </w:rPr>
        <w:t>Respiratory Services, Podiatry</w:t>
      </w:r>
      <w:r w:rsidR="005B4156" w:rsidRPr="00DE31AF">
        <w:rPr>
          <w:rFonts w:ascii="Arial" w:hAnsi="Arial" w:cs="Arial"/>
        </w:rPr>
        <w:t xml:space="preserve">, </w:t>
      </w:r>
      <w:r w:rsidR="00EF307A" w:rsidRPr="00DE31AF">
        <w:rPr>
          <w:rFonts w:ascii="Arial" w:hAnsi="Arial" w:cs="Arial"/>
        </w:rPr>
        <w:t>Tissue Viability</w:t>
      </w:r>
      <w:r w:rsidR="00F51B1E">
        <w:rPr>
          <w:rFonts w:ascii="Arial" w:hAnsi="Arial" w:cs="Arial"/>
        </w:rPr>
        <w:t>, Children’s Integrated Therapies</w:t>
      </w:r>
    </w:p>
    <w:p w14:paraId="48E997CD" w14:textId="139E5B9B" w:rsidR="008116E8" w:rsidRDefault="008116E8" w:rsidP="008116E8">
      <w:pPr>
        <w:contextualSpacing/>
        <w:rPr>
          <w:rFonts w:ascii="Arial" w:hAnsi="Arial" w:cs="Arial"/>
        </w:rPr>
      </w:pPr>
    </w:p>
    <w:p w14:paraId="3D2D168F" w14:textId="453FF393" w:rsidR="008116E8" w:rsidRPr="008116E8" w:rsidRDefault="008116E8" w:rsidP="008116E8">
      <w:pPr>
        <w:contextualSpacing/>
        <w:rPr>
          <w:rFonts w:ascii="Arial" w:hAnsi="Arial" w:cs="Arial"/>
          <w:u w:val="single"/>
        </w:rPr>
      </w:pPr>
      <w:r w:rsidRPr="008116E8">
        <w:rPr>
          <w:rFonts w:ascii="Arial" w:hAnsi="Arial" w:cs="Arial"/>
          <w:u w:val="single"/>
        </w:rPr>
        <w:t>Services have additional mitigations in place to manage risks whilst patients are waiting to be seen.</w:t>
      </w:r>
    </w:p>
    <w:p w14:paraId="5CF1C93B" w14:textId="77777777" w:rsidR="006A7572" w:rsidRPr="001846A7" w:rsidRDefault="006A7572" w:rsidP="001846A7">
      <w:pPr>
        <w:spacing w:after="160" w:line="259" w:lineRule="auto"/>
        <w:ind w:left="360"/>
        <w:contextualSpacing/>
        <w:rPr>
          <w:rFonts w:ascii="Arial" w:hAnsi="Arial" w:cs="Arial"/>
        </w:rPr>
      </w:pPr>
    </w:p>
    <w:p w14:paraId="6D07A1C4" w14:textId="6CDE04C9" w:rsidR="006D43B2" w:rsidRPr="00C23811" w:rsidRDefault="005824E7" w:rsidP="00D90129">
      <w:pPr>
        <w:rPr>
          <w:rFonts w:ascii="Arial" w:hAnsi="Arial" w:cs="Arial"/>
          <w:b/>
          <w:bCs/>
        </w:rPr>
      </w:pPr>
      <w:r w:rsidRPr="00C23811">
        <w:rPr>
          <w:rFonts w:ascii="Arial" w:hAnsi="Arial" w:cs="Arial"/>
          <w:b/>
          <w:bCs/>
        </w:rPr>
        <w:t>Contractual K</w:t>
      </w:r>
      <w:r w:rsidR="00C23811">
        <w:rPr>
          <w:rFonts w:ascii="Arial" w:hAnsi="Arial" w:cs="Arial"/>
          <w:b/>
          <w:bCs/>
        </w:rPr>
        <w:t xml:space="preserve">ey </w:t>
      </w:r>
      <w:r w:rsidRPr="00C23811">
        <w:rPr>
          <w:rFonts w:ascii="Arial" w:hAnsi="Arial" w:cs="Arial"/>
          <w:b/>
          <w:bCs/>
        </w:rPr>
        <w:t>P</w:t>
      </w:r>
      <w:r w:rsidR="00C23811">
        <w:rPr>
          <w:rFonts w:ascii="Arial" w:hAnsi="Arial" w:cs="Arial"/>
          <w:b/>
          <w:bCs/>
        </w:rPr>
        <w:t xml:space="preserve">erformance </w:t>
      </w:r>
      <w:r w:rsidRPr="00C23811">
        <w:rPr>
          <w:rFonts w:ascii="Arial" w:hAnsi="Arial" w:cs="Arial"/>
          <w:b/>
          <w:bCs/>
        </w:rPr>
        <w:t>I</w:t>
      </w:r>
      <w:r w:rsidR="00C23811">
        <w:rPr>
          <w:rFonts w:ascii="Arial" w:hAnsi="Arial" w:cs="Arial"/>
          <w:b/>
          <w:bCs/>
        </w:rPr>
        <w:t>ndicator (KPI)</w:t>
      </w:r>
      <w:r w:rsidRPr="00C23811">
        <w:rPr>
          <w:rFonts w:ascii="Arial" w:hAnsi="Arial" w:cs="Arial"/>
          <w:b/>
          <w:bCs/>
        </w:rPr>
        <w:t xml:space="preserve"> Performance</w:t>
      </w:r>
    </w:p>
    <w:p w14:paraId="1334E13D" w14:textId="6EB18F17" w:rsidR="005824E7" w:rsidRPr="00C23811" w:rsidRDefault="005824E7" w:rsidP="00D90129">
      <w:pPr>
        <w:rPr>
          <w:rFonts w:ascii="Arial" w:hAnsi="Arial" w:cs="Arial"/>
        </w:rPr>
      </w:pPr>
    </w:p>
    <w:p w14:paraId="2CCB4C75" w14:textId="624A4EB5" w:rsidR="005824E7" w:rsidRDefault="005824E7" w:rsidP="00D90129">
      <w:pPr>
        <w:rPr>
          <w:rFonts w:ascii="Arial" w:hAnsi="Arial" w:cs="Arial"/>
        </w:rPr>
      </w:pPr>
      <w:r w:rsidRPr="00CA2EC4">
        <w:rPr>
          <w:rFonts w:ascii="Arial" w:hAnsi="Arial" w:cs="Arial"/>
        </w:rPr>
        <w:t xml:space="preserve">The Trust achieved </w:t>
      </w:r>
      <w:r w:rsidR="00720440" w:rsidRPr="00CA2EC4">
        <w:rPr>
          <w:rFonts w:ascii="Arial" w:hAnsi="Arial" w:cs="Arial"/>
        </w:rPr>
        <w:t>8</w:t>
      </w:r>
      <w:r w:rsidR="00D86187">
        <w:rPr>
          <w:rFonts w:ascii="Arial" w:hAnsi="Arial" w:cs="Arial"/>
        </w:rPr>
        <w:t>3</w:t>
      </w:r>
      <w:r w:rsidRPr="00CA2EC4">
        <w:rPr>
          <w:rFonts w:ascii="Arial" w:hAnsi="Arial" w:cs="Arial"/>
        </w:rPr>
        <w:t xml:space="preserve">% of its contractual KPIs in </w:t>
      </w:r>
      <w:r w:rsidR="00387B72">
        <w:rPr>
          <w:rFonts w:ascii="Arial" w:hAnsi="Arial" w:cs="Arial"/>
        </w:rPr>
        <w:t>May</w:t>
      </w:r>
    </w:p>
    <w:p w14:paraId="25F2892F" w14:textId="3495BD12" w:rsidR="007A2CF0" w:rsidRDefault="007A2CF0" w:rsidP="003F7D89">
      <w:pPr>
        <w:rPr>
          <w:rFonts w:ascii="Segoe UI" w:hAnsi="Segoe UI" w:cs="Segoe UI"/>
          <w:i/>
        </w:rPr>
      </w:pPr>
    </w:p>
    <w:p w14:paraId="7264DAC3" w14:textId="4F1AEDBF" w:rsidR="00FA3993" w:rsidRPr="00FA3993" w:rsidRDefault="00FA3993" w:rsidP="007A2CF0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Governance Route/</w:t>
      </w:r>
      <w:r w:rsidR="00745B27">
        <w:rPr>
          <w:rFonts w:ascii="Segoe UI" w:hAnsi="Segoe UI" w:cs="Segoe UI"/>
          <w:b/>
        </w:rPr>
        <w:t>Escalation</w:t>
      </w:r>
      <w:r>
        <w:rPr>
          <w:rFonts w:ascii="Segoe UI" w:hAnsi="Segoe UI" w:cs="Segoe UI"/>
          <w:b/>
        </w:rPr>
        <w:t xml:space="preserve"> Process</w:t>
      </w:r>
    </w:p>
    <w:p w14:paraId="67787F0B" w14:textId="77777777" w:rsidR="00D90129" w:rsidRPr="00D90129" w:rsidRDefault="00D90129" w:rsidP="0073522A">
      <w:pPr>
        <w:jc w:val="both"/>
        <w:rPr>
          <w:rFonts w:ascii="Segoe UI" w:hAnsi="Segoe UI" w:cs="Segoe UI"/>
          <w:bCs/>
        </w:rPr>
      </w:pPr>
    </w:p>
    <w:p w14:paraId="0BF72E6A" w14:textId="01881457" w:rsidR="00D90129" w:rsidRPr="00D90129" w:rsidRDefault="00D90129" w:rsidP="00D9012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information that forms the basis for this monthly report is presented to the Operations Management Team and Executive Management Committee on a weekly basis.  The report is also presented at the Directorate Performance Management meetings and at the Board Committees as required.</w:t>
      </w:r>
    </w:p>
    <w:p w14:paraId="1B67BD04" w14:textId="77777777" w:rsidR="00D90129" w:rsidRDefault="00D90129" w:rsidP="0073522A">
      <w:pPr>
        <w:jc w:val="both"/>
        <w:rPr>
          <w:rFonts w:ascii="Segoe UI" w:hAnsi="Segoe UI" w:cs="Segoe UI"/>
          <w:b/>
        </w:rPr>
      </w:pPr>
    </w:p>
    <w:p w14:paraId="32F36C83" w14:textId="14AEAB88" w:rsidR="0073522A" w:rsidRPr="00FA3993" w:rsidRDefault="0073522A" w:rsidP="0073522A">
      <w:pPr>
        <w:jc w:val="both"/>
        <w:rPr>
          <w:rFonts w:ascii="Segoe UI" w:hAnsi="Segoe UI" w:cs="Segoe UI"/>
          <w:b/>
        </w:rPr>
      </w:pPr>
      <w:r w:rsidRPr="00FA3993">
        <w:rPr>
          <w:rFonts w:ascii="Segoe UI" w:hAnsi="Segoe UI" w:cs="Segoe UI"/>
          <w:b/>
        </w:rPr>
        <w:t>Recommendation</w:t>
      </w:r>
    </w:p>
    <w:p w14:paraId="14276737" w14:textId="5C80FEAF" w:rsidR="00D628E5" w:rsidRDefault="00D628E5" w:rsidP="0073522A">
      <w:pPr>
        <w:jc w:val="both"/>
        <w:rPr>
          <w:rFonts w:ascii="Segoe UI" w:hAnsi="Segoe UI" w:cs="Segoe UI"/>
        </w:rPr>
      </w:pPr>
    </w:p>
    <w:p w14:paraId="5BB75870" w14:textId="68A00E87" w:rsidR="00D90129" w:rsidRPr="00D90129" w:rsidRDefault="00D90129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of Directors are asked to note the contents of </w:t>
      </w:r>
      <w:r w:rsidR="00186B54">
        <w:rPr>
          <w:rFonts w:ascii="Arial" w:hAnsi="Arial" w:cs="Arial"/>
        </w:rPr>
        <w:t>this report</w:t>
      </w:r>
      <w:r>
        <w:rPr>
          <w:rFonts w:ascii="Arial" w:hAnsi="Arial" w:cs="Arial"/>
        </w:rPr>
        <w:t xml:space="preserve"> and provide further feedback </w:t>
      </w:r>
      <w:r w:rsidR="00186B54">
        <w:rPr>
          <w:rFonts w:ascii="Arial" w:hAnsi="Arial" w:cs="Arial"/>
        </w:rPr>
        <w:t>for continuous development</w:t>
      </w:r>
      <w:r>
        <w:rPr>
          <w:rFonts w:ascii="Arial" w:hAnsi="Arial" w:cs="Arial"/>
        </w:rPr>
        <w:t>.</w:t>
      </w:r>
    </w:p>
    <w:p w14:paraId="4F5E32FA" w14:textId="77777777" w:rsidR="005D3499" w:rsidRPr="00FA3993" w:rsidRDefault="005D3499">
      <w:pPr>
        <w:jc w:val="both"/>
        <w:rPr>
          <w:rFonts w:ascii="Segoe UI" w:hAnsi="Segoe UI" w:cs="Segoe UI"/>
          <w:b/>
        </w:rPr>
      </w:pPr>
    </w:p>
    <w:p w14:paraId="0731830B" w14:textId="77777777" w:rsidR="00617CF6" w:rsidRDefault="002619EF" w:rsidP="0073522A">
      <w:pPr>
        <w:ind w:left="1440" w:hanging="1440"/>
        <w:jc w:val="both"/>
        <w:rPr>
          <w:rFonts w:ascii="Segoe UI" w:hAnsi="Segoe UI" w:cs="Segoe UI"/>
        </w:rPr>
      </w:pPr>
      <w:r w:rsidRPr="00FA3993">
        <w:rPr>
          <w:rFonts w:ascii="Segoe UI" w:hAnsi="Segoe UI" w:cs="Segoe UI"/>
          <w:b/>
        </w:rPr>
        <w:t>Author and T</w:t>
      </w:r>
      <w:r w:rsidR="0073522A" w:rsidRPr="00FA3993">
        <w:rPr>
          <w:rFonts w:ascii="Segoe UI" w:hAnsi="Segoe UI" w:cs="Segoe UI"/>
          <w:b/>
        </w:rPr>
        <w:t>itle:</w:t>
      </w:r>
      <w:r w:rsidR="007B02FB">
        <w:rPr>
          <w:rFonts w:ascii="Segoe UI" w:hAnsi="Segoe UI" w:cs="Segoe UI"/>
          <w:b/>
        </w:rPr>
        <w:t xml:space="preserve"> </w:t>
      </w:r>
      <w:r w:rsidR="00D90129">
        <w:rPr>
          <w:rFonts w:ascii="Segoe UI" w:hAnsi="Segoe UI" w:cs="Segoe UI"/>
          <w:b/>
        </w:rPr>
        <w:t>Martyn Ward</w:t>
      </w:r>
      <w:r w:rsidR="00D90129">
        <w:rPr>
          <w:rFonts w:ascii="Segoe UI" w:hAnsi="Segoe UI" w:cs="Segoe UI"/>
        </w:rPr>
        <w:t xml:space="preserve">.  </w:t>
      </w:r>
    </w:p>
    <w:p w14:paraId="6BD6928F" w14:textId="117CEE74" w:rsidR="003F7366" w:rsidRDefault="00617CF6" w:rsidP="0073522A">
      <w:pPr>
        <w:ind w:left="1440" w:hanging="144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Executive Director – Digital &amp; Transformation</w:t>
      </w:r>
    </w:p>
    <w:p w14:paraId="00D48720" w14:textId="77777777" w:rsidR="00617CF6" w:rsidRPr="00D90129" w:rsidRDefault="00617CF6" w:rsidP="0073522A">
      <w:pPr>
        <w:ind w:left="1440" w:hanging="1440"/>
        <w:jc w:val="both"/>
        <w:rPr>
          <w:rFonts w:ascii="Segoe UI" w:hAnsi="Segoe UI" w:cs="Segoe UI"/>
          <w:b/>
          <w:bCs/>
        </w:rPr>
      </w:pPr>
    </w:p>
    <w:p w14:paraId="65D6ACD6" w14:textId="77777777" w:rsidR="00617CF6" w:rsidRDefault="0073522A" w:rsidP="00FA3993">
      <w:pPr>
        <w:jc w:val="both"/>
        <w:rPr>
          <w:rFonts w:ascii="Segoe UI" w:hAnsi="Segoe UI" w:cs="Segoe UI"/>
          <w:b/>
        </w:rPr>
      </w:pPr>
      <w:r w:rsidRPr="00FA3993">
        <w:rPr>
          <w:rFonts w:ascii="Segoe UI" w:hAnsi="Segoe UI" w:cs="Segoe UI"/>
          <w:b/>
        </w:rPr>
        <w:t>Lead Executive Director:</w:t>
      </w:r>
      <w:r w:rsidR="007B02FB">
        <w:rPr>
          <w:rFonts w:ascii="Segoe UI" w:hAnsi="Segoe UI" w:cs="Segoe UI"/>
          <w:b/>
        </w:rPr>
        <w:t xml:space="preserve"> </w:t>
      </w:r>
      <w:r w:rsidR="00D90129">
        <w:rPr>
          <w:rFonts w:ascii="Segoe UI" w:hAnsi="Segoe UI" w:cs="Segoe UI"/>
          <w:b/>
        </w:rPr>
        <w:t xml:space="preserve">Martyn Ward.  </w:t>
      </w:r>
    </w:p>
    <w:p w14:paraId="6233BFAB" w14:textId="2B3ECE7E" w:rsidR="00030247" w:rsidRPr="00F945DB" w:rsidRDefault="00617CF6" w:rsidP="0073522A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Executive Director – Digital &amp; Transformation</w:t>
      </w:r>
      <w:r w:rsidR="007B02FB">
        <w:rPr>
          <w:rFonts w:ascii="Segoe UI" w:hAnsi="Segoe UI" w:cs="Segoe UI"/>
          <w:b/>
        </w:rPr>
        <w:t xml:space="preserve"> </w:t>
      </w:r>
    </w:p>
    <w:sectPr w:rsidR="00030247" w:rsidRPr="00F945DB" w:rsidSect="001B1DC7">
      <w:footerReference w:type="default" r:id="rId12"/>
      <w:headerReference w:type="first" r:id="rId13"/>
      <w:pgSz w:w="12240" w:h="15840" w:code="1"/>
      <w:pgMar w:top="1440" w:right="1183" w:bottom="144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246A" w14:textId="77777777" w:rsidR="00602BAE" w:rsidRDefault="00602BAE" w:rsidP="005B3E3C">
      <w:r>
        <w:separator/>
      </w:r>
    </w:p>
  </w:endnote>
  <w:endnote w:type="continuationSeparator" w:id="0">
    <w:p w14:paraId="5EF2ADA8" w14:textId="77777777" w:rsidR="00602BAE" w:rsidRDefault="00602BAE" w:rsidP="005B3E3C">
      <w:r>
        <w:continuationSeparator/>
      </w:r>
    </w:p>
  </w:endnote>
  <w:endnote w:type="continuationNotice" w:id="1">
    <w:p w14:paraId="6869E58F" w14:textId="77777777" w:rsidR="00602BAE" w:rsidRDefault="00602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9255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946313" w14:textId="77777777" w:rsidR="000A583B" w:rsidRDefault="000A58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AA9D14D" w14:textId="77777777" w:rsidR="000A583B" w:rsidRDefault="000A5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2E3A" w14:textId="77777777" w:rsidR="00602BAE" w:rsidRDefault="00602BAE" w:rsidP="005B3E3C">
      <w:r>
        <w:separator/>
      </w:r>
    </w:p>
  </w:footnote>
  <w:footnote w:type="continuationSeparator" w:id="0">
    <w:p w14:paraId="3328068D" w14:textId="77777777" w:rsidR="00602BAE" w:rsidRDefault="00602BAE" w:rsidP="005B3E3C">
      <w:r>
        <w:continuationSeparator/>
      </w:r>
    </w:p>
  </w:footnote>
  <w:footnote w:type="continuationNotice" w:id="1">
    <w:p w14:paraId="307EB3C4" w14:textId="77777777" w:rsidR="00602BAE" w:rsidRDefault="00602B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5F45" w14:textId="77777777" w:rsidR="00DB0979" w:rsidRDefault="00262F0F" w:rsidP="00262F0F">
    <w:pPr>
      <w:pStyle w:val="Header"/>
      <w:jc w:val="center"/>
      <w:rPr>
        <w:rFonts w:ascii="Segoe UI" w:hAnsi="Segoe UI" w:cs="Segoe UI"/>
        <w:b/>
        <w:i/>
      </w:rPr>
    </w:pPr>
    <w:r w:rsidRPr="00FA3993">
      <w:rPr>
        <w:rFonts w:ascii="Segoe UI" w:hAnsi="Segoe UI" w:cs="Segoe UI"/>
        <w:b/>
        <w:i/>
      </w:rPr>
      <w:t xml:space="preserve">PUBLIC </w:t>
    </w:r>
    <w:r w:rsidR="00DB0979">
      <w:rPr>
        <w:rFonts w:ascii="Segoe UI" w:hAnsi="Segoe UI" w:cs="Segoe UI"/>
        <w:b/>
        <w:i/>
      </w:rPr>
      <w:t>– NOT TO BE REMOVED UNTIL END OF BOARD MEETING</w:t>
    </w:r>
  </w:p>
  <w:p w14:paraId="41D867A1" w14:textId="52AE5C55" w:rsidR="00262F0F" w:rsidRDefault="00262F0F" w:rsidP="00D901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759F"/>
    <w:multiLevelType w:val="hybridMultilevel"/>
    <w:tmpl w:val="650AB38A"/>
    <w:lvl w:ilvl="0" w:tplc="4FFCE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A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E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09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29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EC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4A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8D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DC1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8D04A6"/>
    <w:multiLevelType w:val="hybridMultilevel"/>
    <w:tmpl w:val="20EC7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22390"/>
    <w:multiLevelType w:val="hybridMultilevel"/>
    <w:tmpl w:val="F70AD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9882510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4C1D"/>
    <w:multiLevelType w:val="hybridMultilevel"/>
    <w:tmpl w:val="95042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D2DCC"/>
    <w:multiLevelType w:val="hybridMultilevel"/>
    <w:tmpl w:val="3D4AA852"/>
    <w:lvl w:ilvl="0" w:tplc="BCF6B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23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21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A1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23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A3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2F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9E5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6C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FB60BC"/>
    <w:multiLevelType w:val="hybridMultilevel"/>
    <w:tmpl w:val="C4963FA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2EEA724C"/>
    <w:multiLevelType w:val="hybridMultilevel"/>
    <w:tmpl w:val="38E2C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C3E90"/>
    <w:multiLevelType w:val="hybridMultilevel"/>
    <w:tmpl w:val="C5BC6C92"/>
    <w:lvl w:ilvl="0" w:tplc="BDF84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25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9C4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A0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C0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AD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FAF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ED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AA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74752B"/>
    <w:multiLevelType w:val="hybridMultilevel"/>
    <w:tmpl w:val="17BA94FE"/>
    <w:lvl w:ilvl="0" w:tplc="8DC2DC9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03298"/>
    <w:multiLevelType w:val="hybridMultilevel"/>
    <w:tmpl w:val="66ECC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A61867"/>
    <w:multiLevelType w:val="hybridMultilevel"/>
    <w:tmpl w:val="D946F120"/>
    <w:lvl w:ilvl="0" w:tplc="E6365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87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4C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C8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2F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2C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A1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5EC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AA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861CE0"/>
    <w:multiLevelType w:val="hybridMultilevel"/>
    <w:tmpl w:val="D2466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6852C0"/>
    <w:multiLevelType w:val="hybridMultilevel"/>
    <w:tmpl w:val="BF140852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ECF7E66"/>
    <w:multiLevelType w:val="hybridMultilevel"/>
    <w:tmpl w:val="BBB6D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57540"/>
    <w:multiLevelType w:val="hybridMultilevel"/>
    <w:tmpl w:val="E5D82088"/>
    <w:lvl w:ilvl="0" w:tplc="869CA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7CA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87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2F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C2A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ED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4C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25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C2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533572"/>
    <w:multiLevelType w:val="hybridMultilevel"/>
    <w:tmpl w:val="323A4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1DB7"/>
    <w:multiLevelType w:val="hybridMultilevel"/>
    <w:tmpl w:val="0EC275DC"/>
    <w:lvl w:ilvl="0" w:tplc="57BC4E16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4C635C"/>
    <w:multiLevelType w:val="hybridMultilevel"/>
    <w:tmpl w:val="69901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24F87"/>
    <w:multiLevelType w:val="hybridMultilevel"/>
    <w:tmpl w:val="83B68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4683F"/>
    <w:multiLevelType w:val="hybridMultilevel"/>
    <w:tmpl w:val="2C202066"/>
    <w:lvl w:ilvl="0" w:tplc="2D48A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21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49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0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A0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C4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AA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27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63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9D0BBE"/>
    <w:multiLevelType w:val="hybridMultilevel"/>
    <w:tmpl w:val="68DE9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C3337"/>
    <w:multiLevelType w:val="hybridMultilevel"/>
    <w:tmpl w:val="F96060B6"/>
    <w:lvl w:ilvl="0" w:tplc="B09A9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85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C8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0F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C0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AD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CA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A3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C4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96034C3"/>
    <w:multiLevelType w:val="hybridMultilevel"/>
    <w:tmpl w:val="C392355E"/>
    <w:lvl w:ilvl="0" w:tplc="C3C60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61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4A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25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42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A07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B45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47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6A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A73585A"/>
    <w:multiLevelType w:val="hybridMultilevel"/>
    <w:tmpl w:val="5932548C"/>
    <w:lvl w:ilvl="0" w:tplc="EC088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0A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80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1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29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69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83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AA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23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AD5205D"/>
    <w:multiLevelType w:val="hybridMultilevel"/>
    <w:tmpl w:val="698C8C9A"/>
    <w:lvl w:ilvl="0" w:tplc="5BDEB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03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8F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2C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CD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8D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4C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07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2B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FA93B86"/>
    <w:multiLevelType w:val="hybridMultilevel"/>
    <w:tmpl w:val="964423A6"/>
    <w:lvl w:ilvl="0" w:tplc="E536E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42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6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162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09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A1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6F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0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E5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2"/>
  </w:num>
  <w:num w:numId="5">
    <w:abstractNumId w:val="14"/>
  </w:num>
  <w:num w:numId="6">
    <w:abstractNumId w:val="5"/>
  </w:num>
  <w:num w:numId="7">
    <w:abstractNumId w:val="17"/>
  </w:num>
  <w:num w:numId="8">
    <w:abstractNumId w:val="8"/>
  </w:num>
  <w:num w:numId="9">
    <w:abstractNumId w:val="15"/>
  </w:num>
  <w:num w:numId="10">
    <w:abstractNumId w:val="1"/>
  </w:num>
  <w:num w:numId="11">
    <w:abstractNumId w:val="21"/>
  </w:num>
  <w:num w:numId="12">
    <w:abstractNumId w:val="20"/>
  </w:num>
  <w:num w:numId="13">
    <w:abstractNumId w:val="0"/>
  </w:num>
  <w:num w:numId="14">
    <w:abstractNumId w:val="25"/>
  </w:num>
  <w:num w:numId="15">
    <w:abstractNumId w:val="7"/>
  </w:num>
  <w:num w:numId="16">
    <w:abstractNumId w:val="27"/>
  </w:num>
  <w:num w:numId="17">
    <w:abstractNumId w:val="16"/>
  </w:num>
  <w:num w:numId="18">
    <w:abstractNumId w:val="26"/>
  </w:num>
  <w:num w:numId="19">
    <w:abstractNumId w:val="18"/>
  </w:num>
  <w:num w:numId="20">
    <w:abstractNumId w:val="24"/>
  </w:num>
  <w:num w:numId="21">
    <w:abstractNumId w:val="3"/>
  </w:num>
  <w:num w:numId="22">
    <w:abstractNumId w:val="9"/>
  </w:num>
  <w:num w:numId="23">
    <w:abstractNumId w:val="11"/>
  </w:num>
  <w:num w:numId="24">
    <w:abstractNumId w:val="4"/>
  </w:num>
  <w:num w:numId="25">
    <w:abstractNumId w:val="22"/>
  </w:num>
  <w:num w:numId="26">
    <w:abstractNumId w:val="28"/>
  </w:num>
  <w:num w:numId="27">
    <w:abstractNumId w:val="12"/>
  </w:num>
  <w:num w:numId="28">
    <w:abstractNumId w:val="23"/>
  </w:num>
  <w:num w:numId="29">
    <w:abstractNumId w:val="12"/>
  </w:num>
  <w:num w:numId="30">
    <w:abstractNumId w:val="2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E8"/>
    <w:rsid w:val="000068F2"/>
    <w:rsid w:val="00007177"/>
    <w:rsid w:val="00010A9D"/>
    <w:rsid w:val="0001608F"/>
    <w:rsid w:val="0002357B"/>
    <w:rsid w:val="0002698F"/>
    <w:rsid w:val="00030247"/>
    <w:rsid w:val="00030459"/>
    <w:rsid w:val="000312B3"/>
    <w:rsid w:val="000339AF"/>
    <w:rsid w:val="000346B1"/>
    <w:rsid w:val="00040A00"/>
    <w:rsid w:val="00043376"/>
    <w:rsid w:val="00046185"/>
    <w:rsid w:val="00047C22"/>
    <w:rsid w:val="00047FC8"/>
    <w:rsid w:val="000503A6"/>
    <w:rsid w:val="00052D28"/>
    <w:rsid w:val="00053B32"/>
    <w:rsid w:val="0005485C"/>
    <w:rsid w:val="00056A4A"/>
    <w:rsid w:val="00065E46"/>
    <w:rsid w:val="00071842"/>
    <w:rsid w:val="00072EA8"/>
    <w:rsid w:val="00073D2E"/>
    <w:rsid w:val="00082BF3"/>
    <w:rsid w:val="00084C43"/>
    <w:rsid w:val="00086151"/>
    <w:rsid w:val="0008660A"/>
    <w:rsid w:val="000914A0"/>
    <w:rsid w:val="00092ED2"/>
    <w:rsid w:val="00097E9A"/>
    <w:rsid w:val="000A09D6"/>
    <w:rsid w:val="000A3A29"/>
    <w:rsid w:val="000A583B"/>
    <w:rsid w:val="000A5A07"/>
    <w:rsid w:val="000B1914"/>
    <w:rsid w:val="000B3557"/>
    <w:rsid w:val="000B420F"/>
    <w:rsid w:val="000B5DB0"/>
    <w:rsid w:val="000C0AFA"/>
    <w:rsid w:val="000C21A7"/>
    <w:rsid w:val="000C3694"/>
    <w:rsid w:val="000C60A5"/>
    <w:rsid w:val="000D06D7"/>
    <w:rsid w:val="000D42CE"/>
    <w:rsid w:val="000D5CA7"/>
    <w:rsid w:val="000E317C"/>
    <w:rsid w:val="000F12EC"/>
    <w:rsid w:val="000F2BDA"/>
    <w:rsid w:val="000F3138"/>
    <w:rsid w:val="000F62CE"/>
    <w:rsid w:val="00101A8F"/>
    <w:rsid w:val="001032F1"/>
    <w:rsid w:val="001058A7"/>
    <w:rsid w:val="00112C52"/>
    <w:rsid w:val="00114ECB"/>
    <w:rsid w:val="0011774B"/>
    <w:rsid w:val="0012249A"/>
    <w:rsid w:val="001228BF"/>
    <w:rsid w:val="001238F0"/>
    <w:rsid w:val="00123A21"/>
    <w:rsid w:val="0012401B"/>
    <w:rsid w:val="00131FD8"/>
    <w:rsid w:val="00132D04"/>
    <w:rsid w:val="001359B9"/>
    <w:rsid w:val="00136C80"/>
    <w:rsid w:val="00140611"/>
    <w:rsid w:val="00140614"/>
    <w:rsid w:val="00142E3C"/>
    <w:rsid w:val="00145747"/>
    <w:rsid w:val="0014655C"/>
    <w:rsid w:val="001475D6"/>
    <w:rsid w:val="0015530E"/>
    <w:rsid w:val="00156986"/>
    <w:rsid w:val="00170318"/>
    <w:rsid w:val="001770CE"/>
    <w:rsid w:val="001800E9"/>
    <w:rsid w:val="001846A7"/>
    <w:rsid w:val="00186B54"/>
    <w:rsid w:val="001933A1"/>
    <w:rsid w:val="001A3829"/>
    <w:rsid w:val="001A4488"/>
    <w:rsid w:val="001A47DC"/>
    <w:rsid w:val="001B1DC7"/>
    <w:rsid w:val="001B4CFB"/>
    <w:rsid w:val="001B5873"/>
    <w:rsid w:val="001B7616"/>
    <w:rsid w:val="001B7E3D"/>
    <w:rsid w:val="001C0C15"/>
    <w:rsid w:val="001C0E43"/>
    <w:rsid w:val="001C5A99"/>
    <w:rsid w:val="001C7019"/>
    <w:rsid w:val="001D0E20"/>
    <w:rsid w:val="001D276C"/>
    <w:rsid w:val="001D3EDF"/>
    <w:rsid w:val="001E2EA1"/>
    <w:rsid w:val="001E530A"/>
    <w:rsid w:val="001E62A8"/>
    <w:rsid w:val="001E6AF7"/>
    <w:rsid w:val="001F2148"/>
    <w:rsid w:val="001F6319"/>
    <w:rsid w:val="001F68EE"/>
    <w:rsid w:val="001F76ED"/>
    <w:rsid w:val="00206463"/>
    <w:rsid w:val="002071A3"/>
    <w:rsid w:val="00214DCB"/>
    <w:rsid w:val="002151F3"/>
    <w:rsid w:val="002157CF"/>
    <w:rsid w:val="002211EA"/>
    <w:rsid w:val="00224C9E"/>
    <w:rsid w:val="002250DE"/>
    <w:rsid w:val="00227A3F"/>
    <w:rsid w:val="00227F8D"/>
    <w:rsid w:val="00227FCE"/>
    <w:rsid w:val="002300DB"/>
    <w:rsid w:val="00231DD9"/>
    <w:rsid w:val="00234556"/>
    <w:rsid w:val="00234DF1"/>
    <w:rsid w:val="00235483"/>
    <w:rsid w:val="00241A66"/>
    <w:rsid w:val="0025270C"/>
    <w:rsid w:val="002619E0"/>
    <w:rsid w:val="002619EF"/>
    <w:rsid w:val="00262F0F"/>
    <w:rsid w:val="002674FB"/>
    <w:rsid w:val="00267A66"/>
    <w:rsid w:val="00274347"/>
    <w:rsid w:val="0027501C"/>
    <w:rsid w:val="002821F8"/>
    <w:rsid w:val="00282923"/>
    <w:rsid w:val="00292613"/>
    <w:rsid w:val="0029418B"/>
    <w:rsid w:val="002A3234"/>
    <w:rsid w:val="002A465B"/>
    <w:rsid w:val="002A4AF2"/>
    <w:rsid w:val="002A59FB"/>
    <w:rsid w:val="002A63D9"/>
    <w:rsid w:val="002A6D14"/>
    <w:rsid w:val="002A73E8"/>
    <w:rsid w:val="002A7BC6"/>
    <w:rsid w:val="002B017D"/>
    <w:rsid w:val="002B0386"/>
    <w:rsid w:val="002B08F2"/>
    <w:rsid w:val="002B10E1"/>
    <w:rsid w:val="002B15C1"/>
    <w:rsid w:val="002B3FE9"/>
    <w:rsid w:val="002B7785"/>
    <w:rsid w:val="002C2F97"/>
    <w:rsid w:val="002C46B1"/>
    <w:rsid w:val="002C602B"/>
    <w:rsid w:val="002C688B"/>
    <w:rsid w:val="002C7AA1"/>
    <w:rsid w:val="002D3D1D"/>
    <w:rsid w:val="002E1316"/>
    <w:rsid w:val="002E1A57"/>
    <w:rsid w:val="002E2851"/>
    <w:rsid w:val="002E6FC6"/>
    <w:rsid w:val="002F0D9E"/>
    <w:rsid w:val="002F68D2"/>
    <w:rsid w:val="00300877"/>
    <w:rsid w:val="00306AF0"/>
    <w:rsid w:val="0031295D"/>
    <w:rsid w:val="00314429"/>
    <w:rsid w:val="003149DA"/>
    <w:rsid w:val="0031543B"/>
    <w:rsid w:val="00316193"/>
    <w:rsid w:val="003175E9"/>
    <w:rsid w:val="003246F4"/>
    <w:rsid w:val="003255C1"/>
    <w:rsid w:val="0032733D"/>
    <w:rsid w:val="00341FA3"/>
    <w:rsid w:val="00342477"/>
    <w:rsid w:val="00344CCD"/>
    <w:rsid w:val="00354C55"/>
    <w:rsid w:val="003656D3"/>
    <w:rsid w:val="0037099D"/>
    <w:rsid w:val="00372D77"/>
    <w:rsid w:val="00374CEF"/>
    <w:rsid w:val="00375129"/>
    <w:rsid w:val="00376913"/>
    <w:rsid w:val="0037699B"/>
    <w:rsid w:val="00381502"/>
    <w:rsid w:val="00387B72"/>
    <w:rsid w:val="003927AC"/>
    <w:rsid w:val="00396E3B"/>
    <w:rsid w:val="003971F6"/>
    <w:rsid w:val="003B34F3"/>
    <w:rsid w:val="003B687E"/>
    <w:rsid w:val="003B7D72"/>
    <w:rsid w:val="003C28CD"/>
    <w:rsid w:val="003C30F1"/>
    <w:rsid w:val="003C6DD4"/>
    <w:rsid w:val="003C6F47"/>
    <w:rsid w:val="003C7368"/>
    <w:rsid w:val="003D58C9"/>
    <w:rsid w:val="003E0F7E"/>
    <w:rsid w:val="003E4881"/>
    <w:rsid w:val="003F11CC"/>
    <w:rsid w:val="003F2273"/>
    <w:rsid w:val="003F2AF4"/>
    <w:rsid w:val="003F7366"/>
    <w:rsid w:val="003F7D89"/>
    <w:rsid w:val="00401339"/>
    <w:rsid w:val="00401D4E"/>
    <w:rsid w:val="00402549"/>
    <w:rsid w:val="00402953"/>
    <w:rsid w:val="0040375E"/>
    <w:rsid w:val="004066F1"/>
    <w:rsid w:val="0041359D"/>
    <w:rsid w:val="00421CCE"/>
    <w:rsid w:val="00423419"/>
    <w:rsid w:val="00426D3F"/>
    <w:rsid w:val="004303D1"/>
    <w:rsid w:val="004318BC"/>
    <w:rsid w:val="004326BB"/>
    <w:rsid w:val="0043488B"/>
    <w:rsid w:val="00434EA5"/>
    <w:rsid w:val="0044319B"/>
    <w:rsid w:val="00445DD7"/>
    <w:rsid w:val="004471AA"/>
    <w:rsid w:val="00447DDF"/>
    <w:rsid w:val="00450244"/>
    <w:rsid w:val="00456DDE"/>
    <w:rsid w:val="004575DC"/>
    <w:rsid w:val="004614A3"/>
    <w:rsid w:val="004615F8"/>
    <w:rsid w:val="00462C87"/>
    <w:rsid w:val="004655FD"/>
    <w:rsid w:val="00467914"/>
    <w:rsid w:val="00470570"/>
    <w:rsid w:val="00470696"/>
    <w:rsid w:val="004742D0"/>
    <w:rsid w:val="004821DB"/>
    <w:rsid w:val="00484D43"/>
    <w:rsid w:val="004907CD"/>
    <w:rsid w:val="00490965"/>
    <w:rsid w:val="004934DE"/>
    <w:rsid w:val="0049399C"/>
    <w:rsid w:val="004978C0"/>
    <w:rsid w:val="004A2819"/>
    <w:rsid w:val="004A30AB"/>
    <w:rsid w:val="004A3BFB"/>
    <w:rsid w:val="004B1397"/>
    <w:rsid w:val="004B1679"/>
    <w:rsid w:val="004B2244"/>
    <w:rsid w:val="004B4F1F"/>
    <w:rsid w:val="004B7358"/>
    <w:rsid w:val="004D0692"/>
    <w:rsid w:val="004D1A8E"/>
    <w:rsid w:val="004D403E"/>
    <w:rsid w:val="004D4496"/>
    <w:rsid w:val="004D76BF"/>
    <w:rsid w:val="004E1598"/>
    <w:rsid w:val="004E3537"/>
    <w:rsid w:val="004E5389"/>
    <w:rsid w:val="004F3F28"/>
    <w:rsid w:val="004F4BBA"/>
    <w:rsid w:val="00500453"/>
    <w:rsid w:val="0051395C"/>
    <w:rsid w:val="00514464"/>
    <w:rsid w:val="00516650"/>
    <w:rsid w:val="00517D0C"/>
    <w:rsid w:val="005233AA"/>
    <w:rsid w:val="00523450"/>
    <w:rsid w:val="00524EA4"/>
    <w:rsid w:val="00527092"/>
    <w:rsid w:val="00536D26"/>
    <w:rsid w:val="00536FB6"/>
    <w:rsid w:val="005403FE"/>
    <w:rsid w:val="00541297"/>
    <w:rsid w:val="00541A88"/>
    <w:rsid w:val="005470E3"/>
    <w:rsid w:val="00547FFD"/>
    <w:rsid w:val="00551AD9"/>
    <w:rsid w:val="00551B0F"/>
    <w:rsid w:val="005532CB"/>
    <w:rsid w:val="0055447C"/>
    <w:rsid w:val="00561B83"/>
    <w:rsid w:val="005659FB"/>
    <w:rsid w:val="00565A23"/>
    <w:rsid w:val="00573C34"/>
    <w:rsid w:val="005824E7"/>
    <w:rsid w:val="00586371"/>
    <w:rsid w:val="00591645"/>
    <w:rsid w:val="005953F8"/>
    <w:rsid w:val="00595994"/>
    <w:rsid w:val="005A16AD"/>
    <w:rsid w:val="005A17AB"/>
    <w:rsid w:val="005A23E0"/>
    <w:rsid w:val="005A43E1"/>
    <w:rsid w:val="005A4452"/>
    <w:rsid w:val="005A4D89"/>
    <w:rsid w:val="005A658B"/>
    <w:rsid w:val="005B2DC6"/>
    <w:rsid w:val="005B397A"/>
    <w:rsid w:val="005B3E3C"/>
    <w:rsid w:val="005B4156"/>
    <w:rsid w:val="005B7063"/>
    <w:rsid w:val="005C1CBA"/>
    <w:rsid w:val="005C231E"/>
    <w:rsid w:val="005C3FC1"/>
    <w:rsid w:val="005C40E1"/>
    <w:rsid w:val="005C4203"/>
    <w:rsid w:val="005C59AE"/>
    <w:rsid w:val="005C6E0B"/>
    <w:rsid w:val="005D3499"/>
    <w:rsid w:val="005D5FB9"/>
    <w:rsid w:val="005D6DE8"/>
    <w:rsid w:val="005E21F1"/>
    <w:rsid w:val="005E2583"/>
    <w:rsid w:val="005E2EF1"/>
    <w:rsid w:val="005F2C0B"/>
    <w:rsid w:val="005F74EE"/>
    <w:rsid w:val="00602BAE"/>
    <w:rsid w:val="006032E4"/>
    <w:rsid w:val="00604DC4"/>
    <w:rsid w:val="006055EC"/>
    <w:rsid w:val="006109A5"/>
    <w:rsid w:val="00612133"/>
    <w:rsid w:val="00615109"/>
    <w:rsid w:val="0061684E"/>
    <w:rsid w:val="00617CF6"/>
    <w:rsid w:val="0062042F"/>
    <w:rsid w:val="0062212A"/>
    <w:rsid w:val="00632969"/>
    <w:rsid w:val="0063336D"/>
    <w:rsid w:val="006333B3"/>
    <w:rsid w:val="0063463D"/>
    <w:rsid w:val="00636496"/>
    <w:rsid w:val="00640B14"/>
    <w:rsid w:val="00641A38"/>
    <w:rsid w:val="006460C4"/>
    <w:rsid w:val="0065057B"/>
    <w:rsid w:val="0065142A"/>
    <w:rsid w:val="00651840"/>
    <w:rsid w:val="00652E61"/>
    <w:rsid w:val="00654884"/>
    <w:rsid w:val="00662900"/>
    <w:rsid w:val="0066536E"/>
    <w:rsid w:val="006710C7"/>
    <w:rsid w:val="00681BA0"/>
    <w:rsid w:val="00683031"/>
    <w:rsid w:val="00693BD0"/>
    <w:rsid w:val="00695B6F"/>
    <w:rsid w:val="006A06DD"/>
    <w:rsid w:val="006A19D0"/>
    <w:rsid w:val="006A5736"/>
    <w:rsid w:val="006A5848"/>
    <w:rsid w:val="006A7572"/>
    <w:rsid w:val="006B02A9"/>
    <w:rsid w:val="006B14EF"/>
    <w:rsid w:val="006B39A0"/>
    <w:rsid w:val="006B5063"/>
    <w:rsid w:val="006C3147"/>
    <w:rsid w:val="006C5513"/>
    <w:rsid w:val="006D0F84"/>
    <w:rsid w:val="006D1A34"/>
    <w:rsid w:val="006D43B2"/>
    <w:rsid w:val="006D4BDD"/>
    <w:rsid w:val="006D6708"/>
    <w:rsid w:val="006E3C3E"/>
    <w:rsid w:val="006E4859"/>
    <w:rsid w:val="006F269A"/>
    <w:rsid w:val="006F2F62"/>
    <w:rsid w:val="006F3729"/>
    <w:rsid w:val="006F6C4E"/>
    <w:rsid w:val="00700753"/>
    <w:rsid w:val="00700C38"/>
    <w:rsid w:val="00701754"/>
    <w:rsid w:val="007059F5"/>
    <w:rsid w:val="00707457"/>
    <w:rsid w:val="007078B1"/>
    <w:rsid w:val="007146D9"/>
    <w:rsid w:val="00720440"/>
    <w:rsid w:val="007222E6"/>
    <w:rsid w:val="00724671"/>
    <w:rsid w:val="00725D91"/>
    <w:rsid w:val="0073096A"/>
    <w:rsid w:val="0073216E"/>
    <w:rsid w:val="00732F63"/>
    <w:rsid w:val="0073522A"/>
    <w:rsid w:val="00741F21"/>
    <w:rsid w:val="00744D92"/>
    <w:rsid w:val="00745B27"/>
    <w:rsid w:val="00747A6F"/>
    <w:rsid w:val="00750B32"/>
    <w:rsid w:val="0075130B"/>
    <w:rsid w:val="00752A99"/>
    <w:rsid w:val="007535CA"/>
    <w:rsid w:val="00757829"/>
    <w:rsid w:val="00757E07"/>
    <w:rsid w:val="007661B1"/>
    <w:rsid w:val="0076691E"/>
    <w:rsid w:val="007674AA"/>
    <w:rsid w:val="00767C86"/>
    <w:rsid w:val="007769CD"/>
    <w:rsid w:val="0078032B"/>
    <w:rsid w:val="00781566"/>
    <w:rsid w:val="007818DC"/>
    <w:rsid w:val="00783CDB"/>
    <w:rsid w:val="0078594B"/>
    <w:rsid w:val="00787D5A"/>
    <w:rsid w:val="00794540"/>
    <w:rsid w:val="00795C57"/>
    <w:rsid w:val="007976E7"/>
    <w:rsid w:val="007A2BF5"/>
    <w:rsid w:val="007A2CF0"/>
    <w:rsid w:val="007A37BD"/>
    <w:rsid w:val="007A3C28"/>
    <w:rsid w:val="007A40E9"/>
    <w:rsid w:val="007A6AA3"/>
    <w:rsid w:val="007A7740"/>
    <w:rsid w:val="007B02FB"/>
    <w:rsid w:val="007B2D01"/>
    <w:rsid w:val="007B3560"/>
    <w:rsid w:val="007B4BCE"/>
    <w:rsid w:val="007B6D77"/>
    <w:rsid w:val="007C070F"/>
    <w:rsid w:val="007C200D"/>
    <w:rsid w:val="007C337E"/>
    <w:rsid w:val="007D04AE"/>
    <w:rsid w:val="007D0ED7"/>
    <w:rsid w:val="007E5362"/>
    <w:rsid w:val="007E5A70"/>
    <w:rsid w:val="007E76A0"/>
    <w:rsid w:val="007F1D70"/>
    <w:rsid w:val="007F3F4E"/>
    <w:rsid w:val="007F4142"/>
    <w:rsid w:val="00801648"/>
    <w:rsid w:val="00802701"/>
    <w:rsid w:val="008038A2"/>
    <w:rsid w:val="00804ECD"/>
    <w:rsid w:val="00807F9A"/>
    <w:rsid w:val="008116E8"/>
    <w:rsid w:val="00811FE8"/>
    <w:rsid w:val="008169BA"/>
    <w:rsid w:val="008272D4"/>
    <w:rsid w:val="00841FE0"/>
    <w:rsid w:val="00842077"/>
    <w:rsid w:val="008425C6"/>
    <w:rsid w:val="008445EB"/>
    <w:rsid w:val="008446D2"/>
    <w:rsid w:val="0084720C"/>
    <w:rsid w:val="008476A3"/>
    <w:rsid w:val="00853846"/>
    <w:rsid w:val="008542D9"/>
    <w:rsid w:val="00863827"/>
    <w:rsid w:val="0086436B"/>
    <w:rsid w:val="00871AC9"/>
    <w:rsid w:val="00875C44"/>
    <w:rsid w:val="00876856"/>
    <w:rsid w:val="00877052"/>
    <w:rsid w:val="00877447"/>
    <w:rsid w:val="0088096A"/>
    <w:rsid w:val="008827D2"/>
    <w:rsid w:val="00883E57"/>
    <w:rsid w:val="008865A9"/>
    <w:rsid w:val="0088682D"/>
    <w:rsid w:val="00887D67"/>
    <w:rsid w:val="00894B97"/>
    <w:rsid w:val="00896E0E"/>
    <w:rsid w:val="008A2275"/>
    <w:rsid w:val="008A29F0"/>
    <w:rsid w:val="008A4418"/>
    <w:rsid w:val="008B082E"/>
    <w:rsid w:val="008B0A71"/>
    <w:rsid w:val="008B1ED9"/>
    <w:rsid w:val="008B3C4E"/>
    <w:rsid w:val="008B3C6B"/>
    <w:rsid w:val="008B564E"/>
    <w:rsid w:val="008C2026"/>
    <w:rsid w:val="008C389C"/>
    <w:rsid w:val="008C7B6A"/>
    <w:rsid w:val="008D0769"/>
    <w:rsid w:val="008D47EC"/>
    <w:rsid w:val="008E0098"/>
    <w:rsid w:val="008E3076"/>
    <w:rsid w:val="008E3F15"/>
    <w:rsid w:val="008E498D"/>
    <w:rsid w:val="008F5FE1"/>
    <w:rsid w:val="00903E98"/>
    <w:rsid w:val="00906CC5"/>
    <w:rsid w:val="00907098"/>
    <w:rsid w:val="00914771"/>
    <w:rsid w:val="00914AE7"/>
    <w:rsid w:val="00920123"/>
    <w:rsid w:val="00923166"/>
    <w:rsid w:val="00925898"/>
    <w:rsid w:val="00931A84"/>
    <w:rsid w:val="00943BBB"/>
    <w:rsid w:val="00946E6E"/>
    <w:rsid w:val="00946E97"/>
    <w:rsid w:val="00952D52"/>
    <w:rsid w:val="0096212E"/>
    <w:rsid w:val="00963FF4"/>
    <w:rsid w:val="009668C6"/>
    <w:rsid w:val="00966D9C"/>
    <w:rsid w:val="00973975"/>
    <w:rsid w:val="00973D44"/>
    <w:rsid w:val="0097530A"/>
    <w:rsid w:val="00980F81"/>
    <w:rsid w:val="00984A27"/>
    <w:rsid w:val="0098659B"/>
    <w:rsid w:val="009868B0"/>
    <w:rsid w:val="009869DE"/>
    <w:rsid w:val="0098716C"/>
    <w:rsid w:val="0098753A"/>
    <w:rsid w:val="009902EA"/>
    <w:rsid w:val="00992B9F"/>
    <w:rsid w:val="00995C63"/>
    <w:rsid w:val="009A036C"/>
    <w:rsid w:val="009A2389"/>
    <w:rsid w:val="009A295B"/>
    <w:rsid w:val="009A3886"/>
    <w:rsid w:val="009B029E"/>
    <w:rsid w:val="009B3BF4"/>
    <w:rsid w:val="009C4E62"/>
    <w:rsid w:val="009C604F"/>
    <w:rsid w:val="009D0578"/>
    <w:rsid w:val="009D3B9B"/>
    <w:rsid w:val="009D79FC"/>
    <w:rsid w:val="009E7FA6"/>
    <w:rsid w:val="009F33F6"/>
    <w:rsid w:val="009F40B3"/>
    <w:rsid w:val="009F5775"/>
    <w:rsid w:val="009F7567"/>
    <w:rsid w:val="00A016A0"/>
    <w:rsid w:val="00A01CAF"/>
    <w:rsid w:val="00A033A2"/>
    <w:rsid w:val="00A074F9"/>
    <w:rsid w:val="00A10AE3"/>
    <w:rsid w:val="00A11961"/>
    <w:rsid w:val="00A12515"/>
    <w:rsid w:val="00A12789"/>
    <w:rsid w:val="00A15680"/>
    <w:rsid w:val="00A15A88"/>
    <w:rsid w:val="00A1673D"/>
    <w:rsid w:val="00A16A9C"/>
    <w:rsid w:val="00A2002F"/>
    <w:rsid w:val="00A2080F"/>
    <w:rsid w:val="00A20B97"/>
    <w:rsid w:val="00A2617F"/>
    <w:rsid w:val="00A26A5E"/>
    <w:rsid w:val="00A26DA4"/>
    <w:rsid w:val="00A2720B"/>
    <w:rsid w:val="00A33C44"/>
    <w:rsid w:val="00A33F31"/>
    <w:rsid w:val="00A35D30"/>
    <w:rsid w:val="00A414C5"/>
    <w:rsid w:val="00A44118"/>
    <w:rsid w:val="00A477AC"/>
    <w:rsid w:val="00A50A18"/>
    <w:rsid w:val="00A50BD4"/>
    <w:rsid w:val="00A645B1"/>
    <w:rsid w:val="00A6484E"/>
    <w:rsid w:val="00A663C9"/>
    <w:rsid w:val="00A668F0"/>
    <w:rsid w:val="00A671E5"/>
    <w:rsid w:val="00A674FB"/>
    <w:rsid w:val="00A805BD"/>
    <w:rsid w:val="00A85311"/>
    <w:rsid w:val="00A86977"/>
    <w:rsid w:val="00A87053"/>
    <w:rsid w:val="00A94804"/>
    <w:rsid w:val="00AA0C3F"/>
    <w:rsid w:val="00AA0D4E"/>
    <w:rsid w:val="00AA1C2C"/>
    <w:rsid w:val="00AA44C3"/>
    <w:rsid w:val="00AB192D"/>
    <w:rsid w:val="00AB1D92"/>
    <w:rsid w:val="00AB6D9D"/>
    <w:rsid w:val="00AC041B"/>
    <w:rsid w:val="00AC1FDD"/>
    <w:rsid w:val="00AC3814"/>
    <w:rsid w:val="00AD5BB1"/>
    <w:rsid w:val="00AE28DD"/>
    <w:rsid w:val="00AE5EC2"/>
    <w:rsid w:val="00AE7742"/>
    <w:rsid w:val="00AF0562"/>
    <w:rsid w:val="00AF3153"/>
    <w:rsid w:val="00AF49EF"/>
    <w:rsid w:val="00B0704D"/>
    <w:rsid w:val="00B10BF3"/>
    <w:rsid w:val="00B10FB2"/>
    <w:rsid w:val="00B1407F"/>
    <w:rsid w:val="00B1454F"/>
    <w:rsid w:val="00B177B5"/>
    <w:rsid w:val="00B259AC"/>
    <w:rsid w:val="00B26E1A"/>
    <w:rsid w:val="00B26F2C"/>
    <w:rsid w:val="00B3591D"/>
    <w:rsid w:val="00B41E28"/>
    <w:rsid w:val="00B50D5E"/>
    <w:rsid w:val="00B64288"/>
    <w:rsid w:val="00B65EDD"/>
    <w:rsid w:val="00B66F84"/>
    <w:rsid w:val="00B7607B"/>
    <w:rsid w:val="00B76723"/>
    <w:rsid w:val="00B812F8"/>
    <w:rsid w:val="00B836F6"/>
    <w:rsid w:val="00B8632D"/>
    <w:rsid w:val="00B87AB2"/>
    <w:rsid w:val="00B918F8"/>
    <w:rsid w:val="00B93733"/>
    <w:rsid w:val="00BA19E7"/>
    <w:rsid w:val="00BA37AF"/>
    <w:rsid w:val="00BA3B3E"/>
    <w:rsid w:val="00BA3D5A"/>
    <w:rsid w:val="00BA4C6B"/>
    <w:rsid w:val="00BA5210"/>
    <w:rsid w:val="00BA5D2F"/>
    <w:rsid w:val="00BA72F0"/>
    <w:rsid w:val="00BB510B"/>
    <w:rsid w:val="00BC152C"/>
    <w:rsid w:val="00BC297D"/>
    <w:rsid w:val="00BC35DE"/>
    <w:rsid w:val="00BD246D"/>
    <w:rsid w:val="00BD334F"/>
    <w:rsid w:val="00BD5F8A"/>
    <w:rsid w:val="00BE1846"/>
    <w:rsid w:val="00BE4A91"/>
    <w:rsid w:val="00BE603F"/>
    <w:rsid w:val="00BE7C2D"/>
    <w:rsid w:val="00BF1D18"/>
    <w:rsid w:val="00BF3538"/>
    <w:rsid w:val="00BF4F0C"/>
    <w:rsid w:val="00BF5367"/>
    <w:rsid w:val="00C06C36"/>
    <w:rsid w:val="00C07817"/>
    <w:rsid w:val="00C11AA2"/>
    <w:rsid w:val="00C14023"/>
    <w:rsid w:val="00C14E60"/>
    <w:rsid w:val="00C15DF7"/>
    <w:rsid w:val="00C17216"/>
    <w:rsid w:val="00C17624"/>
    <w:rsid w:val="00C17A01"/>
    <w:rsid w:val="00C202D2"/>
    <w:rsid w:val="00C23811"/>
    <w:rsid w:val="00C2435A"/>
    <w:rsid w:val="00C30A06"/>
    <w:rsid w:val="00C44E3C"/>
    <w:rsid w:val="00C44FE7"/>
    <w:rsid w:val="00C51626"/>
    <w:rsid w:val="00C52439"/>
    <w:rsid w:val="00C606A2"/>
    <w:rsid w:val="00C62590"/>
    <w:rsid w:val="00C628E2"/>
    <w:rsid w:val="00C62B63"/>
    <w:rsid w:val="00C62DBE"/>
    <w:rsid w:val="00C63034"/>
    <w:rsid w:val="00C63B54"/>
    <w:rsid w:val="00C660D9"/>
    <w:rsid w:val="00C67635"/>
    <w:rsid w:val="00C71005"/>
    <w:rsid w:val="00C7375D"/>
    <w:rsid w:val="00C81390"/>
    <w:rsid w:val="00C814CC"/>
    <w:rsid w:val="00C84B11"/>
    <w:rsid w:val="00C90D49"/>
    <w:rsid w:val="00C9215A"/>
    <w:rsid w:val="00CA240A"/>
    <w:rsid w:val="00CA2EC4"/>
    <w:rsid w:val="00CA3FB4"/>
    <w:rsid w:val="00CA59D7"/>
    <w:rsid w:val="00CB161A"/>
    <w:rsid w:val="00CB1F7B"/>
    <w:rsid w:val="00CB77F3"/>
    <w:rsid w:val="00CC171B"/>
    <w:rsid w:val="00CD7D9C"/>
    <w:rsid w:val="00CE1D0A"/>
    <w:rsid w:val="00CF0D8F"/>
    <w:rsid w:val="00CF0F51"/>
    <w:rsid w:val="00D01ECC"/>
    <w:rsid w:val="00D029E8"/>
    <w:rsid w:val="00D062BE"/>
    <w:rsid w:val="00D07064"/>
    <w:rsid w:val="00D101CB"/>
    <w:rsid w:val="00D151E5"/>
    <w:rsid w:val="00D2335F"/>
    <w:rsid w:val="00D24D15"/>
    <w:rsid w:val="00D26F70"/>
    <w:rsid w:val="00D279FC"/>
    <w:rsid w:val="00D317B4"/>
    <w:rsid w:val="00D45408"/>
    <w:rsid w:val="00D469F7"/>
    <w:rsid w:val="00D47A39"/>
    <w:rsid w:val="00D557DE"/>
    <w:rsid w:val="00D55ADD"/>
    <w:rsid w:val="00D60B47"/>
    <w:rsid w:val="00D6270A"/>
    <w:rsid w:val="00D628E5"/>
    <w:rsid w:val="00D757C7"/>
    <w:rsid w:val="00D80067"/>
    <w:rsid w:val="00D805BC"/>
    <w:rsid w:val="00D82AD0"/>
    <w:rsid w:val="00D83532"/>
    <w:rsid w:val="00D836CB"/>
    <w:rsid w:val="00D8544F"/>
    <w:rsid w:val="00D86187"/>
    <w:rsid w:val="00D870AD"/>
    <w:rsid w:val="00D90129"/>
    <w:rsid w:val="00D96101"/>
    <w:rsid w:val="00D961A2"/>
    <w:rsid w:val="00DA0FA6"/>
    <w:rsid w:val="00DA6606"/>
    <w:rsid w:val="00DB024E"/>
    <w:rsid w:val="00DB025A"/>
    <w:rsid w:val="00DB03A2"/>
    <w:rsid w:val="00DB0979"/>
    <w:rsid w:val="00DB161E"/>
    <w:rsid w:val="00DC0E04"/>
    <w:rsid w:val="00DC51EC"/>
    <w:rsid w:val="00DD1B6A"/>
    <w:rsid w:val="00DD33DF"/>
    <w:rsid w:val="00DD502A"/>
    <w:rsid w:val="00DD5DDF"/>
    <w:rsid w:val="00DD6E32"/>
    <w:rsid w:val="00DD6E91"/>
    <w:rsid w:val="00DE1293"/>
    <w:rsid w:val="00DE31AF"/>
    <w:rsid w:val="00DE33F2"/>
    <w:rsid w:val="00DE3D3C"/>
    <w:rsid w:val="00DE4919"/>
    <w:rsid w:val="00DE6995"/>
    <w:rsid w:val="00DE7148"/>
    <w:rsid w:val="00DF10CC"/>
    <w:rsid w:val="00DF22D5"/>
    <w:rsid w:val="00DF7383"/>
    <w:rsid w:val="00E04825"/>
    <w:rsid w:val="00E05349"/>
    <w:rsid w:val="00E07C15"/>
    <w:rsid w:val="00E100B3"/>
    <w:rsid w:val="00E13069"/>
    <w:rsid w:val="00E147F8"/>
    <w:rsid w:val="00E156BF"/>
    <w:rsid w:val="00E172B0"/>
    <w:rsid w:val="00E32C3E"/>
    <w:rsid w:val="00E43917"/>
    <w:rsid w:val="00E46DF2"/>
    <w:rsid w:val="00E500B3"/>
    <w:rsid w:val="00E5619F"/>
    <w:rsid w:val="00E563F6"/>
    <w:rsid w:val="00E719B3"/>
    <w:rsid w:val="00E74196"/>
    <w:rsid w:val="00E749DB"/>
    <w:rsid w:val="00E779D5"/>
    <w:rsid w:val="00E8056C"/>
    <w:rsid w:val="00E81A5B"/>
    <w:rsid w:val="00E81AE9"/>
    <w:rsid w:val="00E827C5"/>
    <w:rsid w:val="00E862AE"/>
    <w:rsid w:val="00E8637F"/>
    <w:rsid w:val="00EA2D81"/>
    <w:rsid w:val="00EB2467"/>
    <w:rsid w:val="00EB3206"/>
    <w:rsid w:val="00EB5C3A"/>
    <w:rsid w:val="00EC5D67"/>
    <w:rsid w:val="00ED0FA5"/>
    <w:rsid w:val="00EE261A"/>
    <w:rsid w:val="00EE422F"/>
    <w:rsid w:val="00EE500A"/>
    <w:rsid w:val="00EE6F6D"/>
    <w:rsid w:val="00EF06FF"/>
    <w:rsid w:val="00EF171A"/>
    <w:rsid w:val="00EF307A"/>
    <w:rsid w:val="00EF3983"/>
    <w:rsid w:val="00EF40BE"/>
    <w:rsid w:val="00EF51A3"/>
    <w:rsid w:val="00F10D70"/>
    <w:rsid w:val="00F1137A"/>
    <w:rsid w:val="00F15F91"/>
    <w:rsid w:val="00F21675"/>
    <w:rsid w:val="00F22116"/>
    <w:rsid w:val="00F237D4"/>
    <w:rsid w:val="00F24EB2"/>
    <w:rsid w:val="00F43321"/>
    <w:rsid w:val="00F437AA"/>
    <w:rsid w:val="00F50A07"/>
    <w:rsid w:val="00F51B1E"/>
    <w:rsid w:val="00F57119"/>
    <w:rsid w:val="00F6507C"/>
    <w:rsid w:val="00F67A2E"/>
    <w:rsid w:val="00F70956"/>
    <w:rsid w:val="00F728E5"/>
    <w:rsid w:val="00F77C13"/>
    <w:rsid w:val="00F80826"/>
    <w:rsid w:val="00F811E1"/>
    <w:rsid w:val="00F840EB"/>
    <w:rsid w:val="00F93420"/>
    <w:rsid w:val="00F945DB"/>
    <w:rsid w:val="00FA3993"/>
    <w:rsid w:val="00FA48D0"/>
    <w:rsid w:val="00FA5118"/>
    <w:rsid w:val="00FA63DA"/>
    <w:rsid w:val="00FA708D"/>
    <w:rsid w:val="00FB28B4"/>
    <w:rsid w:val="00FB35C1"/>
    <w:rsid w:val="00FB380B"/>
    <w:rsid w:val="00FB60A7"/>
    <w:rsid w:val="00FC13A1"/>
    <w:rsid w:val="00FD2279"/>
    <w:rsid w:val="00FD3988"/>
    <w:rsid w:val="00FE113A"/>
    <w:rsid w:val="00FE5FAF"/>
    <w:rsid w:val="00FF423F"/>
    <w:rsid w:val="00FF5475"/>
    <w:rsid w:val="3C29A12B"/>
    <w:rsid w:val="3F6141ED"/>
    <w:rsid w:val="403A78C3"/>
    <w:rsid w:val="4298E2AF"/>
    <w:rsid w:val="4434B310"/>
    <w:rsid w:val="5220CA66"/>
    <w:rsid w:val="57713CC5"/>
    <w:rsid w:val="5EB32B59"/>
    <w:rsid w:val="65226CDD"/>
    <w:rsid w:val="6AE9A0F3"/>
    <w:rsid w:val="76DC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7AA1F6"/>
  <w15:docId w15:val="{986EA6D1-69D2-49E0-A3F3-9C7553B4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C676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029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100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00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00B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0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00B3"/>
    <w:rPr>
      <w:b/>
      <w:bCs/>
      <w:lang w:val="en-US" w:eastAsia="en-US"/>
    </w:rPr>
  </w:style>
  <w:style w:type="table" w:styleId="TableGrid">
    <w:name w:val="Table Grid"/>
    <w:basedOn w:val="TableNormal"/>
    <w:rsid w:val="00B6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1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6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3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5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49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19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1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0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1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1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B237449814D4E9C02814710B68625" ma:contentTypeVersion="4" ma:contentTypeDescription="Create a new document." ma:contentTypeScope="" ma:versionID="1235abcc8f03abebd51c75cfbcdbb627">
  <xsd:schema xmlns:xsd="http://www.w3.org/2001/XMLSchema" xmlns:xs="http://www.w3.org/2001/XMLSchema" xmlns:p="http://schemas.microsoft.com/office/2006/metadata/properties" xmlns:ns2="250169f9-d2da-4118-b53a-263316cd62ce" targetNamespace="http://schemas.microsoft.com/office/2006/metadata/properties" ma:root="true" ma:fieldsID="a911cc9c4047fa7d51f23cad0855bf73" ns2:_="">
    <xsd:import namespace="250169f9-d2da-4118-b53a-263316cd6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169f9-d2da-4118-b53a-263316cd6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41C0F-2C52-4F16-A739-2B5252028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169f9-d2da-4118-b53a-263316cd6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C816E-E237-4362-9086-B17B7FA5D0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50169f9-d2da-4118-b53a-263316cd62c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55BBC6-C31F-46E9-BE78-EF6B8E274B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5AF1B-0CD2-4D9F-AA5E-234117C2E8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StackJ</dc:creator>
  <cp:keywords/>
  <cp:lastModifiedBy>Smith Hannah (RNU) Oxford Health</cp:lastModifiedBy>
  <cp:revision>3</cp:revision>
  <cp:lastPrinted>2014-03-17T21:55:00Z</cp:lastPrinted>
  <dcterms:created xsi:type="dcterms:W3CDTF">2022-07-13T12:53:00Z</dcterms:created>
  <dcterms:modified xsi:type="dcterms:W3CDTF">2022-07-13T13:05:00Z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0x010100818B237449814D4E9C02814710B68625</vt:lpwstr>
  </property>
</Properties>
</file>