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70D6771A" w:rsidR="004A11CA" w:rsidRDefault="004A11CA" w:rsidP="004A11CA">
                            <w:pPr>
                              <w:jc w:val="center"/>
                              <w:rPr>
                                <w:rFonts w:ascii="Segoe UI" w:hAnsi="Segoe UI" w:cs="Segoe UI"/>
                              </w:rPr>
                            </w:pPr>
                            <w:r>
                              <w:rPr>
                                <w:rFonts w:ascii="Segoe UI" w:hAnsi="Segoe UI" w:cs="Segoe UI"/>
                                <w:b/>
                              </w:rPr>
                              <w:t xml:space="preserve">BOD </w:t>
                            </w:r>
                            <w:r w:rsidR="009A3C5F">
                              <w:rPr>
                                <w:rFonts w:ascii="Segoe UI" w:hAnsi="Segoe UI" w:cs="Segoe UI"/>
                                <w:b/>
                              </w:rPr>
                              <w:t>5</w:t>
                            </w:r>
                            <w:r w:rsidR="00C33F7E">
                              <w:rPr>
                                <w:rFonts w:ascii="Segoe UI" w:hAnsi="Segoe UI" w:cs="Segoe UI"/>
                                <w:b/>
                              </w:rPr>
                              <w:t>4</w:t>
                            </w:r>
                            <w:r>
                              <w:rPr>
                                <w:rFonts w:ascii="Segoe UI" w:hAnsi="Segoe UI" w:cs="Segoe UI"/>
                                <w:b/>
                              </w:rPr>
                              <w:t>/202</w:t>
                            </w:r>
                            <w:r w:rsidR="001D3D2E">
                              <w:rPr>
                                <w:rFonts w:ascii="Segoe UI" w:hAnsi="Segoe UI" w:cs="Segoe UI"/>
                                <w:b/>
                              </w:rPr>
                              <w:t>2</w:t>
                            </w:r>
                          </w:p>
                          <w:p w14:paraId="67B78BB4" w14:textId="75D76AE8"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9A3C5F">
                              <w:rPr>
                                <w:rFonts w:ascii="Segoe UI" w:hAnsi="Segoe UI" w:cs="Segoe UI"/>
                                <w:sz w:val="22"/>
                                <w:szCs w:val="22"/>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">
                <v:textbox inset="0,0,0,0">
                  <w:txbxContent>
                    <w:p w14:paraId="5C313B29" w14:textId="70D6771A" w:rsidR="004A11CA" w:rsidRDefault="004A11CA" w:rsidP="004A11CA">
                      <w:pPr>
                        <w:jc w:val="center"/>
                        <w:rPr>
                          <w:rFonts w:ascii="Segoe UI" w:hAnsi="Segoe UI" w:cs="Segoe UI"/>
                        </w:rPr>
                      </w:pPr>
                      <w:r>
                        <w:rPr>
                          <w:rFonts w:ascii="Segoe UI" w:hAnsi="Segoe UI" w:cs="Segoe UI"/>
                          <w:b/>
                        </w:rPr>
                        <w:t xml:space="preserve">BOD </w:t>
                      </w:r>
                      <w:r w:rsidR="009A3C5F">
                        <w:rPr>
                          <w:rFonts w:ascii="Segoe UI" w:hAnsi="Segoe UI" w:cs="Segoe UI"/>
                          <w:b/>
                        </w:rPr>
                        <w:t>5</w:t>
                      </w:r>
                      <w:r w:rsidR="00C33F7E">
                        <w:rPr>
                          <w:rFonts w:ascii="Segoe UI" w:hAnsi="Segoe UI" w:cs="Segoe UI"/>
                          <w:b/>
                        </w:rPr>
                        <w:t>4</w:t>
                      </w:r>
                      <w:r>
                        <w:rPr>
                          <w:rFonts w:ascii="Segoe UI" w:hAnsi="Segoe UI" w:cs="Segoe UI"/>
                          <w:b/>
                        </w:rPr>
                        <w:t>/202</w:t>
                      </w:r>
                      <w:r w:rsidR="001D3D2E">
                        <w:rPr>
                          <w:rFonts w:ascii="Segoe UI" w:hAnsi="Segoe UI" w:cs="Segoe UI"/>
                          <w:b/>
                        </w:rPr>
                        <w:t>2</w:t>
                      </w:r>
                    </w:p>
                    <w:p w14:paraId="67B78BB4" w14:textId="75D76AE8"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9A3C5F">
                        <w:rPr>
                          <w:rFonts w:ascii="Segoe UI" w:hAnsi="Segoe UI" w:cs="Segoe UI"/>
                          <w:sz w:val="22"/>
                          <w:szCs w:val="22"/>
                        </w:rPr>
                        <w:t>17</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2CFDD2A4" w:rsidR="004A11CA" w:rsidRPr="00D357BC" w:rsidRDefault="00F74073" w:rsidP="004A11CA">
      <w:pPr>
        <w:jc w:val="center"/>
        <w:rPr>
          <w:rFonts w:ascii="Segoe UI" w:hAnsi="Segoe UI" w:cs="Segoe UI"/>
          <w:b/>
        </w:rPr>
      </w:pPr>
      <w:r>
        <w:rPr>
          <w:rFonts w:ascii="Segoe UI" w:hAnsi="Segoe UI" w:cs="Segoe UI"/>
          <w:b/>
        </w:rPr>
        <w:t>2</w:t>
      </w:r>
      <w:r w:rsidR="00CC0182">
        <w:rPr>
          <w:rFonts w:ascii="Segoe UI" w:hAnsi="Segoe UI" w:cs="Segoe UI"/>
          <w:b/>
        </w:rPr>
        <w:t>0</w:t>
      </w:r>
      <w:r w:rsidR="00CC0182" w:rsidRPr="00CC0182">
        <w:rPr>
          <w:rFonts w:ascii="Segoe UI" w:hAnsi="Segoe UI" w:cs="Segoe UI"/>
          <w:b/>
          <w:vertAlign w:val="superscript"/>
        </w:rPr>
        <w:t>th</w:t>
      </w:r>
      <w:r w:rsidR="00CC0182">
        <w:rPr>
          <w:rFonts w:ascii="Segoe UI" w:hAnsi="Segoe UI" w:cs="Segoe UI"/>
          <w:b/>
        </w:rPr>
        <w:t xml:space="preserve"> July</w:t>
      </w:r>
      <w:r w:rsidR="00A86710">
        <w:rPr>
          <w:rFonts w:ascii="Segoe UI" w:hAnsi="Segoe UI" w:cs="Segoe UI"/>
          <w:b/>
        </w:rPr>
        <w:t xml:space="preserve"> 2022</w:t>
      </w:r>
    </w:p>
    <w:p w14:paraId="774943A1" w14:textId="77777777" w:rsidR="00125E83" w:rsidRDefault="00125E83" w:rsidP="004A11CA">
      <w:pPr>
        <w:rPr>
          <w:rFonts w:ascii="Segoe UI" w:hAnsi="Segoe UI" w:cs="Segoe UI"/>
          <w:b/>
        </w:rPr>
      </w:pPr>
    </w:p>
    <w:p w14:paraId="4FE3D367" w14:textId="0CCA8E26" w:rsidR="004A11CA" w:rsidRDefault="00125E83" w:rsidP="00125E83">
      <w:pPr>
        <w:jc w:val="center"/>
        <w:rPr>
          <w:rFonts w:ascii="Segoe UI" w:hAnsi="Segoe UI" w:cs="Segoe UI"/>
          <w:b/>
        </w:rPr>
      </w:pPr>
      <w:r>
        <w:rPr>
          <w:rFonts w:ascii="Segoe UI" w:hAnsi="Segoe UI" w:cs="Segoe UI"/>
          <w:b/>
        </w:rPr>
        <w:t>Corporate Affairs Update Report</w:t>
      </w:r>
    </w:p>
    <w:p w14:paraId="51BC076B" w14:textId="77777777" w:rsidR="002B77FE" w:rsidRPr="00D357BC" w:rsidRDefault="002B77FE" w:rsidP="00125E83">
      <w:pPr>
        <w:jc w:val="cente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66A2E999" w14:textId="77777777" w:rsidR="004A11CA" w:rsidRPr="00D357BC"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1A4A831F" w14:textId="77777777" w:rsidR="008F077D" w:rsidRDefault="001E2BAC" w:rsidP="004A11CA">
      <w:pPr>
        <w:jc w:val="both"/>
        <w:rPr>
          <w:rFonts w:ascii="Segoe UI" w:hAnsi="Segoe UI" w:cs="Segoe UI"/>
          <w:sz w:val="22"/>
          <w:szCs w:val="22"/>
        </w:rPr>
      </w:pPr>
      <w:r w:rsidRPr="00421A29">
        <w:rPr>
          <w:rFonts w:ascii="Segoe UI" w:hAnsi="Segoe UI" w:cs="Segoe UI"/>
          <w:b/>
          <w:bCs/>
          <w:sz w:val="22"/>
          <w:szCs w:val="22"/>
        </w:rPr>
        <w:t xml:space="preserve">Legal, Regulatory and Policy </w:t>
      </w:r>
      <w:r w:rsidR="00F05F8E" w:rsidRPr="00421A29">
        <w:rPr>
          <w:rFonts w:ascii="Segoe UI" w:hAnsi="Segoe UI" w:cs="Segoe UI"/>
          <w:b/>
          <w:bCs/>
          <w:sz w:val="22"/>
          <w:szCs w:val="22"/>
        </w:rPr>
        <w:t>U</w:t>
      </w:r>
      <w:r w:rsidRPr="00421A29">
        <w:rPr>
          <w:rFonts w:ascii="Segoe UI" w:hAnsi="Segoe UI" w:cs="Segoe UI"/>
          <w:b/>
          <w:bCs/>
          <w:sz w:val="22"/>
          <w:szCs w:val="22"/>
        </w:rPr>
        <w:t xml:space="preserve">pdate </w:t>
      </w:r>
      <w:r w:rsidR="00F05F8E" w:rsidRPr="00421A29">
        <w:rPr>
          <w:rFonts w:ascii="Segoe UI" w:hAnsi="Segoe UI" w:cs="Segoe UI"/>
          <w:b/>
          <w:bCs/>
          <w:sz w:val="22"/>
          <w:szCs w:val="22"/>
        </w:rPr>
        <w:t>R</w:t>
      </w:r>
      <w:r w:rsidRPr="00421A29">
        <w:rPr>
          <w:rFonts w:ascii="Segoe UI" w:hAnsi="Segoe UI" w:cs="Segoe UI"/>
          <w:b/>
          <w:bCs/>
          <w:sz w:val="22"/>
          <w:szCs w:val="22"/>
        </w:rPr>
        <w:t>eport</w:t>
      </w:r>
    </w:p>
    <w:p w14:paraId="12E872A5" w14:textId="30CDF552" w:rsidR="004A11CA" w:rsidRPr="00D357BC" w:rsidRDefault="008F077D" w:rsidP="004A11CA">
      <w:pPr>
        <w:jc w:val="both"/>
        <w:rPr>
          <w:rFonts w:ascii="Segoe UI" w:hAnsi="Segoe UI" w:cs="Segoe UI"/>
          <w:sz w:val="22"/>
          <w:szCs w:val="22"/>
        </w:rPr>
      </w:pPr>
      <w:r>
        <w:rPr>
          <w:rFonts w:ascii="Segoe UI" w:hAnsi="Segoe UI" w:cs="Segoe UI"/>
          <w:sz w:val="22"/>
          <w:szCs w:val="22"/>
        </w:rPr>
        <w:t>T</w:t>
      </w:r>
      <w:r w:rsidR="004A11CA" w:rsidRPr="00D357BC">
        <w:rPr>
          <w:rFonts w:ascii="Segoe UI" w:hAnsi="Segoe UI" w:cs="Segoe UI"/>
          <w:sz w:val="22"/>
          <w:szCs w:val="22"/>
        </w:rPr>
        <w:t>he Reading Room contains the detail of th</w:t>
      </w:r>
      <w:r w:rsidR="001E2BAC">
        <w:rPr>
          <w:rFonts w:ascii="Segoe UI" w:hAnsi="Segoe UI" w:cs="Segoe UI"/>
          <w:sz w:val="22"/>
          <w:szCs w:val="22"/>
        </w:rPr>
        <w:t>is</w:t>
      </w:r>
      <w:r w:rsidR="004A11CA" w:rsidRPr="00D357BC">
        <w:rPr>
          <w:rFonts w:ascii="Segoe UI" w:hAnsi="Segoe UI" w:cs="Segoe UI"/>
          <w:sz w:val="22"/>
          <w:szCs w:val="22"/>
        </w:rPr>
        <w:t xml:space="preserve"> regular report to inform the Board of Directors on recent legislation, regulation and compliance</w:t>
      </w:r>
      <w:r w:rsidR="003466E5">
        <w:rPr>
          <w:rFonts w:ascii="Segoe UI" w:hAnsi="Segoe UI" w:cs="Segoe UI"/>
          <w:sz w:val="22"/>
          <w:szCs w:val="22"/>
        </w:rPr>
        <w:t>/policy</w:t>
      </w:r>
      <w:r w:rsidR="004A11CA" w:rsidRPr="00D357BC">
        <w:rPr>
          <w:rFonts w:ascii="Segoe UI" w:hAnsi="Segoe UI" w:cs="Segoe UI"/>
          <w:sz w:val="22"/>
          <w:szCs w:val="22"/>
        </w:rPr>
        <w:t xml:space="preserve"> guidance issued by bodies such as NHS</w:t>
      </w:r>
      <w:r w:rsidR="0044240B">
        <w:rPr>
          <w:rFonts w:ascii="Segoe UI" w:hAnsi="Segoe UI" w:cs="Segoe UI"/>
          <w:sz w:val="22"/>
          <w:szCs w:val="22"/>
        </w:rPr>
        <w:t>E/</w:t>
      </w:r>
      <w:r w:rsidR="004A11CA" w:rsidRPr="00D357BC">
        <w:rPr>
          <w:rFonts w:ascii="Segoe UI" w:hAnsi="Segoe UI" w:cs="Segoe UI"/>
          <w:sz w:val="22"/>
          <w:szCs w:val="22"/>
        </w:rPr>
        <w:t xml:space="preserve">I, the Care Quality Commission, and other relevant bodies where their action/publications have a consequential impact on the </w:t>
      </w:r>
      <w:proofErr w:type="gramStart"/>
      <w:r w:rsidR="004A11CA" w:rsidRPr="00D357BC">
        <w:rPr>
          <w:rFonts w:ascii="Segoe UI" w:hAnsi="Segoe UI" w:cs="Segoe UI"/>
          <w:sz w:val="22"/>
          <w:szCs w:val="22"/>
        </w:rPr>
        <w:t>Trust</w:t>
      </w:r>
      <w:proofErr w:type="gramEnd"/>
      <w:r w:rsidR="004A11CA" w:rsidRPr="00D357BC">
        <w:rPr>
          <w:rFonts w:ascii="Segoe UI" w:hAnsi="Segoe UI" w:cs="Segoe UI"/>
          <w:sz w:val="22"/>
          <w:szCs w:val="22"/>
        </w:rPr>
        <w:t xml:space="preserve">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004A11CA"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7A82DDA2" w14:textId="77777777" w:rsidR="004A11CA" w:rsidRPr="00D357BC" w:rsidRDefault="004A11CA" w:rsidP="004A11CA">
      <w:pPr>
        <w:jc w:val="both"/>
        <w:rPr>
          <w:rFonts w:ascii="Segoe UI" w:hAnsi="Segoe UI" w:cs="Segoe UI"/>
          <w:sz w:val="22"/>
          <w:szCs w:val="22"/>
        </w:rPr>
      </w:pPr>
    </w:p>
    <w:p w14:paraId="01D72C3F"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Risk Management</w:t>
      </w:r>
    </w:p>
    <w:p w14:paraId="36C93079" w14:textId="0A417C4B" w:rsidR="008F077D" w:rsidRPr="008F077D" w:rsidRDefault="008F077D" w:rsidP="008F077D">
      <w:pPr>
        <w:jc w:val="both"/>
        <w:rPr>
          <w:rFonts w:ascii="Segoe UI" w:hAnsi="Segoe UI" w:cs="Segoe UI"/>
          <w:sz w:val="22"/>
          <w:szCs w:val="22"/>
        </w:rPr>
      </w:pPr>
      <w:r w:rsidRPr="008F077D">
        <w:rPr>
          <w:rFonts w:ascii="Segoe UI" w:hAnsi="Segoe UI" w:cs="Segoe UI"/>
          <w:sz w:val="22"/>
          <w:szCs w:val="22"/>
        </w:rPr>
        <w:t xml:space="preserve">Included in the </w:t>
      </w:r>
      <w:r w:rsidR="00EA4E9E">
        <w:rPr>
          <w:rFonts w:ascii="Segoe UI" w:hAnsi="Segoe UI" w:cs="Segoe UI"/>
          <w:sz w:val="22"/>
          <w:szCs w:val="22"/>
        </w:rPr>
        <w:t>R</w:t>
      </w:r>
      <w:r w:rsidRPr="008F077D">
        <w:rPr>
          <w:rFonts w:ascii="Segoe UI" w:hAnsi="Segoe UI" w:cs="Segoe UI"/>
          <w:sz w:val="22"/>
          <w:szCs w:val="22"/>
        </w:rPr>
        <w:t xml:space="preserve">eading </w:t>
      </w:r>
      <w:r w:rsidR="00EA4E9E">
        <w:rPr>
          <w:rFonts w:ascii="Segoe UI" w:hAnsi="Segoe UI" w:cs="Segoe UI"/>
          <w:sz w:val="22"/>
          <w:szCs w:val="22"/>
        </w:rPr>
        <w:t>R</w:t>
      </w:r>
      <w:r w:rsidRPr="008F077D">
        <w:rPr>
          <w:rFonts w:ascii="Segoe UI" w:hAnsi="Segoe UI" w:cs="Segoe UI"/>
          <w:sz w:val="22"/>
          <w:szCs w:val="22"/>
        </w:rPr>
        <w:t xml:space="preserve">oom is the latest iteration of the Board Assurance Framework to ensure Board members continue to have a universal view of the Trust’s strategic risk profile.  This is the July edition of the BAF and follows oversight </w:t>
      </w:r>
      <w:r w:rsidR="0021533A">
        <w:rPr>
          <w:rFonts w:ascii="Segoe UI" w:hAnsi="Segoe UI" w:cs="Segoe UI"/>
          <w:sz w:val="22"/>
          <w:szCs w:val="22"/>
        </w:rPr>
        <w:t xml:space="preserve">and discussions </w:t>
      </w:r>
      <w:r w:rsidR="00EA4E9E">
        <w:rPr>
          <w:rFonts w:ascii="Segoe UI" w:hAnsi="Segoe UI" w:cs="Segoe UI"/>
          <w:sz w:val="22"/>
          <w:szCs w:val="22"/>
        </w:rPr>
        <w:t>at</w:t>
      </w:r>
      <w:r w:rsidRPr="008F077D">
        <w:rPr>
          <w:rFonts w:ascii="Segoe UI" w:hAnsi="Segoe UI" w:cs="Segoe UI"/>
          <w:sz w:val="22"/>
          <w:szCs w:val="22"/>
        </w:rPr>
        <w:t xml:space="preserve"> the latest suite of Board Committee meetings since the last meeting of the Board.</w:t>
      </w:r>
    </w:p>
    <w:p w14:paraId="5F5565A7" w14:textId="77777777" w:rsidR="008F077D" w:rsidRPr="008F077D" w:rsidRDefault="008F077D" w:rsidP="008F077D">
      <w:pPr>
        <w:jc w:val="both"/>
        <w:rPr>
          <w:rFonts w:ascii="Segoe UI" w:hAnsi="Segoe UI" w:cs="Segoe UI"/>
          <w:sz w:val="22"/>
          <w:szCs w:val="22"/>
        </w:rPr>
      </w:pPr>
    </w:p>
    <w:p w14:paraId="6A29A463"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Impact Reporting – Corporate Affairs</w:t>
      </w:r>
    </w:p>
    <w:p w14:paraId="5A94594F" w14:textId="77777777" w:rsidR="008F077D" w:rsidRPr="008F077D" w:rsidRDefault="008F077D" w:rsidP="008F077D">
      <w:pPr>
        <w:jc w:val="both"/>
        <w:rPr>
          <w:rFonts w:ascii="Segoe UI" w:hAnsi="Segoe UI" w:cs="Segoe UI"/>
          <w:b/>
          <w:bCs/>
          <w:sz w:val="22"/>
          <w:szCs w:val="22"/>
        </w:rPr>
      </w:pPr>
      <w:r w:rsidRPr="008F077D">
        <w:rPr>
          <w:rFonts w:ascii="Segoe UI" w:hAnsi="Segoe UI" w:cs="Segoe UI"/>
          <w:b/>
          <w:bCs/>
          <w:sz w:val="22"/>
          <w:szCs w:val="22"/>
        </w:rPr>
        <w:t>Communications, Involvement and Engagement</w:t>
      </w:r>
    </w:p>
    <w:p w14:paraId="08330265" w14:textId="62853D48" w:rsidR="008F077D" w:rsidRPr="008F077D" w:rsidRDefault="008F077D" w:rsidP="008F077D">
      <w:pPr>
        <w:jc w:val="both"/>
        <w:rPr>
          <w:rFonts w:ascii="Segoe UI" w:hAnsi="Segoe UI" w:cs="Segoe UI"/>
          <w:sz w:val="22"/>
          <w:szCs w:val="22"/>
        </w:rPr>
      </w:pPr>
      <w:r w:rsidRPr="008F077D">
        <w:rPr>
          <w:rFonts w:ascii="Segoe UI" w:hAnsi="Segoe UI" w:cs="Segoe UI"/>
          <w:sz w:val="22"/>
          <w:szCs w:val="22"/>
        </w:rPr>
        <w:t xml:space="preserve">At the invitation of the Chief Executive, this month’s report includes in the Reading Room examples of the impact of specific team functions beyond the compliance and regulation aspects of the remit of the Director of Corporate Affairs/Company Secretary in order to raise the profile of activity across the Corporate Affairs portfolio.  Future iterations of the update report will include these updates as considered </w:t>
      </w:r>
      <w:r w:rsidR="0021533A">
        <w:rPr>
          <w:rFonts w:ascii="Segoe UI" w:hAnsi="Segoe UI" w:cs="Segoe UI"/>
          <w:sz w:val="22"/>
          <w:szCs w:val="22"/>
        </w:rPr>
        <w:t>pertinent</w:t>
      </w:r>
      <w:r w:rsidR="006E0C0B">
        <w:rPr>
          <w:rFonts w:ascii="Segoe UI" w:hAnsi="Segoe UI" w:cs="Segoe UI"/>
          <w:sz w:val="22"/>
          <w:szCs w:val="22"/>
        </w:rPr>
        <w:t>/</w:t>
      </w:r>
      <w:r w:rsidRPr="008F077D">
        <w:rPr>
          <w:rFonts w:ascii="Segoe UI" w:hAnsi="Segoe UI" w:cs="Segoe UI"/>
          <w:sz w:val="22"/>
          <w:szCs w:val="22"/>
        </w:rPr>
        <w:t>useful</w:t>
      </w:r>
      <w:r w:rsidR="006E0C0B">
        <w:rPr>
          <w:rFonts w:ascii="Segoe UI" w:hAnsi="Segoe UI" w:cs="Segoe UI"/>
          <w:sz w:val="22"/>
          <w:szCs w:val="22"/>
        </w:rPr>
        <w:t xml:space="preserve"> in the prevailing circumstances</w:t>
      </w:r>
      <w:r w:rsidRPr="008F077D">
        <w:rPr>
          <w:rFonts w:ascii="Segoe UI" w:hAnsi="Segoe UI" w:cs="Segoe UI"/>
          <w:sz w:val="22"/>
          <w:szCs w:val="22"/>
        </w:rPr>
        <w:t>.</w:t>
      </w:r>
    </w:p>
    <w:p w14:paraId="37B97DEA" w14:textId="478C1793" w:rsidR="008F077D" w:rsidRDefault="008F077D" w:rsidP="004A11CA">
      <w:pPr>
        <w:jc w:val="both"/>
        <w:rPr>
          <w:rFonts w:ascii="Segoe UI" w:hAnsi="Segoe UI" w:cs="Segoe UI"/>
          <w:sz w:val="22"/>
          <w:szCs w:val="22"/>
        </w:rPr>
      </w:pPr>
    </w:p>
    <w:p w14:paraId="64712ED4" w14:textId="48ED657B" w:rsidR="007506D5" w:rsidRPr="009A1618" w:rsidRDefault="009A1618" w:rsidP="004A11CA">
      <w:pPr>
        <w:jc w:val="both"/>
        <w:rPr>
          <w:rFonts w:ascii="Segoe UI" w:hAnsi="Segoe UI" w:cs="Segoe UI"/>
          <w:b/>
          <w:bCs/>
          <w:sz w:val="22"/>
          <w:szCs w:val="22"/>
        </w:rPr>
      </w:pPr>
      <w:r w:rsidRPr="009A1618">
        <w:rPr>
          <w:rFonts w:ascii="Segoe UI" w:hAnsi="Segoe UI" w:cs="Segoe UI"/>
          <w:b/>
          <w:bCs/>
          <w:sz w:val="22"/>
          <w:szCs w:val="22"/>
        </w:rPr>
        <w:t>Compliance matters</w:t>
      </w:r>
    </w:p>
    <w:p w14:paraId="097D8AD0" w14:textId="5843B426"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w:t>
      </w:r>
      <w:r w:rsidR="006E0C0B">
        <w:rPr>
          <w:rFonts w:ascii="Segoe UI" w:hAnsi="Segoe UI" w:cs="Segoe UI"/>
          <w:sz w:val="22"/>
          <w:szCs w:val="22"/>
        </w:rPr>
        <w:t xml:space="preserve">Legal Regulatory and Policy </w:t>
      </w:r>
      <w:r w:rsidRPr="00D357BC">
        <w:rPr>
          <w:rFonts w:ascii="Segoe UI" w:hAnsi="Segoe UI" w:cs="Segoe UI"/>
          <w:sz w:val="22"/>
          <w:szCs w:val="22"/>
        </w:rPr>
        <w:t xml:space="preserve">Update Report is designed to reflect changes in legislation, guidance, the structure of the NHS, and government policy and direction on health and social care. A summation of the change is provided for each item and where relevant, a sense of the Trust’s position with regard to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w:t>
      </w:r>
      <w:r w:rsidRPr="00D357BC">
        <w:rPr>
          <w:rFonts w:ascii="Segoe UI" w:hAnsi="Segoe UI" w:cs="Segoe UI"/>
          <w:b/>
          <w:sz w:val="22"/>
          <w:szCs w:val="22"/>
        </w:rPr>
        <w:lastRenderedPageBreak/>
        <w:t>note the content of the report and where relevant, members should each be satisfied of their individual and collective assurances that the internal controls in place to deliver compliance against any Trust’s obligations are effective.  The Appendix should</w:t>
      </w:r>
      <w:r w:rsidR="005C74DE">
        <w:rPr>
          <w:rFonts w:ascii="Segoe UI" w:hAnsi="Segoe UI" w:cs="Segoe UI"/>
          <w:b/>
          <w:sz w:val="22"/>
          <w:szCs w:val="22"/>
        </w:rPr>
        <w:t>, on a risk bas</w:t>
      </w:r>
      <w:r w:rsidR="00B54FB9">
        <w:rPr>
          <w:rFonts w:ascii="Segoe UI" w:hAnsi="Segoe UI" w:cs="Segoe UI"/>
          <w:b/>
          <w:sz w:val="22"/>
          <w:szCs w:val="22"/>
        </w:rPr>
        <w:t>is,</w:t>
      </w:r>
      <w:r w:rsidRPr="00D357BC">
        <w:rPr>
          <w:rFonts w:ascii="Segoe UI" w:hAnsi="Segoe UI" w:cs="Segoe UI"/>
          <w:b/>
          <w:sz w:val="22"/>
          <w:szCs w:val="22"/>
        </w:rPr>
        <w:t xml:space="preserve">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15F8E965" w14:textId="26A1CDCC" w:rsidR="004A11CA" w:rsidRPr="00D357BC" w:rsidRDefault="006A434E" w:rsidP="004A11CA">
      <w:pPr>
        <w:jc w:val="both"/>
        <w:rPr>
          <w:rFonts w:ascii="Segoe UI" w:hAnsi="Segoe UI" w:cs="Segoe UI"/>
          <w:sz w:val="22"/>
          <w:szCs w:val="22"/>
        </w:rPr>
      </w:pPr>
      <w:r w:rsidRPr="006A434E">
        <w:rPr>
          <w:rFonts w:ascii="Segoe UI" w:hAnsi="Segoe UI" w:cs="Segoe UI"/>
          <w:sz w:val="22"/>
          <w:szCs w:val="22"/>
        </w:rPr>
        <w:t>Early consideration of certain items supports a prospective understanding of risk and opportunity.</w:t>
      </w:r>
      <w:r>
        <w:rPr>
          <w:rFonts w:ascii="Segoe UI" w:hAnsi="Segoe UI" w:cs="Segoe UI"/>
          <w:sz w:val="22"/>
          <w:szCs w:val="22"/>
        </w:rPr>
        <w:t xml:space="preserve">  </w:t>
      </w:r>
      <w:r w:rsidR="004A11CA" w:rsidRPr="00D357BC">
        <w:rPr>
          <w:rFonts w:ascii="Segoe UI" w:hAnsi="Segoe UI" w:cs="Segoe UI"/>
          <w:sz w:val="22"/>
          <w:szCs w:val="22"/>
        </w:rPr>
        <w:t xml:space="preserve">Chairs of Board Committees should consider whether more detailed assurances relevant to their committees, are necessary, </w:t>
      </w:r>
      <w:proofErr w:type="spellStart"/>
      <w:r w:rsidR="004A11CA" w:rsidRPr="00D357BC">
        <w:rPr>
          <w:rFonts w:ascii="Segoe UI" w:hAnsi="Segoe UI" w:cs="Segoe UI"/>
          <w:sz w:val="22"/>
          <w:szCs w:val="22"/>
        </w:rPr>
        <w:t>utilising</w:t>
      </w:r>
      <w:proofErr w:type="spellEnd"/>
      <w:r w:rsidR="004A11CA" w:rsidRPr="00D357BC">
        <w:rPr>
          <w:rFonts w:ascii="Segoe UI" w:hAnsi="Segoe UI" w:cs="Segoe UI"/>
          <w:sz w:val="22"/>
          <w:szCs w:val="22"/>
        </w:rPr>
        <w:t xml:space="preserve"> this report as a constructive stimulant to inform the composition of meeting agendas and reporting focus as necessary or appropriate.</w:t>
      </w:r>
    </w:p>
    <w:p w14:paraId="091E7793" w14:textId="77777777" w:rsidR="004A11CA" w:rsidRPr="00D357BC" w:rsidRDefault="004A11CA" w:rsidP="004A11CA">
      <w:pPr>
        <w:jc w:val="both"/>
        <w:rPr>
          <w:rFonts w:ascii="Segoe UI" w:hAnsi="Segoe UI" w:cs="Segoe UI"/>
          <w:sz w:val="22"/>
          <w:szCs w:val="22"/>
        </w:rPr>
      </w:pPr>
    </w:p>
    <w:p w14:paraId="70DDF87F" w14:textId="1BBFB9C3"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w:t>
      </w:r>
      <w:r w:rsidR="00EC4CC4">
        <w:rPr>
          <w:rFonts w:ascii="Segoe UI" w:hAnsi="Segoe UI" w:cs="Segoe UI"/>
          <w:sz w:val="22"/>
          <w:szCs w:val="22"/>
        </w:rPr>
        <w:t xml:space="preserve">routine </w:t>
      </w:r>
      <w:r w:rsidRPr="00D357BC">
        <w:rPr>
          <w:rFonts w:ascii="Segoe UI" w:hAnsi="Segoe UI" w:cs="Segoe UI"/>
          <w:sz w:val="22"/>
          <w:szCs w:val="22"/>
        </w:rPr>
        <w:t>Board reports of individual Executives.</w:t>
      </w:r>
    </w:p>
    <w:p w14:paraId="0E9325E3" w14:textId="77777777" w:rsidR="004A11CA" w:rsidRPr="00D357BC" w:rsidRDefault="004A11CA" w:rsidP="004A11CA">
      <w:pPr>
        <w:jc w:val="both"/>
        <w:rPr>
          <w:rFonts w:ascii="Segoe UI" w:hAnsi="Segoe UI" w:cs="Segoe UI"/>
          <w:sz w:val="22"/>
          <w:szCs w:val="22"/>
        </w:rPr>
      </w:pPr>
    </w:p>
    <w:p w14:paraId="2916FEB7" w14:textId="16E03FD3" w:rsidR="00BD64A7" w:rsidRPr="00BD64A7" w:rsidRDefault="004A11CA" w:rsidP="00BD64A7">
      <w:pPr>
        <w:jc w:val="both"/>
        <w:rPr>
          <w:rFonts w:ascii="Segoe UI" w:hAnsi="Segoe UI" w:cs="Segoe UI"/>
          <w:sz w:val="22"/>
          <w:szCs w:val="22"/>
        </w:rPr>
      </w:pPr>
      <w:r w:rsidRPr="00836DDB">
        <w:rPr>
          <w:rFonts w:ascii="Segoe UI" w:hAnsi="Segoe UI" w:cs="Segoe UI"/>
          <w:b/>
          <w:bCs/>
          <w:sz w:val="22"/>
          <w:szCs w:val="22"/>
        </w:rPr>
        <w:t>In this m</w:t>
      </w:r>
      <w:r w:rsidR="0071150B" w:rsidRPr="00836DDB">
        <w:rPr>
          <w:rFonts w:ascii="Segoe UI" w:hAnsi="Segoe UI" w:cs="Segoe UI"/>
          <w:b/>
          <w:bCs/>
          <w:sz w:val="22"/>
          <w:szCs w:val="22"/>
        </w:rPr>
        <w:t>onth</w:t>
      </w:r>
      <w:r w:rsidRPr="00836DDB">
        <w:rPr>
          <w:rFonts w:ascii="Segoe UI" w:hAnsi="Segoe UI" w:cs="Segoe UI"/>
          <w:b/>
          <w:bCs/>
          <w:sz w:val="22"/>
          <w:szCs w:val="22"/>
        </w:rPr>
        <w:t>’s Legal and Regulatory Update</w:t>
      </w:r>
      <w:r w:rsidRPr="00836DDB">
        <w:rPr>
          <w:rFonts w:ascii="Segoe UI" w:hAnsi="Segoe UI" w:cs="Segoe UI"/>
          <w:sz w:val="22"/>
          <w:szCs w:val="22"/>
        </w:rPr>
        <w:t xml:space="preserve">, </w:t>
      </w:r>
      <w:r w:rsidR="00B12FA8" w:rsidRPr="00836DDB">
        <w:rPr>
          <w:rFonts w:ascii="Segoe UI" w:hAnsi="Segoe UI" w:cs="Segoe UI"/>
          <w:sz w:val="22"/>
          <w:szCs w:val="22"/>
        </w:rPr>
        <w:t xml:space="preserve">a number of </w:t>
      </w:r>
      <w:r w:rsidR="00300E3B">
        <w:rPr>
          <w:rFonts w:ascii="Segoe UI" w:hAnsi="Segoe UI" w:cs="Segoe UI"/>
          <w:sz w:val="22"/>
          <w:szCs w:val="22"/>
        </w:rPr>
        <w:t>publications</w:t>
      </w:r>
      <w:r w:rsidR="00D33E8C" w:rsidRPr="00836DDB">
        <w:rPr>
          <w:rFonts w:ascii="Segoe UI" w:hAnsi="Segoe UI" w:cs="Segoe UI"/>
          <w:sz w:val="22"/>
          <w:szCs w:val="22"/>
        </w:rPr>
        <w:t xml:space="preserve"> continue to acknowledge</w:t>
      </w:r>
      <w:r w:rsidR="00B12FA8" w:rsidRPr="00836DDB">
        <w:rPr>
          <w:rFonts w:ascii="Segoe UI" w:hAnsi="Segoe UI" w:cs="Segoe UI"/>
          <w:sz w:val="22"/>
          <w:szCs w:val="22"/>
        </w:rPr>
        <w:t xml:space="preserve"> </w:t>
      </w:r>
      <w:r w:rsidR="0026412D" w:rsidRPr="00836DDB">
        <w:rPr>
          <w:rFonts w:ascii="Segoe UI" w:hAnsi="Segoe UI" w:cs="Segoe UI"/>
          <w:sz w:val="22"/>
          <w:szCs w:val="22"/>
        </w:rPr>
        <w:t>the</w:t>
      </w:r>
      <w:r w:rsidR="005B2F2A" w:rsidRPr="00836DDB">
        <w:rPr>
          <w:rFonts w:ascii="Segoe UI" w:hAnsi="Segoe UI" w:cs="Segoe UI"/>
          <w:sz w:val="22"/>
          <w:szCs w:val="22"/>
        </w:rPr>
        <w:t xml:space="preserve"> </w:t>
      </w:r>
      <w:r w:rsidR="00B12FA8" w:rsidRPr="00836DDB">
        <w:rPr>
          <w:rFonts w:ascii="Segoe UI" w:hAnsi="Segoe UI" w:cs="Segoe UI"/>
          <w:sz w:val="22"/>
          <w:szCs w:val="22"/>
        </w:rPr>
        <w:t>impact of the pandemic</w:t>
      </w:r>
      <w:r w:rsidR="0026412D" w:rsidRPr="00836DDB">
        <w:rPr>
          <w:rFonts w:ascii="Segoe UI" w:hAnsi="Segoe UI" w:cs="Segoe UI"/>
          <w:sz w:val="22"/>
          <w:szCs w:val="22"/>
        </w:rPr>
        <w:t xml:space="preserve"> on Trusts</w:t>
      </w:r>
      <w:r w:rsidR="0048538B">
        <w:rPr>
          <w:rFonts w:ascii="Segoe UI" w:hAnsi="Segoe UI" w:cs="Segoe UI"/>
          <w:sz w:val="22"/>
          <w:szCs w:val="22"/>
        </w:rPr>
        <w:t>,</w:t>
      </w:r>
      <w:r w:rsidR="00300E3B">
        <w:rPr>
          <w:rFonts w:ascii="Segoe UI" w:hAnsi="Segoe UI" w:cs="Segoe UI"/>
          <w:sz w:val="22"/>
          <w:szCs w:val="22"/>
        </w:rPr>
        <w:t xml:space="preserve"> in particular on workforce</w:t>
      </w:r>
      <w:r w:rsidR="005B2F2A" w:rsidRPr="00BD64A7">
        <w:rPr>
          <w:rFonts w:ascii="Segoe UI" w:hAnsi="Segoe UI" w:cs="Segoe UI"/>
          <w:sz w:val="22"/>
          <w:szCs w:val="22"/>
        </w:rPr>
        <w:t>.</w:t>
      </w:r>
      <w:r w:rsidR="00BD64A7" w:rsidRPr="00BD64A7">
        <w:rPr>
          <w:rFonts w:ascii="Segoe UI" w:hAnsi="Segoe UI" w:cs="Segoe UI"/>
          <w:sz w:val="22"/>
          <w:szCs w:val="22"/>
        </w:rPr>
        <w:t xml:space="preserve"> It is important to remember that COVID-19 has not gone away and in the face of that threat </w:t>
      </w:r>
      <w:r w:rsidR="00C416E2">
        <w:rPr>
          <w:rFonts w:ascii="Segoe UI" w:hAnsi="Segoe UI" w:cs="Segoe UI"/>
          <w:sz w:val="22"/>
          <w:szCs w:val="22"/>
        </w:rPr>
        <w:t xml:space="preserve">our </w:t>
      </w:r>
      <w:r w:rsidR="00BD64A7" w:rsidRPr="00BD64A7">
        <w:rPr>
          <w:rFonts w:ascii="Segoe UI" w:hAnsi="Segoe UI" w:cs="Segoe UI"/>
          <w:sz w:val="22"/>
          <w:szCs w:val="22"/>
        </w:rPr>
        <w:t xml:space="preserve">dedicated colleagues and teams continue to work flat out doing all they can to tackle demand.  It was a befitting tribute to the NHS to be awarded the George Cross saluting the efforts of NHS staff over the last two years.   </w:t>
      </w:r>
    </w:p>
    <w:p w14:paraId="4B7A9BC1" w14:textId="39B6151A" w:rsidR="00BE1137" w:rsidRPr="00836DDB" w:rsidRDefault="00BE1137" w:rsidP="00993793">
      <w:pPr>
        <w:jc w:val="both"/>
        <w:rPr>
          <w:rFonts w:ascii="Segoe UI" w:hAnsi="Segoe UI" w:cs="Segoe UI"/>
          <w:sz w:val="22"/>
          <w:szCs w:val="22"/>
        </w:rPr>
      </w:pPr>
    </w:p>
    <w:p w14:paraId="342FCA1A" w14:textId="2C402CF8" w:rsidR="0043077B" w:rsidRPr="00836DDB" w:rsidRDefault="000A3EF8" w:rsidP="004A11CA">
      <w:pPr>
        <w:jc w:val="both"/>
        <w:rPr>
          <w:rFonts w:ascii="Segoe UI" w:hAnsi="Segoe UI" w:cs="Segoe UI"/>
          <w:sz w:val="22"/>
          <w:szCs w:val="22"/>
        </w:rPr>
      </w:pPr>
      <w:r>
        <w:rPr>
          <w:rFonts w:ascii="Segoe UI" w:hAnsi="Segoe UI" w:cs="Segoe UI"/>
          <w:sz w:val="22"/>
          <w:szCs w:val="22"/>
        </w:rPr>
        <w:t>As we see our numbers of staff and patients with COVID-</w:t>
      </w:r>
      <w:r w:rsidR="00295BF3">
        <w:rPr>
          <w:rFonts w:ascii="Segoe UI" w:hAnsi="Segoe UI" w:cs="Segoe UI"/>
          <w:sz w:val="22"/>
          <w:szCs w:val="22"/>
        </w:rPr>
        <w:t>19 rise, t</w:t>
      </w:r>
      <w:r w:rsidR="00E80BF0">
        <w:rPr>
          <w:rFonts w:ascii="Segoe UI" w:hAnsi="Segoe UI" w:cs="Segoe UI"/>
          <w:sz w:val="22"/>
          <w:szCs w:val="22"/>
        </w:rPr>
        <w:t xml:space="preserve">he extreme weather conditions have required the Trust’s heatwave plans </w:t>
      </w:r>
      <w:r w:rsidR="00FD2668">
        <w:rPr>
          <w:rFonts w:ascii="Segoe UI" w:hAnsi="Segoe UI" w:cs="Segoe UI"/>
          <w:sz w:val="22"/>
          <w:szCs w:val="22"/>
        </w:rPr>
        <w:t xml:space="preserve">to be initiated and the NHS is expecting extra strain on services </w:t>
      </w:r>
      <w:r w:rsidR="005677D9">
        <w:rPr>
          <w:rFonts w:ascii="Segoe UI" w:hAnsi="Segoe UI" w:cs="Segoe UI"/>
          <w:sz w:val="22"/>
          <w:szCs w:val="22"/>
        </w:rPr>
        <w:t>which it is anticipated will adversely impact elderly people needing hospital treatment</w:t>
      </w:r>
      <w:r w:rsidR="00116FD7">
        <w:rPr>
          <w:rFonts w:ascii="Segoe UI" w:hAnsi="Segoe UI" w:cs="Segoe UI"/>
          <w:sz w:val="22"/>
          <w:szCs w:val="22"/>
        </w:rPr>
        <w:t xml:space="preserve"> at a time of year when </w:t>
      </w:r>
      <w:r w:rsidR="00F76F9B">
        <w:rPr>
          <w:rFonts w:ascii="Segoe UI" w:hAnsi="Segoe UI" w:cs="Segoe UI"/>
          <w:sz w:val="22"/>
          <w:szCs w:val="22"/>
        </w:rPr>
        <w:t>Trust’s would hope to see some respite in pressures.</w:t>
      </w:r>
      <w:r w:rsidR="00BB763C">
        <w:rPr>
          <w:rFonts w:ascii="Segoe UI" w:hAnsi="Segoe UI" w:cs="Segoe UI"/>
          <w:sz w:val="22"/>
          <w:szCs w:val="22"/>
        </w:rPr>
        <w:t xml:space="preserve"> </w:t>
      </w:r>
    </w:p>
    <w:p w14:paraId="5BA479A6" w14:textId="77777777" w:rsidR="008E2BDA" w:rsidRPr="00836DDB" w:rsidRDefault="008E2BDA" w:rsidP="004A11CA">
      <w:pPr>
        <w:jc w:val="both"/>
        <w:rPr>
          <w:rFonts w:ascii="Segoe UI" w:hAnsi="Segoe UI" w:cs="Segoe UI"/>
          <w:sz w:val="22"/>
          <w:szCs w:val="22"/>
        </w:rPr>
      </w:pPr>
    </w:p>
    <w:p w14:paraId="1E9E04E7" w14:textId="383E7622" w:rsidR="008F2E96" w:rsidRDefault="008F2E96" w:rsidP="004A11CA">
      <w:pPr>
        <w:jc w:val="both"/>
        <w:rPr>
          <w:rFonts w:ascii="Segoe UI" w:hAnsi="Segoe UI" w:cs="Segoe UI"/>
          <w:sz w:val="22"/>
          <w:szCs w:val="22"/>
        </w:rPr>
      </w:pPr>
      <w:r>
        <w:rPr>
          <w:rFonts w:ascii="Segoe UI" w:hAnsi="Segoe UI" w:cs="Segoe UI"/>
          <w:sz w:val="22"/>
          <w:szCs w:val="22"/>
        </w:rPr>
        <w:t xml:space="preserve">The delayed public inquiry into the </w:t>
      </w:r>
      <w:r w:rsidR="00865CFB">
        <w:rPr>
          <w:rFonts w:ascii="Segoe UI" w:hAnsi="Segoe UI" w:cs="Segoe UI"/>
          <w:sz w:val="22"/>
          <w:szCs w:val="22"/>
        </w:rPr>
        <w:t>U</w:t>
      </w:r>
      <w:r>
        <w:rPr>
          <w:rFonts w:ascii="Segoe UI" w:hAnsi="Segoe UI" w:cs="Segoe UI"/>
          <w:sz w:val="22"/>
          <w:szCs w:val="22"/>
        </w:rPr>
        <w:t xml:space="preserve">K’s handling of the pandemic was launched </w:t>
      </w:r>
      <w:r w:rsidR="00AF2F7E">
        <w:rPr>
          <w:rFonts w:ascii="Segoe UI" w:hAnsi="Segoe UI" w:cs="Segoe UI"/>
          <w:sz w:val="22"/>
          <w:szCs w:val="22"/>
        </w:rPr>
        <w:t>this month with the widened terms of reference published to include con</w:t>
      </w:r>
      <w:r w:rsidR="009F6820">
        <w:rPr>
          <w:rFonts w:ascii="Segoe UI" w:hAnsi="Segoe UI" w:cs="Segoe UI"/>
          <w:sz w:val="22"/>
          <w:szCs w:val="22"/>
        </w:rPr>
        <w:t xml:space="preserve">sideration of unequal impact on minority ethnic people, on children and on mental health.  It is </w:t>
      </w:r>
      <w:r w:rsidR="00B97147">
        <w:rPr>
          <w:rFonts w:ascii="Segoe UI" w:hAnsi="Segoe UI" w:cs="Segoe UI"/>
          <w:sz w:val="22"/>
          <w:szCs w:val="22"/>
        </w:rPr>
        <w:t xml:space="preserve">expected that Heather Hallett, and her team of </w:t>
      </w:r>
      <w:r w:rsidR="00FB70A9">
        <w:rPr>
          <w:rFonts w:ascii="Segoe UI" w:hAnsi="Segoe UI" w:cs="Segoe UI"/>
          <w:sz w:val="22"/>
          <w:szCs w:val="22"/>
        </w:rPr>
        <w:t>1</w:t>
      </w:r>
      <w:r w:rsidR="00B97147">
        <w:rPr>
          <w:rFonts w:ascii="Segoe UI" w:hAnsi="Segoe UI" w:cs="Segoe UI"/>
          <w:sz w:val="22"/>
          <w:szCs w:val="22"/>
        </w:rPr>
        <w:t>2 QCs operating under the Inquiries Act will be one of the large</w:t>
      </w:r>
      <w:r w:rsidR="00A14BFF">
        <w:rPr>
          <w:rFonts w:ascii="Segoe UI" w:hAnsi="Segoe UI" w:cs="Segoe UI"/>
          <w:sz w:val="22"/>
          <w:szCs w:val="22"/>
        </w:rPr>
        <w:t>s</w:t>
      </w:r>
      <w:r w:rsidR="00B97147">
        <w:rPr>
          <w:rFonts w:ascii="Segoe UI" w:hAnsi="Segoe UI" w:cs="Segoe UI"/>
          <w:sz w:val="22"/>
          <w:szCs w:val="22"/>
        </w:rPr>
        <w:t xml:space="preserve">t public inquiries conducted in the UK.  </w:t>
      </w:r>
      <w:r w:rsidR="001940A9">
        <w:rPr>
          <w:rFonts w:ascii="Segoe UI" w:hAnsi="Segoe UI" w:cs="Segoe UI"/>
          <w:sz w:val="22"/>
          <w:szCs w:val="22"/>
        </w:rPr>
        <w:t xml:space="preserve">The inquiry will examine, </w:t>
      </w:r>
      <w:proofErr w:type="gramStart"/>
      <w:r w:rsidR="001940A9">
        <w:rPr>
          <w:rFonts w:ascii="Segoe UI" w:hAnsi="Segoe UI" w:cs="Segoe UI"/>
          <w:sz w:val="22"/>
          <w:szCs w:val="22"/>
        </w:rPr>
        <w:t>consider</w:t>
      </w:r>
      <w:proofErr w:type="gramEnd"/>
      <w:r w:rsidR="001940A9">
        <w:rPr>
          <w:rFonts w:ascii="Segoe UI" w:hAnsi="Segoe UI" w:cs="Segoe UI"/>
          <w:sz w:val="22"/>
          <w:szCs w:val="22"/>
        </w:rPr>
        <w:t xml:space="preserve"> and report on preparations and the response to the pandemic in Engla</w:t>
      </w:r>
      <w:r w:rsidR="00FB70A9">
        <w:rPr>
          <w:rFonts w:ascii="Segoe UI" w:hAnsi="Segoe UI" w:cs="Segoe UI"/>
          <w:sz w:val="22"/>
          <w:szCs w:val="22"/>
        </w:rPr>
        <w:t>n</w:t>
      </w:r>
      <w:r w:rsidR="001940A9">
        <w:rPr>
          <w:rFonts w:ascii="Segoe UI" w:hAnsi="Segoe UI" w:cs="Segoe UI"/>
          <w:sz w:val="22"/>
          <w:szCs w:val="22"/>
        </w:rPr>
        <w:t>d, Wales, Scotland and Northern Ire</w:t>
      </w:r>
      <w:r w:rsidR="00DC1D0C">
        <w:rPr>
          <w:rFonts w:ascii="Segoe UI" w:hAnsi="Segoe UI" w:cs="Segoe UI"/>
          <w:sz w:val="22"/>
          <w:szCs w:val="22"/>
        </w:rPr>
        <w:t xml:space="preserve">land. </w:t>
      </w:r>
      <w:r w:rsidR="008033D4">
        <w:rPr>
          <w:rFonts w:ascii="Segoe UI" w:hAnsi="Segoe UI" w:cs="Segoe UI"/>
          <w:sz w:val="22"/>
          <w:szCs w:val="22"/>
        </w:rPr>
        <w:t>The terms of reference cover 37 topics</w:t>
      </w:r>
      <w:r w:rsidR="00FB70A9">
        <w:rPr>
          <w:rFonts w:ascii="Segoe UI" w:hAnsi="Segoe UI" w:cs="Segoe UI"/>
          <w:sz w:val="22"/>
          <w:szCs w:val="22"/>
        </w:rPr>
        <w:t xml:space="preserve"> divided into three areas.  The public health response, the response of the health and care sector and the economic response and its impact, including government interventions.  </w:t>
      </w:r>
    </w:p>
    <w:p w14:paraId="3085834C" w14:textId="18A19A8F" w:rsidR="008F2E96" w:rsidRDefault="008F2E96" w:rsidP="004A11CA">
      <w:pPr>
        <w:jc w:val="both"/>
        <w:rPr>
          <w:rFonts w:ascii="Segoe UI" w:hAnsi="Segoe UI" w:cs="Segoe UI"/>
          <w:sz w:val="22"/>
          <w:szCs w:val="22"/>
        </w:rPr>
      </w:pPr>
    </w:p>
    <w:p w14:paraId="503B290B" w14:textId="07B4AD62" w:rsidR="00E74A0B" w:rsidRDefault="00E74A0B" w:rsidP="00E74A0B">
      <w:pPr>
        <w:jc w:val="both"/>
        <w:rPr>
          <w:rFonts w:ascii="Segoe UI" w:hAnsi="Segoe UI" w:cs="Segoe UI"/>
          <w:sz w:val="22"/>
          <w:szCs w:val="22"/>
        </w:rPr>
      </w:pPr>
      <w:r w:rsidRPr="00E74A0B">
        <w:rPr>
          <w:rFonts w:ascii="Segoe UI" w:hAnsi="Segoe UI" w:cs="Segoe UI"/>
          <w:sz w:val="22"/>
          <w:szCs w:val="22"/>
        </w:rPr>
        <w:t>Board members have previously noted the delays regarding the formal status of the Integrated Care Systems now gaining statutory status from July 2022 through the Health and Care Act.</w:t>
      </w:r>
      <w:r>
        <w:rPr>
          <w:rFonts w:ascii="Segoe UI" w:hAnsi="Segoe UI" w:cs="Segoe UI"/>
          <w:sz w:val="22"/>
          <w:szCs w:val="22"/>
        </w:rPr>
        <w:t xml:space="preserve"> This </w:t>
      </w:r>
      <w:r w:rsidR="00DF3E47">
        <w:rPr>
          <w:rFonts w:ascii="Segoe UI" w:hAnsi="Segoe UI" w:cs="Segoe UI"/>
          <w:sz w:val="22"/>
          <w:szCs w:val="22"/>
        </w:rPr>
        <w:t xml:space="preserve">month’s </w:t>
      </w:r>
      <w:r>
        <w:rPr>
          <w:rFonts w:ascii="Segoe UI" w:hAnsi="Segoe UI" w:cs="Segoe UI"/>
          <w:sz w:val="22"/>
          <w:szCs w:val="22"/>
        </w:rPr>
        <w:t>report includes the publication of the System Oversight Framework 22/23</w:t>
      </w:r>
      <w:r w:rsidR="003C1B7E">
        <w:rPr>
          <w:rFonts w:ascii="Segoe UI" w:hAnsi="Segoe UI" w:cs="Segoe UI"/>
          <w:sz w:val="22"/>
          <w:szCs w:val="22"/>
        </w:rPr>
        <w:t xml:space="preserve"> which came into operation as new ICBs were </w:t>
      </w:r>
      <w:proofErr w:type="gramStart"/>
      <w:r w:rsidR="003C1B7E">
        <w:rPr>
          <w:rFonts w:ascii="Segoe UI" w:hAnsi="Segoe UI" w:cs="Segoe UI"/>
          <w:sz w:val="22"/>
          <w:szCs w:val="22"/>
        </w:rPr>
        <w:t>created</w:t>
      </w:r>
      <w:proofErr w:type="gramEnd"/>
      <w:r w:rsidR="003C1B7E">
        <w:rPr>
          <w:rFonts w:ascii="Segoe UI" w:hAnsi="Segoe UI" w:cs="Segoe UI"/>
          <w:sz w:val="22"/>
          <w:szCs w:val="22"/>
        </w:rPr>
        <w:t xml:space="preserve"> and CCGs ceased operation.</w:t>
      </w:r>
      <w:r w:rsidR="00DC70B0">
        <w:rPr>
          <w:rFonts w:ascii="Segoe UI" w:hAnsi="Segoe UI" w:cs="Segoe UI"/>
          <w:sz w:val="22"/>
          <w:szCs w:val="22"/>
        </w:rPr>
        <w:t xml:space="preserve">  </w:t>
      </w:r>
      <w:r w:rsidR="00722727">
        <w:rPr>
          <w:rFonts w:ascii="Segoe UI" w:hAnsi="Segoe UI" w:cs="Segoe UI"/>
          <w:sz w:val="22"/>
          <w:szCs w:val="22"/>
        </w:rPr>
        <w:t xml:space="preserve">The importance of system working is a theme through this framework, </w:t>
      </w:r>
      <w:r w:rsidR="00B74059">
        <w:rPr>
          <w:rFonts w:ascii="Segoe UI" w:hAnsi="Segoe UI" w:cs="Segoe UI"/>
          <w:sz w:val="22"/>
          <w:szCs w:val="22"/>
        </w:rPr>
        <w:t xml:space="preserve">and </w:t>
      </w:r>
      <w:r w:rsidR="00722727">
        <w:rPr>
          <w:rFonts w:ascii="Segoe UI" w:hAnsi="Segoe UI" w:cs="Segoe UI"/>
          <w:sz w:val="22"/>
          <w:szCs w:val="22"/>
        </w:rPr>
        <w:t xml:space="preserve">through enhancements to the guidance for governors </w:t>
      </w:r>
      <w:r w:rsidR="002271A4">
        <w:rPr>
          <w:rFonts w:ascii="Segoe UI" w:hAnsi="Segoe UI" w:cs="Segoe UI"/>
          <w:sz w:val="22"/>
          <w:szCs w:val="22"/>
        </w:rPr>
        <w:t>on their statutory duties</w:t>
      </w:r>
      <w:r w:rsidR="009437DD">
        <w:rPr>
          <w:rFonts w:ascii="Segoe UI" w:hAnsi="Segoe UI" w:cs="Segoe UI"/>
          <w:sz w:val="22"/>
          <w:szCs w:val="22"/>
        </w:rPr>
        <w:t>.</w:t>
      </w:r>
      <w:r w:rsidR="00122BC2">
        <w:rPr>
          <w:rFonts w:ascii="Segoe UI" w:hAnsi="Segoe UI" w:cs="Segoe UI"/>
          <w:sz w:val="22"/>
          <w:szCs w:val="22"/>
        </w:rPr>
        <w:t xml:space="preserve">  System working and collaboration is also </w:t>
      </w:r>
      <w:r w:rsidR="008B0BA3">
        <w:rPr>
          <w:rFonts w:ascii="Segoe UI" w:hAnsi="Segoe UI" w:cs="Segoe UI"/>
          <w:sz w:val="22"/>
          <w:szCs w:val="22"/>
        </w:rPr>
        <w:t xml:space="preserve">likely to become a </w:t>
      </w:r>
      <w:proofErr w:type="spellStart"/>
      <w:r w:rsidR="008B0BA3">
        <w:rPr>
          <w:rFonts w:ascii="Segoe UI" w:hAnsi="Segoe UI" w:cs="Segoe UI"/>
          <w:sz w:val="22"/>
          <w:szCs w:val="22"/>
        </w:rPr>
        <w:t>licence</w:t>
      </w:r>
      <w:proofErr w:type="spellEnd"/>
      <w:r w:rsidR="008B0BA3">
        <w:rPr>
          <w:rFonts w:ascii="Segoe UI" w:hAnsi="Segoe UI" w:cs="Segoe UI"/>
          <w:sz w:val="22"/>
          <w:szCs w:val="22"/>
        </w:rPr>
        <w:t xml:space="preserve"> condition </w:t>
      </w:r>
      <w:r w:rsidR="00E52441">
        <w:rPr>
          <w:rFonts w:ascii="Segoe UI" w:hAnsi="Segoe UI" w:cs="Segoe UI"/>
          <w:sz w:val="22"/>
          <w:szCs w:val="22"/>
        </w:rPr>
        <w:t xml:space="preserve">under our Provider </w:t>
      </w:r>
      <w:proofErr w:type="spellStart"/>
      <w:r w:rsidR="00E52441">
        <w:rPr>
          <w:rFonts w:ascii="Segoe UI" w:hAnsi="Segoe UI" w:cs="Segoe UI"/>
          <w:sz w:val="22"/>
          <w:szCs w:val="22"/>
        </w:rPr>
        <w:t>Licence</w:t>
      </w:r>
      <w:proofErr w:type="spellEnd"/>
      <w:r w:rsidR="00E52441">
        <w:rPr>
          <w:rFonts w:ascii="Segoe UI" w:hAnsi="Segoe UI" w:cs="Segoe UI"/>
          <w:sz w:val="22"/>
          <w:szCs w:val="22"/>
        </w:rPr>
        <w:t xml:space="preserve"> such that we will be increasingly judged on our contribution to the objectives of the integrated care system. </w:t>
      </w:r>
      <w:r w:rsidRPr="00E74A0B">
        <w:rPr>
          <w:rFonts w:ascii="Segoe UI" w:hAnsi="Segoe UI" w:cs="Segoe UI"/>
          <w:sz w:val="22"/>
          <w:szCs w:val="22"/>
        </w:rPr>
        <w:t xml:space="preserve">    </w:t>
      </w:r>
    </w:p>
    <w:p w14:paraId="396C4ECF" w14:textId="10DCCCD1" w:rsidR="00923F05" w:rsidRDefault="00923F05" w:rsidP="00E74A0B">
      <w:pPr>
        <w:jc w:val="both"/>
        <w:rPr>
          <w:rFonts w:ascii="Segoe UI" w:hAnsi="Segoe UI" w:cs="Segoe UI"/>
          <w:sz w:val="22"/>
          <w:szCs w:val="22"/>
        </w:rPr>
      </w:pPr>
    </w:p>
    <w:p w14:paraId="58C783A5" w14:textId="77777777" w:rsidR="00923F05" w:rsidRPr="00923F05" w:rsidRDefault="00923F05" w:rsidP="00923F05">
      <w:pPr>
        <w:jc w:val="both"/>
        <w:rPr>
          <w:rFonts w:ascii="Segoe UI" w:hAnsi="Segoe UI" w:cs="Segoe UI"/>
          <w:sz w:val="22"/>
          <w:szCs w:val="22"/>
        </w:rPr>
      </w:pPr>
      <w:r w:rsidRPr="00923F05">
        <w:rPr>
          <w:rFonts w:ascii="Segoe UI" w:hAnsi="Segoe UI" w:cs="Segoe UI"/>
          <w:sz w:val="22"/>
          <w:szCs w:val="22"/>
        </w:rPr>
        <w:t>In recognition of the absence of any acknowledgement of councils of governors in the statutory ICBs, the addendum to existing guidance for governors on their statutory functions contains some helpful clarifications and members of the Board will need to facilitate lines of communication and engagement between the system and the Council of Governors, and we will build upon the information and briefings on system plans, decisions and delivery and OHFT’s own contribution to system working in future reporting to governors.</w:t>
      </w:r>
    </w:p>
    <w:p w14:paraId="1D9BC5E3" w14:textId="77777777" w:rsidR="00E74A0B" w:rsidRDefault="00E74A0B" w:rsidP="00786C88">
      <w:pPr>
        <w:jc w:val="both"/>
        <w:rPr>
          <w:rFonts w:ascii="Segoe UI" w:hAnsi="Segoe UI" w:cs="Segoe UI"/>
          <w:sz w:val="22"/>
          <w:szCs w:val="22"/>
        </w:rPr>
      </w:pPr>
    </w:p>
    <w:p w14:paraId="30F94451" w14:textId="7150750D" w:rsidR="005E78C6" w:rsidRDefault="005E78C6" w:rsidP="00786C88">
      <w:pPr>
        <w:jc w:val="both"/>
        <w:rPr>
          <w:rFonts w:ascii="Segoe UI" w:hAnsi="Segoe UI" w:cs="Segoe UI"/>
          <w:sz w:val="22"/>
          <w:szCs w:val="22"/>
        </w:rPr>
      </w:pPr>
      <w:r>
        <w:rPr>
          <w:rFonts w:ascii="Segoe UI" w:hAnsi="Segoe UI" w:cs="Segoe UI"/>
          <w:sz w:val="22"/>
          <w:szCs w:val="22"/>
        </w:rPr>
        <w:t>The Mental Health Act and Law Committee will be paying close attention t</w:t>
      </w:r>
      <w:r w:rsidR="00465D9D">
        <w:rPr>
          <w:rFonts w:ascii="Segoe UI" w:hAnsi="Segoe UI" w:cs="Segoe UI"/>
          <w:sz w:val="22"/>
          <w:szCs w:val="22"/>
        </w:rPr>
        <w:t xml:space="preserve">o the reform of the MHA following the draft </w:t>
      </w:r>
      <w:r w:rsidR="0014738E">
        <w:rPr>
          <w:rFonts w:ascii="Segoe UI" w:hAnsi="Segoe UI" w:cs="Segoe UI"/>
          <w:sz w:val="22"/>
          <w:szCs w:val="22"/>
        </w:rPr>
        <w:t xml:space="preserve">legislation which is intended to give effect to the policy approaches outlined in Sir Simon </w:t>
      </w:r>
      <w:proofErr w:type="spellStart"/>
      <w:r w:rsidR="0014738E">
        <w:rPr>
          <w:rFonts w:ascii="Segoe UI" w:hAnsi="Segoe UI" w:cs="Segoe UI"/>
          <w:sz w:val="22"/>
          <w:szCs w:val="22"/>
        </w:rPr>
        <w:t>Wesse</w:t>
      </w:r>
      <w:r w:rsidR="005C4DD0">
        <w:rPr>
          <w:rFonts w:ascii="Segoe UI" w:hAnsi="Segoe UI" w:cs="Segoe UI"/>
          <w:sz w:val="22"/>
          <w:szCs w:val="22"/>
        </w:rPr>
        <w:t>l</w:t>
      </w:r>
      <w:r w:rsidR="00F10E91">
        <w:rPr>
          <w:rFonts w:ascii="Segoe UI" w:hAnsi="Segoe UI" w:cs="Segoe UI"/>
          <w:sz w:val="22"/>
          <w:szCs w:val="22"/>
        </w:rPr>
        <w:t>e</w:t>
      </w:r>
      <w:r w:rsidR="0014738E">
        <w:rPr>
          <w:rFonts w:ascii="Segoe UI" w:hAnsi="Segoe UI" w:cs="Segoe UI"/>
          <w:sz w:val="22"/>
          <w:szCs w:val="22"/>
        </w:rPr>
        <w:t>y’s</w:t>
      </w:r>
      <w:proofErr w:type="spellEnd"/>
      <w:r w:rsidR="0014738E">
        <w:rPr>
          <w:rFonts w:ascii="Segoe UI" w:hAnsi="Segoe UI" w:cs="Segoe UI"/>
          <w:sz w:val="22"/>
          <w:szCs w:val="22"/>
        </w:rPr>
        <w:t xml:space="preserve"> review in 2018.</w:t>
      </w:r>
    </w:p>
    <w:p w14:paraId="5CAF5163" w14:textId="77777777" w:rsidR="005E78C6" w:rsidRDefault="005E78C6" w:rsidP="00786C88">
      <w:pPr>
        <w:jc w:val="both"/>
        <w:rPr>
          <w:rFonts w:ascii="Segoe UI" w:hAnsi="Segoe UI" w:cs="Segoe UI"/>
          <w:sz w:val="22"/>
          <w:szCs w:val="22"/>
        </w:rPr>
      </w:pPr>
    </w:p>
    <w:p w14:paraId="5B7F086C" w14:textId="65BE9D8F" w:rsidR="00786C88" w:rsidRPr="00786C88" w:rsidRDefault="00786C88" w:rsidP="00786C88">
      <w:pPr>
        <w:jc w:val="both"/>
        <w:rPr>
          <w:rFonts w:ascii="Segoe UI" w:hAnsi="Segoe UI" w:cs="Segoe UI"/>
          <w:sz w:val="22"/>
          <w:szCs w:val="22"/>
          <w:lang w:val="en-GB"/>
        </w:rPr>
      </w:pPr>
      <w:r>
        <w:rPr>
          <w:rFonts w:ascii="Segoe UI" w:hAnsi="Segoe UI" w:cs="Segoe UI"/>
          <w:sz w:val="22"/>
          <w:szCs w:val="22"/>
        </w:rPr>
        <w:t>The Digital Health and Care Plan</w:t>
      </w:r>
      <w:r w:rsidRPr="002842DB">
        <w:rPr>
          <w:rFonts w:ascii="Segoe UI" w:hAnsi="Segoe UI" w:cs="Segoe UI"/>
          <w:sz w:val="22"/>
          <w:szCs w:val="22"/>
          <w:lang w:val="en-GB"/>
        </w:rPr>
        <w:t xml:space="preserve"> sets out a vision for a digital future for leaders and a plan to achieve digital transformation of health and social care.</w:t>
      </w:r>
      <w:r w:rsidR="00BE7A0C">
        <w:rPr>
          <w:rFonts w:ascii="Segoe UI" w:hAnsi="Segoe UI" w:cs="Segoe UI"/>
          <w:sz w:val="22"/>
          <w:szCs w:val="22"/>
          <w:lang w:val="en-GB"/>
        </w:rPr>
        <w:t xml:space="preserve">  </w:t>
      </w:r>
      <w:r w:rsidRPr="00786C88">
        <w:rPr>
          <w:rFonts w:ascii="Segoe UI" w:hAnsi="Segoe UI" w:cs="Segoe UI"/>
          <w:sz w:val="22"/>
          <w:szCs w:val="22"/>
          <w:lang w:val="en-GB"/>
        </w:rPr>
        <w:t>The briefing provides a summary of the key commitments laid out by NHSE/DHSC and their digital ambition, categorised across four fronts</w:t>
      </w:r>
      <w:r w:rsidR="00521762">
        <w:rPr>
          <w:rFonts w:ascii="Segoe UI" w:hAnsi="Segoe UI" w:cs="Segoe UI"/>
          <w:sz w:val="22"/>
          <w:szCs w:val="22"/>
          <w:lang w:val="en-GB"/>
        </w:rPr>
        <w:t xml:space="preserve"> and through FIC, future implementation guidance will need to be overseen as part of the developments to the Digital Strategy previously discuss at Board</w:t>
      </w:r>
      <w:r w:rsidRPr="00786C88">
        <w:rPr>
          <w:rFonts w:ascii="Segoe UI" w:hAnsi="Segoe UI" w:cs="Segoe UI"/>
          <w:sz w:val="22"/>
          <w:szCs w:val="22"/>
          <w:lang w:val="en-GB"/>
        </w:rPr>
        <w:t xml:space="preserve">: </w:t>
      </w:r>
    </w:p>
    <w:p w14:paraId="337306CE" w14:textId="77777777" w:rsidR="00786C88" w:rsidRPr="00786C88" w:rsidRDefault="00786C88" w:rsidP="00786C88">
      <w:pPr>
        <w:numPr>
          <w:ilvl w:val="0"/>
          <w:numId w:val="20"/>
        </w:numPr>
        <w:jc w:val="both"/>
        <w:rPr>
          <w:rFonts w:ascii="Segoe UI" w:hAnsi="Segoe UI" w:cs="Segoe UI"/>
          <w:sz w:val="22"/>
          <w:szCs w:val="22"/>
          <w:lang w:val="en-GB"/>
        </w:rPr>
      </w:pPr>
      <w:r w:rsidRPr="00786C88">
        <w:rPr>
          <w:rFonts w:ascii="Segoe UI" w:hAnsi="Segoe UI" w:cs="Segoe UI"/>
          <w:sz w:val="22"/>
          <w:szCs w:val="22"/>
          <w:lang w:val="en-GB"/>
        </w:rPr>
        <w:t>Equipping the system digitally for better care.</w:t>
      </w:r>
    </w:p>
    <w:p w14:paraId="5ED8D211" w14:textId="77777777" w:rsidR="00786C88" w:rsidRPr="00786C88" w:rsidRDefault="00786C88" w:rsidP="00786C88">
      <w:pPr>
        <w:numPr>
          <w:ilvl w:val="0"/>
          <w:numId w:val="20"/>
        </w:numPr>
        <w:jc w:val="both"/>
        <w:rPr>
          <w:rFonts w:ascii="Segoe UI" w:hAnsi="Segoe UI" w:cs="Segoe UI"/>
          <w:sz w:val="22"/>
          <w:szCs w:val="22"/>
          <w:lang w:val="en-GB"/>
        </w:rPr>
      </w:pPr>
      <w:r w:rsidRPr="00786C88">
        <w:rPr>
          <w:rFonts w:ascii="Segoe UI" w:hAnsi="Segoe UI" w:cs="Segoe UI"/>
          <w:sz w:val="22"/>
          <w:szCs w:val="22"/>
          <w:lang w:val="en-GB"/>
        </w:rPr>
        <w:t>Supporting independent healthy lives.</w:t>
      </w:r>
    </w:p>
    <w:p w14:paraId="3EFFD016" w14:textId="77777777" w:rsidR="00786C88" w:rsidRPr="00786C88" w:rsidRDefault="00786C88" w:rsidP="00786C88">
      <w:pPr>
        <w:numPr>
          <w:ilvl w:val="0"/>
          <w:numId w:val="20"/>
        </w:numPr>
        <w:jc w:val="both"/>
        <w:rPr>
          <w:rFonts w:ascii="Segoe UI" w:hAnsi="Segoe UI" w:cs="Segoe UI"/>
          <w:sz w:val="22"/>
          <w:szCs w:val="22"/>
          <w:lang w:val="en-GB"/>
        </w:rPr>
      </w:pPr>
      <w:r w:rsidRPr="00786C88">
        <w:rPr>
          <w:rFonts w:ascii="Segoe UI" w:hAnsi="Segoe UI" w:cs="Segoe UI"/>
          <w:sz w:val="22"/>
          <w:szCs w:val="22"/>
          <w:lang w:val="en-GB"/>
        </w:rPr>
        <w:t>Accelerating adoption of proven tech.</w:t>
      </w:r>
    </w:p>
    <w:p w14:paraId="76DEA3C5" w14:textId="31312776" w:rsidR="00786C88" w:rsidRDefault="00786C88" w:rsidP="00786C88">
      <w:pPr>
        <w:numPr>
          <w:ilvl w:val="0"/>
          <w:numId w:val="20"/>
        </w:numPr>
        <w:jc w:val="both"/>
        <w:rPr>
          <w:rFonts w:ascii="Segoe UI" w:hAnsi="Segoe UI" w:cs="Segoe UI"/>
          <w:sz w:val="22"/>
          <w:szCs w:val="22"/>
          <w:lang w:val="en-GB"/>
        </w:rPr>
      </w:pPr>
      <w:r w:rsidRPr="00786C88">
        <w:rPr>
          <w:rFonts w:ascii="Segoe UI" w:hAnsi="Segoe UI" w:cs="Segoe UI"/>
          <w:sz w:val="22"/>
          <w:szCs w:val="22"/>
          <w:lang w:val="en-GB"/>
        </w:rPr>
        <w:t>Aligning oversight with accelerating digital transformation.</w:t>
      </w:r>
    </w:p>
    <w:p w14:paraId="45C3B7C1" w14:textId="77777777" w:rsidR="00BE7A0C" w:rsidRPr="00786C88" w:rsidRDefault="00BE7A0C" w:rsidP="00BE7A0C">
      <w:pPr>
        <w:jc w:val="both"/>
        <w:rPr>
          <w:rFonts w:ascii="Segoe UI" w:hAnsi="Segoe UI" w:cs="Segoe UI"/>
          <w:sz w:val="22"/>
          <w:szCs w:val="22"/>
          <w:lang w:val="en-GB"/>
        </w:rPr>
      </w:pPr>
    </w:p>
    <w:p w14:paraId="0AB3233D" w14:textId="18CA5B3F" w:rsidR="00A4631F" w:rsidRDefault="00107C10" w:rsidP="004A11CA">
      <w:pPr>
        <w:jc w:val="both"/>
        <w:rPr>
          <w:rFonts w:ascii="Segoe UI" w:hAnsi="Segoe UI" w:cs="Segoe UI"/>
          <w:sz w:val="22"/>
          <w:szCs w:val="22"/>
        </w:rPr>
      </w:pPr>
      <w:r>
        <w:rPr>
          <w:rFonts w:ascii="Segoe UI" w:hAnsi="Segoe UI" w:cs="Segoe UI"/>
          <w:sz w:val="22"/>
          <w:szCs w:val="22"/>
        </w:rPr>
        <w:t xml:space="preserve">The conclusion of </w:t>
      </w:r>
      <w:r w:rsidR="00260D0E">
        <w:rPr>
          <w:rFonts w:ascii="Segoe UI" w:hAnsi="Segoe UI" w:cs="Segoe UI"/>
          <w:sz w:val="22"/>
          <w:szCs w:val="22"/>
        </w:rPr>
        <w:t xml:space="preserve">General Sir Gordon </w:t>
      </w:r>
      <w:r w:rsidR="00A4631F">
        <w:rPr>
          <w:rFonts w:ascii="Segoe UI" w:hAnsi="Segoe UI" w:cs="Segoe UI"/>
          <w:sz w:val="22"/>
          <w:szCs w:val="22"/>
        </w:rPr>
        <w:t>Messenger</w:t>
      </w:r>
      <w:r w:rsidR="00260D0E">
        <w:rPr>
          <w:rFonts w:ascii="Segoe UI" w:hAnsi="Segoe UI" w:cs="Segoe UI"/>
          <w:sz w:val="22"/>
          <w:szCs w:val="22"/>
        </w:rPr>
        <w:t xml:space="preserve"> a</w:t>
      </w:r>
      <w:r w:rsidR="00D51C06">
        <w:rPr>
          <w:rFonts w:ascii="Segoe UI" w:hAnsi="Segoe UI" w:cs="Segoe UI"/>
          <w:sz w:val="22"/>
          <w:szCs w:val="22"/>
        </w:rPr>
        <w:t>n</w:t>
      </w:r>
      <w:r w:rsidR="00260D0E">
        <w:rPr>
          <w:rFonts w:ascii="Segoe UI" w:hAnsi="Segoe UI" w:cs="Segoe UI"/>
          <w:sz w:val="22"/>
          <w:szCs w:val="22"/>
        </w:rPr>
        <w:t xml:space="preserve">d Dame Linda Pollard’s </w:t>
      </w:r>
      <w:r w:rsidR="00A4631F">
        <w:rPr>
          <w:rFonts w:ascii="Segoe UI" w:hAnsi="Segoe UI" w:cs="Segoe UI"/>
          <w:sz w:val="22"/>
          <w:szCs w:val="22"/>
        </w:rPr>
        <w:t>review</w:t>
      </w:r>
      <w:r w:rsidR="00D51C06">
        <w:rPr>
          <w:rFonts w:ascii="Segoe UI" w:hAnsi="Segoe UI" w:cs="Segoe UI"/>
          <w:sz w:val="22"/>
          <w:szCs w:val="22"/>
        </w:rPr>
        <w:t xml:space="preserve"> into leadership</w:t>
      </w:r>
      <w:r w:rsidR="00A4631F">
        <w:rPr>
          <w:rFonts w:ascii="Segoe UI" w:hAnsi="Segoe UI" w:cs="Segoe UI"/>
          <w:sz w:val="22"/>
          <w:szCs w:val="22"/>
        </w:rPr>
        <w:t xml:space="preserve"> </w:t>
      </w:r>
      <w:r>
        <w:rPr>
          <w:rFonts w:ascii="Segoe UI" w:hAnsi="Segoe UI" w:cs="Segoe UI"/>
          <w:sz w:val="22"/>
          <w:szCs w:val="22"/>
        </w:rPr>
        <w:t xml:space="preserve">is pertinent </w:t>
      </w:r>
      <w:r w:rsidR="00AC1950">
        <w:rPr>
          <w:rFonts w:ascii="Segoe UI" w:hAnsi="Segoe UI" w:cs="Segoe UI"/>
          <w:sz w:val="22"/>
          <w:szCs w:val="22"/>
        </w:rPr>
        <w:t>and t</w:t>
      </w:r>
      <w:r w:rsidR="00A4631F" w:rsidRPr="00A4631F">
        <w:rPr>
          <w:rFonts w:ascii="Segoe UI" w:hAnsi="Segoe UI" w:cs="Segoe UI"/>
          <w:sz w:val="22"/>
          <w:szCs w:val="22"/>
        </w:rPr>
        <w:t xml:space="preserve">he Board is </w:t>
      </w:r>
      <w:r w:rsidR="00AC1950">
        <w:rPr>
          <w:rFonts w:ascii="Segoe UI" w:hAnsi="Segoe UI" w:cs="Segoe UI"/>
          <w:sz w:val="22"/>
          <w:szCs w:val="22"/>
        </w:rPr>
        <w:t>aware</w:t>
      </w:r>
      <w:r w:rsidR="00A4631F" w:rsidRPr="00A4631F">
        <w:rPr>
          <w:rFonts w:ascii="Segoe UI" w:hAnsi="Segoe UI" w:cs="Segoe UI"/>
          <w:sz w:val="22"/>
          <w:szCs w:val="22"/>
        </w:rPr>
        <w:t xml:space="preserve"> of challenges with regard to improving medical engagement and so it is </w:t>
      </w:r>
      <w:r w:rsidR="00AC1950" w:rsidRPr="00A4631F">
        <w:rPr>
          <w:rFonts w:ascii="Segoe UI" w:hAnsi="Segoe UI" w:cs="Segoe UI"/>
          <w:sz w:val="22"/>
          <w:szCs w:val="22"/>
        </w:rPr>
        <w:t>apposite</w:t>
      </w:r>
      <w:r w:rsidR="00A4631F" w:rsidRPr="00A4631F">
        <w:rPr>
          <w:rFonts w:ascii="Segoe UI" w:hAnsi="Segoe UI" w:cs="Segoe UI"/>
          <w:sz w:val="22"/>
          <w:szCs w:val="22"/>
        </w:rPr>
        <w:t xml:space="preserve"> the review reminds us of the central role clinicians can play in culture and behaviour setting alongside their knowledge of patient and population health.  Preparing clinicians for leadership roles and training and development opportunities will need to be a key facet of our emerging organisational strategy with an early framework recently socialised at PLC Committee.</w:t>
      </w:r>
    </w:p>
    <w:p w14:paraId="75228D62" w14:textId="1A5027E0" w:rsidR="00A4631F" w:rsidRDefault="00A4631F" w:rsidP="004A11CA">
      <w:pPr>
        <w:jc w:val="both"/>
        <w:rPr>
          <w:rFonts w:ascii="Segoe UI" w:hAnsi="Segoe UI" w:cs="Segoe UI"/>
          <w:sz w:val="22"/>
          <w:szCs w:val="22"/>
        </w:rPr>
      </w:pPr>
    </w:p>
    <w:p w14:paraId="7C5A3579" w14:textId="7A76FFAF" w:rsidR="004A11CA" w:rsidRPr="00836DDB" w:rsidRDefault="00923F05" w:rsidP="004A11CA">
      <w:pPr>
        <w:jc w:val="both"/>
        <w:rPr>
          <w:rFonts w:ascii="Segoe UI" w:hAnsi="Segoe UI" w:cs="Segoe UI"/>
          <w:sz w:val="22"/>
          <w:szCs w:val="22"/>
        </w:rPr>
      </w:pPr>
      <w:r>
        <w:rPr>
          <w:rFonts w:ascii="Segoe UI" w:hAnsi="Segoe UI" w:cs="Segoe UI"/>
          <w:sz w:val="22"/>
          <w:szCs w:val="22"/>
        </w:rPr>
        <w:t>Finally</w:t>
      </w:r>
      <w:r w:rsidR="004A11CA" w:rsidRPr="00836DDB">
        <w:rPr>
          <w:rFonts w:ascii="Segoe UI" w:hAnsi="Segoe UI" w:cs="Segoe UI"/>
          <w:sz w:val="22"/>
          <w:szCs w:val="22"/>
        </w:rPr>
        <w:t xml:space="preserve">, with the theme of learning and </w:t>
      </w:r>
      <w:r w:rsidR="00860D75" w:rsidRPr="00836DDB">
        <w:rPr>
          <w:rFonts w:ascii="Segoe UI" w:hAnsi="Segoe UI" w:cs="Segoe UI"/>
          <w:sz w:val="22"/>
          <w:szCs w:val="22"/>
        </w:rPr>
        <w:t>the encouraged</w:t>
      </w:r>
      <w:r w:rsidR="004A11CA" w:rsidRPr="00836DDB">
        <w:rPr>
          <w:rFonts w:ascii="Segoe UI" w:hAnsi="Segoe UI" w:cs="Segoe UI"/>
          <w:sz w:val="22"/>
          <w:szCs w:val="22"/>
        </w:rPr>
        <w:t xml:space="preserve"> ‘True for Us’ curiosity, Board and Committee members </w:t>
      </w:r>
      <w:r w:rsidR="00062312" w:rsidRPr="00836DDB">
        <w:rPr>
          <w:rFonts w:ascii="Segoe UI" w:hAnsi="Segoe UI" w:cs="Segoe UI"/>
          <w:sz w:val="22"/>
          <w:szCs w:val="22"/>
        </w:rPr>
        <w:t xml:space="preserve">are invited </w:t>
      </w:r>
      <w:r w:rsidR="004A11CA" w:rsidRPr="00836DDB">
        <w:rPr>
          <w:rFonts w:ascii="Segoe UI" w:hAnsi="Segoe UI" w:cs="Segoe UI"/>
          <w:sz w:val="22"/>
          <w:szCs w:val="22"/>
        </w:rPr>
        <w:t xml:space="preserve">to consider the Addendum to the Report in the Reading Room.  Notable is </w:t>
      </w:r>
      <w:r w:rsidR="00062312" w:rsidRPr="00836DDB">
        <w:rPr>
          <w:rFonts w:ascii="Segoe UI" w:hAnsi="Segoe UI" w:cs="Segoe UI"/>
          <w:sz w:val="22"/>
          <w:szCs w:val="22"/>
        </w:rPr>
        <w:t xml:space="preserve">the ongoing </w:t>
      </w:r>
      <w:r w:rsidR="00FE2084" w:rsidRPr="00836DDB">
        <w:rPr>
          <w:rFonts w:ascii="Segoe UI" w:hAnsi="Segoe UI" w:cs="Segoe UI"/>
          <w:sz w:val="22"/>
          <w:szCs w:val="22"/>
        </w:rPr>
        <w:t xml:space="preserve">theme </w:t>
      </w:r>
      <w:r w:rsidR="00062312" w:rsidRPr="00836DDB">
        <w:rPr>
          <w:rFonts w:ascii="Segoe UI" w:hAnsi="Segoe UI" w:cs="Segoe UI"/>
          <w:sz w:val="22"/>
          <w:szCs w:val="22"/>
        </w:rPr>
        <w:t>of the</w:t>
      </w:r>
      <w:r w:rsidR="004A11CA" w:rsidRPr="00836DDB">
        <w:rPr>
          <w:rFonts w:ascii="Segoe UI" w:hAnsi="Segoe UI" w:cs="Segoe UI"/>
          <w:sz w:val="22"/>
          <w:szCs w:val="22"/>
        </w:rPr>
        <w:t xml:space="preserve"> importance </w:t>
      </w:r>
      <w:r w:rsidR="00AE1EA6" w:rsidRPr="00836DDB">
        <w:rPr>
          <w:rFonts w:ascii="Segoe UI" w:hAnsi="Segoe UI" w:cs="Segoe UI"/>
          <w:sz w:val="22"/>
          <w:szCs w:val="22"/>
        </w:rPr>
        <w:t xml:space="preserve">of </w:t>
      </w:r>
      <w:r w:rsidR="00836DDB" w:rsidRPr="00836DDB">
        <w:rPr>
          <w:rFonts w:ascii="Segoe UI" w:hAnsi="Segoe UI" w:cs="Segoe UI"/>
          <w:sz w:val="22"/>
          <w:szCs w:val="22"/>
        </w:rPr>
        <w:t>culture and safe environments for speaking up</w:t>
      </w:r>
      <w:r w:rsidR="002A3A11">
        <w:rPr>
          <w:rFonts w:ascii="Segoe UI" w:hAnsi="Segoe UI" w:cs="Segoe UI"/>
          <w:sz w:val="22"/>
          <w:szCs w:val="22"/>
        </w:rPr>
        <w:t xml:space="preserve"> and a number of CQC inspections included in the report </w:t>
      </w:r>
      <w:r w:rsidR="00E50430">
        <w:rPr>
          <w:rFonts w:ascii="Segoe UI" w:hAnsi="Segoe UI" w:cs="Segoe UI"/>
          <w:sz w:val="22"/>
          <w:szCs w:val="22"/>
        </w:rPr>
        <w:t>will assist with our own development focus.</w:t>
      </w:r>
      <w:r w:rsidR="00836DDB" w:rsidRPr="00836DDB">
        <w:rPr>
          <w:rFonts w:ascii="Segoe UI" w:hAnsi="Segoe UI" w:cs="Segoe UI"/>
          <w:sz w:val="22"/>
          <w:szCs w:val="22"/>
        </w:rPr>
        <w:t xml:space="preserve">           </w:t>
      </w:r>
    </w:p>
    <w:p w14:paraId="2BC26542" w14:textId="77777777" w:rsidR="004A11CA" w:rsidRPr="00FD27BE"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3CE88258" w14:textId="4B31B488" w:rsidR="004A11CA" w:rsidRPr="009C3CC8" w:rsidRDefault="004A11CA" w:rsidP="004A11CA">
      <w:pPr>
        <w:jc w:val="both"/>
        <w:rPr>
          <w:rFonts w:ascii="Segoe UI" w:hAnsi="Segoe UI" w:cs="Segoe UI"/>
          <w:sz w:val="22"/>
          <w:szCs w:val="22"/>
        </w:rPr>
      </w:pPr>
      <w:r w:rsidRPr="009C3CC8">
        <w:rPr>
          <w:rFonts w:ascii="Segoe UI" w:hAnsi="Segoe UI" w:cs="Segoe UI"/>
          <w:sz w:val="22"/>
          <w:szCs w:val="22"/>
        </w:rPr>
        <w:t>This is a routine report with direct relevance to the Board</w:t>
      </w:r>
      <w:r w:rsidR="00FD27BE">
        <w:rPr>
          <w:rFonts w:ascii="Segoe UI" w:hAnsi="Segoe UI" w:cs="Segoe UI"/>
          <w:sz w:val="22"/>
          <w:szCs w:val="22"/>
        </w:rPr>
        <w:t xml:space="preserve"> and its committees and serves to provide</w:t>
      </w:r>
      <w:r w:rsidR="00165B79">
        <w:rPr>
          <w:rFonts w:ascii="Segoe UI" w:hAnsi="Segoe UI" w:cs="Segoe UI"/>
          <w:sz w:val="22"/>
          <w:szCs w:val="22"/>
        </w:rPr>
        <w:t xml:space="preserve"> early insight into the changing legal, regulatory and policy environment thereby allowing a </w:t>
      </w:r>
      <w:proofErr w:type="gramStart"/>
      <w:r w:rsidR="00165B79">
        <w:rPr>
          <w:rFonts w:ascii="Segoe UI" w:hAnsi="Segoe UI" w:cs="Segoe UI"/>
          <w:sz w:val="22"/>
          <w:szCs w:val="22"/>
        </w:rPr>
        <w:t>risk based</w:t>
      </w:r>
      <w:proofErr w:type="gramEnd"/>
      <w:r w:rsidR="00165B79">
        <w:rPr>
          <w:rFonts w:ascii="Segoe UI" w:hAnsi="Segoe UI" w:cs="Segoe UI"/>
          <w:sz w:val="22"/>
          <w:szCs w:val="22"/>
        </w:rPr>
        <w:t xml:space="preserve"> approach to </w:t>
      </w:r>
      <w:r w:rsidR="00D1294F">
        <w:rPr>
          <w:rFonts w:ascii="Segoe UI" w:hAnsi="Segoe UI" w:cs="Segoe UI"/>
          <w:sz w:val="22"/>
          <w:szCs w:val="22"/>
        </w:rPr>
        <w:t>stimulating further enquiry</w:t>
      </w:r>
      <w:r w:rsidR="00C4631C">
        <w:rPr>
          <w:rFonts w:ascii="Segoe UI" w:hAnsi="Segoe UI" w:cs="Segoe UI"/>
          <w:sz w:val="22"/>
          <w:szCs w:val="22"/>
        </w:rPr>
        <w:t xml:space="preserve"> where relevant</w:t>
      </w:r>
      <w:r w:rsidRPr="009C3CC8">
        <w:rPr>
          <w:rFonts w:ascii="Segoe UI" w:hAnsi="Segoe UI" w:cs="Segoe UI"/>
          <w:sz w:val="22"/>
          <w:szCs w:val="22"/>
        </w:rPr>
        <w:t xml:space="preserve">. </w:t>
      </w:r>
    </w:p>
    <w:p w14:paraId="3EDD31E6" w14:textId="77777777" w:rsidR="004A11CA" w:rsidRPr="009C3CC8" w:rsidRDefault="004A11CA" w:rsidP="004A11CA">
      <w:pPr>
        <w:jc w:val="both"/>
        <w:rPr>
          <w:rFonts w:ascii="Segoe UI" w:hAnsi="Segoe UI" w:cs="Segoe UI"/>
          <w:b/>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A9E4B62" w:rsidR="004A11CA" w:rsidRDefault="004A11CA" w:rsidP="004A11CA">
      <w:pPr>
        <w:jc w:val="both"/>
        <w:rPr>
          <w:rFonts w:ascii="Segoe UI" w:hAnsi="Segoe UI" w:cs="Segoe UI"/>
          <w:sz w:val="22"/>
          <w:szCs w:val="22"/>
        </w:rPr>
      </w:pPr>
      <w:r w:rsidRPr="0072538C">
        <w:rPr>
          <w:rFonts w:ascii="Segoe UI" w:hAnsi="Segoe UI" w:cs="Segoe UI"/>
          <w:sz w:val="22"/>
          <w:szCs w:val="22"/>
        </w:rPr>
        <w:t>The Board of Directors is invited to consider and be aware of the content of the report and where relevant, members should each be satisfied of their individual and collective assurances</w:t>
      </w:r>
      <w:r w:rsidR="00277CF2">
        <w:rPr>
          <w:rFonts w:ascii="Segoe UI" w:hAnsi="Segoe UI" w:cs="Segoe UI"/>
          <w:sz w:val="22"/>
          <w:szCs w:val="22"/>
        </w:rPr>
        <w:t xml:space="preserve"> and reassurance</w:t>
      </w:r>
      <w:r w:rsidRPr="0072538C">
        <w:rPr>
          <w:rFonts w:ascii="Segoe UI" w:hAnsi="Segoe UI" w:cs="Segoe UI"/>
          <w:sz w:val="22"/>
          <w:szCs w:val="22"/>
        </w:rPr>
        <w:t xml:space="preserve"> that the internal plans and controls in place to deliver compliance against </w:t>
      </w:r>
      <w:r w:rsidR="00EE0CBF">
        <w:rPr>
          <w:rFonts w:ascii="Segoe UI" w:hAnsi="Segoe UI" w:cs="Segoe UI"/>
          <w:sz w:val="22"/>
          <w:szCs w:val="22"/>
        </w:rPr>
        <w:t>relevant</w:t>
      </w:r>
      <w:r w:rsidRPr="0072538C">
        <w:rPr>
          <w:rFonts w:ascii="Segoe UI" w:hAnsi="Segoe UI" w:cs="Segoe UI"/>
          <w:sz w:val="22"/>
          <w:szCs w:val="22"/>
        </w:rPr>
        <w:t xml:space="preserve"> Trust obligations are appropriate and effective.  Chairs of Board Committees should consider whether more detailed assurances relevant to their committees, are necessary, </w:t>
      </w:r>
      <w:proofErr w:type="spellStart"/>
      <w:r w:rsidRPr="0072538C">
        <w:rPr>
          <w:rFonts w:ascii="Segoe UI" w:hAnsi="Segoe UI" w:cs="Segoe UI"/>
          <w:sz w:val="22"/>
          <w:szCs w:val="22"/>
        </w:rPr>
        <w:t>utilising</w:t>
      </w:r>
      <w:proofErr w:type="spellEnd"/>
      <w:r w:rsidRPr="0072538C">
        <w:rPr>
          <w:rFonts w:ascii="Segoe UI" w:hAnsi="Segoe UI" w:cs="Segoe UI"/>
          <w:sz w:val="22"/>
          <w:szCs w:val="22"/>
        </w:rPr>
        <w:t xml:space="preserve"> this report as a constructive stimulant to inform the composition of meeting agendas and reporting focus as necessary or appropriate</w:t>
      </w:r>
      <w:r w:rsidR="00686064">
        <w:rPr>
          <w:rFonts w:ascii="Segoe UI" w:hAnsi="Segoe UI" w:cs="Segoe UI"/>
          <w:sz w:val="22"/>
          <w:szCs w:val="22"/>
        </w:rPr>
        <w:t xml:space="preserve"> and in the context of the Trust’s strategic risk profile and</w:t>
      </w:r>
      <w:r w:rsidR="00130DE0">
        <w:rPr>
          <w:rFonts w:ascii="Segoe UI" w:hAnsi="Segoe UI" w:cs="Segoe UI"/>
          <w:sz w:val="22"/>
          <w:szCs w:val="22"/>
        </w:rPr>
        <w:t xml:space="preserve"> the effectiveness of</w:t>
      </w:r>
      <w:r w:rsidR="00686064">
        <w:rPr>
          <w:rFonts w:ascii="Segoe UI" w:hAnsi="Segoe UI" w:cs="Segoe UI"/>
          <w:sz w:val="22"/>
          <w:szCs w:val="22"/>
        </w:rPr>
        <w:t xml:space="preserve"> mitigation</w:t>
      </w:r>
      <w:r w:rsidR="00130DE0">
        <w:rPr>
          <w:rFonts w:ascii="Segoe UI" w:hAnsi="Segoe UI" w:cs="Segoe UI"/>
          <w:sz w:val="22"/>
          <w:szCs w:val="22"/>
        </w:rPr>
        <w:t>s/</w:t>
      </w:r>
      <w:r w:rsidR="00686064">
        <w:rPr>
          <w:rFonts w:ascii="Segoe UI" w:hAnsi="Segoe UI" w:cs="Segoe UI"/>
          <w:sz w:val="22"/>
          <w:szCs w:val="22"/>
        </w:rPr>
        <w:t>control</w:t>
      </w:r>
      <w:r w:rsidR="00130DE0">
        <w:rPr>
          <w:rFonts w:ascii="Segoe UI" w:hAnsi="Segoe UI" w:cs="Segoe UI"/>
          <w:sz w:val="22"/>
          <w:szCs w:val="22"/>
        </w:rPr>
        <w:t>s</w:t>
      </w:r>
      <w:r w:rsidRPr="0072538C">
        <w:rPr>
          <w:rFonts w:ascii="Segoe UI" w:hAnsi="Segoe UI" w:cs="Segoe UI"/>
          <w:sz w:val="22"/>
          <w:szCs w:val="22"/>
        </w:rPr>
        <w:t>.</w:t>
      </w:r>
    </w:p>
    <w:p w14:paraId="427BBB95" w14:textId="1FD8109B" w:rsidR="00F77791" w:rsidRDefault="00F77791" w:rsidP="004A11CA">
      <w:pPr>
        <w:jc w:val="both"/>
        <w:rPr>
          <w:rFonts w:ascii="Segoe UI" w:hAnsi="Segoe UI" w:cs="Segoe UI"/>
          <w:sz w:val="22"/>
          <w:szCs w:val="22"/>
        </w:rPr>
      </w:pPr>
    </w:p>
    <w:p w14:paraId="70D7662E" w14:textId="77777777" w:rsidR="004A11CA" w:rsidRPr="0072538C" w:rsidRDefault="004A11CA" w:rsidP="004A11CA">
      <w:pPr>
        <w:jc w:val="both"/>
        <w:rPr>
          <w:rFonts w:ascii="Segoe UI" w:hAnsi="Segoe UI" w:cs="Segoe UI"/>
          <w:b/>
          <w:sz w:val="22"/>
          <w:szCs w:val="22"/>
        </w:rPr>
      </w:pPr>
    </w:p>
    <w:p w14:paraId="1277E282" w14:textId="77777777" w:rsidR="004A11CA" w:rsidRPr="0072538C" w:rsidRDefault="004A11CA" w:rsidP="004A11CA">
      <w:pPr>
        <w:jc w:val="both"/>
        <w:rPr>
          <w:rFonts w:ascii="Segoe UI" w:hAnsi="Segoe UI" w:cs="Segoe UI"/>
          <w:sz w:val="22"/>
          <w:szCs w:val="22"/>
        </w:rPr>
      </w:pPr>
      <w:r w:rsidRPr="0072538C">
        <w:rPr>
          <w:rFonts w:ascii="Segoe UI" w:hAnsi="Segoe UI" w:cs="Segoe UI"/>
          <w:b/>
          <w:sz w:val="22"/>
          <w:szCs w:val="22"/>
        </w:rPr>
        <w:t xml:space="preserve">Author and Title: </w:t>
      </w:r>
      <w:r w:rsidRPr="0072538C">
        <w:rPr>
          <w:rFonts w:ascii="Segoe UI" w:hAnsi="Segoe UI" w:cs="Segoe UI"/>
          <w:b/>
          <w:sz w:val="22"/>
          <w:szCs w:val="22"/>
        </w:rPr>
        <w:tab/>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Company Secretary </w:t>
      </w:r>
    </w:p>
    <w:p w14:paraId="1C394901" w14:textId="77777777" w:rsidR="004A11CA" w:rsidRPr="0072538C" w:rsidRDefault="004A11CA" w:rsidP="004A11CA">
      <w:pPr>
        <w:jc w:val="both"/>
        <w:rPr>
          <w:rFonts w:ascii="Segoe UI" w:hAnsi="Segoe UI" w:cs="Segoe UI"/>
          <w:b/>
          <w:sz w:val="22"/>
          <w:szCs w:val="22"/>
        </w:rPr>
      </w:pPr>
      <w:r w:rsidRPr="0072538C">
        <w:rPr>
          <w:rFonts w:ascii="Segoe UI" w:hAnsi="Segoe UI" w:cs="Segoe UI"/>
          <w:b/>
          <w:sz w:val="22"/>
          <w:szCs w:val="22"/>
        </w:rPr>
        <w:t xml:space="preserve">Lead Executive Director:  </w:t>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                     </w:t>
      </w:r>
      <w:r w:rsidRPr="0072538C">
        <w:rPr>
          <w:rFonts w:ascii="Segoe UI" w:hAnsi="Segoe UI" w:cs="Segoe UI"/>
          <w:b/>
          <w:sz w:val="22"/>
          <w:szCs w:val="22"/>
        </w:rPr>
        <w:tab/>
      </w:r>
      <w:r w:rsidRPr="0072538C">
        <w:rPr>
          <w:rFonts w:ascii="Segoe UI" w:hAnsi="Segoe UI" w:cs="Segoe UI"/>
          <w:b/>
          <w:sz w:val="22"/>
          <w:szCs w:val="22"/>
        </w:rPr>
        <w:tab/>
        <w:t xml:space="preserve">Company Secretary </w:t>
      </w:r>
      <w:r w:rsidRPr="0072538C">
        <w:rPr>
          <w:rFonts w:ascii="Segoe UI" w:hAnsi="Segoe UI" w:cs="Segoe UI"/>
          <w:sz w:val="22"/>
          <w:szCs w:val="22"/>
        </w:rPr>
        <w:tab/>
        <w:t xml:space="preserve"> </w:t>
      </w:r>
    </w:p>
    <w:p w14:paraId="5CB2728B" w14:textId="77777777" w:rsidR="004A11CA" w:rsidRPr="0072538C" w:rsidRDefault="004A11CA" w:rsidP="004A11CA">
      <w:pPr>
        <w:jc w:val="both"/>
        <w:rPr>
          <w:rFonts w:ascii="Segoe UI" w:hAnsi="Segoe UI" w:cs="Segoe UI"/>
        </w:rPr>
      </w:pP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aspects of each of the Strategic Objectives/Priorities of the Trust </w:t>
      </w:r>
    </w:p>
    <w:p w14:paraId="4FB97F45" w14:textId="6545F6D1" w:rsidR="004A11CA" w:rsidRDefault="004A11CA" w:rsidP="004A11CA">
      <w:pPr>
        <w:pStyle w:val="ListParagraph"/>
        <w:rPr>
          <w:rFonts w:ascii="Segoe UI" w:hAnsi="Segoe UI" w:cs="Segoe UI"/>
          <w:i/>
          <w:sz w:val="20"/>
          <w:szCs w:val="20"/>
        </w:rPr>
      </w:pPr>
    </w:p>
    <w:p w14:paraId="481AACD5" w14:textId="4265395A" w:rsidR="00A07AC3" w:rsidRDefault="00A07AC3" w:rsidP="004A11CA">
      <w:pPr>
        <w:pStyle w:val="ListParagraph"/>
        <w:rPr>
          <w:rFonts w:ascii="Segoe UI" w:hAnsi="Segoe UI" w:cs="Segoe UI"/>
          <w:i/>
          <w:sz w:val="20"/>
          <w:szCs w:val="20"/>
        </w:rPr>
      </w:pPr>
    </w:p>
    <w:p w14:paraId="55F0E213" w14:textId="77777777" w:rsidR="00A07AC3" w:rsidRPr="00106344" w:rsidRDefault="00A07AC3" w:rsidP="00106344">
      <w:pPr>
        <w:rPr>
          <w:rFonts w:ascii="Segoe UI" w:hAnsi="Segoe UI" w:cs="Segoe UI"/>
          <w:i/>
          <w:sz w:val="20"/>
          <w:szCs w:val="20"/>
        </w:rPr>
      </w:pPr>
    </w:p>
    <w:sectPr w:rsidR="00A07AC3" w:rsidRPr="001063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00CB" w14:textId="77777777" w:rsidR="006A4B39" w:rsidRDefault="006A4B39" w:rsidP="004A11CA">
      <w:r>
        <w:separator/>
      </w:r>
    </w:p>
  </w:endnote>
  <w:endnote w:type="continuationSeparator" w:id="0">
    <w:p w14:paraId="4C0ED9BB" w14:textId="77777777" w:rsidR="006A4B39" w:rsidRDefault="006A4B39"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418D" w14:textId="77777777" w:rsidR="006A4B39" w:rsidRDefault="006A4B39" w:rsidP="004A11CA">
      <w:r>
        <w:separator/>
      </w:r>
    </w:p>
  </w:footnote>
  <w:footnote w:type="continuationSeparator" w:id="0">
    <w:p w14:paraId="24EEFA4B" w14:textId="77777777" w:rsidR="006A4B39" w:rsidRDefault="006A4B39"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8420EA"/>
    <w:multiLevelType w:val="multilevel"/>
    <w:tmpl w:val="CEFAE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
  </w:num>
  <w:num w:numId="5">
    <w:abstractNumId w:val="14"/>
  </w:num>
  <w:num w:numId="6">
    <w:abstractNumId w:val="5"/>
  </w:num>
  <w:num w:numId="7">
    <w:abstractNumId w:val="16"/>
  </w:num>
  <w:num w:numId="8">
    <w:abstractNumId w:val="3"/>
  </w:num>
  <w:num w:numId="9">
    <w:abstractNumId w:val="17"/>
  </w:num>
  <w:num w:numId="10">
    <w:abstractNumId w:val="19"/>
  </w:num>
  <w:num w:numId="11">
    <w:abstractNumId w:val="0"/>
  </w:num>
  <w:num w:numId="12">
    <w:abstractNumId w:val="6"/>
  </w:num>
  <w:num w:numId="13">
    <w:abstractNumId w:val="7"/>
  </w:num>
  <w:num w:numId="14">
    <w:abstractNumId w:val="15"/>
  </w:num>
  <w:num w:numId="15">
    <w:abstractNumId w:val="9"/>
  </w:num>
  <w:num w:numId="16">
    <w:abstractNumId w:val="4"/>
  </w:num>
  <w:num w:numId="17">
    <w:abstractNumId w:val="8"/>
  </w:num>
  <w:num w:numId="18">
    <w:abstractNumId w:val="12"/>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3B36"/>
    <w:rsid w:val="000266FF"/>
    <w:rsid w:val="00030C5F"/>
    <w:rsid w:val="00031C4C"/>
    <w:rsid w:val="00062312"/>
    <w:rsid w:val="00092559"/>
    <w:rsid w:val="000A3EF8"/>
    <w:rsid w:val="000C2CB9"/>
    <w:rsid w:val="000E6E09"/>
    <w:rsid w:val="000F2C61"/>
    <w:rsid w:val="000F7910"/>
    <w:rsid w:val="00106344"/>
    <w:rsid w:val="00107C10"/>
    <w:rsid w:val="00113D45"/>
    <w:rsid w:val="00116FD7"/>
    <w:rsid w:val="00122BC2"/>
    <w:rsid w:val="00125E83"/>
    <w:rsid w:val="00130DE0"/>
    <w:rsid w:val="0014008C"/>
    <w:rsid w:val="0014257B"/>
    <w:rsid w:val="0014738E"/>
    <w:rsid w:val="00165B79"/>
    <w:rsid w:val="0018017E"/>
    <w:rsid w:val="001940A9"/>
    <w:rsid w:val="001D251A"/>
    <w:rsid w:val="001D2D43"/>
    <w:rsid w:val="001D3D2E"/>
    <w:rsid w:val="001E0518"/>
    <w:rsid w:val="001E2BAC"/>
    <w:rsid w:val="001E37C2"/>
    <w:rsid w:val="001F6EF4"/>
    <w:rsid w:val="0021533A"/>
    <w:rsid w:val="00216000"/>
    <w:rsid w:val="002271A4"/>
    <w:rsid w:val="00256C62"/>
    <w:rsid w:val="00260D0E"/>
    <w:rsid w:val="00262B7A"/>
    <w:rsid w:val="0026412D"/>
    <w:rsid w:val="00277CF2"/>
    <w:rsid w:val="0028433A"/>
    <w:rsid w:val="002846D2"/>
    <w:rsid w:val="00295BF3"/>
    <w:rsid w:val="002A3A11"/>
    <w:rsid w:val="002B77FE"/>
    <w:rsid w:val="002C4E90"/>
    <w:rsid w:val="002C5536"/>
    <w:rsid w:val="002C6CB7"/>
    <w:rsid w:val="002D3E71"/>
    <w:rsid w:val="002D572D"/>
    <w:rsid w:val="00300E3B"/>
    <w:rsid w:val="00310CDE"/>
    <w:rsid w:val="00331AB0"/>
    <w:rsid w:val="00336423"/>
    <w:rsid w:val="003466E5"/>
    <w:rsid w:val="003742D5"/>
    <w:rsid w:val="003809E6"/>
    <w:rsid w:val="00380B84"/>
    <w:rsid w:val="00385298"/>
    <w:rsid w:val="003B7350"/>
    <w:rsid w:val="003C1B7E"/>
    <w:rsid w:val="003D1715"/>
    <w:rsid w:val="003E287C"/>
    <w:rsid w:val="003F5F1E"/>
    <w:rsid w:val="003F728D"/>
    <w:rsid w:val="00401CF4"/>
    <w:rsid w:val="00402A7B"/>
    <w:rsid w:val="00421A29"/>
    <w:rsid w:val="00424DBF"/>
    <w:rsid w:val="0043077B"/>
    <w:rsid w:val="0044240B"/>
    <w:rsid w:val="00444F70"/>
    <w:rsid w:val="00447952"/>
    <w:rsid w:val="00461F54"/>
    <w:rsid w:val="00465D9D"/>
    <w:rsid w:val="00471765"/>
    <w:rsid w:val="0048538B"/>
    <w:rsid w:val="004A11CA"/>
    <w:rsid w:val="004A448A"/>
    <w:rsid w:val="004B28D3"/>
    <w:rsid w:val="004C6DE4"/>
    <w:rsid w:val="00521762"/>
    <w:rsid w:val="00530CA4"/>
    <w:rsid w:val="00564B8C"/>
    <w:rsid w:val="00564D8A"/>
    <w:rsid w:val="00565269"/>
    <w:rsid w:val="005677D9"/>
    <w:rsid w:val="00583F86"/>
    <w:rsid w:val="005B2F2A"/>
    <w:rsid w:val="005C4DD0"/>
    <w:rsid w:val="005C74DE"/>
    <w:rsid w:val="005D0950"/>
    <w:rsid w:val="005E78C6"/>
    <w:rsid w:val="006610E2"/>
    <w:rsid w:val="00667E4A"/>
    <w:rsid w:val="00686064"/>
    <w:rsid w:val="006A0D10"/>
    <w:rsid w:val="006A434E"/>
    <w:rsid w:val="006A4B39"/>
    <w:rsid w:val="006E0C0B"/>
    <w:rsid w:val="006E769B"/>
    <w:rsid w:val="006F249A"/>
    <w:rsid w:val="00710FEF"/>
    <w:rsid w:val="0071150B"/>
    <w:rsid w:val="00722727"/>
    <w:rsid w:val="007506D5"/>
    <w:rsid w:val="00760536"/>
    <w:rsid w:val="00771C22"/>
    <w:rsid w:val="00776661"/>
    <w:rsid w:val="00786C88"/>
    <w:rsid w:val="007C0342"/>
    <w:rsid w:val="008033D4"/>
    <w:rsid w:val="00821896"/>
    <w:rsid w:val="00836DDB"/>
    <w:rsid w:val="008543FD"/>
    <w:rsid w:val="00855834"/>
    <w:rsid w:val="00860D75"/>
    <w:rsid w:val="00860ED7"/>
    <w:rsid w:val="00865CFB"/>
    <w:rsid w:val="008B0BA3"/>
    <w:rsid w:val="008B6B34"/>
    <w:rsid w:val="008E2BDA"/>
    <w:rsid w:val="008E705C"/>
    <w:rsid w:val="008F077D"/>
    <w:rsid w:val="008F2E96"/>
    <w:rsid w:val="00900349"/>
    <w:rsid w:val="00923F05"/>
    <w:rsid w:val="0093599B"/>
    <w:rsid w:val="009437DD"/>
    <w:rsid w:val="00965BFC"/>
    <w:rsid w:val="0097097E"/>
    <w:rsid w:val="009828FE"/>
    <w:rsid w:val="00983AA9"/>
    <w:rsid w:val="009849A3"/>
    <w:rsid w:val="00993793"/>
    <w:rsid w:val="009A1618"/>
    <w:rsid w:val="009A3C5F"/>
    <w:rsid w:val="009A61EA"/>
    <w:rsid w:val="009E1D77"/>
    <w:rsid w:val="009F6820"/>
    <w:rsid w:val="00A07AC3"/>
    <w:rsid w:val="00A14BFF"/>
    <w:rsid w:val="00A33CA1"/>
    <w:rsid w:val="00A4631F"/>
    <w:rsid w:val="00A52B23"/>
    <w:rsid w:val="00A86710"/>
    <w:rsid w:val="00AA4E52"/>
    <w:rsid w:val="00AB51E9"/>
    <w:rsid w:val="00AC1950"/>
    <w:rsid w:val="00AE1EA6"/>
    <w:rsid w:val="00AF2F7E"/>
    <w:rsid w:val="00AF35D6"/>
    <w:rsid w:val="00B12FA8"/>
    <w:rsid w:val="00B159CE"/>
    <w:rsid w:val="00B234F5"/>
    <w:rsid w:val="00B33DAD"/>
    <w:rsid w:val="00B54FB9"/>
    <w:rsid w:val="00B74059"/>
    <w:rsid w:val="00B97147"/>
    <w:rsid w:val="00BB763C"/>
    <w:rsid w:val="00BD64A7"/>
    <w:rsid w:val="00BE1137"/>
    <w:rsid w:val="00BE26A9"/>
    <w:rsid w:val="00BE7A0C"/>
    <w:rsid w:val="00BF422C"/>
    <w:rsid w:val="00C158F5"/>
    <w:rsid w:val="00C22E7D"/>
    <w:rsid w:val="00C33F7E"/>
    <w:rsid w:val="00C416E2"/>
    <w:rsid w:val="00C4631C"/>
    <w:rsid w:val="00CC0182"/>
    <w:rsid w:val="00CC5F36"/>
    <w:rsid w:val="00D02E70"/>
    <w:rsid w:val="00D04BD1"/>
    <w:rsid w:val="00D1294F"/>
    <w:rsid w:val="00D33E8C"/>
    <w:rsid w:val="00D35EAA"/>
    <w:rsid w:val="00D51C06"/>
    <w:rsid w:val="00D6133C"/>
    <w:rsid w:val="00D61913"/>
    <w:rsid w:val="00D74317"/>
    <w:rsid w:val="00D853C5"/>
    <w:rsid w:val="00D92B34"/>
    <w:rsid w:val="00DA6449"/>
    <w:rsid w:val="00DC1D0C"/>
    <w:rsid w:val="00DC4ED4"/>
    <w:rsid w:val="00DC70B0"/>
    <w:rsid w:val="00DF3E47"/>
    <w:rsid w:val="00E00681"/>
    <w:rsid w:val="00E00AD3"/>
    <w:rsid w:val="00E20D11"/>
    <w:rsid w:val="00E50430"/>
    <w:rsid w:val="00E510F7"/>
    <w:rsid w:val="00E52441"/>
    <w:rsid w:val="00E55250"/>
    <w:rsid w:val="00E65935"/>
    <w:rsid w:val="00E721EF"/>
    <w:rsid w:val="00E74A0B"/>
    <w:rsid w:val="00E80BF0"/>
    <w:rsid w:val="00E95F9C"/>
    <w:rsid w:val="00EA2E2D"/>
    <w:rsid w:val="00EA4E9E"/>
    <w:rsid w:val="00EC4CC4"/>
    <w:rsid w:val="00EE0CBF"/>
    <w:rsid w:val="00EF44A4"/>
    <w:rsid w:val="00F05F8E"/>
    <w:rsid w:val="00F10E91"/>
    <w:rsid w:val="00F234DC"/>
    <w:rsid w:val="00F24B7B"/>
    <w:rsid w:val="00F46E11"/>
    <w:rsid w:val="00F74073"/>
    <w:rsid w:val="00F76F9B"/>
    <w:rsid w:val="00F77791"/>
    <w:rsid w:val="00F8673A"/>
    <w:rsid w:val="00F960A6"/>
    <w:rsid w:val="00FB70A9"/>
    <w:rsid w:val="00FD1F38"/>
    <w:rsid w:val="00FD2668"/>
    <w:rsid w:val="00FD27BE"/>
    <w:rsid w:val="00FD6E03"/>
    <w:rsid w:val="00FE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 w:type="character" w:styleId="UnresolvedMention">
    <w:name w:val="Unresolved Mention"/>
    <w:basedOn w:val="DefaultParagraphFont"/>
    <w:uiPriority w:val="99"/>
    <w:semiHidden/>
    <w:unhideWhenUsed/>
    <w:rsid w:val="0078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Rogers Kerry (RNU) Oxford Health</cp:lastModifiedBy>
  <cp:revision>99</cp:revision>
  <dcterms:created xsi:type="dcterms:W3CDTF">2022-07-15T20:08:00Z</dcterms:created>
  <dcterms:modified xsi:type="dcterms:W3CDTF">2022-07-16T14:28:00Z</dcterms:modified>
</cp:coreProperties>
</file>