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0BCA68C6" w:rsidR="004A11CA" w:rsidRDefault="004A11CA" w:rsidP="004A11CA">
                            <w:pPr>
                              <w:jc w:val="center"/>
                              <w:rPr>
                                <w:rFonts w:ascii="Segoe UI" w:hAnsi="Segoe UI" w:cs="Segoe UI"/>
                              </w:rPr>
                            </w:pPr>
                            <w:r>
                              <w:rPr>
                                <w:rFonts w:ascii="Segoe UI" w:hAnsi="Segoe UI" w:cs="Segoe UI"/>
                                <w:b/>
                              </w:rPr>
                              <w:t xml:space="preserve">BOD </w:t>
                            </w:r>
                            <w:r w:rsidR="00214753">
                              <w:rPr>
                                <w:rFonts w:ascii="Segoe UI" w:hAnsi="Segoe UI" w:cs="Segoe UI"/>
                                <w:b/>
                              </w:rPr>
                              <w:t>84</w:t>
                            </w:r>
                            <w:r>
                              <w:rPr>
                                <w:rFonts w:ascii="Segoe UI" w:hAnsi="Segoe UI" w:cs="Segoe UI"/>
                                <w:b/>
                              </w:rPr>
                              <w:t>/202</w:t>
                            </w:r>
                            <w:r w:rsidR="001D3D2E">
                              <w:rPr>
                                <w:rFonts w:ascii="Segoe UI" w:hAnsi="Segoe UI" w:cs="Segoe UI"/>
                                <w:b/>
                              </w:rPr>
                              <w:t>2</w:t>
                            </w:r>
                          </w:p>
                          <w:p w14:paraId="67B78BB4" w14:textId="279D2F9B"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214753">
                              <w:rPr>
                                <w:rFonts w:ascii="Segoe UI" w:hAnsi="Segoe UI" w:cs="Segoe UI"/>
                                <w:sz w:val="22"/>
                                <w:szCs w:val="22"/>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">
                <v:textbox inset="0,0,0,0">
                  <w:txbxContent>
                    <w:p w14:paraId="5C313B29" w14:textId="0BCA68C6" w:rsidR="004A11CA" w:rsidRDefault="004A11CA" w:rsidP="004A11CA">
                      <w:pPr>
                        <w:jc w:val="center"/>
                        <w:rPr>
                          <w:rFonts w:ascii="Segoe UI" w:hAnsi="Segoe UI" w:cs="Segoe UI"/>
                        </w:rPr>
                      </w:pPr>
                      <w:r>
                        <w:rPr>
                          <w:rFonts w:ascii="Segoe UI" w:hAnsi="Segoe UI" w:cs="Segoe UI"/>
                          <w:b/>
                        </w:rPr>
                        <w:t xml:space="preserve">BOD </w:t>
                      </w:r>
                      <w:r w:rsidR="00214753">
                        <w:rPr>
                          <w:rFonts w:ascii="Segoe UI" w:hAnsi="Segoe UI" w:cs="Segoe UI"/>
                          <w:b/>
                        </w:rPr>
                        <w:t>84</w:t>
                      </w:r>
                      <w:r>
                        <w:rPr>
                          <w:rFonts w:ascii="Segoe UI" w:hAnsi="Segoe UI" w:cs="Segoe UI"/>
                          <w:b/>
                        </w:rPr>
                        <w:t>/202</w:t>
                      </w:r>
                      <w:r w:rsidR="001D3D2E">
                        <w:rPr>
                          <w:rFonts w:ascii="Segoe UI" w:hAnsi="Segoe UI" w:cs="Segoe UI"/>
                          <w:b/>
                        </w:rPr>
                        <w:t>2</w:t>
                      </w:r>
                    </w:p>
                    <w:p w14:paraId="67B78BB4" w14:textId="279D2F9B"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214753">
                        <w:rPr>
                          <w:rFonts w:ascii="Segoe UI" w:hAnsi="Segoe UI" w:cs="Segoe UI"/>
                          <w:sz w:val="22"/>
                          <w:szCs w:val="22"/>
                        </w:rPr>
                        <w:t>17)</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35FAFE0C" w:rsidR="004A11CA" w:rsidRPr="00D357BC" w:rsidRDefault="00643E94" w:rsidP="004A11CA">
      <w:pPr>
        <w:jc w:val="center"/>
        <w:rPr>
          <w:rFonts w:ascii="Segoe UI" w:hAnsi="Segoe UI" w:cs="Segoe UI"/>
          <w:b/>
        </w:rPr>
      </w:pPr>
      <w:r>
        <w:rPr>
          <w:rFonts w:ascii="Segoe UI" w:hAnsi="Segoe UI" w:cs="Segoe UI"/>
          <w:b/>
        </w:rPr>
        <w:t>30</w:t>
      </w:r>
      <w:r w:rsidRPr="00643E94">
        <w:rPr>
          <w:rFonts w:ascii="Segoe UI" w:hAnsi="Segoe UI" w:cs="Segoe UI"/>
          <w:b/>
          <w:vertAlign w:val="superscript"/>
        </w:rPr>
        <w:t>th</w:t>
      </w:r>
      <w:r>
        <w:rPr>
          <w:rFonts w:ascii="Segoe UI" w:hAnsi="Segoe UI" w:cs="Segoe UI"/>
          <w:b/>
        </w:rPr>
        <w:t xml:space="preserve"> November</w:t>
      </w:r>
      <w:r w:rsidR="00A86710">
        <w:rPr>
          <w:rFonts w:ascii="Segoe UI" w:hAnsi="Segoe UI" w:cs="Segoe UI"/>
          <w:b/>
        </w:rPr>
        <w:t xml:space="preserve"> 2022</w:t>
      </w:r>
    </w:p>
    <w:p w14:paraId="774943A1" w14:textId="77777777" w:rsidR="00125E83" w:rsidRDefault="00125E83" w:rsidP="004A11CA">
      <w:pPr>
        <w:rPr>
          <w:rFonts w:ascii="Segoe UI" w:hAnsi="Segoe UI" w:cs="Segoe UI"/>
          <w:b/>
        </w:rPr>
      </w:pPr>
    </w:p>
    <w:p w14:paraId="4FE3D367" w14:textId="0CCA8E26" w:rsidR="004A11CA" w:rsidRDefault="00125E83" w:rsidP="00125E83">
      <w:pPr>
        <w:jc w:val="center"/>
        <w:rPr>
          <w:rFonts w:ascii="Segoe UI" w:hAnsi="Segoe UI" w:cs="Segoe UI"/>
          <w:b/>
        </w:rPr>
      </w:pPr>
      <w:r>
        <w:rPr>
          <w:rFonts w:ascii="Segoe UI" w:hAnsi="Segoe UI" w:cs="Segoe UI"/>
          <w:b/>
        </w:rPr>
        <w:t>Corporate Affairs Update Report</w:t>
      </w:r>
    </w:p>
    <w:p w14:paraId="51BC076B" w14:textId="77777777" w:rsidR="002B77FE" w:rsidRPr="00D357BC" w:rsidRDefault="002B77FE" w:rsidP="00125E83">
      <w:pPr>
        <w:jc w:val="cente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1A4A831F" w14:textId="370C1722" w:rsidR="008F077D" w:rsidRPr="00107B6F"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4A7A768A" w14:textId="77777777" w:rsidR="00643E94" w:rsidRDefault="00643E94" w:rsidP="004A11CA">
      <w:pPr>
        <w:jc w:val="both"/>
        <w:rPr>
          <w:rFonts w:ascii="Segoe UI" w:hAnsi="Segoe UI" w:cs="Segoe UI"/>
          <w:sz w:val="22"/>
          <w:szCs w:val="22"/>
        </w:rPr>
      </w:pPr>
    </w:p>
    <w:p w14:paraId="12E872A5" w14:textId="67659253" w:rsidR="004A11CA" w:rsidRDefault="008F077D" w:rsidP="004A11CA">
      <w:pPr>
        <w:jc w:val="both"/>
        <w:rPr>
          <w:rFonts w:ascii="Segoe UI" w:hAnsi="Segoe UI" w:cs="Segoe UI"/>
          <w:sz w:val="22"/>
          <w:szCs w:val="22"/>
        </w:rPr>
      </w:pPr>
      <w:r>
        <w:rPr>
          <w:rFonts w:ascii="Segoe UI" w:hAnsi="Segoe UI" w:cs="Segoe UI"/>
          <w:sz w:val="22"/>
          <w:szCs w:val="22"/>
        </w:rPr>
        <w:t>T</w:t>
      </w:r>
      <w:r w:rsidR="004A11CA" w:rsidRPr="00D357BC">
        <w:rPr>
          <w:rFonts w:ascii="Segoe UI" w:hAnsi="Segoe UI" w:cs="Segoe UI"/>
          <w:sz w:val="22"/>
          <w:szCs w:val="22"/>
        </w:rPr>
        <w:t>he Reading Room contains the detail of th</w:t>
      </w:r>
      <w:r w:rsidR="001E2BAC">
        <w:rPr>
          <w:rFonts w:ascii="Segoe UI" w:hAnsi="Segoe UI" w:cs="Segoe UI"/>
          <w:sz w:val="22"/>
          <w:szCs w:val="22"/>
        </w:rPr>
        <w:t>is</w:t>
      </w:r>
      <w:r w:rsidR="004A11CA" w:rsidRPr="00D357BC">
        <w:rPr>
          <w:rFonts w:ascii="Segoe UI" w:hAnsi="Segoe UI" w:cs="Segoe UI"/>
          <w:sz w:val="22"/>
          <w:szCs w:val="22"/>
        </w:rPr>
        <w:t xml:space="preserve"> regular report to inform the Board of Directors on recent legislation, regulation and compliance</w:t>
      </w:r>
      <w:r w:rsidR="003466E5">
        <w:rPr>
          <w:rFonts w:ascii="Segoe UI" w:hAnsi="Segoe UI" w:cs="Segoe UI"/>
          <w:sz w:val="22"/>
          <w:szCs w:val="22"/>
        </w:rPr>
        <w:t>/policy</w:t>
      </w:r>
      <w:r w:rsidR="004A11CA" w:rsidRPr="00D357BC">
        <w:rPr>
          <w:rFonts w:ascii="Segoe UI" w:hAnsi="Segoe UI" w:cs="Segoe UI"/>
          <w:sz w:val="22"/>
          <w:szCs w:val="22"/>
        </w:rPr>
        <w:t xml:space="preserve"> guidance issued by bodies such as NHS</w:t>
      </w:r>
      <w:r w:rsidR="00A15841">
        <w:rPr>
          <w:rFonts w:ascii="Segoe UI" w:hAnsi="Segoe UI" w:cs="Segoe UI"/>
          <w:sz w:val="22"/>
          <w:szCs w:val="22"/>
        </w:rPr>
        <w:t xml:space="preserve"> </w:t>
      </w:r>
      <w:r w:rsidR="0044240B">
        <w:rPr>
          <w:rFonts w:ascii="Segoe UI" w:hAnsi="Segoe UI" w:cs="Segoe UI"/>
          <w:sz w:val="22"/>
          <w:szCs w:val="22"/>
        </w:rPr>
        <w:t>E</w:t>
      </w:r>
      <w:r w:rsidR="00A15841">
        <w:rPr>
          <w:rFonts w:ascii="Segoe UI" w:hAnsi="Segoe UI" w:cs="Segoe UI"/>
          <w:sz w:val="22"/>
          <w:szCs w:val="22"/>
        </w:rPr>
        <w:t>ngland</w:t>
      </w:r>
      <w:r w:rsidR="004A11CA" w:rsidRPr="00D357BC">
        <w:rPr>
          <w:rFonts w:ascii="Segoe UI" w:hAnsi="Segoe UI" w:cs="Segoe UI"/>
          <w:sz w:val="22"/>
          <w:szCs w:val="22"/>
        </w:rPr>
        <w:t xml:space="preserve"> the Care Quality Commission, and other relevant bodies where their action/publications have a consequential impact on the </w:t>
      </w:r>
      <w:proofErr w:type="gramStart"/>
      <w:r w:rsidR="004A11CA" w:rsidRPr="00D357BC">
        <w:rPr>
          <w:rFonts w:ascii="Segoe UI" w:hAnsi="Segoe UI" w:cs="Segoe UI"/>
          <w:sz w:val="22"/>
          <w:szCs w:val="22"/>
        </w:rPr>
        <w:t>Trust</w:t>
      </w:r>
      <w:proofErr w:type="gramEnd"/>
      <w:r w:rsidR="004A11CA" w:rsidRPr="00D357BC">
        <w:rPr>
          <w:rFonts w:ascii="Segoe UI" w:hAnsi="Segoe UI" w:cs="Segoe UI"/>
          <w:sz w:val="22"/>
          <w:szCs w:val="22"/>
        </w:rPr>
        <w:t xml:space="preserve">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004A11CA"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2D6515ED" w14:textId="4A905AFF" w:rsidR="00ED7834" w:rsidRDefault="00ED7834" w:rsidP="004A11CA">
      <w:pPr>
        <w:jc w:val="both"/>
        <w:rPr>
          <w:rFonts w:ascii="Segoe UI" w:hAnsi="Segoe UI" w:cs="Segoe UI"/>
          <w:sz w:val="22"/>
          <w:szCs w:val="22"/>
        </w:rPr>
      </w:pPr>
    </w:p>
    <w:p w14:paraId="151C60A7" w14:textId="276871CC" w:rsidR="00ED7834" w:rsidRPr="00D357BC" w:rsidRDefault="00ED7834" w:rsidP="004A11CA">
      <w:pPr>
        <w:jc w:val="both"/>
        <w:rPr>
          <w:rFonts w:ascii="Segoe UI" w:hAnsi="Segoe UI" w:cs="Segoe UI"/>
          <w:sz w:val="22"/>
          <w:szCs w:val="22"/>
        </w:rPr>
      </w:pPr>
      <w:proofErr w:type="gramStart"/>
      <w:r>
        <w:rPr>
          <w:rFonts w:ascii="Segoe UI" w:hAnsi="Segoe UI" w:cs="Segoe UI"/>
          <w:sz w:val="22"/>
          <w:szCs w:val="22"/>
        </w:rPr>
        <w:t>With regard to</w:t>
      </w:r>
      <w:proofErr w:type="gramEnd"/>
      <w:r>
        <w:rPr>
          <w:rFonts w:ascii="Segoe UI" w:hAnsi="Segoe UI" w:cs="Segoe UI"/>
          <w:sz w:val="22"/>
          <w:szCs w:val="22"/>
        </w:rPr>
        <w:t xml:space="preserve"> </w:t>
      </w:r>
      <w:r w:rsidR="00A82196">
        <w:rPr>
          <w:rFonts w:ascii="Segoe UI" w:hAnsi="Segoe UI" w:cs="Segoe UI"/>
          <w:sz w:val="22"/>
          <w:szCs w:val="22"/>
        </w:rPr>
        <w:t>the concept of ‘True for Us’</w:t>
      </w:r>
      <w:r w:rsidR="002D1EAB">
        <w:rPr>
          <w:rFonts w:ascii="Segoe UI" w:hAnsi="Segoe UI" w:cs="Segoe UI"/>
          <w:sz w:val="22"/>
          <w:szCs w:val="22"/>
        </w:rPr>
        <w:t xml:space="preserve"> and the </w:t>
      </w:r>
      <w:r w:rsidR="00004DCB">
        <w:rPr>
          <w:rFonts w:ascii="Segoe UI" w:hAnsi="Segoe UI" w:cs="Segoe UI"/>
          <w:sz w:val="22"/>
          <w:szCs w:val="22"/>
        </w:rPr>
        <w:t>section</w:t>
      </w:r>
      <w:r w:rsidR="002D1EAB">
        <w:rPr>
          <w:rFonts w:ascii="Segoe UI" w:hAnsi="Segoe UI" w:cs="Segoe UI"/>
          <w:sz w:val="22"/>
          <w:szCs w:val="22"/>
        </w:rPr>
        <w:t xml:space="preserve"> in the report</w:t>
      </w:r>
      <w:r w:rsidR="00396C63">
        <w:rPr>
          <w:rFonts w:ascii="Segoe UI" w:hAnsi="Segoe UI" w:cs="Segoe UI"/>
          <w:sz w:val="22"/>
          <w:szCs w:val="22"/>
        </w:rPr>
        <w:t>;</w:t>
      </w:r>
      <w:r w:rsidR="00004DCB">
        <w:rPr>
          <w:rFonts w:ascii="Segoe UI" w:hAnsi="Segoe UI" w:cs="Segoe UI"/>
          <w:sz w:val="22"/>
          <w:szCs w:val="22"/>
        </w:rPr>
        <w:t xml:space="preserve"> </w:t>
      </w:r>
      <w:r w:rsidR="00396C63">
        <w:rPr>
          <w:rFonts w:ascii="Segoe UI" w:hAnsi="Segoe UI" w:cs="Segoe UI"/>
          <w:sz w:val="22"/>
          <w:szCs w:val="22"/>
          <w:lang w:val="en-GB"/>
        </w:rPr>
        <w:t>t</w:t>
      </w:r>
      <w:r w:rsidR="00C176AD" w:rsidRPr="00C176AD">
        <w:rPr>
          <w:rFonts w:ascii="Segoe UI" w:hAnsi="Segoe UI" w:cs="Segoe UI"/>
          <w:sz w:val="22"/>
          <w:szCs w:val="22"/>
          <w:lang w:val="en-GB"/>
        </w:rPr>
        <w:t>he effects of</w:t>
      </w:r>
      <w:r w:rsidR="00630B94">
        <w:rPr>
          <w:rFonts w:ascii="Segoe UI" w:hAnsi="Segoe UI" w:cs="Segoe UI"/>
          <w:sz w:val="22"/>
          <w:szCs w:val="22"/>
          <w:lang w:val="en-GB"/>
        </w:rPr>
        <w:t xml:space="preserve"> c</w:t>
      </w:r>
      <w:r w:rsidR="00687367">
        <w:rPr>
          <w:rFonts w:ascii="Segoe UI" w:hAnsi="Segoe UI" w:cs="Segoe UI"/>
          <w:sz w:val="22"/>
          <w:szCs w:val="22"/>
          <w:lang w:val="en-GB"/>
        </w:rPr>
        <w:t>orporat</w:t>
      </w:r>
      <w:r w:rsidR="00630B94">
        <w:rPr>
          <w:rFonts w:ascii="Segoe UI" w:hAnsi="Segoe UI" w:cs="Segoe UI"/>
          <w:sz w:val="22"/>
          <w:szCs w:val="22"/>
          <w:lang w:val="en-GB"/>
        </w:rPr>
        <w:t>e</w:t>
      </w:r>
      <w:r w:rsidR="00687367">
        <w:rPr>
          <w:rFonts w:ascii="Segoe UI" w:hAnsi="Segoe UI" w:cs="Segoe UI"/>
          <w:sz w:val="22"/>
          <w:szCs w:val="22"/>
          <w:lang w:val="en-GB"/>
        </w:rPr>
        <w:t xml:space="preserve"> failure and </w:t>
      </w:r>
      <w:r w:rsidR="00C176AD" w:rsidRPr="00C176AD">
        <w:rPr>
          <w:rFonts w:ascii="Segoe UI" w:hAnsi="Segoe UI" w:cs="Segoe UI"/>
          <w:sz w:val="22"/>
          <w:szCs w:val="22"/>
          <w:lang w:val="en-GB"/>
        </w:rPr>
        <w:t xml:space="preserve">the </w:t>
      </w:r>
      <w:r w:rsidR="008414E8">
        <w:rPr>
          <w:rFonts w:ascii="Segoe UI" w:hAnsi="Segoe UI" w:cs="Segoe UI"/>
          <w:sz w:val="22"/>
          <w:szCs w:val="22"/>
          <w:lang w:val="en-GB"/>
        </w:rPr>
        <w:t>last</w:t>
      </w:r>
      <w:r w:rsidR="00C176AD" w:rsidRPr="00C176AD">
        <w:rPr>
          <w:rFonts w:ascii="Segoe UI" w:hAnsi="Segoe UI" w:cs="Segoe UI"/>
          <w:sz w:val="22"/>
          <w:szCs w:val="22"/>
          <w:lang w:val="en-GB"/>
        </w:rPr>
        <w:t xml:space="preserve"> financial crash cast a long shadow forward. Trust in leaders and in business </w:t>
      </w:r>
      <w:r w:rsidR="00630B94">
        <w:rPr>
          <w:rFonts w:ascii="Segoe UI" w:hAnsi="Segoe UI" w:cs="Segoe UI"/>
          <w:sz w:val="22"/>
          <w:szCs w:val="22"/>
          <w:lang w:val="en-GB"/>
        </w:rPr>
        <w:t xml:space="preserve">is </w:t>
      </w:r>
      <w:r w:rsidR="00407298">
        <w:rPr>
          <w:rFonts w:ascii="Segoe UI" w:hAnsi="Segoe UI" w:cs="Segoe UI"/>
          <w:sz w:val="22"/>
          <w:szCs w:val="22"/>
          <w:lang w:val="en-GB"/>
        </w:rPr>
        <w:t>damaged</w:t>
      </w:r>
      <w:r w:rsidR="00A475A1">
        <w:rPr>
          <w:rFonts w:ascii="Segoe UI" w:hAnsi="Segoe UI" w:cs="Segoe UI"/>
          <w:sz w:val="22"/>
          <w:szCs w:val="22"/>
          <w:lang w:val="en-GB"/>
        </w:rPr>
        <w:t xml:space="preserve"> </w:t>
      </w:r>
      <w:r w:rsidR="00630B94">
        <w:rPr>
          <w:rFonts w:ascii="Segoe UI" w:hAnsi="Segoe UI" w:cs="Segoe UI"/>
          <w:sz w:val="22"/>
          <w:szCs w:val="22"/>
          <w:lang w:val="en-GB"/>
        </w:rPr>
        <w:t>and</w:t>
      </w:r>
      <w:r w:rsidR="00C176AD" w:rsidRPr="00C176AD">
        <w:rPr>
          <w:rFonts w:ascii="Segoe UI" w:hAnsi="Segoe UI" w:cs="Segoe UI"/>
          <w:sz w:val="22"/>
          <w:szCs w:val="22"/>
          <w:lang w:val="en-GB"/>
        </w:rPr>
        <w:t xml:space="preserve"> the public believe that the way business works </w:t>
      </w:r>
      <w:r w:rsidR="00630B94">
        <w:rPr>
          <w:rFonts w:ascii="Segoe UI" w:hAnsi="Segoe UI" w:cs="Segoe UI"/>
          <w:sz w:val="22"/>
          <w:szCs w:val="22"/>
          <w:lang w:val="en-GB"/>
        </w:rPr>
        <w:t>is</w:t>
      </w:r>
      <w:r w:rsidR="00C176AD" w:rsidRPr="00C176AD">
        <w:rPr>
          <w:rFonts w:ascii="Segoe UI" w:hAnsi="Segoe UI" w:cs="Segoe UI"/>
          <w:sz w:val="22"/>
          <w:szCs w:val="22"/>
          <w:lang w:val="en-GB"/>
        </w:rPr>
        <w:t xml:space="preserve"> not good for society. In consequence each failure of a business becomes magnified in terms of the analysis of its impact and the mood to blame. </w:t>
      </w:r>
      <w:r w:rsidR="004E4DE8">
        <w:rPr>
          <w:rFonts w:ascii="Segoe UI" w:hAnsi="Segoe UI" w:cs="Segoe UI"/>
          <w:sz w:val="22"/>
          <w:szCs w:val="22"/>
          <w:lang w:val="en-GB"/>
        </w:rPr>
        <w:t xml:space="preserve">The </w:t>
      </w:r>
      <w:r w:rsidR="00C176AD" w:rsidRPr="00C176AD">
        <w:rPr>
          <w:rFonts w:ascii="Segoe UI" w:hAnsi="Segoe UI" w:cs="Segoe UI"/>
          <w:sz w:val="22"/>
          <w:szCs w:val="22"/>
          <w:lang w:val="en-GB"/>
        </w:rPr>
        <w:t>responsibility</w:t>
      </w:r>
      <w:r w:rsidR="004E4DE8">
        <w:rPr>
          <w:rFonts w:ascii="Segoe UI" w:hAnsi="Segoe UI" w:cs="Segoe UI"/>
          <w:sz w:val="22"/>
          <w:szCs w:val="22"/>
          <w:lang w:val="en-GB"/>
        </w:rPr>
        <w:t xml:space="preserve"> to avoid corporate failure</w:t>
      </w:r>
      <w:r w:rsidR="00C176AD" w:rsidRPr="00C176AD">
        <w:rPr>
          <w:rFonts w:ascii="Segoe UI" w:hAnsi="Segoe UI" w:cs="Segoe UI"/>
          <w:sz w:val="22"/>
          <w:szCs w:val="22"/>
          <w:lang w:val="en-GB"/>
        </w:rPr>
        <w:t xml:space="preserve"> lies with the directors who may or may not </w:t>
      </w:r>
      <w:r w:rsidR="00860199">
        <w:rPr>
          <w:rFonts w:ascii="Segoe UI" w:hAnsi="Segoe UI" w:cs="Segoe UI"/>
          <w:sz w:val="22"/>
          <w:szCs w:val="22"/>
          <w:lang w:val="en-GB"/>
        </w:rPr>
        <w:t>be</w:t>
      </w:r>
      <w:r w:rsidR="00C176AD" w:rsidRPr="00C176AD">
        <w:rPr>
          <w:rFonts w:ascii="Segoe UI" w:hAnsi="Segoe UI" w:cs="Segoe UI"/>
          <w:sz w:val="22"/>
          <w:szCs w:val="22"/>
          <w:lang w:val="en-GB"/>
        </w:rPr>
        <w:t xml:space="preserve"> able to take evasive action. </w:t>
      </w:r>
      <w:r w:rsidR="009405DE">
        <w:rPr>
          <w:rFonts w:ascii="Segoe UI" w:hAnsi="Segoe UI" w:cs="Segoe UI"/>
          <w:sz w:val="22"/>
          <w:szCs w:val="22"/>
          <w:lang w:val="en-GB"/>
        </w:rPr>
        <w:t>It is intended t</w:t>
      </w:r>
      <w:r w:rsidR="00C7779D">
        <w:rPr>
          <w:rFonts w:ascii="Segoe UI" w:hAnsi="Segoe UI" w:cs="Segoe UI"/>
          <w:sz w:val="22"/>
          <w:szCs w:val="22"/>
          <w:lang w:val="en-GB"/>
        </w:rPr>
        <w:t xml:space="preserve">he Corporate Affairs directorate will </w:t>
      </w:r>
      <w:r w:rsidR="009405DE">
        <w:rPr>
          <w:rFonts w:ascii="Segoe UI" w:hAnsi="Segoe UI" w:cs="Segoe UI"/>
          <w:sz w:val="22"/>
          <w:szCs w:val="22"/>
          <w:lang w:val="en-GB"/>
        </w:rPr>
        <w:t>develop further the concept of ‘True for Us’ reviews in connection with corporate governance</w:t>
      </w:r>
      <w:r w:rsidR="00AE458A">
        <w:rPr>
          <w:rFonts w:ascii="Segoe UI" w:hAnsi="Segoe UI" w:cs="Segoe UI"/>
          <w:sz w:val="22"/>
          <w:szCs w:val="22"/>
          <w:lang w:val="en-GB"/>
        </w:rPr>
        <w:t xml:space="preserve"> because failures </w:t>
      </w:r>
      <w:r w:rsidR="00C176AD" w:rsidRPr="00C176AD">
        <w:rPr>
          <w:rFonts w:ascii="Segoe UI" w:hAnsi="Segoe UI" w:cs="Segoe UI"/>
          <w:sz w:val="22"/>
          <w:szCs w:val="22"/>
          <w:lang w:val="en-GB"/>
        </w:rPr>
        <w:t xml:space="preserve">contribute significantly to the collapse of </w:t>
      </w:r>
      <w:r w:rsidR="000B5FC0">
        <w:rPr>
          <w:rFonts w:ascii="Segoe UI" w:hAnsi="Segoe UI" w:cs="Segoe UI"/>
          <w:sz w:val="22"/>
          <w:szCs w:val="22"/>
          <w:lang w:val="en-GB"/>
        </w:rPr>
        <w:t>our reputation</w:t>
      </w:r>
      <w:r w:rsidR="00BD1D7A">
        <w:rPr>
          <w:rFonts w:ascii="Segoe UI" w:hAnsi="Segoe UI" w:cs="Segoe UI"/>
          <w:sz w:val="22"/>
          <w:szCs w:val="22"/>
          <w:lang w:val="en-GB"/>
        </w:rPr>
        <w:t xml:space="preserve"> but importantly enhance </w:t>
      </w:r>
      <w:r w:rsidR="002645FC">
        <w:rPr>
          <w:rFonts w:ascii="Segoe UI" w:hAnsi="Segoe UI" w:cs="Segoe UI"/>
          <w:sz w:val="22"/>
          <w:szCs w:val="22"/>
          <w:lang w:val="en-GB"/>
        </w:rPr>
        <w:t>the effectiveness of risk management</w:t>
      </w:r>
      <w:r w:rsidR="000B5FC0">
        <w:rPr>
          <w:rFonts w:ascii="Segoe UI" w:hAnsi="Segoe UI" w:cs="Segoe UI"/>
          <w:sz w:val="22"/>
          <w:szCs w:val="22"/>
          <w:lang w:val="en-GB"/>
        </w:rPr>
        <w:t xml:space="preserve">. The process will support identification of </w:t>
      </w:r>
      <w:r w:rsidR="00C176AD" w:rsidRPr="00C176AD">
        <w:rPr>
          <w:rFonts w:ascii="Segoe UI" w:hAnsi="Segoe UI" w:cs="Segoe UI"/>
          <w:sz w:val="22"/>
          <w:szCs w:val="22"/>
          <w:lang w:val="en-GB"/>
        </w:rPr>
        <w:t xml:space="preserve">warning signals </w:t>
      </w:r>
      <w:r w:rsidR="00C9519A">
        <w:rPr>
          <w:rFonts w:ascii="Segoe UI" w:hAnsi="Segoe UI" w:cs="Segoe UI"/>
          <w:sz w:val="22"/>
          <w:szCs w:val="22"/>
          <w:lang w:val="en-GB"/>
        </w:rPr>
        <w:t xml:space="preserve">to support the ongoing learning and development of </w:t>
      </w:r>
      <w:r w:rsidR="00C176AD" w:rsidRPr="00C176AD">
        <w:rPr>
          <w:rFonts w:ascii="Segoe UI" w:hAnsi="Segoe UI" w:cs="Segoe UI"/>
          <w:sz w:val="22"/>
          <w:szCs w:val="22"/>
          <w:lang w:val="en-GB"/>
        </w:rPr>
        <w:t>successful mitigating actions</w:t>
      </w:r>
      <w:r w:rsidR="00C9519A">
        <w:rPr>
          <w:rFonts w:ascii="Segoe UI" w:hAnsi="Segoe UI" w:cs="Segoe UI"/>
          <w:sz w:val="22"/>
          <w:szCs w:val="22"/>
          <w:lang w:val="en-GB"/>
        </w:rPr>
        <w:t>.</w:t>
      </w:r>
    </w:p>
    <w:p w14:paraId="7A82DDA2" w14:textId="77777777" w:rsidR="004A11CA" w:rsidRPr="00D357BC" w:rsidRDefault="004A11CA" w:rsidP="004A11CA">
      <w:pPr>
        <w:jc w:val="both"/>
        <w:rPr>
          <w:rFonts w:ascii="Segoe UI" w:hAnsi="Segoe UI" w:cs="Segoe UI"/>
          <w:sz w:val="22"/>
          <w:szCs w:val="22"/>
        </w:rPr>
      </w:pPr>
    </w:p>
    <w:p w14:paraId="01D72C3F" w14:textId="4D062084" w:rsidR="008F077D" w:rsidRDefault="008F077D" w:rsidP="008F077D">
      <w:pPr>
        <w:jc w:val="both"/>
        <w:rPr>
          <w:rFonts w:ascii="Segoe UI" w:hAnsi="Segoe UI" w:cs="Segoe UI"/>
          <w:b/>
          <w:bCs/>
          <w:sz w:val="22"/>
          <w:szCs w:val="22"/>
        </w:rPr>
      </w:pPr>
      <w:r w:rsidRPr="008F077D">
        <w:rPr>
          <w:rFonts w:ascii="Segoe UI" w:hAnsi="Segoe UI" w:cs="Segoe UI"/>
          <w:b/>
          <w:bCs/>
          <w:sz w:val="22"/>
          <w:szCs w:val="22"/>
        </w:rPr>
        <w:t>Risk Management</w:t>
      </w:r>
    </w:p>
    <w:p w14:paraId="7F1A4A7B" w14:textId="77777777" w:rsidR="00DC7F52" w:rsidRPr="008F077D" w:rsidRDefault="00DC7F52" w:rsidP="008F077D">
      <w:pPr>
        <w:jc w:val="both"/>
        <w:rPr>
          <w:rFonts w:ascii="Segoe UI" w:hAnsi="Segoe UI" w:cs="Segoe UI"/>
          <w:b/>
          <w:bCs/>
          <w:sz w:val="22"/>
          <w:szCs w:val="22"/>
        </w:rPr>
      </w:pPr>
    </w:p>
    <w:p w14:paraId="1A640DF5" w14:textId="59D86E6E" w:rsidR="007C5675" w:rsidRDefault="004B655D" w:rsidP="008F077D">
      <w:pPr>
        <w:jc w:val="both"/>
        <w:rPr>
          <w:rFonts w:ascii="Segoe UI" w:hAnsi="Segoe UI" w:cs="Segoe UI"/>
          <w:sz w:val="22"/>
          <w:szCs w:val="22"/>
        </w:rPr>
      </w:pPr>
      <w:r>
        <w:rPr>
          <w:rFonts w:ascii="Segoe UI" w:hAnsi="Segoe UI" w:cs="Segoe UI"/>
          <w:sz w:val="22"/>
          <w:szCs w:val="22"/>
          <w:lang w:val="en-GB"/>
        </w:rPr>
        <w:t xml:space="preserve">The Code of Governance for the NHS replicates </w:t>
      </w:r>
      <w:r w:rsidRPr="007C5675">
        <w:rPr>
          <w:rFonts w:ascii="Segoe UI" w:hAnsi="Segoe UI" w:cs="Segoe UI"/>
          <w:sz w:val="22"/>
          <w:szCs w:val="22"/>
          <w:lang w:val="en-GB"/>
        </w:rPr>
        <w:t xml:space="preserve">Provision 28, UK Corporate Governance Code (July 2018) </w:t>
      </w:r>
      <w:r w:rsidR="00760A48">
        <w:rPr>
          <w:rFonts w:ascii="Segoe UI" w:hAnsi="Segoe UI" w:cs="Segoe UI"/>
          <w:sz w:val="22"/>
          <w:szCs w:val="22"/>
          <w:lang w:val="en-GB"/>
        </w:rPr>
        <w:t>and states that “</w:t>
      </w:r>
      <w:r w:rsidR="00760A48" w:rsidRPr="00760A48">
        <w:rPr>
          <w:rFonts w:ascii="Segoe UI" w:hAnsi="Segoe UI" w:cs="Segoe UI"/>
          <w:i/>
          <w:iCs/>
          <w:sz w:val="22"/>
          <w:szCs w:val="22"/>
          <w:lang w:val="en-GB"/>
        </w:rPr>
        <w:t>t</w:t>
      </w:r>
      <w:r w:rsidR="007C5675" w:rsidRPr="007C5675">
        <w:rPr>
          <w:rFonts w:ascii="Segoe UI" w:hAnsi="Segoe UI" w:cs="Segoe UI"/>
          <w:i/>
          <w:iCs/>
          <w:sz w:val="22"/>
          <w:szCs w:val="22"/>
          <w:lang w:val="en-GB"/>
        </w:rPr>
        <w:t>he board should carry out a robust assessment of the company’s emerging and principal risks. The board should confirm in the annual report that it has completed this assessment, including a description of its principal risks, what procedures are in place to identify emerging risks, and an explanation of how these are being managed or mitigated</w:t>
      </w:r>
      <w:r w:rsidR="007C5675" w:rsidRPr="007C5675">
        <w:rPr>
          <w:rFonts w:ascii="Segoe UI" w:hAnsi="Segoe UI" w:cs="Segoe UI"/>
          <w:sz w:val="22"/>
          <w:szCs w:val="22"/>
          <w:lang w:val="en-GB"/>
        </w:rPr>
        <w:t>.”</w:t>
      </w:r>
    </w:p>
    <w:p w14:paraId="1BA26F99" w14:textId="77777777" w:rsidR="007C5675" w:rsidRDefault="007C5675" w:rsidP="008F077D">
      <w:pPr>
        <w:jc w:val="both"/>
        <w:rPr>
          <w:rFonts w:ascii="Segoe UI" w:hAnsi="Segoe UI" w:cs="Segoe UI"/>
          <w:sz w:val="22"/>
          <w:szCs w:val="22"/>
        </w:rPr>
      </w:pPr>
    </w:p>
    <w:p w14:paraId="36C93079" w14:textId="0B7827FB" w:rsidR="008F077D" w:rsidRDefault="008F077D" w:rsidP="008F077D">
      <w:pPr>
        <w:jc w:val="both"/>
        <w:rPr>
          <w:rFonts w:ascii="Segoe UI" w:hAnsi="Segoe UI" w:cs="Segoe UI"/>
          <w:sz w:val="22"/>
          <w:szCs w:val="22"/>
        </w:rPr>
      </w:pPr>
      <w:r w:rsidRPr="008F077D">
        <w:rPr>
          <w:rFonts w:ascii="Segoe UI" w:hAnsi="Segoe UI" w:cs="Segoe UI"/>
          <w:sz w:val="22"/>
          <w:szCs w:val="22"/>
        </w:rPr>
        <w:t xml:space="preserve">Included in the </w:t>
      </w:r>
      <w:r w:rsidR="00EA4E9E">
        <w:rPr>
          <w:rFonts w:ascii="Segoe UI" w:hAnsi="Segoe UI" w:cs="Segoe UI"/>
          <w:sz w:val="22"/>
          <w:szCs w:val="22"/>
        </w:rPr>
        <w:t>R</w:t>
      </w:r>
      <w:r w:rsidRPr="008F077D">
        <w:rPr>
          <w:rFonts w:ascii="Segoe UI" w:hAnsi="Segoe UI" w:cs="Segoe UI"/>
          <w:sz w:val="22"/>
          <w:szCs w:val="22"/>
        </w:rPr>
        <w:t xml:space="preserve">eading </w:t>
      </w:r>
      <w:r w:rsidR="00EA4E9E">
        <w:rPr>
          <w:rFonts w:ascii="Segoe UI" w:hAnsi="Segoe UI" w:cs="Segoe UI"/>
          <w:sz w:val="22"/>
          <w:szCs w:val="22"/>
        </w:rPr>
        <w:t>R</w:t>
      </w:r>
      <w:r w:rsidRPr="008F077D">
        <w:rPr>
          <w:rFonts w:ascii="Segoe UI" w:hAnsi="Segoe UI" w:cs="Segoe UI"/>
          <w:sz w:val="22"/>
          <w:szCs w:val="22"/>
        </w:rPr>
        <w:t xml:space="preserve">oom is the latest iteration of the Board Assurance Framework to ensure Board members continue to have a universal view of the Trust’s strategic risk profile.  This is the </w:t>
      </w:r>
      <w:r w:rsidR="009C21F7">
        <w:rPr>
          <w:rFonts w:ascii="Segoe UI" w:hAnsi="Segoe UI" w:cs="Segoe UI"/>
          <w:sz w:val="22"/>
          <w:szCs w:val="22"/>
        </w:rPr>
        <w:t>November</w:t>
      </w:r>
      <w:r w:rsidRPr="008F077D">
        <w:rPr>
          <w:rFonts w:ascii="Segoe UI" w:hAnsi="Segoe UI" w:cs="Segoe UI"/>
          <w:sz w:val="22"/>
          <w:szCs w:val="22"/>
        </w:rPr>
        <w:t xml:space="preserve"> edition of the BAF and follows oversight </w:t>
      </w:r>
      <w:r w:rsidR="0021533A">
        <w:rPr>
          <w:rFonts w:ascii="Segoe UI" w:hAnsi="Segoe UI" w:cs="Segoe UI"/>
          <w:sz w:val="22"/>
          <w:szCs w:val="22"/>
        </w:rPr>
        <w:t xml:space="preserve">and discussions </w:t>
      </w:r>
      <w:r w:rsidR="00EA4E9E">
        <w:rPr>
          <w:rFonts w:ascii="Segoe UI" w:hAnsi="Segoe UI" w:cs="Segoe UI"/>
          <w:sz w:val="22"/>
          <w:szCs w:val="22"/>
        </w:rPr>
        <w:t>at</w:t>
      </w:r>
      <w:r w:rsidRPr="008F077D">
        <w:rPr>
          <w:rFonts w:ascii="Segoe UI" w:hAnsi="Segoe UI" w:cs="Segoe UI"/>
          <w:sz w:val="22"/>
          <w:szCs w:val="22"/>
        </w:rPr>
        <w:t xml:space="preserve"> the latest suite of Board Committee meetings since the last meeting of the Board.</w:t>
      </w:r>
    </w:p>
    <w:p w14:paraId="675DB254" w14:textId="108F1EC7" w:rsidR="00F8722F" w:rsidRDefault="00F8722F" w:rsidP="008F077D">
      <w:pPr>
        <w:jc w:val="both"/>
        <w:rPr>
          <w:rFonts w:ascii="Segoe UI" w:hAnsi="Segoe UI" w:cs="Segoe UI"/>
          <w:sz w:val="22"/>
          <w:szCs w:val="22"/>
        </w:rPr>
      </w:pPr>
    </w:p>
    <w:p w14:paraId="3447064C" w14:textId="77777777" w:rsidR="00FB7861" w:rsidRDefault="00FB7861" w:rsidP="00FB7861">
      <w:pPr>
        <w:jc w:val="both"/>
        <w:rPr>
          <w:rFonts w:ascii="Segoe UI" w:hAnsi="Segoe UI" w:cs="Segoe UI"/>
          <w:sz w:val="22"/>
          <w:szCs w:val="22"/>
          <w:lang w:val="en-GB"/>
        </w:rPr>
      </w:pPr>
      <w:r w:rsidRPr="00FB7861">
        <w:rPr>
          <w:rFonts w:ascii="Segoe UI" w:hAnsi="Segoe UI" w:cs="Segoe UI"/>
          <w:sz w:val="22"/>
          <w:szCs w:val="22"/>
          <w:lang w:val="en-GB"/>
        </w:rPr>
        <w:t xml:space="preserve">The Trust’s extreme/red-rated risks relate to demand and capacity, workforce, recruitment, financial sustainability and major capital projects; these themes are consistent with current and emerging health sector risks as benchmarked by the Trust’s Internal Auditors, PwC.  Although demand and capacity has been red-rated for a while from Community Services, Oxfordshire, the </w:t>
      </w:r>
      <w:proofErr w:type="gramStart"/>
      <w:r w:rsidRPr="00FB7861">
        <w:rPr>
          <w:rFonts w:ascii="Segoe UI" w:hAnsi="Segoe UI" w:cs="Segoe UI"/>
          <w:sz w:val="22"/>
          <w:szCs w:val="22"/>
          <w:lang w:val="en-GB"/>
        </w:rPr>
        <w:t>corresponding  risk</w:t>
      </w:r>
      <w:proofErr w:type="gramEnd"/>
      <w:r w:rsidRPr="00FB7861">
        <w:rPr>
          <w:rFonts w:ascii="Segoe UI" w:hAnsi="Segoe UI" w:cs="Segoe UI"/>
          <w:sz w:val="22"/>
          <w:szCs w:val="22"/>
          <w:lang w:val="en-GB"/>
        </w:rPr>
        <w:t xml:space="preserve"> at BAF 1.5 from Mental Health &amp; Learning Disability services has also recently been escalated from high/orange to an extreme/red-rating, as also approved by the Quality Committee.  </w:t>
      </w:r>
    </w:p>
    <w:p w14:paraId="000C7963" w14:textId="77777777" w:rsidR="00FB7861" w:rsidRDefault="00FB7861" w:rsidP="00FB7861">
      <w:pPr>
        <w:jc w:val="both"/>
        <w:rPr>
          <w:rFonts w:ascii="Segoe UI" w:hAnsi="Segoe UI" w:cs="Segoe UI"/>
          <w:sz w:val="22"/>
          <w:szCs w:val="22"/>
          <w:lang w:val="en-GB"/>
        </w:rPr>
      </w:pPr>
    </w:p>
    <w:p w14:paraId="18B197DC" w14:textId="19A4A7EA" w:rsidR="00FB7861" w:rsidRPr="00FB7861" w:rsidRDefault="00FB7861" w:rsidP="00FB7861">
      <w:pPr>
        <w:jc w:val="both"/>
        <w:rPr>
          <w:rFonts w:ascii="Segoe UI" w:hAnsi="Segoe UI" w:cs="Segoe UI"/>
          <w:sz w:val="22"/>
          <w:szCs w:val="22"/>
          <w:lang w:val="en-GB"/>
        </w:rPr>
      </w:pPr>
      <w:r w:rsidRPr="00FB7861">
        <w:rPr>
          <w:rFonts w:ascii="Segoe UI" w:hAnsi="Segoe UI" w:cs="Segoe UI"/>
          <w:sz w:val="22"/>
          <w:szCs w:val="22"/>
          <w:lang w:val="en-GB"/>
        </w:rPr>
        <w:t>The Trust’s risks at a strategic level on the Board Assurance Framework (</w:t>
      </w:r>
      <w:r w:rsidRPr="00FB7861">
        <w:rPr>
          <w:rFonts w:ascii="Segoe UI" w:hAnsi="Segoe UI" w:cs="Segoe UI"/>
          <w:b/>
          <w:bCs/>
          <w:sz w:val="22"/>
          <w:szCs w:val="22"/>
          <w:lang w:val="en-GB"/>
        </w:rPr>
        <w:t>BAF</w:t>
      </w:r>
      <w:r w:rsidRPr="00FB7861">
        <w:rPr>
          <w:rFonts w:ascii="Segoe UI" w:hAnsi="Segoe UI" w:cs="Segoe UI"/>
          <w:sz w:val="22"/>
          <w:szCs w:val="22"/>
          <w:lang w:val="en-GB"/>
        </w:rPr>
        <w:t>), and at an operational level on the Trust Risk Register (</w:t>
      </w:r>
      <w:r w:rsidRPr="00FB7861">
        <w:rPr>
          <w:rFonts w:ascii="Segoe UI" w:hAnsi="Segoe UI" w:cs="Segoe UI"/>
          <w:b/>
          <w:bCs/>
          <w:sz w:val="22"/>
          <w:szCs w:val="22"/>
          <w:lang w:val="en-GB"/>
        </w:rPr>
        <w:t>TRR</w:t>
      </w:r>
      <w:r w:rsidRPr="00FB7861">
        <w:rPr>
          <w:rFonts w:ascii="Segoe UI" w:hAnsi="Segoe UI" w:cs="Segoe UI"/>
          <w:sz w:val="22"/>
          <w:szCs w:val="22"/>
          <w:lang w:val="en-GB"/>
        </w:rPr>
        <w:t>), are considered in more detail through the work of Board Committees in particular the Finance &amp; Investment Committee, the People, Leadership &amp; Culture Committee and the Quality Committee which have monitoring oversight of specific risks; further oversight is provided through the work of the Audit Committee which is not to become involved in the population of the risks or the operational development of risk management processes, which are the responsibility of the Board and management, but which should review content, processes and format of the BAF and TRR to seek assurance as regards risk management processes.</w:t>
      </w:r>
      <w:r w:rsidR="006E6111">
        <w:rPr>
          <w:rFonts w:ascii="Segoe UI" w:hAnsi="Segoe UI" w:cs="Segoe UI"/>
          <w:sz w:val="22"/>
          <w:szCs w:val="22"/>
          <w:lang w:val="en-GB"/>
        </w:rPr>
        <w:t xml:space="preserve">  At the last Audit Committee</w:t>
      </w:r>
      <w:r w:rsidR="00CA22E0">
        <w:rPr>
          <w:rFonts w:ascii="Segoe UI" w:hAnsi="Segoe UI" w:cs="Segoe UI"/>
          <w:sz w:val="22"/>
          <w:szCs w:val="22"/>
          <w:lang w:val="en-GB"/>
        </w:rPr>
        <w:t>, its review of workforce and recruitment red risks focussed predominantly o</w:t>
      </w:r>
      <w:r w:rsidR="006A3848">
        <w:rPr>
          <w:rFonts w:ascii="Segoe UI" w:hAnsi="Segoe UI" w:cs="Segoe UI"/>
          <w:sz w:val="22"/>
          <w:szCs w:val="22"/>
          <w:lang w:val="en-GB"/>
        </w:rPr>
        <w:t>n</w:t>
      </w:r>
      <w:r w:rsidR="00CA22E0">
        <w:rPr>
          <w:rFonts w:ascii="Segoe UI" w:hAnsi="Segoe UI" w:cs="Segoe UI"/>
          <w:sz w:val="22"/>
          <w:szCs w:val="22"/>
          <w:lang w:val="en-GB"/>
        </w:rPr>
        <w:t xml:space="preserve"> the framing of those risks</w:t>
      </w:r>
      <w:r w:rsidR="006A3848">
        <w:rPr>
          <w:rFonts w:ascii="Segoe UI" w:hAnsi="Segoe UI" w:cs="Segoe UI"/>
          <w:sz w:val="22"/>
          <w:szCs w:val="22"/>
          <w:lang w:val="en-GB"/>
        </w:rPr>
        <w:t>.</w:t>
      </w:r>
    </w:p>
    <w:p w14:paraId="5F5565A7" w14:textId="77777777" w:rsidR="008F077D" w:rsidRPr="00FB7861" w:rsidRDefault="008F077D" w:rsidP="008F077D">
      <w:pPr>
        <w:jc w:val="both"/>
        <w:rPr>
          <w:rFonts w:ascii="Segoe UI" w:hAnsi="Segoe UI" w:cs="Segoe UI"/>
          <w:sz w:val="22"/>
          <w:szCs w:val="22"/>
          <w:lang w:val="en-GB"/>
        </w:rPr>
      </w:pPr>
    </w:p>
    <w:p w14:paraId="6A29A463"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Impact Reporting – Corporate Affairs</w:t>
      </w:r>
    </w:p>
    <w:p w14:paraId="5A94594F" w14:textId="2EA84B6B" w:rsidR="008F077D" w:rsidRDefault="008F077D" w:rsidP="008F077D">
      <w:pPr>
        <w:jc w:val="both"/>
        <w:rPr>
          <w:rFonts w:ascii="Segoe UI" w:hAnsi="Segoe UI" w:cs="Segoe UI"/>
          <w:b/>
          <w:bCs/>
          <w:sz w:val="22"/>
          <w:szCs w:val="22"/>
        </w:rPr>
      </w:pPr>
      <w:r w:rsidRPr="008F077D">
        <w:rPr>
          <w:rFonts w:ascii="Segoe UI" w:hAnsi="Segoe UI" w:cs="Segoe UI"/>
          <w:b/>
          <w:bCs/>
          <w:sz w:val="22"/>
          <w:szCs w:val="22"/>
        </w:rPr>
        <w:t>Communications, Involvement and Engagement</w:t>
      </w:r>
    </w:p>
    <w:p w14:paraId="09620FBB" w14:textId="77777777" w:rsidR="00DC7F52" w:rsidRPr="008F077D" w:rsidRDefault="00DC7F52" w:rsidP="008F077D">
      <w:pPr>
        <w:jc w:val="both"/>
        <w:rPr>
          <w:rFonts w:ascii="Segoe UI" w:hAnsi="Segoe UI" w:cs="Segoe UI"/>
          <w:b/>
          <w:bCs/>
          <w:sz w:val="22"/>
          <w:szCs w:val="22"/>
        </w:rPr>
      </w:pPr>
    </w:p>
    <w:p w14:paraId="08330265" w14:textId="4F10991B" w:rsidR="008F077D" w:rsidRPr="008F077D" w:rsidRDefault="00F97C7F" w:rsidP="008F077D">
      <w:pPr>
        <w:jc w:val="both"/>
        <w:rPr>
          <w:rFonts w:ascii="Segoe UI" w:hAnsi="Segoe UI" w:cs="Segoe UI"/>
          <w:sz w:val="22"/>
          <w:szCs w:val="22"/>
        </w:rPr>
      </w:pPr>
      <w:r>
        <w:rPr>
          <w:rFonts w:ascii="Segoe UI" w:hAnsi="Segoe UI" w:cs="Segoe UI"/>
          <w:sz w:val="22"/>
          <w:szCs w:val="22"/>
        </w:rPr>
        <w:t>This</w:t>
      </w:r>
      <w:r w:rsidR="008F077D" w:rsidRPr="008F077D">
        <w:rPr>
          <w:rFonts w:ascii="Segoe UI" w:hAnsi="Segoe UI" w:cs="Segoe UI"/>
          <w:sz w:val="22"/>
          <w:szCs w:val="22"/>
        </w:rPr>
        <w:t xml:space="preserve"> month’s report </w:t>
      </w:r>
      <w:r w:rsidR="000557E0">
        <w:rPr>
          <w:rFonts w:ascii="Segoe UI" w:hAnsi="Segoe UI" w:cs="Segoe UI"/>
          <w:sz w:val="22"/>
          <w:szCs w:val="22"/>
        </w:rPr>
        <w:t xml:space="preserve">again </w:t>
      </w:r>
      <w:r w:rsidR="008F077D" w:rsidRPr="008F077D">
        <w:rPr>
          <w:rFonts w:ascii="Segoe UI" w:hAnsi="Segoe UI" w:cs="Segoe UI"/>
          <w:sz w:val="22"/>
          <w:szCs w:val="22"/>
        </w:rPr>
        <w:t xml:space="preserve">includes in the Reading Room examples of the impact of specific team functions beyond the compliance and regulation aspects of the remit of the Director of Corporate Affairs/Company Secretary in order to </w:t>
      </w:r>
      <w:r w:rsidR="00955D15">
        <w:rPr>
          <w:rFonts w:ascii="Segoe UI" w:hAnsi="Segoe UI" w:cs="Segoe UI"/>
          <w:sz w:val="22"/>
          <w:szCs w:val="22"/>
        </w:rPr>
        <w:t>alert the Board to</w:t>
      </w:r>
      <w:r w:rsidR="008F077D" w:rsidRPr="008F077D">
        <w:rPr>
          <w:rFonts w:ascii="Segoe UI" w:hAnsi="Segoe UI" w:cs="Segoe UI"/>
          <w:sz w:val="22"/>
          <w:szCs w:val="22"/>
        </w:rPr>
        <w:t xml:space="preserve"> activity across the Corporate Affairs portfolio.  </w:t>
      </w:r>
      <w:r w:rsidR="000A31D1">
        <w:rPr>
          <w:rFonts w:ascii="Segoe UI" w:hAnsi="Segoe UI" w:cs="Segoe UI"/>
          <w:sz w:val="22"/>
          <w:szCs w:val="22"/>
        </w:rPr>
        <w:t>Ongoing</w:t>
      </w:r>
      <w:r w:rsidR="008F077D" w:rsidRPr="008F077D">
        <w:rPr>
          <w:rFonts w:ascii="Segoe UI" w:hAnsi="Segoe UI" w:cs="Segoe UI"/>
          <w:sz w:val="22"/>
          <w:szCs w:val="22"/>
        </w:rPr>
        <w:t xml:space="preserve"> iterations of the update report will include these updates as considered </w:t>
      </w:r>
      <w:r w:rsidR="0021533A">
        <w:rPr>
          <w:rFonts w:ascii="Segoe UI" w:hAnsi="Segoe UI" w:cs="Segoe UI"/>
          <w:sz w:val="22"/>
          <w:szCs w:val="22"/>
        </w:rPr>
        <w:t>pertinent</w:t>
      </w:r>
      <w:r w:rsidR="006E0C0B">
        <w:rPr>
          <w:rFonts w:ascii="Segoe UI" w:hAnsi="Segoe UI" w:cs="Segoe UI"/>
          <w:sz w:val="22"/>
          <w:szCs w:val="22"/>
        </w:rPr>
        <w:t>/</w:t>
      </w:r>
      <w:r w:rsidR="008F077D" w:rsidRPr="008F077D">
        <w:rPr>
          <w:rFonts w:ascii="Segoe UI" w:hAnsi="Segoe UI" w:cs="Segoe UI"/>
          <w:sz w:val="22"/>
          <w:szCs w:val="22"/>
        </w:rPr>
        <w:t>useful</w:t>
      </w:r>
      <w:r w:rsidR="006E0C0B">
        <w:rPr>
          <w:rFonts w:ascii="Segoe UI" w:hAnsi="Segoe UI" w:cs="Segoe UI"/>
          <w:sz w:val="22"/>
          <w:szCs w:val="22"/>
        </w:rPr>
        <w:t xml:space="preserve"> in the prevailing circumstances</w:t>
      </w:r>
      <w:r w:rsidR="008F077D" w:rsidRPr="008F077D">
        <w:rPr>
          <w:rFonts w:ascii="Segoe UI" w:hAnsi="Segoe UI" w:cs="Segoe UI"/>
          <w:sz w:val="22"/>
          <w:szCs w:val="22"/>
        </w:rPr>
        <w:t>.</w:t>
      </w:r>
    </w:p>
    <w:p w14:paraId="37B97DEA" w14:textId="478C1793" w:rsidR="008F077D" w:rsidRDefault="008F077D" w:rsidP="004A11CA">
      <w:pPr>
        <w:jc w:val="both"/>
        <w:rPr>
          <w:rFonts w:ascii="Segoe UI" w:hAnsi="Segoe UI" w:cs="Segoe UI"/>
          <w:sz w:val="22"/>
          <w:szCs w:val="22"/>
        </w:rPr>
      </w:pPr>
    </w:p>
    <w:p w14:paraId="64712ED4" w14:textId="3098DFB8" w:rsidR="007506D5" w:rsidRDefault="009A1618" w:rsidP="004A11CA">
      <w:pPr>
        <w:jc w:val="both"/>
        <w:rPr>
          <w:rFonts w:ascii="Segoe UI" w:hAnsi="Segoe UI" w:cs="Segoe UI"/>
          <w:b/>
          <w:bCs/>
          <w:sz w:val="22"/>
          <w:szCs w:val="22"/>
        </w:rPr>
      </w:pPr>
      <w:r w:rsidRPr="009A1618">
        <w:rPr>
          <w:rFonts w:ascii="Segoe UI" w:hAnsi="Segoe UI" w:cs="Segoe UI"/>
          <w:b/>
          <w:bCs/>
          <w:sz w:val="22"/>
          <w:szCs w:val="22"/>
        </w:rPr>
        <w:t>Compliance matters</w:t>
      </w:r>
      <w:r w:rsidR="003C632D">
        <w:rPr>
          <w:rFonts w:ascii="Segoe UI" w:hAnsi="Segoe UI" w:cs="Segoe UI"/>
          <w:b/>
          <w:bCs/>
          <w:sz w:val="22"/>
          <w:szCs w:val="22"/>
        </w:rPr>
        <w:t xml:space="preserve"> and prospective analysis</w:t>
      </w:r>
    </w:p>
    <w:p w14:paraId="798B1D03" w14:textId="77777777" w:rsidR="00DC7F52" w:rsidRPr="009A1618" w:rsidRDefault="00DC7F52" w:rsidP="004A11CA">
      <w:pPr>
        <w:jc w:val="both"/>
        <w:rPr>
          <w:rFonts w:ascii="Segoe UI" w:hAnsi="Segoe UI" w:cs="Segoe UI"/>
          <w:b/>
          <w:bCs/>
          <w:sz w:val="22"/>
          <w:szCs w:val="22"/>
        </w:rPr>
      </w:pPr>
    </w:p>
    <w:p w14:paraId="097D8AD0" w14:textId="5843B426"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w:t>
      </w:r>
      <w:r w:rsidR="006E0C0B">
        <w:rPr>
          <w:rFonts w:ascii="Segoe UI" w:hAnsi="Segoe UI" w:cs="Segoe UI"/>
          <w:sz w:val="22"/>
          <w:szCs w:val="22"/>
        </w:rPr>
        <w:t xml:space="preserve">Legal Regulatory and Policy </w:t>
      </w:r>
      <w:r w:rsidRPr="00D357BC">
        <w:rPr>
          <w:rFonts w:ascii="Segoe UI" w:hAnsi="Segoe UI" w:cs="Segoe UI"/>
          <w:sz w:val="22"/>
          <w:szCs w:val="22"/>
        </w:rPr>
        <w:t xml:space="preserve">Update Report is designed to reflect changes in legislation, guidance, the structure of the NHS, and government policy and direction on health and social care. A summation of the change is provided for each item and where relevant, a sense of the Trust’s position </w:t>
      </w:r>
      <w:proofErr w:type="gramStart"/>
      <w:r w:rsidRPr="00D357BC">
        <w:rPr>
          <w:rFonts w:ascii="Segoe UI" w:hAnsi="Segoe UI" w:cs="Segoe UI"/>
          <w:sz w:val="22"/>
          <w:szCs w:val="22"/>
        </w:rPr>
        <w:t>with regard to</w:t>
      </w:r>
      <w:proofErr w:type="gramEnd"/>
      <w:r w:rsidRPr="00D357BC">
        <w:rPr>
          <w:rFonts w:ascii="Segoe UI" w:hAnsi="Segoe UI" w:cs="Segoe UI"/>
          <w:sz w:val="22"/>
          <w:szCs w:val="22"/>
        </w:rPr>
        <w:t xml:space="preserve">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w:t>
      </w:r>
      <w:r w:rsidR="005C74DE">
        <w:rPr>
          <w:rFonts w:ascii="Segoe UI" w:hAnsi="Segoe UI" w:cs="Segoe UI"/>
          <w:b/>
          <w:sz w:val="22"/>
          <w:szCs w:val="22"/>
        </w:rPr>
        <w:t>, on a risk bas</w:t>
      </w:r>
      <w:r w:rsidR="00B54FB9">
        <w:rPr>
          <w:rFonts w:ascii="Segoe UI" w:hAnsi="Segoe UI" w:cs="Segoe UI"/>
          <w:b/>
          <w:sz w:val="22"/>
          <w:szCs w:val="22"/>
        </w:rPr>
        <w:t>is,</w:t>
      </w:r>
      <w:r w:rsidRPr="00D357BC">
        <w:rPr>
          <w:rFonts w:ascii="Segoe UI" w:hAnsi="Segoe UI" w:cs="Segoe UI"/>
          <w:b/>
          <w:sz w:val="22"/>
          <w:szCs w:val="22"/>
        </w:rPr>
        <w:t xml:space="preserve">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70DDF87F" w14:textId="036A2591" w:rsidR="004A11CA" w:rsidRDefault="004A11CA" w:rsidP="004A11CA">
      <w:pPr>
        <w:jc w:val="both"/>
        <w:rPr>
          <w:rFonts w:ascii="Segoe UI" w:hAnsi="Segoe UI" w:cs="Segoe UI"/>
          <w:sz w:val="22"/>
          <w:szCs w:val="22"/>
        </w:rPr>
      </w:pPr>
      <w:r w:rsidRPr="00D357BC">
        <w:rPr>
          <w:rFonts w:ascii="Segoe UI" w:hAnsi="Segoe UI" w:cs="Segoe UI"/>
          <w:sz w:val="22"/>
          <w:szCs w:val="22"/>
        </w:rPr>
        <w:lastRenderedPageBreak/>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w:t>
      </w:r>
      <w:proofErr w:type="gramStart"/>
      <w:r w:rsidRPr="00D357BC">
        <w:rPr>
          <w:rFonts w:ascii="Segoe UI" w:hAnsi="Segoe UI" w:cs="Segoe UI"/>
          <w:sz w:val="22"/>
          <w:szCs w:val="22"/>
        </w:rPr>
        <w:t>relevant</w:t>
      </w:r>
      <w:proofErr w:type="gramEnd"/>
      <w:r w:rsidRPr="00D357BC">
        <w:rPr>
          <w:rFonts w:ascii="Segoe UI" w:hAnsi="Segoe UI" w:cs="Segoe UI"/>
          <w:sz w:val="22"/>
          <w:szCs w:val="22"/>
        </w:rPr>
        <w:t xml:space="preserve">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w:t>
      </w:r>
      <w:r w:rsidR="00EC4CC4">
        <w:rPr>
          <w:rFonts w:ascii="Segoe UI" w:hAnsi="Segoe UI" w:cs="Segoe UI"/>
          <w:sz w:val="22"/>
          <w:szCs w:val="22"/>
        </w:rPr>
        <w:t xml:space="preserve">routine </w:t>
      </w:r>
      <w:r w:rsidRPr="00D357BC">
        <w:rPr>
          <w:rFonts w:ascii="Segoe UI" w:hAnsi="Segoe UI" w:cs="Segoe UI"/>
          <w:sz w:val="22"/>
          <w:szCs w:val="22"/>
        </w:rPr>
        <w:t>Board reports of individual Executives.</w:t>
      </w:r>
    </w:p>
    <w:p w14:paraId="1A2FDC9B" w14:textId="77777777" w:rsidR="00D55F3D" w:rsidRDefault="00D55F3D" w:rsidP="004A11CA">
      <w:pPr>
        <w:jc w:val="both"/>
        <w:rPr>
          <w:rFonts w:ascii="Segoe UI" w:hAnsi="Segoe UI" w:cs="Segoe UI"/>
          <w:sz w:val="22"/>
          <w:szCs w:val="22"/>
        </w:rPr>
      </w:pPr>
    </w:p>
    <w:p w14:paraId="62750377" w14:textId="392EF13D" w:rsidR="00206623" w:rsidRDefault="00206623" w:rsidP="004A11CA">
      <w:pPr>
        <w:jc w:val="both"/>
        <w:rPr>
          <w:rFonts w:ascii="Segoe UI" w:hAnsi="Segoe UI" w:cs="Segoe UI"/>
          <w:sz w:val="22"/>
          <w:szCs w:val="22"/>
        </w:rPr>
      </w:pPr>
      <w:r w:rsidRPr="00206623">
        <w:rPr>
          <w:rFonts w:ascii="Segoe UI" w:hAnsi="Segoe UI" w:cs="Segoe UI"/>
          <w:sz w:val="22"/>
          <w:szCs w:val="22"/>
        </w:rPr>
        <w:t>The principal Committee meetings of the Board are aligned to the cadence of the Board calendar, with the Chair of each Committee providing the Board with their latest updates and recommendations for approval.  Following the interim findings of the Good Governance Institute as part of the external review against the Well Led framework into quality governance, the Chair of each Committee will from November adopt a ‘Three A’s’ approach to upward reporting to Board (Advice, Alert, Assurance).  In addition to the matters in this report, the Board will need to use the Committee Chair’s updates to also influence its identification and assessment of new/emerging risk.</w:t>
      </w:r>
    </w:p>
    <w:p w14:paraId="58E97D36" w14:textId="10756879" w:rsidR="00D55F3D" w:rsidRDefault="00D55F3D" w:rsidP="004A11CA">
      <w:pPr>
        <w:jc w:val="both"/>
        <w:rPr>
          <w:rFonts w:ascii="Segoe UI" w:hAnsi="Segoe UI" w:cs="Segoe UI"/>
          <w:sz w:val="22"/>
          <w:szCs w:val="22"/>
        </w:rPr>
      </w:pPr>
    </w:p>
    <w:p w14:paraId="4426D8A1" w14:textId="33B56672" w:rsidR="00D55F3D" w:rsidRPr="00D55F3D" w:rsidRDefault="00D55F3D" w:rsidP="00D55F3D">
      <w:pPr>
        <w:jc w:val="both"/>
        <w:rPr>
          <w:rFonts w:ascii="Segoe UI" w:hAnsi="Segoe UI" w:cs="Segoe UI"/>
          <w:sz w:val="22"/>
          <w:szCs w:val="22"/>
        </w:rPr>
      </w:pPr>
      <w:r w:rsidRPr="00D55F3D">
        <w:rPr>
          <w:rFonts w:ascii="Segoe UI" w:hAnsi="Segoe UI" w:cs="Segoe UI"/>
          <w:sz w:val="22"/>
          <w:szCs w:val="22"/>
        </w:rPr>
        <w:t xml:space="preserve">Early consideration supports a prospective understanding of risk and opportunity.  Chairs of Board Committees should consider whether more detailed assurances relevant to their committees, are necessary, </w:t>
      </w:r>
      <w:proofErr w:type="spellStart"/>
      <w:r w:rsidRPr="00D55F3D">
        <w:rPr>
          <w:rFonts w:ascii="Segoe UI" w:hAnsi="Segoe UI" w:cs="Segoe UI"/>
          <w:sz w:val="22"/>
          <w:szCs w:val="22"/>
        </w:rPr>
        <w:t>utilising</w:t>
      </w:r>
      <w:proofErr w:type="spellEnd"/>
      <w:r w:rsidRPr="00D55F3D">
        <w:rPr>
          <w:rFonts w:ascii="Segoe UI" w:hAnsi="Segoe UI" w:cs="Segoe UI"/>
          <w:sz w:val="22"/>
          <w:szCs w:val="22"/>
        </w:rPr>
        <w:t xml:space="preserve"> this report as a constructive stimulant to inform the composition of meeting agendas and reporting focus as necessary or appropriate.</w:t>
      </w:r>
    </w:p>
    <w:p w14:paraId="0E9325E3" w14:textId="77777777" w:rsidR="004A11CA" w:rsidRPr="00D357BC" w:rsidRDefault="004A11CA" w:rsidP="004A11CA">
      <w:pPr>
        <w:jc w:val="both"/>
        <w:rPr>
          <w:rFonts w:ascii="Segoe UI" w:hAnsi="Segoe UI" w:cs="Segoe UI"/>
          <w:sz w:val="22"/>
          <w:szCs w:val="22"/>
        </w:rPr>
      </w:pPr>
    </w:p>
    <w:p w14:paraId="5BA479A6" w14:textId="0754989E" w:rsidR="008E2BDA" w:rsidRPr="00602C81" w:rsidRDefault="004A11CA" w:rsidP="008F2D28">
      <w:pPr>
        <w:jc w:val="both"/>
        <w:rPr>
          <w:rFonts w:ascii="Segoe UI" w:hAnsi="Segoe UI" w:cs="Segoe UI"/>
          <w:sz w:val="22"/>
          <w:szCs w:val="22"/>
        </w:rPr>
      </w:pPr>
      <w:r w:rsidRPr="00602C81">
        <w:rPr>
          <w:rFonts w:ascii="Segoe UI" w:hAnsi="Segoe UI" w:cs="Segoe UI"/>
          <w:b/>
          <w:bCs/>
          <w:sz w:val="22"/>
          <w:szCs w:val="22"/>
        </w:rPr>
        <w:t>In this m</w:t>
      </w:r>
      <w:r w:rsidR="0071150B" w:rsidRPr="00602C81">
        <w:rPr>
          <w:rFonts w:ascii="Segoe UI" w:hAnsi="Segoe UI" w:cs="Segoe UI"/>
          <w:b/>
          <w:bCs/>
          <w:sz w:val="22"/>
          <w:szCs w:val="22"/>
        </w:rPr>
        <w:t>onth</w:t>
      </w:r>
      <w:r w:rsidRPr="00602C81">
        <w:rPr>
          <w:rFonts w:ascii="Segoe UI" w:hAnsi="Segoe UI" w:cs="Segoe UI"/>
          <w:b/>
          <w:bCs/>
          <w:sz w:val="22"/>
          <w:szCs w:val="22"/>
        </w:rPr>
        <w:t>’s Legal and Regulatory Update</w:t>
      </w:r>
      <w:r w:rsidRPr="00602C81">
        <w:rPr>
          <w:rFonts w:ascii="Segoe UI" w:hAnsi="Segoe UI" w:cs="Segoe UI"/>
          <w:sz w:val="22"/>
          <w:szCs w:val="22"/>
        </w:rPr>
        <w:t xml:space="preserve">, </w:t>
      </w:r>
      <w:proofErr w:type="gramStart"/>
      <w:r w:rsidR="00B12FA8" w:rsidRPr="00602C81">
        <w:rPr>
          <w:rFonts w:ascii="Segoe UI" w:hAnsi="Segoe UI" w:cs="Segoe UI"/>
          <w:sz w:val="22"/>
          <w:szCs w:val="22"/>
        </w:rPr>
        <w:t>a number of</w:t>
      </w:r>
      <w:proofErr w:type="gramEnd"/>
      <w:r w:rsidR="00B12FA8" w:rsidRPr="00602C81">
        <w:rPr>
          <w:rFonts w:ascii="Segoe UI" w:hAnsi="Segoe UI" w:cs="Segoe UI"/>
          <w:sz w:val="22"/>
          <w:szCs w:val="22"/>
        </w:rPr>
        <w:t xml:space="preserve"> </w:t>
      </w:r>
      <w:r w:rsidR="00034F7E" w:rsidRPr="00602C81">
        <w:rPr>
          <w:rFonts w:ascii="Segoe UI" w:hAnsi="Segoe UI" w:cs="Segoe UI"/>
          <w:sz w:val="22"/>
          <w:szCs w:val="22"/>
        </w:rPr>
        <w:t>p</w:t>
      </w:r>
      <w:r w:rsidR="00300E3B" w:rsidRPr="00602C81">
        <w:rPr>
          <w:rFonts w:ascii="Segoe UI" w:hAnsi="Segoe UI" w:cs="Segoe UI"/>
          <w:sz w:val="22"/>
          <w:szCs w:val="22"/>
        </w:rPr>
        <w:t>ublication</w:t>
      </w:r>
      <w:r w:rsidR="00034F7E" w:rsidRPr="00602C81">
        <w:rPr>
          <w:rFonts w:ascii="Segoe UI" w:hAnsi="Segoe UI" w:cs="Segoe UI"/>
          <w:sz w:val="22"/>
          <w:szCs w:val="22"/>
        </w:rPr>
        <w:t xml:space="preserve">s </w:t>
      </w:r>
      <w:r w:rsidR="000F6F5F" w:rsidRPr="00602C81">
        <w:rPr>
          <w:rFonts w:ascii="Segoe UI" w:hAnsi="Segoe UI" w:cs="Segoe UI"/>
          <w:sz w:val="22"/>
          <w:szCs w:val="22"/>
        </w:rPr>
        <w:t xml:space="preserve">have significance for the </w:t>
      </w:r>
      <w:r w:rsidR="00602C81" w:rsidRPr="00602C81">
        <w:rPr>
          <w:rFonts w:ascii="Segoe UI" w:hAnsi="Segoe UI" w:cs="Segoe UI"/>
          <w:sz w:val="22"/>
          <w:szCs w:val="22"/>
        </w:rPr>
        <w:t>Trust.</w:t>
      </w:r>
    </w:p>
    <w:p w14:paraId="11543AEC" w14:textId="77777777" w:rsidR="00CC6535" w:rsidRPr="000F47E7" w:rsidRDefault="00CC6535" w:rsidP="00E74A0B">
      <w:pPr>
        <w:jc w:val="both"/>
        <w:rPr>
          <w:rFonts w:ascii="Segoe UI" w:hAnsi="Segoe UI" w:cs="Segoe UI"/>
          <w:sz w:val="22"/>
          <w:szCs w:val="22"/>
          <w:highlight w:val="yellow"/>
        </w:rPr>
      </w:pPr>
    </w:p>
    <w:p w14:paraId="596B17B2" w14:textId="7215E518" w:rsidR="00975498" w:rsidRPr="00602C81" w:rsidRDefault="00722727" w:rsidP="00E74A0B">
      <w:pPr>
        <w:jc w:val="both"/>
        <w:rPr>
          <w:rFonts w:ascii="Segoe UI" w:hAnsi="Segoe UI" w:cs="Segoe UI"/>
          <w:sz w:val="22"/>
          <w:szCs w:val="22"/>
        </w:rPr>
      </w:pPr>
      <w:r w:rsidRPr="00602C81">
        <w:rPr>
          <w:rFonts w:ascii="Segoe UI" w:hAnsi="Segoe UI" w:cs="Segoe UI"/>
          <w:sz w:val="22"/>
          <w:szCs w:val="22"/>
        </w:rPr>
        <w:t>The importance of system</w:t>
      </w:r>
      <w:r w:rsidR="00CC6535" w:rsidRPr="00602C81">
        <w:rPr>
          <w:rFonts w:ascii="Segoe UI" w:hAnsi="Segoe UI" w:cs="Segoe UI"/>
          <w:sz w:val="22"/>
          <w:szCs w:val="22"/>
        </w:rPr>
        <w:t xml:space="preserve"> and partnership</w:t>
      </w:r>
      <w:r w:rsidRPr="00602C81">
        <w:rPr>
          <w:rFonts w:ascii="Segoe UI" w:hAnsi="Segoe UI" w:cs="Segoe UI"/>
          <w:sz w:val="22"/>
          <w:szCs w:val="22"/>
        </w:rPr>
        <w:t xml:space="preserve"> working is a</w:t>
      </w:r>
      <w:r w:rsidR="00D434AC" w:rsidRPr="00602C81">
        <w:rPr>
          <w:rFonts w:ascii="Segoe UI" w:hAnsi="Segoe UI" w:cs="Segoe UI"/>
          <w:sz w:val="22"/>
          <w:szCs w:val="22"/>
        </w:rPr>
        <w:t>gain a</w:t>
      </w:r>
      <w:r w:rsidRPr="00602C81">
        <w:rPr>
          <w:rFonts w:ascii="Segoe UI" w:hAnsi="Segoe UI" w:cs="Segoe UI"/>
          <w:sz w:val="22"/>
          <w:szCs w:val="22"/>
        </w:rPr>
        <w:t xml:space="preserve"> theme through this</w:t>
      </w:r>
      <w:r w:rsidR="00B537C7" w:rsidRPr="00602C81">
        <w:rPr>
          <w:rFonts w:ascii="Segoe UI" w:hAnsi="Segoe UI" w:cs="Segoe UI"/>
          <w:sz w:val="22"/>
          <w:szCs w:val="22"/>
        </w:rPr>
        <w:t xml:space="preserve"> month’s</w:t>
      </w:r>
      <w:r w:rsidRPr="00602C81">
        <w:rPr>
          <w:rFonts w:ascii="Segoe UI" w:hAnsi="Segoe UI" w:cs="Segoe UI"/>
          <w:sz w:val="22"/>
          <w:szCs w:val="22"/>
        </w:rPr>
        <w:t xml:space="preserve"> </w:t>
      </w:r>
      <w:r w:rsidR="00B537C7" w:rsidRPr="00602C81">
        <w:rPr>
          <w:rFonts w:ascii="Segoe UI" w:hAnsi="Segoe UI" w:cs="Segoe UI"/>
          <w:sz w:val="22"/>
          <w:szCs w:val="22"/>
        </w:rPr>
        <w:t xml:space="preserve">paper, and </w:t>
      </w:r>
      <w:r w:rsidR="00CC6535" w:rsidRPr="00602C81">
        <w:rPr>
          <w:rFonts w:ascii="Segoe UI" w:hAnsi="Segoe UI" w:cs="Segoe UI"/>
          <w:sz w:val="22"/>
          <w:szCs w:val="22"/>
        </w:rPr>
        <w:t>as reported in July</w:t>
      </w:r>
      <w:r w:rsidR="00917655" w:rsidRPr="00602C81">
        <w:rPr>
          <w:rFonts w:ascii="Segoe UI" w:hAnsi="Segoe UI" w:cs="Segoe UI"/>
          <w:sz w:val="22"/>
          <w:szCs w:val="22"/>
        </w:rPr>
        <w:t xml:space="preserve"> and in September</w:t>
      </w:r>
      <w:r w:rsidR="00CC6535" w:rsidRPr="00602C81">
        <w:rPr>
          <w:rFonts w:ascii="Segoe UI" w:hAnsi="Segoe UI" w:cs="Segoe UI"/>
          <w:sz w:val="22"/>
          <w:szCs w:val="22"/>
        </w:rPr>
        <w:t xml:space="preserve">, </w:t>
      </w:r>
      <w:r w:rsidR="00F675B1" w:rsidRPr="00602C81">
        <w:rPr>
          <w:rFonts w:ascii="Segoe UI" w:hAnsi="Segoe UI" w:cs="Segoe UI"/>
          <w:sz w:val="22"/>
          <w:szCs w:val="22"/>
        </w:rPr>
        <w:t>s</w:t>
      </w:r>
      <w:r w:rsidR="00122BC2" w:rsidRPr="00602C81">
        <w:rPr>
          <w:rFonts w:ascii="Segoe UI" w:hAnsi="Segoe UI" w:cs="Segoe UI"/>
          <w:sz w:val="22"/>
          <w:szCs w:val="22"/>
        </w:rPr>
        <w:t xml:space="preserve">ystem </w:t>
      </w:r>
      <w:proofErr w:type="gramStart"/>
      <w:r w:rsidR="00122BC2" w:rsidRPr="00602C81">
        <w:rPr>
          <w:rFonts w:ascii="Segoe UI" w:hAnsi="Segoe UI" w:cs="Segoe UI"/>
          <w:sz w:val="22"/>
          <w:szCs w:val="22"/>
        </w:rPr>
        <w:t>working</w:t>
      </w:r>
      <w:proofErr w:type="gramEnd"/>
      <w:r w:rsidR="00122BC2" w:rsidRPr="00602C81">
        <w:rPr>
          <w:rFonts w:ascii="Segoe UI" w:hAnsi="Segoe UI" w:cs="Segoe UI"/>
          <w:sz w:val="22"/>
          <w:szCs w:val="22"/>
        </w:rPr>
        <w:t xml:space="preserve"> and collaboration is </w:t>
      </w:r>
      <w:r w:rsidR="00F675B1" w:rsidRPr="00602C81">
        <w:rPr>
          <w:rFonts w:ascii="Segoe UI" w:hAnsi="Segoe UI" w:cs="Segoe UI"/>
          <w:sz w:val="22"/>
          <w:szCs w:val="22"/>
        </w:rPr>
        <w:t>set</w:t>
      </w:r>
      <w:r w:rsidR="008B0BA3" w:rsidRPr="00602C81">
        <w:rPr>
          <w:rFonts w:ascii="Segoe UI" w:hAnsi="Segoe UI" w:cs="Segoe UI"/>
          <w:sz w:val="22"/>
          <w:szCs w:val="22"/>
        </w:rPr>
        <w:t xml:space="preserve"> to become a </w:t>
      </w:r>
      <w:proofErr w:type="spellStart"/>
      <w:r w:rsidR="008B0BA3" w:rsidRPr="00602C81">
        <w:rPr>
          <w:rFonts w:ascii="Segoe UI" w:hAnsi="Segoe UI" w:cs="Segoe UI"/>
          <w:sz w:val="22"/>
          <w:szCs w:val="22"/>
        </w:rPr>
        <w:t>licence</w:t>
      </w:r>
      <w:proofErr w:type="spellEnd"/>
      <w:r w:rsidR="008B0BA3" w:rsidRPr="00602C81">
        <w:rPr>
          <w:rFonts w:ascii="Segoe UI" w:hAnsi="Segoe UI" w:cs="Segoe UI"/>
          <w:sz w:val="22"/>
          <w:szCs w:val="22"/>
        </w:rPr>
        <w:t xml:space="preserve"> condition </w:t>
      </w:r>
      <w:r w:rsidR="00E52441" w:rsidRPr="00602C81">
        <w:rPr>
          <w:rFonts w:ascii="Segoe UI" w:hAnsi="Segoe UI" w:cs="Segoe UI"/>
          <w:sz w:val="22"/>
          <w:szCs w:val="22"/>
        </w:rPr>
        <w:t xml:space="preserve">under our </w:t>
      </w:r>
      <w:r w:rsidR="00E52441" w:rsidRPr="001312B3">
        <w:rPr>
          <w:rFonts w:ascii="Segoe UI" w:hAnsi="Segoe UI" w:cs="Segoe UI"/>
          <w:b/>
          <w:bCs/>
          <w:sz w:val="22"/>
          <w:szCs w:val="22"/>
        </w:rPr>
        <w:t xml:space="preserve">Provider </w:t>
      </w:r>
      <w:proofErr w:type="spellStart"/>
      <w:r w:rsidR="00E52441" w:rsidRPr="001312B3">
        <w:rPr>
          <w:rFonts w:ascii="Segoe UI" w:hAnsi="Segoe UI" w:cs="Segoe UI"/>
          <w:b/>
          <w:bCs/>
          <w:sz w:val="22"/>
          <w:szCs w:val="22"/>
        </w:rPr>
        <w:t>Licence</w:t>
      </w:r>
      <w:proofErr w:type="spellEnd"/>
      <w:r w:rsidR="00E52441" w:rsidRPr="00602C81">
        <w:rPr>
          <w:rFonts w:ascii="Segoe UI" w:hAnsi="Segoe UI" w:cs="Segoe UI"/>
          <w:sz w:val="22"/>
          <w:szCs w:val="22"/>
        </w:rPr>
        <w:t xml:space="preserve"> such that we will be increasingly judged on our contribution to the objectives of the integrated care system. </w:t>
      </w:r>
      <w:r w:rsidR="00975498" w:rsidRPr="00602C81">
        <w:rPr>
          <w:rFonts w:ascii="Segoe UI" w:hAnsi="Segoe UI" w:cs="Segoe UI"/>
          <w:sz w:val="22"/>
          <w:szCs w:val="22"/>
        </w:rPr>
        <w:t xml:space="preserve"> This month’s report includes </w:t>
      </w:r>
      <w:r w:rsidR="00EB41DD" w:rsidRPr="00602C81">
        <w:rPr>
          <w:rFonts w:ascii="Segoe UI" w:hAnsi="Segoe UI" w:cs="Segoe UI"/>
          <w:sz w:val="22"/>
          <w:szCs w:val="22"/>
        </w:rPr>
        <w:t xml:space="preserve">an alert to the </w:t>
      </w:r>
      <w:r w:rsidR="00B6381A" w:rsidRPr="00602C81">
        <w:rPr>
          <w:rFonts w:ascii="Segoe UI" w:hAnsi="Segoe UI" w:cs="Segoe UI"/>
          <w:sz w:val="22"/>
          <w:szCs w:val="22"/>
        </w:rPr>
        <w:t xml:space="preserve">launch of the </w:t>
      </w:r>
      <w:r w:rsidR="00EB41DD" w:rsidRPr="00602C81">
        <w:rPr>
          <w:rFonts w:ascii="Segoe UI" w:hAnsi="Segoe UI" w:cs="Segoe UI"/>
          <w:sz w:val="22"/>
          <w:szCs w:val="22"/>
        </w:rPr>
        <w:t xml:space="preserve">consultation on the changes to the </w:t>
      </w:r>
      <w:proofErr w:type="spellStart"/>
      <w:r w:rsidR="00EB41DD" w:rsidRPr="00602C81">
        <w:rPr>
          <w:rFonts w:ascii="Segoe UI" w:hAnsi="Segoe UI" w:cs="Segoe UI"/>
          <w:sz w:val="22"/>
          <w:szCs w:val="22"/>
        </w:rPr>
        <w:t>Licence</w:t>
      </w:r>
      <w:proofErr w:type="spellEnd"/>
      <w:r w:rsidR="00B6381A" w:rsidRPr="00602C81">
        <w:rPr>
          <w:rFonts w:ascii="Segoe UI" w:hAnsi="Segoe UI" w:cs="Segoe UI"/>
          <w:sz w:val="22"/>
          <w:szCs w:val="22"/>
        </w:rPr>
        <w:t xml:space="preserve"> </w:t>
      </w:r>
      <w:proofErr w:type="gramStart"/>
      <w:r w:rsidR="00B6381A" w:rsidRPr="00602C81">
        <w:rPr>
          <w:rFonts w:ascii="Segoe UI" w:hAnsi="Segoe UI" w:cs="Segoe UI"/>
          <w:sz w:val="22"/>
          <w:szCs w:val="22"/>
        </w:rPr>
        <w:t>and also</w:t>
      </w:r>
      <w:proofErr w:type="gramEnd"/>
      <w:r w:rsidR="00B6381A" w:rsidRPr="00602C81">
        <w:rPr>
          <w:rFonts w:ascii="Segoe UI" w:hAnsi="Segoe UI" w:cs="Segoe UI"/>
          <w:sz w:val="22"/>
          <w:szCs w:val="22"/>
        </w:rPr>
        <w:t xml:space="preserve"> </w:t>
      </w:r>
      <w:r w:rsidR="00975498" w:rsidRPr="00602C81">
        <w:rPr>
          <w:rFonts w:ascii="Segoe UI" w:hAnsi="Segoe UI" w:cs="Segoe UI"/>
          <w:sz w:val="22"/>
          <w:szCs w:val="22"/>
        </w:rPr>
        <w:t>NHS England’s new Operating Framework</w:t>
      </w:r>
      <w:r w:rsidR="00A36117" w:rsidRPr="00602C81">
        <w:rPr>
          <w:rFonts w:ascii="Segoe UI" w:hAnsi="Segoe UI" w:cs="Segoe UI"/>
          <w:sz w:val="22"/>
          <w:szCs w:val="22"/>
        </w:rPr>
        <w:t xml:space="preserve"> against which </w:t>
      </w:r>
      <w:r w:rsidR="00B215CC" w:rsidRPr="00602C81">
        <w:rPr>
          <w:rFonts w:ascii="Segoe UI" w:hAnsi="Segoe UI" w:cs="Segoe UI"/>
          <w:sz w:val="22"/>
          <w:szCs w:val="22"/>
        </w:rPr>
        <w:t xml:space="preserve">our performance </w:t>
      </w:r>
      <w:r w:rsidR="00A36117" w:rsidRPr="00602C81">
        <w:rPr>
          <w:rFonts w:ascii="Segoe UI" w:hAnsi="Segoe UI" w:cs="Segoe UI"/>
          <w:sz w:val="22"/>
          <w:szCs w:val="22"/>
        </w:rPr>
        <w:t>will be overseen</w:t>
      </w:r>
      <w:r w:rsidR="00975498" w:rsidRPr="00602C81">
        <w:rPr>
          <w:rFonts w:ascii="Segoe UI" w:hAnsi="Segoe UI" w:cs="Segoe UI"/>
          <w:sz w:val="22"/>
          <w:szCs w:val="22"/>
        </w:rPr>
        <w:t xml:space="preserve">.  </w:t>
      </w:r>
    </w:p>
    <w:p w14:paraId="4D02B5EA" w14:textId="7C09B6EF" w:rsidR="00DE1255" w:rsidRDefault="00DE1255" w:rsidP="00E74A0B">
      <w:pPr>
        <w:jc w:val="both"/>
        <w:rPr>
          <w:rFonts w:ascii="Segoe UI" w:hAnsi="Segoe UI" w:cs="Segoe UI"/>
          <w:sz w:val="22"/>
          <w:szCs w:val="22"/>
          <w:highlight w:val="green"/>
        </w:rPr>
      </w:pPr>
    </w:p>
    <w:p w14:paraId="1BBBE25E" w14:textId="3D606657" w:rsidR="00DE1255" w:rsidRPr="008520BF" w:rsidRDefault="00DE1255" w:rsidP="00E74A0B">
      <w:pPr>
        <w:jc w:val="both"/>
        <w:rPr>
          <w:rFonts w:ascii="Segoe UI" w:hAnsi="Segoe UI" w:cs="Segoe UI"/>
          <w:sz w:val="22"/>
          <w:szCs w:val="22"/>
        </w:rPr>
      </w:pPr>
      <w:r w:rsidRPr="008520BF">
        <w:rPr>
          <w:rFonts w:ascii="Segoe UI" w:hAnsi="Segoe UI" w:cs="Segoe UI"/>
          <w:sz w:val="22"/>
          <w:szCs w:val="22"/>
        </w:rPr>
        <w:t xml:space="preserve">The provider </w:t>
      </w:r>
      <w:proofErr w:type="spellStart"/>
      <w:r w:rsidRPr="008520BF">
        <w:rPr>
          <w:rFonts w:ascii="Segoe UI" w:hAnsi="Segoe UI" w:cs="Segoe UI"/>
          <w:sz w:val="22"/>
          <w:szCs w:val="22"/>
        </w:rPr>
        <w:t>licence</w:t>
      </w:r>
      <w:proofErr w:type="spellEnd"/>
      <w:r w:rsidRPr="008520BF">
        <w:rPr>
          <w:rFonts w:ascii="Segoe UI" w:hAnsi="Segoe UI" w:cs="Segoe UI"/>
          <w:sz w:val="22"/>
          <w:szCs w:val="22"/>
        </w:rPr>
        <w:t xml:space="preserve"> forms part of the oversight arrangements for NHS providers. The NHS Oversight Framework (SOF) details the overall principles, responsibilities and key metrics for oversight, while the provider </w:t>
      </w:r>
      <w:proofErr w:type="spellStart"/>
      <w:r w:rsidRPr="008520BF">
        <w:rPr>
          <w:rFonts w:ascii="Segoe UI" w:hAnsi="Segoe UI" w:cs="Segoe UI"/>
          <w:sz w:val="22"/>
          <w:szCs w:val="22"/>
        </w:rPr>
        <w:t>licence</w:t>
      </w:r>
      <w:proofErr w:type="spellEnd"/>
      <w:r w:rsidRPr="008520BF">
        <w:rPr>
          <w:rFonts w:ascii="Segoe UI" w:hAnsi="Segoe UI" w:cs="Segoe UI"/>
          <w:sz w:val="22"/>
          <w:szCs w:val="22"/>
        </w:rPr>
        <w:t xml:space="preserve"> serves as the legal mechanism for any formal regulatory intervention and underpins mandated support for the most challenged providers.</w:t>
      </w:r>
      <w:r w:rsidR="00720481" w:rsidRPr="008520BF">
        <w:rPr>
          <w:rFonts w:ascii="Segoe UI" w:hAnsi="Segoe UI" w:cs="Segoe UI"/>
          <w:sz w:val="22"/>
          <w:szCs w:val="22"/>
        </w:rPr>
        <w:t xml:space="preserve">  The need to change the </w:t>
      </w:r>
      <w:proofErr w:type="spellStart"/>
      <w:r w:rsidR="00720481" w:rsidRPr="008520BF">
        <w:rPr>
          <w:rFonts w:ascii="Segoe UI" w:hAnsi="Segoe UI" w:cs="Segoe UI"/>
          <w:sz w:val="22"/>
          <w:szCs w:val="22"/>
        </w:rPr>
        <w:t>licence</w:t>
      </w:r>
      <w:proofErr w:type="spellEnd"/>
      <w:r w:rsidR="00720481" w:rsidRPr="008520BF">
        <w:rPr>
          <w:rFonts w:ascii="Segoe UI" w:hAnsi="Segoe UI" w:cs="Segoe UI"/>
          <w:sz w:val="22"/>
          <w:szCs w:val="22"/>
        </w:rPr>
        <w:t xml:space="preserve"> has arisen from changes to the statutory and operating environment, including a shift of emphasis from economic regulation and competition to system working and collaboration. The proposed changes will bring the </w:t>
      </w:r>
      <w:proofErr w:type="spellStart"/>
      <w:r w:rsidR="00720481" w:rsidRPr="008520BF">
        <w:rPr>
          <w:rFonts w:ascii="Segoe UI" w:hAnsi="Segoe UI" w:cs="Segoe UI"/>
          <w:sz w:val="22"/>
          <w:szCs w:val="22"/>
        </w:rPr>
        <w:t>licence</w:t>
      </w:r>
      <w:proofErr w:type="spellEnd"/>
      <w:r w:rsidR="00720481" w:rsidRPr="008520BF">
        <w:rPr>
          <w:rFonts w:ascii="Segoe UI" w:hAnsi="Segoe UI" w:cs="Segoe UI"/>
          <w:sz w:val="22"/>
          <w:szCs w:val="22"/>
        </w:rPr>
        <w:t xml:space="preserve"> up to date, reflecting the new legislation and supporting providers to work effectively as part of integrated care systems</w:t>
      </w:r>
    </w:p>
    <w:p w14:paraId="446A23CB" w14:textId="77777777" w:rsidR="00975498" w:rsidRPr="003F391D" w:rsidRDefault="00975498" w:rsidP="00E74A0B">
      <w:pPr>
        <w:jc w:val="both"/>
        <w:rPr>
          <w:rFonts w:ascii="Segoe UI" w:hAnsi="Segoe UI" w:cs="Segoe UI"/>
          <w:sz w:val="22"/>
          <w:szCs w:val="22"/>
        </w:rPr>
      </w:pPr>
    </w:p>
    <w:p w14:paraId="682293A9" w14:textId="5A519BE1" w:rsidR="00F04F71" w:rsidRDefault="00DE1255" w:rsidP="00975498">
      <w:pPr>
        <w:jc w:val="both"/>
        <w:rPr>
          <w:rFonts w:ascii="Segoe UI" w:hAnsi="Segoe UI" w:cs="Segoe UI"/>
          <w:sz w:val="22"/>
          <w:szCs w:val="22"/>
          <w:highlight w:val="green"/>
        </w:rPr>
      </w:pPr>
      <w:r w:rsidRPr="003F391D">
        <w:rPr>
          <w:rFonts w:ascii="Segoe UI" w:hAnsi="Segoe UI" w:cs="Segoe UI"/>
          <w:sz w:val="22"/>
          <w:szCs w:val="22"/>
        </w:rPr>
        <w:t>Regarding the</w:t>
      </w:r>
      <w:r w:rsidR="003F391D" w:rsidRPr="003F391D">
        <w:rPr>
          <w:rFonts w:ascii="Segoe UI" w:hAnsi="Segoe UI" w:cs="Segoe UI"/>
          <w:sz w:val="22"/>
          <w:szCs w:val="22"/>
        </w:rPr>
        <w:t xml:space="preserve"> publication of the new</w:t>
      </w:r>
      <w:r w:rsidR="001312B3">
        <w:rPr>
          <w:rFonts w:ascii="Segoe UI" w:hAnsi="Segoe UI" w:cs="Segoe UI"/>
          <w:sz w:val="22"/>
          <w:szCs w:val="22"/>
        </w:rPr>
        <w:t xml:space="preserve"> </w:t>
      </w:r>
      <w:r w:rsidR="001312B3" w:rsidRPr="001312B3">
        <w:rPr>
          <w:rFonts w:ascii="Segoe UI" w:hAnsi="Segoe UI" w:cs="Segoe UI"/>
          <w:b/>
          <w:bCs/>
          <w:sz w:val="22"/>
          <w:szCs w:val="22"/>
        </w:rPr>
        <w:t>NHSE</w:t>
      </w:r>
      <w:r w:rsidRPr="003F391D">
        <w:rPr>
          <w:rFonts w:ascii="Segoe UI" w:hAnsi="Segoe UI" w:cs="Segoe UI"/>
          <w:sz w:val="22"/>
          <w:szCs w:val="22"/>
        </w:rPr>
        <w:t xml:space="preserve"> </w:t>
      </w:r>
      <w:r w:rsidRPr="001312B3">
        <w:rPr>
          <w:rFonts w:ascii="Segoe UI" w:hAnsi="Segoe UI" w:cs="Segoe UI"/>
          <w:b/>
          <w:bCs/>
          <w:sz w:val="22"/>
          <w:szCs w:val="22"/>
        </w:rPr>
        <w:t>Operating Framework</w:t>
      </w:r>
      <w:r w:rsidRPr="003F391D">
        <w:rPr>
          <w:rFonts w:ascii="Segoe UI" w:hAnsi="Segoe UI" w:cs="Segoe UI"/>
          <w:sz w:val="22"/>
          <w:szCs w:val="22"/>
        </w:rPr>
        <w:t>, i</w:t>
      </w:r>
      <w:r w:rsidR="00975498" w:rsidRPr="003F391D">
        <w:rPr>
          <w:rFonts w:ascii="Segoe UI" w:hAnsi="Segoe UI" w:cs="Segoe UI"/>
          <w:sz w:val="22"/>
          <w:szCs w:val="22"/>
        </w:rPr>
        <w:t xml:space="preserve">t is clear that we will retain our statutory responsibilities for the delivery of safe, effective, efficient, high-quality services and will be required to continue to comply with the provider </w:t>
      </w:r>
      <w:proofErr w:type="spellStart"/>
      <w:r w:rsidR="00975498" w:rsidRPr="003F391D">
        <w:rPr>
          <w:rFonts w:ascii="Segoe UI" w:hAnsi="Segoe UI" w:cs="Segoe UI"/>
          <w:sz w:val="22"/>
          <w:szCs w:val="22"/>
        </w:rPr>
        <w:t>licence</w:t>
      </w:r>
      <w:proofErr w:type="spellEnd"/>
      <w:r w:rsidR="00975498" w:rsidRPr="003F391D">
        <w:rPr>
          <w:rFonts w:ascii="Segoe UI" w:hAnsi="Segoe UI" w:cs="Segoe UI"/>
          <w:sz w:val="22"/>
          <w:szCs w:val="22"/>
        </w:rPr>
        <w:t xml:space="preserve"> which we assert </w:t>
      </w:r>
      <w:proofErr w:type="gramStart"/>
      <w:r w:rsidR="003F391D">
        <w:rPr>
          <w:rFonts w:ascii="Segoe UI" w:hAnsi="Segoe UI" w:cs="Segoe UI"/>
          <w:sz w:val="22"/>
          <w:szCs w:val="22"/>
        </w:rPr>
        <w:t>to</w:t>
      </w:r>
      <w:proofErr w:type="gramEnd"/>
      <w:r w:rsidR="003F391D">
        <w:rPr>
          <w:rFonts w:ascii="Segoe UI" w:hAnsi="Segoe UI" w:cs="Segoe UI"/>
          <w:sz w:val="22"/>
          <w:szCs w:val="22"/>
        </w:rPr>
        <w:t xml:space="preserve"> </w:t>
      </w:r>
      <w:r w:rsidR="00701134">
        <w:rPr>
          <w:rFonts w:ascii="Segoe UI" w:hAnsi="Segoe UI" w:cs="Segoe UI"/>
          <w:sz w:val="22"/>
          <w:szCs w:val="22"/>
        </w:rPr>
        <w:t>a</w:t>
      </w:r>
      <w:r w:rsidR="00701134" w:rsidRPr="003F391D">
        <w:rPr>
          <w:rFonts w:ascii="Segoe UI" w:hAnsi="Segoe UI" w:cs="Segoe UI"/>
          <w:sz w:val="22"/>
          <w:szCs w:val="22"/>
        </w:rPr>
        <w:t>nnually</w:t>
      </w:r>
      <w:r w:rsidR="00975498" w:rsidRPr="003F391D">
        <w:rPr>
          <w:rFonts w:ascii="Segoe UI" w:hAnsi="Segoe UI" w:cs="Segoe UI"/>
          <w:sz w:val="22"/>
          <w:szCs w:val="22"/>
        </w:rPr>
        <w:t>.  We will be required as a provide</w:t>
      </w:r>
      <w:r w:rsidR="00701134">
        <w:rPr>
          <w:rFonts w:ascii="Segoe UI" w:hAnsi="Segoe UI" w:cs="Segoe UI"/>
          <w:sz w:val="22"/>
          <w:szCs w:val="22"/>
        </w:rPr>
        <w:t>r</w:t>
      </w:r>
      <w:r w:rsidR="00975498" w:rsidRPr="003F391D">
        <w:rPr>
          <w:rFonts w:ascii="Segoe UI" w:hAnsi="Segoe UI" w:cs="Segoe UI"/>
          <w:sz w:val="22"/>
          <w:szCs w:val="22"/>
        </w:rPr>
        <w:t xml:space="preserve"> to comply with Care Quality Commission (CQC) standards and NHS planning guidance requirements, and to contribute to effective system working via ICS strategies and plans.  We remain accountable to people, communities, services users, Council of Governors and ICS partners</w:t>
      </w:r>
      <w:r w:rsidR="00645375">
        <w:rPr>
          <w:rFonts w:ascii="Segoe UI" w:hAnsi="Segoe UI" w:cs="Segoe UI"/>
          <w:sz w:val="22"/>
          <w:szCs w:val="22"/>
        </w:rPr>
        <w:t>.</w:t>
      </w:r>
      <w:r w:rsidR="00975498" w:rsidRPr="003F391D">
        <w:rPr>
          <w:rFonts w:ascii="Segoe UI" w:hAnsi="Segoe UI" w:cs="Segoe UI"/>
          <w:sz w:val="22"/>
          <w:szCs w:val="22"/>
        </w:rPr>
        <w:t xml:space="preserve"> We are accountable to ICBs for ‘business as usual’ </w:t>
      </w:r>
      <w:r w:rsidR="00975498" w:rsidRPr="003F391D">
        <w:rPr>
          <w:rFonts w:ascii="Segoe UI" w:hAnsi="Segoe UI" w:cs="Segoe UI"/>
          <w:sz w:val="22"/>
          <w:szCs w:val="22"/>
        </w:rPr>
        <w:lastRenderedPageBreak/>
        <w:t xml:space="preserve">delivery of services and performance and are accountable to NHSE as regulator by escalation/ exception </w:t>
      </w:r>
      <w:r w:rsidR="00975498" w:rsidRPr="001F5DCC">
        <w:rPr>
          <w:rFonts w:ascii="Segoe UI" w:hAnsi="Segoe UI" w:cs="Segoe UI"/>
          <w:sz w:val="22"/>
          <w:szCs w:val="22"/>
        </w:rPr>
        <w:t xml:space="preserve">or agreement with ICB.   </w:t>
      </w:r>
      <w:r w:rsidR="0074242B" w:rsidRPr="001F5DCC">
        <w:rPr>
          <w:rFonts w:ascii="Segoe UI" w:hAnsi="Segoe UI" w:cs="Segoe UI"/>
          <w:sz w:val="22"/>
          <w:szCs w:val="22"/>
        </w:rPr>
        <w:t xml:space="preserve">An interesting change is </w:t>
      </w:r>
      <w:r w:rsidR="00645375" w:rsidRPr="001F5DCC">
        <w:rPr>
          <w:rFonts w:ascii="Segoe UI" w:hAnsi="Segoe UI" w:cs="Segoe UI"/>
          <w:sz w:val="22"/>
          <w:szCs w:val="22"/>
        </w:rPr>
        <w:t>that the</w:t>
      </w:r>
      <w:r w:rsidR="0074242B" w:rsidRPr="001F5DCC">
        <w:rPr>
          <w:rFonts w:ascii="Segoe UI" w:hAnsi="Segoe UI" w:cs="Segoe UI"/>
          <w:sz w:val="22"/>
          <w:szCs w:val="22"/>
        </w:rPr>
        <w:t xml:space="preserve"> role of foundation trust governors in appointing a chair under the new framework says the appointment process should “consistently seek the views and input of relevant partners, such as ICB leaders</w:t>
      </w:r>
      <w:r w:rsidR="008466C2" w:rsidRPr="001F5DCC">
        <w:rPr>
          <w:rFonts w:ascii="Segoe UI" w:hAnsi="Segoe UI" w:cs="Segoe UI"/>
          <w:sz w:val="22"/>
          <w:szCs w:val="22"/>
        </w:rPr>
        <w:t xml:space="preserve"> and so the Director of Corporate Affairs and Company Secretary</w:t>
      </w:r>
      <w:r w:rsidR="000F1C94" w:rsidRPr="001F5DCC">
        <w:rPr>
          <w:rFonts w:ascii="Segoe UI" w:hAnsi="Segoe UI" w:cs="Segoe UI"/>
          <w:sz w:val="22"/>
          <w:szCs w:val="22"/>
        </w:rPr>
        <w:t xml:space="preserve">, whilst this is not a requirement under the law, </w:t>
      </w:r>
      <w:r w:rsidR="008466C2" w:rsidRPr="001F5DCC">
        <w:rPr>
          <w:rFonts w:ascii="Segoe UI" w:hAnsi="Segoe UI" w:cs="Segoe UI"/>
          <w:sz w:val="22"/>
          <w:szCs w:val="22"/>
        </w:rPr>
        <w:t xml:space="preserve">will </w:t>
      </w:r>
      <w:r w:rsidR="00F60A3C" w:rsidRPr="001F5DCC">
        <w:rPr>
          <w:rFonts w:ascii="Segoe UI" w:hAnsi="Segoe UI" w:cs="Segoe UI"/>
          <w:sz w:val="22"/>
          <w:szCs w:val="22"/>
        </w:rPr>
        <w:t xml:space="preserve">ensure </w:t>
      </w:r>
      <w:r w:rsidR="000F1C94" w:rsidRPr="001F5DCC">
        <w:rPr>
          <w:rFonts w:ascii="Segoe UI" w:hAnsi="Segoe UI" w:cs="Segoe UI"/>
          <w:sz w:val="22"/>
          <w:szCs w:val="22"/>
        </w:rPr>
        <w:t>a reasona</w:t>
      </w:r>
      <w:r w:rsidR="00E764CB" w:rsidRPr="001F5DCC">
        <w:rPr>
          <w:rFonts w:ascii="Segoe UI" w:hAnsi="Segoe UI" w:cs="Segoe UI"/>
          <w:sz w:val="22"/>
          <w:szCs w:val="22"/>
        </w:rPr>
        <w:t>ble approach is adopted</w:t>
      </w:r>
      <w:r w:rsidR="00F60A3C" w:rsidRPr="001F5DCC">
        <w:rPr>
          <w:rFonts w:ascii="Segoe UI" w:hAnsi="Segoe UI" w:cs="Segoe UI"/>
          <w:sz w:val="22"/>
          <w:szCs w:val="22"/>
        </w:rPr>
        <w:t xml:space="preserve"> </w:t>
      </w:r>
      <w:r w:rsidR="001F5DCC">
        <w:rPr>
          <w:rFonts w:ascii="Segoe UI" w:hAnsi="Segoe UI" w:cs="Segoe UI"/>
          <w:sz w:val="22"/>
          <w:szCs w:val="22"/>
        </w:rPr>
        <w:t>to comply with</w:t>
      </w:r>
      <w:r w:rsidR="00E764CB" w:rsidRPr="001F5DCC">
        <w:rPr>
          <w:rFonts w:ascii="Segoe UI" w:hAnsi="Segoe UI" w:cs="Segoe UI"/>
          <w:sz w:val="22"/>
          <w:szCs w:val="22"/>
        </w:rPr>
        <w:t xml:space="preserve"> the guidance </w:t>
      </w:r>
      <w:r w:rsidR="00F60A3C" w:rsidRPr="001F5DCC">
        <w:rPr>
          <w:rFonts w:ascii="Segoe UI" w:hAnsi="Segoe UI" w:cs="Segoe UI"/>
          <w:sz w:val="22"/>
          <w:szCs w:val="22"/>
        </w:rPr>
        <w:t xml:space="preserve">in due course. </w:t>
      </w:r>
    </w:p>
    <w:p w14:paraId="1B179EE9" w14:textId="77777777" w:rsidR="00F04F71" w:rsidRDefault="00F04F71" w:rsidP="00975498">
      <w:pPr>
        <w:jc w:val="both"/>
        <w:rPr>
          <w:rFonts w:ascii="Segoe UI" w:hAnsi="Segoe UI" w:cs="Segoe UI"/>
          <w:sz w:val="22"/>
          <w:szCs w:val="22"/>
          <w:highlight w:val="green"/>
        </w:rPr>
      </w:pPr>
    </w:p>
    <w:p w14:paraId="0B56947F" w14:textId="3981F4C0" w:rsidR="00975498" w:rsidRPr="00F87895" w:rsidRDefault="00975498" w:rsidP="00975498">
      <w:pPr>
        <w:jc w:val="both"/>
        <w:rPr>
          <w:rFonts w:ascii="Segoe UI" w:hAnsi="Segoe UI" w:cs="Segoe UI"/>
          <w:sz w:val="22"/>
          <w:szCs w:val="22"/>
        </w:rPr>
      </w:pPr>
      <w:r w:rsidRPr="00F87895">
        <w:rPr>
          <w:rFonts w:ascii="Segoe UI" w:hAnsi="Segoe UI" w:cs="Segoe UI"/>
          <w:sz w:val="22"/>
          <w:szCs w:val="22"/>
        </w:rPr>
        <w:t>The CEO and Executive Team attended its first Tripartite (ICB and NHSE) Assurance meeting in respect the SOF on 24</w:t>
      </w:r>
      <w:r w:rsidRPr="00F87895">
        <w:rPr>
          <w:rFonts w:ascii="Segoe UI" w:hAnsi="Segoe UI" w:cs="Segoe UI"/>
          <w:sz w:val="22"/>
          <w:szCs w:val="22"/>
          <w:vertAlign w:val="superscript"/>
        </w:rPr>
        <w:t>th</w:t>
      </w:r>
      <w:r w:rsidRPr="00F87895">
        <w:rPr>
          <w:rFonts w:ascii="Segoe UI" w:hAnsi="Segoe UI" w:cs="Segoe UI"/>
          <w:sz w:val="22"/>
          <w:szCs w:val="22"/>
        </w:rPr>
        <w:t xml:space="preserve"> </w:t>
      </w:r>
      <w:proofErr w:type="gramStart"/>
      <w:r w:rsidRPr="00F87895">
        <w:rPr>
          <w:rFonts w:ascii="Segoe UI" w:hAnsi="Segoe UI" w:cs="Segoe UI"/>
          <w:sz w:val="22"/>
          <w:szCs w:val="22"/>
        </w:rPr>
        <w:t>November,</w:t>
      </w:r>
      <w:proofErr w:type="gramEnd"/>
      <w:r w:rsidRPr="00F87895">
        <w:rPr>
          <w:rFonts w:ascii="Segoe UI" w:hAnsi="Segoe UI" w:cs="Segoe UI"/>
          <w:sz w:val="22"/>
          <w:szCs w:val="22"/>
        </w:rPr>
        <w:t xml:space="preserve"> 2022.  </w:t>
      </w:r>
      <w:r w:rsidR="00902271" w:rsidRPr="00F87895">
        <w:rPr>
          <w:rFonts w:ascii="Segoe UI" w:hAnsi="Segoe UI" w:cs="Segoe UI"/>
          <w:sz w:val="22"/>
          <w:szCs w:val="22"/>
        </w:rPr>
        <w:t xml:space="preserve">Whilst previously </w:t>
      </w:r>
      <w:r w:rsidR="001F4335" w:rsidRPr="00F87895">
        <w:rPr>
          <w:rFonts w:ascii="Segoe UI" w:hAnsi="Segoe UI" w:cs="Segoe UI"/>
          <w:sz w:val="22"/>
          <w:szCs w:val="22"/>
        </w:rPr>
        <w:t>flagged</w:t>
      </w:r>
      <w:r w:rsidR="00902271" w:rsidRPr="00F87895">
        <w:rPr>
          <w:rFonts w:ascii="Segoe UI" w:hAnsi="Segoe UI" w:cs="Segoe UI"/>
          <w:sz w:val="22"/>
          <w:szCs w:val="22"/>
        </w:rPr>
        <w:t xml:space="preserve"> that</w:t>
      </w:r>
      <w:r w:rsidR="001F4335" w:rsidRPr="00F87895">
        <w:rPr>
          <w:rFonts w:ascii="Segoe UI" w:hAnsi="Segoe UI" w:cs="Segoe UI"/>
          <w:sz w:val="22"/>
          <w:szCs w:val="22"/>
        </w:rPr>
        <w:t xml:space="preserve"> the potential for duplication of function, contradictory messaging, blurred boundaries of accountability, and increased bureaucracy in support, oversight and performance management</w:t>
      </w:r>
      <w:r w:rsidR="00902271" w:rsidRPr="00F87895">
        <w:rPr>
          <w:rFonts w:ascii="Segoe UI" w:hAnsi="Segoe UI" w:cs="Segoe UI"/>
          <w:sz w:val="22"/>
          <w:szCs w:val="22"/>
        </w:rPr>
        <w:t xml:space="preserve"> were risks, the</w:t>
      </w:r>
      <w:r w:rsidR="001F4335" w:rsidRPr="00F87895">
        <w:rPr>
          <w:rFonts w:ascii="Segoe UI" w:hAnsi="Segoe UI" w:cs="Segoe UI"/>
          <w:sz w:val="22"/>
          <w:szCs w:val="22"/>
        </w:rPr>
        <w:t xml:space="preserve"> </w:t>
      </w:r>
      <w:r w:rsidR="00735A31" w:rsidRPr="00F87895">
        <w:rPr>
          <w:rFonts w:ascii="Segoe UI" w:hAnsi="Segoe UI" w:cs="Segoe UI"/>
          <w:sz w:val="22"/>
          <w:szCs w:val="22"/>
        </w:rPr>
        <w:t xml:space="preserve">Operating </w:t>
      </w:r>
      <w:r w:rsidR="003A6A8A" w:rsidRPr="00F87895">
        <w:rPr>
          <w:rFonts w:ascii="Segoe UI" w:hAnsi="Segoe UI" w:cs="Segoe UI"/>
          <w:sz w:val="22"/>
          <w:szCs w:val="22"/>
        </w:rPr>
        <w:t xml:space="preserve">Framework gives </w:t>
      </w:r>
      <w:r w:rsidR="001F4335" w:rsidRPr="00F87895">
        <w:rPr>
          <w:rFonts w:ascii="Segoe UI" w:hAnsi="Segoe UI" w:cs="Segoe UI"/>
          <w:sz w:val="22"/>
          <w:szCs w:val="22"/>
        </w:rPr>
        <w:t xml:space="preserve">emphasis </w:t>
      </w:r>
      <w:r w:rsidR="003A6A8A" w:rsidRPr="00F87895">
        <w:rPr>
          <w:rFonts w:ascii="Segoe UI" w:hAnsi="Segoe UI" w:cs="Segoe UI"/>
          <w:sz w:val="22"/>
          <w:szCs w:val="22"/>
        </w:rPr>
        <w:t>to</w:t>
      </w:r>
      <w:r w:rsidR="001F4335" w:rsidRPr="00F87895">
        <w:rPr>
          <w:rFonts w:ascii="Segoe UI" w:hAnsi="Segoe UI" w:cs="Segoe UI"/>
          <w:sz w:val="22"/>
          <w:szCs w:val="22"/>
        </w:rPr>
        <w:t xml:space="preserve"> NHSE doing what it is best placed to do, while supporting and empowering the rest of the system</w:t>
      </w:r>
      <w:r w:rsidR="00970D65" w:rsidRPr="00F87895">
        <w:rPr>
          <w:rFonts w:ascii="Segoe UI" w:hAnsi="Segoe UI" w:cs="Segoe UI"/>
          <w:sz w:val="22"/>
          <w:szCs w:val="22"/>
        </w:rPr>
        <w:t xml:space="preserve">.  The specific references to proportionality, devolution and a ‘no surprises’ relationship is a welcome, positive signal – as is the acknowledgement of the “wisdom of frontline services”. </w:t>
      </w:r>
    </w:p>
    <w:p w14:paraId="6062D725" w14:textId="361E2AAE" w:rsidR="00802F03" w:rsidRPr="00AE5694" w:rsidRDefault="00E74A0B" w:rsidP="00E74A0B">
      <w:pPr>
        <w:jc w:val="both"/>
        <w:rPr>
          <w:rFonts w:ascii="Segoe UI" w:hAnsi="Segoe UI" w:cs="Segoe UI"/>
          <w:sz w:val="22"/>
          <w:szCs w:val="22"/>
          <w:highlight w:val="green"/>
        </w:rPr>
      </w:pPr>
      <w:r w:rsidRPr="00975498">
        <w:rPr>
          <w:rFonts w:ascii="Segoe UI" w:hAnsi="Segoe UI" w:cs="Segoe UI"/>
          <w:sz w:val="22"/>
          <w:szCs w:val="22"/>
          <w:highlight w:val="yellow"/>
        </w:rPr>
        <w:t xml:space="preserve">   </w:t>
      </w:r>
    </w:p>
    <w:p w14:paraId="6CBB2843" w14:textId="459F7F4F" w:rsidR="00802F03" w:rsidRPr="00F87895" w:rsidRDefault="00802F03" w:rsidP="00C72352">
      <w:pPr>
        <w:jc w:val="both"/>
        <w:rPr>
          <w:rFonts w:ascii="Segoe UI" w:hAnsi="Segoe UI" w:cs="Segoe UI"/>
          <w:sz w:val="22"/>
          <w:szCs w:val="22"/>
          <w:lang w:val="en-GB"/>
        </w:rPr>
      </w:pPr>
      <w:r w:rsidRPr="00F87895">
        <w:rPr>
          <w:rFonts w:ascii="Segoe UI" w:hAnsi="Segoe UI" w:cs="Segoe UI"/>
          <w:sz w:val="22"/>
          <w:szCs w:val="22"/>
          <w:lang w:val="en-GB"/>
        </w:rPr>
        <w:t xml:space="preserve">The guidance has now been published and </w:t>
      </w:r>
      <w:r w:rsidR="00C72352" w:rsidRPr="00F87895">
        <w:rPr>
          <w:rFonts w:ascii="Segoe UI" w:hAnsi="Segoe UI" w:cs="Segoe UI"/>
          <w:sz w:val="22"/>
          <w:szCs w:val="22"/>
          <w:lang w:val="en-GB"/>
        </w:rPr>
        <w:t xml:space="preserve">as </w:t>
      </w:r>
      <w:r w:rsidR="00AE5694" w:rsidRPr="00F87895">
        <w:rPr>
          <w:rFonts w:ascii="Segoe UI" w:hAnsi="Segoe UI" w:cs="Segoe UI"/>
          <w:sz w:val="22"/>
          <w:szCs w:val="22"/>
          <w:lang w:val="en-GB"/>
        </w:rPr>
        <w:t xml:space="preserve">the consultation proposed, now formally </w:t>
      </w:r>
      <w:r w:rsidRPr="00F87895">
        <w:rPr>
          <w:rFonts w:ascii="Segoe UI" w:hAnsi="Segoe UI" w:cs="Segoe UI"/>
          <w:sz w:val="22"/>
          <w:szCs w:val="22"/>
          <w:lang w:val="en-GB"/>
        </w:rPr>
        <w:t>sets expectations of providers in terms of collaboration in respect of three key areas – engaging consistently in shared planning and decision-making</w:t>
      </w:r>
      <w:r w:rsidR="00D61200">
        <w:rPr>
          <w:rFonts w:ascii="Segoe UI" w:hAnsi="Segoe UI" w:cs="Segoe UI"/>
          <w:sz w:val="22"/>
          <w:szCs w:val="22"/>
          <w:lang w:val="en-GB"/>
        </w:rPr>
        <w:t>;</w:t>
      </w:r>
      <w:r w:rsidRPr="00F87895">
        <w:rPr>
          <w:rFonts w:ascii="Segoe UI" w:hAnsi="Segoe UI" w:cs="Segoe UI"/>
          <w:sz w:val="22"/>
          <w:szCs w:val="22"/>
          <w:lang w:val="en-GB"/>
        </w:rPr>
        <w:t xml:space="preserve"> consistently take collective responsibility with partners for delivery of high quality and sustainable services across various footprints including system and place</w:t>
      </w:r>
      <w:r w:rsidR="00D61200">
        <w:rPr>
          <w:rFonts w:ascii="Segoe UI" w:hAnsi="Segoe UI" w:cs="Segoe UI"/>
          <w:sz w:val="22"/>
          <w:szCs w:val="22"/>
          <w:lang w:val="en-GB"/>
        </w:rPr>
        <w:t>;</w:t>
      </w:r>
      <w:r w:rsidRPr="00F87895">
        <w:rPr>
          <w:rFonts w:ascii="Segoe UI" w:hAnsi="Segoe UI" w:cs="Segoe UI"/>
          <w:sz w:val="22"/>
          <w:szCs w:val="22"/>
          <w:lang w:val="en-GB"/>
        </w:rPr>
        <w:t xml:space="preserve"> and consistently taking responsibility for delivery of agreed system improvements and decisions.</w:t>
      </w:r>
      <w:r w:rsidR="00AE5694" w:rsidRPr="00F87895">
        <w:rPr>
          <w:rFonts w:ascii="Segoe UI" w:hAnsi="Segoe UI" w:cs="Segoe UI"/>
          <w:sz w:val="22"/>
          <w:szCs w:val="22"/>
          <w:lang w:val="en-GB"/>
        </w:rPr>
        <w:t xml:space="preserve">  </w:t>
      </w:r>
      <w:r w:rsidRPr="00F87895">
        <w:rPr>
          <w:rFonts w:ascii="Segoe UI" w:hAnsi="Segoe UI" w:cs="Segoe UI"/>
          <w:sz w:val="22"/>
          <w:szCs w:val="22"/>
          <w:lang w:val="en-GB"/>
        </w:rPr>
        <w:t>Five characteristics of governance arrangements that providers must have in place to support effective collaboration are detailed.</w:t>
      </w:r>
    </w:p>
    <w:p w14:paraId="270F2AFF" w14:textId="0CC7643C" w:rsidR="00291B83" w:rsidRPr="00F87895" w:rsidRDefault="00291B83" w:rsidP="00C72352">
      <w:pPr>
        <w:jc w:val="both"/>
        <w:rPr>
          <w:rFonts w:ascii="Segoe UI" w:hAnsi="Segoe UI" w:cs="Segoe UI"/>
          <w:sz w:val="22"/>
          <w:szCs w:val="22"/>
          <w:lang w:val="en-GB"/>
        </w:rPr>
      </w:pPr>
    </w:p>
    <w:p w14:paraId="4F7E8A9C" w14:textId="5DABDF68" w:rsidR="004F65C5" w:rsidRPr="00BA5950" w:rsidRDefault="004F65C5" w:rsidP="006439DC">
      <w:pPr>
        <w:jc w:val="both"/>
        <w:rPr>
          <w:rFonts w:ascii="Segoe UI" w:hAnsi="Segoe UI" w:cs="Segoe UI"/>
          <w:sz w:val="22"/>
          <w:szCs w:val="22"/>
        </w:rPr>
      </w:pPr>
      <w:r w:rsidRPr="00BA5950">
        <w:rPr>
          <w:rFonts w:ascii="Segoe UI" w:hAnsi="Segoe UI" w:cs="Segoe UI"/>
          <w:sz w:val="22"/>
          <w:szCs w:val="22"/>
        </w:rPr>
        <w:t xml:space="preserve">With regard to </w:t>
      </w:r>
      <w:r w:rsidR="008330FA" w:rsidRPr="00BA5950">
        <w:rPr>
          <w:rFonts w:ascii="Segoe UI" w:hAnsi="Segoe UI" w:cs="Segoe UI"/>
          <w:sz w:val="22"/>
          <w:szCs w:val="22"/>
        </w:rPr>
        <w:t xml:space="preserve">the </w:t>
      </w:r>
      <w:r w:rsidRPr="004E0CC0">
        <w:rPr>
          <w:rFonts w:ascii="Segoe UI" w:hAnsi="Segoe UI" w:cs="Segoe UI"/>
          <w:b/>
          <w:bCs/>
          <w:sz w:val="22"/>
          <w:szCs w:val="22"/>
        </w:rPr>
        <w:t>NHS enforcement guidance</w:t>
      </w:r>
      <w:r w:rsidR="008330FA" w:rsidRPr="00BA5950">
        <w:rPr>
          <w:rFonts w:ascii="Segoe UI" w:hAnsi="Segoe UI" w:cs="Segoe UI"/>
          <w:sz w:val="22"/>
          <w:szCs w:val="22"/>
        </w:rPr>
        <w:t xml:space="preserve"> consultation, under the Health and Care Act 2022, NHS England has statutory accountability for oversight of both integrated care </w:t>
      </w:r>
      <w:proofErr w:type="gramStart"/>
      <w:r w:rsidR="008330FA" w:rsidRPr="00BA5950">
        <w:rPr>
          <w:rFonts w:ascii="Segoe UI" w:hAnsi="Segoe UI" w:cs="Segoe UI"/>
          <w:sz w:val="22"/>
          <w:szCs w:val="22"/>
        </w:rPr>
        <w:t>boards  and</w:t>
      </w:r>
      <w:proofErr w:type="gramEnd"/>
      <w:r w:rsidR="008330FA" w:rsidRPr="00BA5950">
        <w:rPr>
          <w:rFonts w:ascii="Segoe UI" w:hAnsi="Segoe UI" w:cs="Segoe UI"/>
          <w:sz w:val="22"/>
          <w:szCs w:val="22"/>
        </w:rPr>
        <w:t xml:space="preserve"> NHS providers. NHS Improvement (comprising Monitor and the NHS Trust Development Authority) has been abolished and NHS England has assumed responsibility for carrying out NHS Improvement’s statutory functions, including the regulation of NHS providers, the exercise of provider enforcement powers, enforcement powers over ICBs in relation to compliance with patient choice provisions, and publishing and revising the guidance on the use of those powers.</w:t>
      </w:r>
    </w:p>
    <w:p w14:paraId="2283F1E3" w14:textId="5D06DCB3" w:rsidR="004F65C5" w:rsidRPr="00BA5950" w:rsidRDefault="004F65C5" w:rsidP="006439DC">
      <w:pPr>
        <w:jc w:val="both"/>
        <w:rPr>
          <w:rFonts w:ascii="Segoe UI" w:hAnsi="Segoe UI" w:cs="Segoe UI"/>
          <w:sz w:val="22"/>
          <w:szCs w:val="22"/>
        </w:rPr>
      </w:pPr>
    </w:p>
    <w:p w14:paraId="2C134D86" w14:textId="3C48E18F"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The basic processes that NHS England would follow when taking provider enforcement action have not changed in the revised enforcement guidance. The revised guidance, however, sets out that NHS England will exercise its enforcement powers in line with the principles set out in the NHS Oversight Framework, working with and through ICBs wherever possible and with an emphasis on systems working together to resolve problems. Providers may be subject to: </w:t>
      </w:r>
    </w:p>
    <w:p w14:paraId="2360D98C" w14:textId="77777777"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discretionary requirements </w:t>
      </w:r>
    </w:p>
    <w:p w14:paraId="283A9FF2" w14:textId="77777777"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undertakings </w:t>
      </w:r>
    </w:p>
    <w:p w14:paraId="41A58138" w14:textId="77777777"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additional governance </w:t>
      </w:r>
      <w:proofErr w:type="spellStart"/>
      <w:r w:rsidRPr="00BA5950">
        <w:rPr>
          <w:rFonts w:ascii="Segoe UI" w:hAnsi="Segoe UI" w:cs="Segoe UI"/>
          <w:sz w:val="22"/>
          <w:szCs w:val="22"/>
        </w:rPr>
        <w:t>licence</w:t>
      </w:r>
      <w:proofErr w:type="spellEnd"/>
      <w:r w:rsidRPr="00BA5950">
        <w:rPr>
          <w:rFonts w:ascii="Segoe UI" w:hAnsi="Segoe UI" w:cs="Segoe UI"/>
          <w:sz w:val="22"/>
          <w:szCs w:val="22"/>
        </w:rPr>
        <w:t xml:space="preserve"> conditions (foundation trusts only) </w:t>
      </w:r>
    </w:p>
    <w:p w14:paraId="159B8FD1" w14:textId="77777777"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monetary penalties </w:t>
      </w:r>
    </w:p>
    <w:p w14:paraId="02522752" w14:textId="53020C81"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revocation of </w:t>
      </w:r>
      <w:proofErr w:type="spellStart"/>
      <w:r w:rsidRPr="00BA5950">
        <w:rPr>
          <w:rFonts w:ascii="Segoe UI" w:hAnsi="Segoe UI" w:cs="Segoe UI"/>
          <w:sz w:val="22"/>
          <w:szCs w:val="22"/>
        </w:rPr>
        <w:t>licence</w:t>
      </w:r>
      <w:proofErr w:type="spellEnd"/>
      <w:r w:rsidRPr="00BA5950">
        <w:rPr>
          <w:rFonts w:ascii="Segoe UI" w:hAnsi="Segoe UI" w:cs="Segoe UI"/>
          <w:sz w:val="22"/>
          <w:szCs w:val="22"/>
        </w:rPr>
        <w:t xml:space="preserve"> </w:t>
      </w:r>
    </w:p>
    <w:p w14:paraId="39E51750" w14:textId="1BD118ED" w:rsidR="00BA5950" w:rsidRDefault="00A01D33" w:rsidP="006439DC">
      <w:pPr>
        <w:jc w:val="both"/>
        <w:rPr>
          <w:rFonts w:ascii="Segoe UI" w:hAnsi="Segoe UI" w:cs="Segoe UI"/>
          <w:sz w:val="22"/>
          <w:szCs w:val="22"/>
        </w:rPr>
      </w:pPr>
      <w:r w:rsidRPr="00BA5950">
        <w:rPr>
          <w:rFonts w:ascii="Segoe UI" w:hAnsi="Segoe UI" w:cs="Segoe UI"/>
          <w:sz w:val="22"/>
          <w:szCs w:val="22"/>
        </w:rPr>
        <w:t xml:space="preserve"> </w:t>
      </w:r>
    </w:p>
    <w:p w14:paraId="6B4DA3F4" w14:textId="24BB20C6" w:rsidR="00A01D33" w:rsidRPr="00BA5950" w:rsidRDefault="00A01D33" w:rsidP="006439DC">
      <w:pPr>
        <w:jc w:val="both"/>
        <w:rPr>
          <w:rFonts w:ascii="Segoe UI" w:hAnsi="Segoe UI" w:cs="Segoe UI"/>
          <w:sz w:val="22"/>
          <w:szCs w:val="22"/>
        </w:rPr>
      </w:pPr>
      <w:r w:rsidRPr="00BA5950">
        <w:rPr>
          <w:rFonts w:ascii="Segoe UI" w:hAnsi="Segoe UI" w:cs="Segoe UI"/>
          <w:sz w:val="22"/>
          <w:szCs w:val="22"/>
        </w:rPr>
        <w:t xml:space="preserve">As set out in the 2012 Act, breach or suspected breach of provider </w:t>
      </w:r>
      <w:proofErr w:type="spellStart"/>
      <w:r w:rsidRPr="00BA5950">
        <w:rPr>
          <w:rFonts w:ascii="Segoe UI" w:hAnsi="Segoe UI" w:cs="Segoe UI"/>
          <w:sz w:val="22"/>
          <w:szCs w:val="22"/>
        </w:rPr>
        <w:t>licence</w:t>
      </w:r>
      <w:proofErr w:type="spellEnd"/>
      <w:r w:rsidRPr="00BA5950">
        <w:rPr>
          <w:rFonts w:ascii="Segoe UI" w:hAnsi="Segoe UI" w:cs="Segoe UI"/>
          <w:sz w:val="22"/>
          <w:szCs w:val="22"/>
        </w:rPr>
        <w:t xml:space="preserve"> conditions may provide the basis for formal regulatory intervention. </w:t>
      </w:r>
      <w:proofErr w:type="gramStart"/>
      <w:r w:rsidRPr="00BA5950">
        <w:rPr>
          <w:rFonts w:ascii="Segoe UI" w:hAnsi="Segoe UI" w:cs="Segoe UI"/>
          <w:sz w:val="22"/>
          <w:szCs w:val="22"/>
        </w:rPr>
        <w:t>In particular, NHSE</w:t>
      </w:r>
      <w:proofErr w:type="gramEnd"/>
      <w:r w:rsidRPr="00BA5950">
        <w:rPr>
          <w:rFonts w:ascii="Segoe UI" w:hAnsi="Segoe UI" w:cs="Segoe UI"/>
          <w:sz w:val="22"/>
          <w:szCs w:val="22"/>
        </w:rPr>
        <w:t xml:space="preserve"> may accept an </w:t>
      </w:r>
      <w:r w:rsidRPr="00BA5950">
        <w:rPr>
          <w:rFonts w:ascii="Segoe UI" w:hAnsi="Segoe UI" w:cs="Segoe UI"/>
          <w:sz w:val="22"/>
          <w:szCs w:val="22"/>
        </w:rPr>
        <w:lastRenderedPageBreak/>
        <w:t xml:space="preserve">undertaking from a provider to remedy suspected non-compliance where it has reasonable grounds to suspect a breach. NHSE may impose requirements on a provider, designed to remedy non-compliance, where it is satisfied there is a breach (discretionary requirements). The </w:t>
      </w:r>
      <w:proofErr w:type="spellStart"/>
      <w:r w:rsidRPr="00BA5950">
        <w:rPr>
          <w:rFonts w:ascii="Segoe UI" w:hAnsi="Segoe UI" w:cs="Segoe UI"/>
          <w:sz w:val="22"/>
          <w:szCs w:val="22"/>
        </w:rPr>
        <w:t>licence</w:t>
      </w:r>
      <w:proofErr w:type="spellEnd"/>
      <w:r w:rsidRPr="00BA5950">
        <w:rPr>
          <w:rFonts w:ascii="Segoe UI" w:hAnsi="Segoe UI" w:cs="Segoe UI"/>
          <w:sz w:val="22"/>
          <w:szCs w:val="22"/>
        </w:rPr>
        <w:t xml:space="preserve"> and related enforcement action underpins mandated support at some of the most challenged providers as set out in the NHS Oversight Framework.</w:t>
      </w:r>
    </w:p>
    <w:p w14:paraId="4FC629F9" w14:textId="00452567" w:rsidR="000F327B" w:rsidRDefault="000F327B" w:rsidP="006439DC">
      <w:pPr>
        <w:jc w:val="both"/>
        <w:rPr>
          <w:rFonts w:ascii="Segoe UI" w:hAnsi="Segoe UI" w:cs="Segoe UI"/>
          <w:sz w:val="22"/>
          <w:szCs w:val="22"/>
          <w:highlight w:val="green"/>
        </w:rPr>
      </w:pPr>
    </w:p>
    <w:p w14:paraId="21B752B4" w14:textId="43CEEA68" w:rsidR="006F1406" w:rsidRPr="00824264" w:rsidRDefault="006F1406" w:rsidP="006439DC">
      <w:pPr>
        <w:jc w:val="both"/>
        <w:rPr>
          <w:rFonts w:ascii="Segoe UI" w:hAnsi="Segoe UI" w:cs="Segoe UI"/>
          <w:sz w:val="22"/>
          <w:szCs w:val="22"/>
        </w:rPr>
      </w:pPr>
      <w:r w:rsidRPr="00824264">
        <w:rPr>
          <w:rFonts w:ascii="Segoe UI" w:hAnsi="Segoe UI" w:cs="Segoe UI"/>
          <w:sz w:val="22"/>
          <w:szCs w:val="22"/>
        </w:rPr>
        <w:t xml:space="preserve">The new </w:t>
      </w:r>
      <w:r w:rsidRPr="00A56B04">
        <w:rPr>
          <w:rFonts w:ascii="Segoe UI" w:hAnsi="Segoe UI" w:cs="Segoe UI"/>
          <w:b/>
          <w:bCs/>
          <w:sz w:val="22"/>
          <w:szCs w:val="22"/>
        </w:rPr>
        <w:t>Code of Governance</w:t>
      </w:r>
      <w:r w:rsidRPr="00824264">
        <w:rPr>
          <w:rFonts w:ascii="Segoe UI" w:hAnsi="Segoe UI" w:cs="Segoe UI"/>
          <w:sz w:val="22"/>
          <w:szCs w:val="22"/>
        </w:rPr>
        <w:t xml:space="preserve">, as with the UK Corporate Governance Code, </w:t>
      </w:r>
      <w:r w:rsidR="0098599E" w:rsidRPr="00824264">
        <w:rPr>
          <w:rFonts w:ascii="Segoe UI" w:hAnsi="Segoe UI" w:cs="Segoe UI"/>
          <w:sz w:val="22"/>
          <w:szCs w:val="22"/>
        </w:rPr>
        <w:t xml:space="preserve">has </w:t>
      </w:r>
      <w:r w:rsidRPr="00824264">
        <w:rPr>
          <w:rFonts w:ascii="Segoe UI" w:hAnsi="Segoe UI" w:cs="Segoe UI"/>
          <w:sz w:val="22"/>
          <w:szCs w:val="22"/>
        </w:rPr>
        <w:t xml:space="preserve">each section built around a set of principles </w:t>
      </w:r>
      <w:proofErr w:type="spellStart"/>
      <w:r w:rsidRPr="00824264">
        <w:rPr>
          <w:rFonts w:ascii="Segoe UI" w:hAnsi="Segoe UI" w:cs="Segoe UI"/>
          <w:sz w:val="22"/>
          <w:szCs w:val="22"/>
        </w:rPr>
        <w:t>emphasising</w:t>
      </w:r>
      <w:proofErr w:type="spellEnd"/>
      <w:r w:rsidRPr="00824264">
        <w:rPr>
          <w:rFonts w:ascii="Segoe UI" w:hAnsi="Segoe UI" w:cs="Segoe UI"/>
          <w:sz w:val="22"/>
          <w:szCs w:val="22"/>
        </w:rPr>
        <w:t xml:space="preserve"> the value of good corporate governance to long-term sustainable success. Each section also incorporates a set of more detailed provisions to implement these, which can help trusts demonstrate the effectiveness of governance practices and their contribution to the long-term success of the organisation and its wider system.</w:t>
      </w:r>
    </w:p>
    <w:p w14:paraId="141095AE" w14:textId="1F268457" w:rsidR="00485207" w:rsidRDefault="00485207" w:rsidP="006439DC">
      <w:pPr>
        <w:jc w:val="both"/>
        <w:rPr>
          <w:rFonts w:ascii="Segoe UI" w:hAnsi="Segoe UI" w:cs="Segoe UI"/>
          <w:sz w:val="22"/>
          <w:szCs w:val="22"/>
          <w:highlight w:val="green"/>
        </w:rPr>
      </w:pPr>
    </w:p>
    <w:p w14:paraId="50BA2D0A" w14:textId="5A33FFEF" w:rsidR="00485207" w:rsidRPr="00485207" w:rsidRDefault="00485207" w:rsidP="00485207">
      <w:pPr>
        <w:jc w:val="both"/>
        <w:rPr>
          <w:rFonts w:ascii="Segoe UI" w:hAnsi="Segoe UI" w:cs="Segoe UI"/>
          <w:sz w:val="22"/>
          <w:szCs w:val="22"/>
        </w:rPr>
      </w:pPr>
      <w:r w:rsidRPr="00485207">
        <w:rPr>
          <w:rFonts w:ascii="Segoe UI" w:hAnsi="Segoe UI" w:cs="Segoe UI"/>
          <w:sz w:val="22"/>
          <w:szCs w:val="22"/>
        </w:rPr>
        <w:t xml:space="preserve">Corporate governance is the means by which boards lead and direct their organisations so that decision-making is effective, risk is </w:t>
      </w:r>
      <w:proofErr w:type="gramStart"/>
      <w:r w:rsidRPr="00485207">
        <w:rPr>
          <w:rFonts w:ascii="Segoe UI" w:hAnsi="Segoe UI" w:cs="Segoe UI"/>
          <w:sz w:val="22"/>
          <w:szCs w:val="22"/>
        </w:rPr>
        <w:t>managed</w:t>
      </w:r>
      <w:proofErr w:type="gramEnd"/>
      <w:r w:rsidRPr="00485207">
        <w:rPr>
          <w:rFonts w:ascii="Segoe UI" w:hAnsi="Segoe UI" w:cs="Segoe UI"/>
          <w:sz w:val="22"/>
          <w:szCs w:val="22"/>
        </w:rPr>
        <w:t xml:space="preserve"> and the right outcomes are delivered. In the </w:t>
      </w:r>
      <w:r w:rsidR="0051742A">
        <w:rPr>
          <w:rFonts w:ascii="Segoe UI" w:hAnsi="Segoe UI" w:cs="Segoe UI"/>
          <w:sz w:val="22"/>
          <w:szCs w:val="22"/>
        </w:rPr>
        <w:t>Code</w:t>
      </w:r>
      <w:r w:rsidR="00FB1841">
        <w:rPr>
          <w:rFonts w:ascii="Segoe UI" w:hAnsi="Segoe UI" w:cs="Segoe UI"/>
          <w:sz w:val="22"/>
          <w:szCs w:val="22"/>
        </w:rPr>
        <w:t>,</w:t>
      </w:r>
      <w:r w:rsidR="0051742A">
        <w:rPr>
          <w:rFonts w:ascii="Segoe UI" w:hAnsi="Segoe UI" w:cs="Segoe UI"/>
          <w:sz w:val="22"/>
          <w:szCs w:val="22"/>
        </w:rPr>
        <w:t xml:space="preserve"> for the NHS</w:t>
      </w:r>
      <w:r w:rsidRPr="00485207">
        <w:rPr>
          <w:rFonts w:ascii="Segoe UI" w:hAnsi="Segoe UI" w:cs="Segoe UI"/>
          <w:sz w:val="22"/>
          <w:szCs w:val="22"/>
        </w:rPr>
        <w:t xml:space="preserve"> this means delivering high quality services in a caring and compassionate environment, while collaborating within ICSs to integrate care and complying with the triple aim duty of better health and wellbeing for everyone, better quality of health services for all individuals and sustainable use of NHS resources. Robust governance structures that support collaborative leadership and relationships with system partners and other stakeholders, and strong local accountability </w:t>
      </w:r>
      <w:r w:rsidR="00FB1841">
        <w:rPr>
          <w:rFonts w:ascii="Segoe UI" w:hAnsi="Segoe UI" w:cs="Segoe UI"/>
          <w:sz w:val="22"/>
          <w:szCs w:val="22"/>
        </w:rPr>
        <w:t xml:space="preserve">is referenced as </w:t>
      </w:r>
      <w:r w:rsidRPr="00485207">
        <w:rPr>
          <w:rFonts w:ascii="Segoe UI" w:hAnsi="Segoe UI" w:cs="Segoe UI"/>
          <w:sz w:val="22"/>
          <w:szCs w:val="22"/>
        </w:rPr>
        <w:t>help</w:t>
      </w:r>
      <w:r w:rsidR="00FB1841">
        <w:rPr>
          <w:rFonts w:ascii="Segoe UI" w:hAnsi="Segoe UI" w:cs="Segoe UI"/>
          <w:sz w:val="22"/>
          <w:szCs w:val="22"/>
        </w:rPr>
        <w:t>ing</w:t>
      </w:r>
      <w:r w:rsidRPr="00485207">
        <w:rPr>
          <w:rFonts w:ascii="Segoe UI" w:hAnsi="Segoe UI" w:cs="Segoe UI"/>
          <w:sz w:val="22"/>
          <w:szCs w:val="22"/>
        </w:rPr>
        <w:t xml:space="preserve"> trusts maintain the trust and confidence of the people and communities they service. Good corporate governance is dynamic. </w:t>
      </w:r>
      <w:r w:rsidR="00547C0F">
        <w:rPr>
          <w:rFonts w:ascii="Segoe UI" w:hAnsi="Segoe UI" w:cs="Segoe UI"/>
          <w:sz w:val="22"/>
          <w:szCs w:val="22"/>
        </w:rPr>
        <w:t xml:space="preserve">The </w:t>
      </w:r>
      <w:r w:rsidRPr="00485207">
        <w:rPr>
          <w:rFonts w:ascii="Segoe UI" w:hAnsi="Segoe UI" w:cs="Segoe UI"/>
          <w:sz w:val="22"/>
          <w:szCs w:val="22"/>
        </w:rPr>
        <w:t>Board should be committed to improving governance on a continuing basis through evaluation and review.</w:t>
      </w:r>
    </w:p>
    <w:p w14:paraId="115EBC24" w14:textId="77777777" w:rsidR="00485207" w:rsidRPr="00485207" w:rsidRDefault="00485207" w:rsidP="00485207">
      <w:pPr>
        <w:jc w:val="both"/>
        <w:rPr>
          <w:rFonts w:ascii="Segoe UI" w:hAnsi="Segoe UI" w:cs="Segoe UI"/>
          <w:sz w:val="22"/>
          <w:szCs w:val="22"/>
        </w:rPr>
      </w:pPr>
    </w:p>
    <w:p w14:paraId="6FB54C1E" w14:textId="77777777" w:rsidR="00307135" w:rsidRDefault="00DF74DE" w:rsidP="00485207">
      <w:pPr>
        <w:jc w:val="both"/>
        <w:rPr>
          <w:rFonts w:ascii="Segoe UI" w:hAnsi="Segoe UI" w:cs="Segoe UI"/>
          <w:sz w:val="22"/>
          <w:szCs w:val="22"/>
        </w:rPr>
      </w:pPr>
      <w:r>
        <w:rPr>
          <w:rFonts w:ascii="Segoe UI" w:hAnsi="Segoe UI" w:cs="Segoe UI"/>
          <w:sz w:val="22"/>
          <w:szCs w:val="22"/>
        </w:rPr>
        <w:t xml:space="preserve">The guidance magnifies how </w:t>
      </w:r>
      <w:r w:rsidR="00A45310">
        <w:rPr>
          <w:rFonts w:ascii="Segoe UI" w:hAnsi="Segoe UI" w:cs="Segoe UI"/>
          <w:sz w:val="22"/>
          <w:szCs w:val="22"/>
        </w:rPr>
        <w:t>r</w:t>
      </w:r>
      <w:r w:rsidR="00485207" w:rsidRPr="00485207">
        <w:rPr>
          <w:rFonts w:ascii="Segoe UI" w:hAnsi="Segoe UI" w:cs="Segoe UI"/>
          <w:sz w:val="22"/>
          <w:szCs w:val="22"/>
        </w:rPr>
        <w:t xml:space="preserve">obust corporate and quality governance arrangements complement and reinforce one another. </w:t>
      </w:r>
      <w:r w:rsidR="00A45310">
        <w:rPr>
          <w:rFonts w:ascii="Segoe UI" w:hAnsi="Segoe UI" w:cs="Segoe UI"/>
          <w:sz w:val="22"/>
          <w:szCs w:val="22"/>
        </w:rPr>
        <w:t>It reminds the reader that q</w:t>
      </w:r>
      <w:r w:rsidR="00485207" w:rsidRPr="00485207">
        <w:rPr>
          <w:rFonts w:ascii="Segoe UI" w:hAnsi="Segoe UI" w:cs="Segoe UI"/>
          <w:sz w:val="22"/>
          <w:szCs w:val="22"/>
        </w:rPr>
        <w:t>uality governance is the combination of structures and processes at and below board level to lead on trust-wide quality performance, including (</w:t>
      </w:r>
      <w:proofErr w:type="spellStart"/>
      <w:r w:rsidR="00485207" w:rsidRPr="00485207">
        <w:rPr>
          <w:rFonts w:ascii="Segoe UI" w:hAnsi="Segoe UI" w:cs="Segoe UI"/>
          <w:sz w:val="22"/>
          <w:szCs w:val="22"/>
        </w:rPr>
        <w:t>i</w:t>
      </w:r>
      <w:proofErr w:type="spellEnd"/>
      <w:r w:rsidR="00485207" w:rsidRPr="00485207">
        <w:rPr>
          <w:rFonts w:ascii="Segoe UI" w:hAnsi="Segoe UI" w:cs="Segoe UI"/>
          <w:sz w:val="22"/>
          <w:szCs w:val="22"/>
        </w:rPr>
        <w:t xml:space="preserve">) ensuring required standards are achieved and (ii) investigating and acting on sub-standard performance. </w:t>
      </w:r>
    </w:p>
    <w:p w14:paraId="4A8CB3D9" w14:textId="77777777" w:rsidR="00307135" w:rsidRDefault="00307135" w:rsidP="00485207">
      <w:pPr>
        <w:jc w:val="both"/>
        <w:rPr>
          <w:rFonts w:ascii="Segoe UI" w:hAnsi="Segoe UI" w:cs="Segoe UI"/>
          <w:sz w:val="22"/>
          <w:szCs w:val="22"/>
        </w:rPr>
      </w:pPr>
    </w:p>
    <w:p w14:paraId="23AFCEFB" w14:textId="003DD0EE" w:rsidR="00485207" w:rsidRDefault="00307135" w:rsidP="00485207">
      <w:pPr>
        <w:jc w:val="both"/>
        <w:rPr>
          <w:rFonts w:ascii="Segoe UI" w:hAnsi="Segoe UI" w:cs="Segoe UI"/>
          <w:sz w:val="22"/>
          <w:szCs w:val="22"/>
        </w:rPr>
      </w:pPr>
      <w:r>
        <w:rPr>
          <w:rFonts w:ascii="Segoe UI" w:hAnsi="Segoe UI" w:cs="Segoe UI"/>
          <w:sz w:val="22"/>
          <w:szCs w:val="22"/>
        </w:rPr>
        <w:t>The Code highlights that c</w:t>
      </w:r>
      <w:r w:rsidR="00485207" w:rsidRPr="00485207">
        <w:rPr>
          <w:rFonts w:ascii="Segoe UI" w:hAnsi="Segoe UI" w:cs="Segoe UI"/>
          <w:sz w:val="22"/>
          <w:szCs w:val="22"/>
        </w:rPr>
        <w:t xml:space="preserve">linicians are at the frontline of ensuring patients receive quality care. However, the board of directors takes final and definitive responsibility for improvements, successful delivery and, equally, failures in the quality of care. Effective governance therefore requires boards to pay as much attention to quality of care and quality governance as they do to the financial health of their organisation. Boards also set the tone of their organisation by demonstrating shared values and </w:t>
      </w:r>
      <w:proofErr w:type="gramStart"/>
      <w:r w:rsidR="00485207" w:rsidRPr="00485207">
        <w:rPr>
          <w:rFonts w:ascii="Segoe UI" w:hAnsi="Segoe UI" w:cs="Segoe UI"/>
          <w:sz w:val="22"/>
          <w:szCs w:val="22"/>
        </w:rPr>
        <w:t>behaviours, and</w:t>
      </w:r>
      <w:proofErr w:type="gramEnd"/>
      <w:r w:rsidR="00485207" w:rsidRPr="00485207">
        <w:rPr>
          <w:rFonts w:ascii="Segoe UI" w:hAnsi="Segoe UI" w:cs="Segoe UI"/>
          <w:sz w:val="22"/>
          <w:szCs w:val="22"/>
        </w:rPr>
        <w:t xml:space="preserve"> recognising their </w:t>
      </w:r>
      <w:proofErr w:type="spellStart"/>
      <w:r w:rsidR="00485207" w:rsidRPr="00485207">
        <w:rPr>
          <w:rFonts w:ascii="Segoe UI" w:hAnsi="Segoe UI" w:cs="Segoe UI"/>
          <w:sz w:val="22"/>
          <w:szCs w:val="22"/>
        </w:rPr>
        <w:t>organisation’s</w:t>
      </w:r>
      <w:proofErr w:type="spellEnd"/>
      <w:r w:rsidR="00485207" w:rsidRPr="00485207">
        <w:rPr>
          <w:rFonts w:ascii="Segoe UI" w:hAnsi="Segoe UI" w:cs="Segoe UI"/>
          <w:sz w:val="22"/>
          <w:szCs w:val="22"/>
        </w:rPr>
        <w:t xml:space="preserve"> role in an ICS and the wider NHS, and the risks and opportunities this may present for quality of care. </w:t>
      </w:r>
      <w:r w:rsidR="00AB442B">
        <w:rPr>
          <w:rFonts w:ascii="Segoe UI" w:hAnsi="Segoe UI" w:cs="Segoe UI"/>
          <w:sz w:val="22"/>
          <w:szCs w:val="22"/>
        </w:rPr>
        <w:t>Our Well Led Review will provide a perspective</w:t>
      </w:r>
      <w:r w:rsidR="009A6C9D">
        <w:rPr>
          <w:rFonts w:ascii="Segoe UI" w:hAnsi="Segoe UI" w:cs="Segoe UI"/>
          <w:sz w:val="22"/>
          <w:szCs w:val="22"/>
        </w:rPr>
        <w:t xml:space="preserve"> and developmental insight.</w:t>
      </w:r>
    </w:p>
    <w:p w14:paraId="0E1F841C" w14:textId="6A1BE2D3" w:rsidR="0051008F" w:rsidRDefault="0051008F" w:rsidP="00485207">
      <w:pPr>
        <w:jc w:val="both"/>
        <w:rPr>
          <w:rFonts w:ascii="Segoe UI" w:hAnsi="Segoe UI" w:cs="Segoe UI"/>
          <w:sz w:val="22"/>
          <w:szCs w:val="22"/>
        </w:rPr>
      </w:pPr>
    </w:p>
    <w:p w14:paraId="2543DBFD" w14:textId="5F833D4B" w:rsidR="001361D1" w:rsidRPr="00C909AB" w:rsidRDefault="007009D0" w:rsidP="00485207">
      <w:pPr>
        <w:jc w:val="both"/>
        <w:rPr>
          <w:rFonts w:ascii="Segoe UI" w:hAnsi="Segoe UI" w:cs="Segoe UI"/>
          <w:sz w:val="22"/>
          <w:szCs w:val="22"/>
          <w:lang w:val="en-GB"/>
        </w:rPr>
      </w:pPr>
      <w:r w:rsidRPr="00C909AB">
        <w:rPr>
          <w:rFonts w:ascii="Segoe UI" w:hAnsi="Segoe UI" w:cs="Segoe UI"/>
          <w:sz w:val="22"/>
          <w:szCs w:val="22"/>
          <w:lang w:val="en-GB"/>
        </w:rPr>
        <w:t xml:space="preserve">Statutory guidance has now been published outlining options for how Trusts, NHSE and ICB </w:t>
      </w:r>
      <w:r w:rsidR="009601FD" w:rsidRPr="00C909AB">
        <w:rPr>
          <w:rFonts w:ascii="Segoe UI" w:hAnsi="Segoe UI" w:cs="Segoe UI"/>
          <w:sz w:val="22"/>
          <w:szCs w:val="22"/>
          <w:lang w:val="en-GB"/>
        </w:rPr>
        <w:t>c</w:t>
      </w:r>
      <w:r w:rsidR="00F11573" w:rsidRPr="00C909AB">
        <w:rPr>
          <w:rFonts w:ascii="Segoe UI" w:hAnsi="Segoe UI" w:cs="Segoe UI"/>
          <w:sz w:val="22"/>
          <w:szCs w:val="22"/>
          <w:lang w:val="en-GB"/>
        </w:rPr>
        <w:t xml:space="preserve">an exercise some </w:t>
      </w:r>
      <w:proofErr w:type="spellStart"/>
      <w:r w:rsidR="00F11573" w:rsidRPr="00C909AB">
        <w:rPr>
          <w:rFonts w:ascii="Segoe UI" w:hAnsi="Segoe UI" w:cs="Segoe UI"/>
          <w:sz w:val="22"/>
          <w:szCs w:val="22"/>
          <w:lang w:val="en-GB"/>
        </w:rPr>
        <w:t>statuory</w:t>
      </w:r>
      <w:proofErr w:type="spellEnd"/>
      <w:r w:rsidR="00F11573" w:rsidRPr="00C909AB">
        <w:rPr>
          <w:rFonts w:ascii="Segoe UI" w:hAnsi="Segoe UI" w:cs="Segoe UI"/>
          <w:sz w:val="22"/>
          <w:szCs w:val="22"/>
          <w:lang w:val="en-GB"/>
        </w:rPr>
        <w:t xml:space="preserve"> functions via </w:t>
      </w:r>
      <w:r w:rsidR="00F11573" w:rsidRPr="00C909AB">
        <w:rPr>
          <w:rFonts w:ascii="Segoe UI" w:hAnsi="Segoe UI" w:cs="Segoe UI"/>
          <w:b/>
          <w:bCs/>
          <w:sz w:val="22"/>
          <w:szCs w:val="22"/>
          <w:lang w:val="en-GB"/>
        </w:rPr>
        <w:t>delegation or joint working arrangements</w:t>
      </w:r>
      <w:r w:rsidR="00F11573" w:rsidRPr="00C909AB">
        <w:rPr>
          <w:rFonts w:ascii="Segoe UI" w:hAnsi="Segoe UI" w:cs="Segoe UI"/>
          <w:sz w:val="22"/>
          <w:szCs w:val="22"/>
          <w:lang w:val="en-GB"/>
        </w:rPr>
        <w:t xml:space="preserve"> under the HSCA 2022.   </w:t>
      </w:r>
      <w:r w:rsidR="00C84F83" w:rsidRPr="00C909AB">
        <w:rPr>
          <w:rFonts w:ascii="Segoe UI" w:hAnsi="Segoe UI" w:cs="Segoe UI"/>
          <w:sz w:val="22"/>
          <w:szCs w:val="22"/>
        </w:rPr>
        <w:t>There are risks associated with moves to delegate or jointly exercise statutory functions: for example, around how best to embed high-quality governance.</w:t>
      </w:r>
      <w:r w:rsidR="00C84F83" w:rsidRPr="00C909AB">
        <w:rPr>
          <w:rFonts w:ascii="Segoe UI" w:hAnsi="Segoe UI" w:cs="Segoe UI"/>
          <w:b/>
          <w:bCs/>
          <w:sz w:val="22"/>
          <w:szCs w:val="22"/>
        </w:rPr>
        <w:t xml:space="preserve"> </w:t>
      </w:r>
      <w:r w:rsidR="00F11573" w:rsidRPr="00C909AB">
        <w:rPr>
          <w:rFonts w:ascii="Segoe UI" w:hAnsi="Segoe UI" w:cs="Segoe UI"/>
          <w:sz w:val="22"/>
          <w:szCs w:val="22"/>
          <w:lang w:val="en-GB"/>
        </w:rPr>
        <w:t xml:space="preserve">The Board’s considerations of its strategic developments will need to pay due attention to </w:t>
      </w:r>
      <w:r w:rsidR="00F663EF" w:rsidRPr="00C909AB">
        <w:rPr>
          <w:rFonts w:ascii="Segoe UI" w:hAnsi="Segoe UI" w:cs="Segoe UI"/>
          <w:sz w:val="22"/>
          <w:szCs w:val="22"/>
          <w:lang w:val="en-GB"/>
        </w:rPr>
        <w:t xml:space="preserve">such delegations and joint working especially given the Licence conditions highlighted in this report. </w:t>
      </w:r>
      <w:r w:rsidR="00E36833" w:rsidRPr="00C909AB">
        <w:rPr>
          <w:rFonts w:ascii="Segoe UI" w:hAnsi="Segoe UI" w:cs="Segoe UI"/>
          <w:sz w:val="22"/>
          <w:szCs w:val="22"/>
        </w:rPr>
        <w:t>The Board will need to be fully engaged in discussions and ensure robust oversight of any delegated or jointly exercised functions on an ongoing basis.</w:t>
      </w:r>
    </w:p>
    <w:p w14:paraId="4AC746D1" w14:textId="77777777" w:rsidR="00FF5BD6" w:rsidRDefault="00FF5BD6" w:rsidP="00485207">
      <w:pPr>
        <w:jc w:val="both"/>
        <w:rPr>
          <w:rFonts w:ascii="Segoe UI" w:hAnsi="Segoe UI" w:cs="Segoe UI"/>
          <w:sz w:val="22"/>
          <w:szCs w:val="22"/>
          <w:highlight w:val="green"/>
          <w:lang w:val="en-GB"/>
        </w:rPr>
      </w:pPr>
    </w:p>
    <w:p w14:paraId="4674713E" w14:textId="7C2935B4" w:rsidR="009615A4" w:rsidRDefault="009615A4" w:rsidP="00485207">
      <w:pPr>
        <w:jc w:val="both"/>
        <w:rPr>
          <w:rFonts w:ascii="Segoe UI" w:hAnsi="Segoe UI" w:cs="Segoe UI"/>
          <w:sz w:val="22"/>
          <w:szCs w:val="22"/>
          <w:highlight w:val="green"/>
          <w:lang w:val="en-GB"/>
        </w:rPr>
      </w:pPr>
    </w:p>
    <w:p w14:paraId="53FE46F5" w14:textId="32C2612D" w:rsidR="009615A4" w:rsidRPr="001266CA" w:rsidRDefault="009615A4" w:rsidP="00485207">
      <w:pPr>
        <w:jc w:val="both"/>
        <w:rPr>
          <w:rFonts w:ascii="Segoe UI" w:hAnsi="Segoe UI" w:cs="Segoe UI"/>
          <w:sz w:val="22"/>
          <w:szCs w:val="22"/>
        </w:rPr>
      </w:pPr>
      <w:r w:rsidRPr="001266CA">
        <w:rPr>
          <w:rFonts w:ascii="Segoe UI" w:hAnsi="Segoe UI" w:cs="Segoe UI"/>
          <w:sz w:val="22"/>
          <w:szCs w:val="22"/>
          <w:lang w:val="en-GB"/>
        </w:rPr>
        <w:t xml:space="preserve">The publication of new </w:t>
      </w:r>
      <w:r w:rsidRPr="001266CA">
        <w:rPr>
          <w:rFonts w:ascii="Segoe UI" w:hAnsi="Segoe UI" w:cs="Segoe UI"/>
          <w:b/>
          <w:bCs/>
          <w:sz w:val="22"/>
          <w:szCs w:val="22"/>
          <w:lang w:val="en-GB"/>
        </w:rPr>
        <w:t>Transaction Guidance</w:t>
      </w:r>
      <w:r w:rsidRPr="001266CA">
        <w:rPr>
          <w:rFonts w:ascii="Segoe UI" w:hAnsi="Segoe UI" w:cs="Segoe UI"/>
          <w:sz w:val="22"/>
          <w:szCs w:val="22"/>
          <w:lang w:val="en-GB"/>
        </w:rPr>
        <w:t xml:space="preserve"> is of significance given our Warneford developments.  </w:t>
      </w:r>
      <w:r w:rsidRPr="001266CA">
        <w:rPr>
          <w:rFonts w:ascii="Segoe UI" w:hAnsi="Segoe UI" w:cs="Segoe UI"/>
          <w:sz w:val="22"/>
          <w:szCs w:val="22"/>
        </w:rPr>
        <w:t xml:space="preserve">The updated transactions guidance is a significant improvement on the previous iteration: it is simpler and clearly reflects the changing NHS landscape and new ways of working within systems. It represents an important development in how NHSE considers the risks and benefits of transactions trusts </w:t>
      </w:r>
      <w:proofErr w:type="gramStart"/>
      <w:r w:rsidRPr="001266CA">
        <w:rPr>
          <w:rFonts w:ascii="Segoe UI" w:hAnsi="Segoe UI" w:cs="Segoe UI"/>
          <w:sz w:val="22"/>
          <w:szCs w:val="22"/>
        </w:rPr>
        <w:t>undertake, and</w:t>
      </w:r>
      <w:proofErr w:type="gramEnd"/>
      <w:r w:rsidRPr="001266CA">
        <w:rPr>
          <w:rFonts w:ascii="Segoe UI" w:hAnsi="Segoe UI" w:cs="Segoe UI"/>
          <w:sz w:val="22"/>
          <w:szCs w:val="22"/>
        </w:rPr>
        <w:t xml:space="preserve"> puts patient and population benefits at the core.</w:t>
      </w:r>
    </w:p>
    <w:p w14:paraId="15C4BC83" w14:textId="378098E6" w:rsidR="00FF5BD6" w:rsidRPr="001266CA" w:rsidRDefault="00FF5BD6" w:rsidP="00485207">
      <w:pPr>
        <w:jc w:val="both"/>
        <w:rPr>
          <w:rFonts w:ascii="Segoe UI" w:hAnsi="Segoe UI" w:cs="Segoe UI"/>
          <w:sz w:val="22"/>
          <w:szCs w:val="22"/>
        </w:rPr>
      </w:pPr>
    </w:p>
    <w:p w14:paraId="5B7688F1" w14:textId="0C2D164C" w:rsidR="00FF5BD6" w:rsidRDefault="00FF5BD6" w:rsidP="00485207">
      <w:pPr>
        <w:jc w:val="both"/>
        <w:rPr>
          <w:rFonts w:ascii="Segoe UI" w:hAnsi="Segoe UI" w:cs="Segoe UI"/>
          <w:sz w:val="22"/>
          <w:szCs w:val="22"/>
        </w:rPr>
      </w:pPr>
      <w:r w:rsidRPr="001266CA">
        <w:rPr>
          <w:rFonts w:ascii="Segoe UI" w:hAnsi="Segoe UI" w:cs="Segoe UI"/>
          <w:sz w:val="22"/>
          <w:szCs w:val="22"/>
        </w:rPr>
        <w:t xml:space="preserve">For transactions classified as significant, NHSE’s review will comprise of two gateway processes: </w:t>
      </w:r>
      <w:r w:rsidR="001E10DE" w:rsidRPr="000B223F">
        <w:rPr>
          <w:rFonts w:ascii="Segoe UI" w:hAnsi="Segoe UI" w:cs="Segoe UI"/>
          <w:i/>
          <w:iCs/>
          <w:sz w:val="22"/>
          <w:szCs w:val="22"/>
        </w:rPr>
        <w:t xml:space="preserve">1. </w:t>
      </w:r>
      <w:r w:rsidRPr="000B223F">
        <w:rPr>
          <w:rFonts w:ascii="Segoe UI" w:hAnsi="Segoe UI" w:cs="Segoe UI"/>
          <w:i/>
          <w:iCs/>
          <w:sz w:val="22"/>
          <w:szCs w:val="22"/>
        </w:rPr>
        <w:t xml:space="preserve">Strategic </w:t>
      </w:r>
      <w:proofErr w:type="gramStart"/>
      <w:r w:rsidRPr="000B223F">
        <w:rPr>
          <w:rFonts w:ascii="Segoe UI" w:hAnsi="Segoe UI" w:cs="Segoe UI"/>
          <w:i/>
          <w:iCs/>
          <w:sz w:val="22"/>
          <w:szCs w:val="22"/>
        </w:rPr>
        <w:t>case</w:t>
      </w:r>
      <w:r w:rsidRPr="001266CA">
        <w:rPr>
          <w:rFonts w:ascii="Segoe UI" w:hAnsi="Segoe UI" w:cs="Segoe UI"/>
          <w:sz w:val="22"/>
          <w:szCs w:val="22"/>
        </w:rPr>
        <w:t xml:space="preserve">  –</w:t>
      </w:r>
      <w:proofErr w:type="gramEnd"/>
      <w:r w:rsidRPr="001266CA">
        <w:rPr>
          <w:rFonts w:ascii="Segoe UI" w:hAnsi="Segoe UI" w:cs="Segoe UI"/>
          <w:sz w:val="22"/>
          <w:szCs w:val="22"/>
        </w:rPr>
        <w:t xml:space="preserve"> setting out the rationale for the transaction, including why this is the preferred option. This will be assessed through discussion with trust, integrated care board (ICB) and integrated care partnership (ICP) leaders and review of documentation. NHSE will expect key partners within the ICS to be engaged in discussing and developing proposals from the very beginning. ICB support for a transaction will be a critical factor in NHSE’s consideration of whether a</w:t>
      </w:r>
      <w:r w:rsidR="00C909AB" w:rsidRPr="001266CA">
        <w:rPr>
          <w:rFonts w:ascii="Segoe UI" w:hAnsi="Segoe UI" w:cs="Segoe UI"/>
          <w:sz w:val="22"/>
          <w:szCs w:val="22"/>
        </w:rPr>
        <w:t xml:space="preserve"> Strategic Case</w:t>
      </w:r>
      <w:r w:rsidRPr="001266CA">
        <w:rPr>
          <w:rFonts w:ascii="Segoe UI" w:hAnsi="Segoe UI" w:cs="Segoe UI"/>
          <w:sz w:val="22"/>
          <w:szCs w:val="22"/>
        </w:rPr>
        <w:t xml:space="preserve"> should be allowed to progress to the next stage. </w:t>
      </w:r>
    </w:p>
    <w:p w14:paraId="17609E10" w14:textId="77777777" w:rsidR="001E10DE" w:rsidRPr="001266CA" w:rsidRDefault="001E10DE" w:rsidP="00485207">
      <w:pPr>
        <w:jc w:val="both"/>
        <w:rPr>
          <w:rFonts w:ascii="Segoe UI" w:hAnsi="Segoe UI" w:cs="Segoe UI"/>
          <w:sz w:val="22"/>
          <w:szCs w:val="22"/>
        </w:rPr>
      </w:pPr>
    </w:p>
    <w:p w14:paraId="235DA95B" w14:textId="649E9EC6" w:rsidR="0073401D" w:rsidRPr="00E90044" w:rsidRDefault="001E10DE" w:rsidP="00485207">
      <w:pPr>
        <w:jc w:val="both"/>
        <w:rPr>
          <w:rFonts w:ascii="Segoe UI" w:hAnsi="Segoe UI" w:cs="Segoe UI"/>
          <w:sz w:val="22"/>
          <w:szCs w:val="22"/>
          <w:lang w:val="en-GB"/>
        </w:rPr>
      </w:pPr>
      <w:r w:rsidRPr="000B223F">
        <w:rPr>
          <w:rFonts w:ascii="Segoe UI" w:hAnsi="Segoe UI" w:cs="Segoe UI"/>
          <w:i/>
          <w:iCs/>
          <w:sz w:val="22"/>
          <w:szCs w:val="22"/>
        </w:rPr>
        <w:t xml:space="preserve">2. </w:t>
      </w:r>
      <w:r w:rsidR="0073401D" w:rsidRPr="000B223F">
        <w:rPr>
          <w:rFonts w:ascii="Segoe UI" w:hAnsi="Segoe UI" w:cs="Segoe UI"/>
          <w:i/>
          <w:iCs/>
          <w:sz w:val="22"/>
          <w:szCs w:val="22"/>
        </w:rPr>
        <w:t>Full business case</w:t>
      </w:r>
      <w:r w:rsidR="0073401D" w:rsidRPr="00E90044">
        <w:rPr>
          <w:rFonts w:ascii="Segoe UI" w:hAnsi="Segoe UI" w:cs="Segoe UI"/>
          <w:sz w:val="22"/>
          <w:szCs w:val="22"/>
        </w:rPr>
        <w:t xml:space="preserve"> – a detailed case will need to be developed, demonstrating how the transaction will be executed, what the benefits will be and how they will be delivered. The overarching purpose of an FBC review is to determine whether the deliverable benefits of the transaction to patients and the wider public materially outweigh the costs and risks in the medium to long term. </w:t>
      </w:r>
      <w:r w:rsidR="006023E7" w:rsidRPr="00E90044">
        <w:rPr>
          <w:rFonts w:ascii="Segoe UI" w:hAnsi="Segoe UI" w:cs="Segoe UI"/>
          <w:sz w:val="22"/>
          <w:szCs w:val="22"/>
        </w:rPr>
        <w:t xml:space="preserve">Trusts </w:t>
      </w:r>
      <w:r w:rsidR="0073401D" w:rsidRPr="00E90044">
        <w:rPr>
          <w:rFonts w:ascii="Segoe UI" w:hAnsi="Segoe UI" w:cs="Segoe UI"/>
          <w:sz w:val="22"/>
          <w:szCs w:val="22"/>
        </w:rPr>
        <w:t xml:space="preserve">will need to develop detailed plans for the delivery of patient benefits as part of their business cases, as standard. NHSE expects that trusts and ICSs will be ambitious for their patients and populations, but also realistic. Deliverability will be assessed as part of NHSE’s assurance approach. NHSE will consider whether the transaction forms part of an ICB strategy that delivers ICS sustainability in the medium term. Where this test applies, the trusts will not be solely accountable for addressing a wider system issue. The FBC rating will determine whether the transaction can proceed </w:t>
      </w:r>
      <w:r w:rsidR="009034BE">
        <w:rPr>
          <w:rFonts w:ascii="Segoe UI" w:hAnsi="Segoe UI" w:cs="Segoe UI"/>
          <w:sz w:val="22"/>
          <w:szCs w:val="22"/>
        </w:rPr>
        <w:t>and the support requirements.</w:t>
      </w:r>
    </w:p>
    <w:p w14:paraId="7BE29DBB" w14:textId="77777777" w:rsidR="0098599E" w:rsidRDefault="0098599E" w:rsidP="006439DC">
      <w:pPr>
        <w:jc w:val="both"/>
        <w:rPr>
          <w:rFonts w:ascii="Segoe UI" w:hAnsi="Segoe UI" w:cs="Segoe UI"/>
          <w:sz w:val="22"/>
          <w:szCs w:val="22"/>
          <w:highlight w:val="green"/>
        </w:rPr>
      </w:pPr>
    </w:p>
    <w:p w14:paraId="0A574DAD" w14:textId="77777777" w:rsidR="00DD0715" w:rsidRPr="00E90044" w:rsidRDefault="00D5383E" w:rsidP="006439DC">
      <w:pPr>
        <w:jc w:val="both"/>
        <w:rPr>
          <w:rFonts w:ascii="Segoe UI" w:hAnsi="Segoe UI" w:cs="Segoe UI"/>
          <w:sz w:val="22"/>
          <w:szCs w:val="22"/>
          <w:lang w:val="en-GB"/>
        </w:rPr>
      </w:pPr>
      <w:r w:rsidRPr="00E90044">
        <w:rPr>
          <w:rFonts w:ascii="Segoe UI" w:hAnsi="Segoe UI" w:cs="Segoe UI"/>
          <w:sz w:val="22"/>
          <w:szCs w:val="22"/>
        </w:rPr>
        <w:t>The True for Us and learning section of the Appendix</w:t>
      </w:r>
      <w:r w:rsidR="006439DC" w:rsidRPr="00E90044">
        <w:rPr>
          <w:rFonts w:ascii="Segoe UI" w:hAnsi="Segoe UI" w:cs="Segoe UI"/>
          <w:sz w:val="22"/>
          <w:szCs w:val="22"/>
        </w:rPr>
        <w:t xml:space="preserve"> highlights the outcome of the </w:t>
      </w:r>
      <w:proofErr w:type="spellStart"/>
      <w:r w:rsidR="006439DC" w:rsidRPr="00E90044">
        <w:rPr>
          <w:rFonts w:ascii="Segoe UI" w:hAnsi="Segoe UI" w:cs="Segoe UI"/>
          <w:b/>
          <w:bCs/>
          <w:sz w:val="22"/>
          <w:szCs w:val="22"/>
        </w:rPr>
        <w:t>Kirkup</w:t>
      </w:r>
      <w:proofErr w:type="spellEnd"/>
      <w:r w:rsidR="006439DC" w:rsidRPr="00E90044">
        <w:rPr>
          <w:rFonts w:ascii="Segoe UI" w:hAnsi="Segoe UI" w:cs="Segoe UI"/>
          <w:b/>
          <w:bCs/>
          <w:sz w:val="22"/>
          <w:szCs w:val="22"/>
        </w:rPr>
        <w:t xml:space="preserve"> review into Maternity Services in East Kent</w:t>
      </w:r>
      <w:r w:rsidR="006439DC" w:rsidRPr="00E90044">
        <w:rPr>
          <w:rFonts w:ascii="Segoe UI" w:hAnsi="Segoe UI" w:cs="Segoe UI"/>
          <w:sz w:val="22"/>
          <w:szCs w:val="22"/>
        </w:rPr>
        <w:t>.</w:t>
      </w:r>
      <w:r w:rsidR="006439DC" w:rsidRPr="00E90044">
        <w:rPr>
          <w:rFonts w:ascii="Roboto" w:hAnsi="Roboto"/>
          <w:color w:val="202A30"/>
          <w:sz w:val="27"/>
          <w:szCs w:val="27"/>
          <w:lang w:val="en-GB" w:eastAsia="en-GB"/>
        </w:rPr>
        <w:t xml:space="preserve"> </w:t>
      </w:r>
      <w:r w:rsidR="003C3824" w:rsidRPr="00E90044">
        <w:rPr>
          <w:rFonts w:ascii="Segoe UI" w:hAnsi="Segoe UI" w:cs="Segoe UI"/>
          <w:sz w:val="22"/>
          <w:szCs w:val="22"/>
          <w:lang w:val="en-GB"/>
        </w:rPr>
        <w:t>It amplifies how every</w:t>
      </w:r>
      <w:r w:rsidR="006439DC" w:rsidRPr="00E90044">
        <w:rPr>
          <w:rFonts w:ascii="Segoe UI" w:hAnsi="Segoe UI" w:cs="Segoe UI"/>
          <w:sz w:val="22"/>
          <w:szCs w:val="22"/>
          <w:lang w:val="en-GB"/>
        </w:rPr>
        <w:t xml:space="preserve"> board member must examine the culture within their organisation and how they listen and respond to staff. </w:t>
      </w:r>
      <w:r w:rsidR="00C96D06" w:rsidRPr="00E90044">
        <w:rPr>
          <w:rFonts w:ascii="Segoe UI" w:hAnsi="Segoe UI" w:cs="Segoe UI"/>
          <w:sz w:val="22"/>
          <w:szCs w:val="22"/>
          <w:lang w:val="en-GB"/>
        </w:rPr>
        <w:t xml:space="preserve">It asks that Trusts </w:t>
      </w:r>
      <w:r w:rsidR="006439DC" w:rsidRPr="00E90044">
        <w:rPr>
          <w:rFonts w:ascii="Segoe UI" w:hAnsi="Segoe UI" w:cs="Segoe UI"/>
          <w:sz w:val="22"/>
          <w:szCs w:val="22"/>
          <w:lang w:val="en-GB"/>
        </w:rPr>
        <w:t xml:space="preserve">take steps to assure </w:t>
      </w:r>
      <w:r w:rsidR="00C96D06" w:rsidRPr="00E90044">
        <w:rPr>
          <w:rFonts w:ascii="Segoe UI" w:hAnsi="Segoe UI" w:cs="Segoe UI"/>
          <w:sz w:val="22"/>
          <w:szCs w:val="22"/>
          <w:lang w:val="en-GB"/>
        </w:rPr>
        <w:t>them</w:t>
      </w:r>
      <w:r w:rsidR="006439DC" w:rsidRPr="00E90044">
        <w:rPr>
          <w:rFonts w:ascii="Segoe UI" w:hAnsi="Segoe UI" w:cs="Segoe UI"/>
          <w:sz w:val="22"/>
          <w:szCs w:val="22"/>
          <w:lang w:val="en-GB"/>
        </w:rPr>
        <w:t xml:space="preserve">selves, and the communities </w:t>
      </w:r>
      <w:r w:rsidR="00C96D06" w:rsidRPr="00E90044">
        <w:rPr>
          <w:rFonts w:ascii="Segoe UI" w:hAnsi="Segoe UI" w:cs="Segoe UI"/>
          <w:sz w:val="22"/>
          <w:szCs w:val="22"/>
          <w:lang w:val="en-GB"/>
        </w:rPr>
        <w:t>we</w:t>
      </w:r>
      <w:r w:rsidR="006439DC" w:rsidRPr="00E90044">
        <w:rPr>
          <w:rFonts w:ascii="Segoe UI" w:hAnsi="Segoe UI" w:cs="Segoe UI"/>
          <w:sz w:val="22"/>
          <w:szCs w:val="22"/>
          <w:lang w:val="en-GB"/>
        </w:rPr>
        <w:t xml:space="preserve"> serve, that the leadership and culture across our organisation(s) positively supports the care and experience </w:t>
      </w:r>
      <w:r w:rsidR="00C96D06" w:rsidRPr="00E90044">
        <w:rPr>
          <w:rFonts w:ascii="Segoe UI" w:hAnsi="Segoe UI" w:cs="Segoe UI"/>
          <w:sz w:val="22"/>
          <w:szCs w:val="22"/>
          <w:lang w:val="en-GB"/>
        </w:rPr>
        <w:t>we</w:t>
      </w:r>
      <w:r w:rsidR="006439DC" w:rsidRPr="00E90044">
        <w:rPr>
          <w:rFonts w:ascii="Segoe UI" w:hAnsi="Segoe UI" w:cs="Segoe UI"/>
          <w:sz w:val="22"/>
          <w:szCs w:val="22"/>
          <w:lang w:val="en-GB"/>
        </w:rPr>
        <w:t xml:space="preserve"> provide</w:t>
      </w:r>
    </w:p>
    <w:p w14:paraId="078EA48C" w14:textId="5D686E2B" w:rsidR="006439DC" w:rsidRPr="00E90044" w:rsidRDefault="006439DC" w:rsidP="006439DC">
      <w:pPr>
        <w:jc w:val="both"/>
        <w:rPr>
          <w:rFonts w:ascii="Segoe UI" w:hAnsi="Segoe UI" w:cs="Segoe UI"/>
          <w:sz w:val="22"/>
          <w:szCs w:val="22"/>
          <w:lang w:val="en-GB"/>
        </w:rPr>
      </w:pPr>
      <w:r w:rsidRPr="00E90044">
        <w:rPr>
          <w:rFonts w:ascii="Segoe UI" w:hAnsi="Segoe UI" w:cs="Segoe UI"/>
          <w:sz w:val="22"/>
          <w:szCs w:val="22"/>
          <w:lang w:val="en-GB"/>
        </w:rPr>
        <w:t>.</w:t>
      </w:r>
    </w:p>
    <w:p w14:paraId="0F879711" w14:textId="5412D514" w:rsidR="006439DC" w:rsidRPr="00E90044" w:rsidRDefault="00DD0715" w:rsidP="006439DC">
      <w:pPr>
        <w:jc w:val="both"/>
        <w:rPr>
          <w:rFonts w:ascii="Segoe UI" w:hAnsi="Segoe UI" w:cs="Segoe UI"/>
          <w:sz w:val="22"/>
          <w:szCs w:val="22"/>
          <w:lang w:val="en-GB"/>
        </w:rPr>
      </w:pPr>
      <w:r w:rsidRPr="00E90044">
        <w:rPr>
          <w:rFonts w:ascii="Segoe UI" w:hAnsi="Segoe UI" w:cs="Segoe UI"/>
          <w:sz w:val="22"/>
          <w:szCs w:val="22"/>
          <w:lang w:val="en-GB"/>
        </w:rPr>
        <w:t xml:space="preserve">Board members need to reflect on </w:t>
      </w:r>
      <w:r w:rsidR="006439DC" w:rsidRPr="00E90044">
        <w:rPr>
          <w:rFonts w:ascii="Segoe UI" w:hAnsi="Segoe UI" w:cs="Segoe UI"/>
          <w:sz w:val="22"/>
          <w:szCs w:val="22"/>
          <w:lang w:val="en-GB"/>
        </w:rPr>
        <w:t xml:space="preserve">how effective assurance mechanisms are at ‘reading the </w:t>
      </w:r>
      <w:proofErr w:type="gramStart"/>
      <w:r w:rsidR="006439DC" w:rsidRPr="00E90044">
        <w:rPr>
          <w:rFonts w:ascii="Segoe UI" w:hAnsi="Segoe UI" w:cs="Segoe UI"/>
          <w:sz w:val="22"/>
          <w:szCs w:val="22"/>
          <w:lang w:val="en-GB"/>
        </w:rPr>
        <w:t>signals’</w:t>
      </w:r>
      <w:proofErr w:type="gramEnd"/>
      <w:r w:rsidR="006439DC" w:rsidRPr="00E90044">
        <w:rPr>
          <w:rFonts w:ascii="Segoe UI" w:hAnsi="Segoe UI" w:cs="Segoe UI"/>
          <w:sz w:val="22"/>
          <w:szCs w:val="22"/>
          <w:lang w:val="en-GB"/>
        </w:rPr>
        <w:t>.</w:t>
      </w:r>
      <w:r w:rsidR="000A371D">
        <w:rPr>
          <w:rFonts w:ascii="Segoe UI" w:hAnsi="Segoe UI" w:cs="Segoe UI"/>
          <w:sz w:val="22"/>
          <w:szCs w:val="22"/>
          <w:lang w:val="en-GB"/>
        </w:rPr>
        <w:t xml:space="preserve">  </w:t>
      </w:r>
      <w:r w:rsidR="006439DC" w:rsidRPr="00E90044">
        <w:rPr>
          <w:rFonts w:ascii="Segoe UI" w:hAnsi="Segoe UI" w:cs="Segoe UI"/>
          <w:sz w:val="22"/>
          <w:szCs w:val="22"/>
          <w:lang w:val="en-GB"/>
        </w:rPr>
        <w:t>The report outlines four areas for action:</w:t>
      </w:r>
    </w:p>
    <w:p w14:paraId="5FBB1149" w14:textId="77777777" w:rsidR="006439DC" w:rsidRPr="00E90044" w:rsidRDefault="006439DC" w:rsidP="006439DC">
      <w:pPr>
        <w:numPr>
          <w:ilvl w:val="0"/>
          <w:numId w:val="22"/>
        </w:numPr>
        <w:jc w:val="both"/>
        <w:rPr>
          <w:rFonts w:ascii="Segoe UI" w:hAnsi="Segoe UI" w:cs="Segoe UI"/>
          <w:sz w:val="22"/>
          <w:szCs w:val="22"/>
          <w:lang w:val="en-GB"/>
        </w:rPr>
      </w:pPr>
      <w:r w:rsidRPr="00E90044">
        <w:rPr>
          <w:rFonts w:ascii="Segoe UI" w:hAnsi="Segoe UI" w:cs="Segoe UI"/>
          <w:sz w:val="22"/>
          <w:szCs w:val="22"/>
          <w:lang w:val="en-GB"/>
        </w:rPr>
        <w:t>To get better at identifying poorly performing units</w:t>
      </w:r>
    </w:p>
    <w:p w14:paraId="2692FA82" w14:textId="77777777" w:rsidR="006439DC" w:rsidRPr="00E90044" w:rsidRDefault="006439DC" w:rsidP="006439DC">
      <w:pPr>
        <w:numPr>
          <w:ilvl w:val="0"/>
          <w:numId w:val="22"/>
        </w:numPr>
        <w:jc w:val="both"/>
        <w:rPr>
          <w:rFonts w:ascii="Segoe UI" w:hAnsi="Segoe UI" w:cs="Segoe UI"/>
          <w:sz w:val="22"/>
          <w:szCs w:val="22"/>
          <w:lang w:val="en-GB"/>
        </w:rPr>
      </w:pPr>
      <w:r w:rsidRPr="00E90044">
        <w:rPr>
          <w:rFonts w:ascii="Segoe UI" w:hAnsi="Segoe UI" w:cs="Segoe UI"/>
          <w:sz w:val="22"/>
          <w:szCs w:val="22"/>
          <w:lang w:val="en-GB"/>
        </w:rPr>
        <w:t>Giving care with compassion and kindness</w:t>
      </w:r>
    </w:p>
    <w:p w14:paraId="6FA110A9" w14:textId="77777777" w:rsidR="006439DC" w:rsidRPr="00E90044" w:rsidRDefault="006439DC" w:rsidP="006439DC">
      <w:pPr>
        <w:numPr>
          <w:ilvl w:val="0"/>
          <w:numId w:val="22"/>
        </w:numPr>
        <w:jc w:val="both"/>
        <w:rPr>
          <w:rFonts w:ascii="Segoe UI" w:hAnsi="Segoe UI" w:cs="Segoe UI"/>
          <w:sz w:val="22"/>
          <w:szCs w:val="22"/>
          <w:lang w:val="en-GB"/>
        </w:rPr>
      </w:pPr>
      <w:r w:rsidRPr="00E90044">
        <w:rPr>
          <w:rFonts w:ascii="Segoe UI" w:hAnsi="Segoe UI" w:cs="Segoe UI"/>
          <w:sz w:val="22"/>
          <w:szCs w:val="22"/>
          <w:lang w:val="en-GB"/>
        </w:rPr>
        <w:t>Teamworking with a common purpose</w:t>
      </w:r>
    </w:p>
    <w:p w14:paraId="11090F85" w14:textId="77777777" w:rsidR="006439DC" w:rsidRPr="00E90044" w:rsidRDefault="006439DC" w:rsidP="006439DC">
      <w:pPr>
        <w:numPr>
          <w:ilvl w:val="0"/>
          <w:numId w:val="22"/>
        </w:numPr>
        <w:jc w:val="both"/>
        <w:rPr>
          <w:rFonts w:ascii="Segoe UI" w:hAnsi="Segoe UI" w:cs="Segoe UI"/>
          <w:sz w:val="22"/>
          <w:szCs w:val="22"/>
          <w:lang w:val="en-GB"/>
        </w:rPr>
      </w:pPr>
      <w:r w:rsidRPr="00E90044">
        <w:rPr>
          <w:rFonts w:ascii="Segoe UI" w:hAnsi="Segoe UI" w:cs="Segoe UI"/>
          <w:sz w:val="22"/>
          <w:szCs w:val="22"/>
          <w:lang w:val="en-GB"/>
        </w:rPr>
        <w:t>Responding to challenge with honesty.</w:t>
      </w:r>
    </w:p>
    <w:p w14:paraId="3FA82A15" w14:textId="23A518FD" w:rsidR="00802F03" w:rsidRPr="00E90044" w:rsidRDefault="00802F03" w:rsidP="00E74A0B">
      <w:pPr>
        <w:jc w:val="both"/>
        <w:rPr>
          <w:rFonts w:ascii="Segoe UI" w:hAnsi="Segoe UI" w:cs="Segoe UI"/>
          <w:sz w:val="22"/>
          <w:szCs w:val="22"/>
          <w:lang w:val="en-GB"/>
        </w:rPr>
      </w:pPr>
    </w:p>
    <w:p w14:paraId="55F88911" w14:textId="63226193" w:rsidR="00543DB9" w:rsidRPr="00E90044" w:rsidRDefault="00B47D87" w:rsidP="00543DB9">
      <w:pPr>
        <w:jc w:val="both"/>
        <w:rPr>
          <w:rFonts w:ascii="Segoe UI" w:hAnsi="Segoe UI" w:cs="Segoe UI"/>
          <w:sz w:val="22"/>
          <w:szCs w:val="22"/>
          <w:lang w:val="en-GB"/>
        </w:rPr>
      </w:pPr>
      <w:r w:rsidRPr="00E90044">
        <w:rPr>
          <w:rFonts w:ascii="Segoe UI" w:hAnsi="Segoe UI" w:cs="Segoe UI"/>
          <w:sz w:val="22"/>
          <w:szCs w:val="22"/>
        </w:rPr>
        <w:t xml:space="preserve">The </w:t>
      </w:r>
      <w:r w:rsidRPr="0019586F">
        <w:rPr>
          <w:rFonts w:ascii="Segoe UI" w:hAnsi="Segoe UI" w:cs="Segoe UI"/>
          <w:b/>
          <w:bCs/>
          <w:sz w:val="22"/>
          <w:szCs w:val="22"/>
        </w:rPr>
        <w:t>Healthcare Regulators Whistleblowing</w:t>
      </w:r>
      <w:r w:rsidRPr="00E90044">
        <w:rPr>
          <w:rFonts w:ascii="Segoe UI" w:hAnsi="Segoe UI" w:cs="Segoe UI"/>
          <w:sz w:val="22"/>
          <w:szCs w:val="22"/>
        </w:rPr>
        <w:t xml:space="preserve"> report </w:t>
      </w:r>
      <w:r w:rsidR="00543DB9" w:rsidRPr="00E90044">
        <w:rPr>
          <w:rFonts w:ascii="Segoe UI" w:hAnsi="Segoe UI" w:cs="Segoe UI"/>
          <w:sz w:val="22"/>
          <w:szCs w:val="22"/>
        </w:rPr>
        <w:t xml:space="preserve">amplifies </w:t>
      </w:r>
      <w:r w:rsidR="00543DB9" w:rsidRPr="00E90044">
        <w:rPr>
          <w:rFonts w:ascii="Segoe UI" w:hAnsi="Segoe UI" w:cs="Segoe UI"/>
          <w:sz w:val="22"/>
          <w:szCs w:val="22"/>
          <w:lang w:val="en-GB"/>
        </w:rPr>
        <w:t xml:space="preserve">the most common themes of the disclosures for the 21/22 year related to patient safety and care; leadership and management; health and safety; and behaviour. </w:t>
      </w:r>
    </w:p>
    <w:p w14:paraId="465DBB14" w14:textId="3AAF3F8C" w:rsidR="00802F03" w:rsidRPr="00E90044" w:rsidRDefault="00802F03" w:rsidP="00E74A0B">
      <w:pPr>
        <w:jc w:val="both"/>
        <w:rPr>
          <w:rFonts w:ascii="Segoe UI" w:hAnsi="Segoe UI" w:cs="Segoe UI"/>
          <w:sz w:val="22"/>
          <w:szCs w:val="22"/>
          <w:lang w:val="en-GB"/>
        </w:rPr>
      </w:pPr>
    </w:p>
    <w:p w14:paraId="734430D5" w14:textId="50EDDD5E" w:rsidR="00942E62" w:rsidRPr="00320775" w:rsidRDefault="00151A8C" w:rsidP="00786C88">
      <w:pPr>
        <w:jc w:val="both"/>
        <w:rPr>
          <w:rFonts w:ascii="Segoe UI" w:hAnsi="Segoe UI" w:cs="Segoe UI"/>
          <w:sz w:val="22"/>
          <w:szCs w:val="22"/>
        </w:rPr>
      </w:pPr>
      <w:r w:rsidRPr="00320775">
        <w:rPr>
          <w:rFonts w:ascii="Segoe UI" w:hAnsi="Segoe UI" w:cs="Segoe UI"/>
          <w:sz w:val="22"/>
          <w:szCs w:val="22"/>
        </w:rPr>
        <w:lastRenderedPageBreak/>
        <w:t xml:space="preserve">At the last meeting </w:t>
      </w:r>
      <w:r w:rsidR="00942E62" w:rsidRPr="00320775">
        <w:rPr>
          <w:rFonts w:ascii="Segoe UI" w:hAnsi="Segoe UI" w:cs="Segoe UI"/>
          <w:sz w:val="22"/>
          <w:szCs w:val="22"/>
        </w:rPr>
        <w:t>the Emergency Preparedness, Resilience and Response</w:t>
      </w:r>
      <w:r w:rsidR="008D2B30" w:rsidRPr="00320775">
        <w:rPr>
          <w:rFonts w:ascii="Segoe UI" w:hAnsi="Segoe UI" w:cs="Segoe UI"/>
          <w:sz w:val="22"/>
          <w:szCs w:val="22"/>
        </w:rPr>
        <w:t xml:space="preserve"> Framework </w:t>
      </w:r>
      <w:r w:rsidRPr="00320775">
        <w:rPr>
          <w:rFonts w:ascii="Segoe UI" w:hAnsi="Segoe UI" w:cs="Segoe UI"/>
          <w:sz w:val="22"/>
          <w:szCs w:val="22"/>
        </w:rPr>
        <w:t xml:space="preserve">was highlighted and this month, the </w:t>
      </w:r>
      <w:r w:rsidR="008D2B30" w:rsidRPr="00320775">
        <w:rPr>
          <w:rFonts w:ascii="Segoe UI" w:hAnsi="Segoe UI" w:cs="Segoe UI"/>
          <w:sz w:val="22"/>
          <w:szCs w:val="22"/>
        </w:rPr>
        <w:t>Trust’s</w:t>
      </w:r>
      <w:r w:rsidR="0019586F">
        <w:rPr>
          <w:rFonts w:ascii="Segoe UI" w:hAnsi="Segoe UI" w:cs="Segoe UI"/>
          <w:sz w:val="22"/>
          <w:szCs w:val="22"/>
        </w:rPr>
        <w:t xml:space="preserve"> EPRR</w:t>
      </w:r>
      <w:r w:rsidR="008D2B30" w:rsidRPr="00320775">
        <w:rPr>
          <w:rFonts w:ascii="Segoe UI" w:hAnsi="Segoe UI" w:cs="Segoe UI"/>
          <w:sz w:val="22"/>
          <w:szCs w:val="22"/>
        </w:rPr>
        <w:t xml:space="preserve"> assurance report </w:t>
      </w:r>
      <w:r w:rsidR="00320775" w:rsidRPr="00320775">
        <w:rPr>
          <w:rFonts w:ascii="Segoe UI" w:hAnsi="Segoe UI" w:cs="Segoe UI"/>
          <w:sz w:val="22"/>
          <w:szCs w:val="22"/>
        </w:rPr>
        <w:t>is presented for Board approval.</w:t>
      </w:r>
    </w:p>
    <w:p w14:paraId="5CAF5163" w14:textId="77777777" w:rsidR="005E78C6" w:rsidRPr="00320775" w:rsidRDefault="005E78C6" w:rsidP="00786C88">
      <w:pPr>
        <w:jc w:val="both"/>
        <w:rPr>
          <w:rFonts w:ascii="Segoe UI" w:hAnsi="Segoe UI" w:cs="Segoe UI"/>
          <w:sz w:val="22"/>
          <w:szCs w:val="22"/>
        </w:rPr>
      </w:pPr>
    </w:p>
    <w:p w14:paraId="7C5A3579" w14:textId="7A76FFAF" w:rsidR="004A11CA" w:rsidRPr="00836DDB" w:rsidRDefault="00923F05" w:rsidP="004A11CA">
      <w:pPr>
        <w:jc w:val="both"/>
        <w:rPr>
          <w:rFonts w:ascii="Segoe UI" w:hAnsi="Segoe UI" w:cs="Segoe UI"/>
          <w:sz w:val="22"/>
          <w:szCs w:val="22"/>
        </w:rPr>
      </w:pPr>
      <w:r w:rsidRPr="00320775">
        <w:rPr>
          <w:rFonts w:ascii="Segoe UI" w:hAnsi="Segoe UI" w:cs="Segoe UI"/>
          <w:sz w:val="22"/>
          <w:szCs w:val="22"/>
        </w:rPr>
        <w:t>Finally</w:t>
      </w:r>
      <w:r w:rsidR="004A11CA" w:rsidRPr="00320775">
        <w:rPr>
          <w:rFonts w:ascii="Segoe UI" w:hAnsi="Segoe UI" w:cs="Segoe UI"/>
          <w:sz w:val="22"/>
          <w:szCs w:val="22"/>
        </w:rPr>
        <w:t xml:space="preserve">, with the theme of learning and </w:t>
      </w:r>
      <w:r w:rsidR="00860D75" w:rsidRPr="00320775">
        <w:rPr>
          <w:rFonts w:ascii="Segoe UI" w:hAnsi="Segoe UI" w:cs="Segoe UI"/>
          <w:sz w:val="22"/>
          <w:szCs w:val="22"/>
        </w:rPr>
        <w:t>the encouraged</w:t>
      </w:r>
      <w:r w:rsidR="004A11CA" w:rsidRPr="00320775">
        <w:rPr>
          <w:rFonts w:ascii="Segoe UI" w:hAnsi="Segoe UI" w:cs="Segoe UI"/>
          <w:sz w:val="22"/>
          <w:szCs w:val="22"/>
        </w:rPr>
        <w:t xml:space="preserve"> ‘True for Us’ curiosity, Board and Committee members </w:t>
      </w:r>
      <w:r w:rsidR="00062312" w:rsidRPr="00320775">
        <w:rPr>
          <w:rFonts w:ascii="Segoe UI" w:hAnsi="Segoe UI" w:cs="Segoe UI"/>
          <w:sz w:val="22"/>
          <w:szCs w:val="22"/>
        </w:rPr>
        <w:t xml:space="preserve">are invited </w:t>
      </w:r>
      <w:r w:rsidR="004A11CA" w:rsidRPr="00320775">
        <w:rPr>
          <w:rFonts w:ascii="Segoe UI" w:hAnsi="Segoe UI" w:cs="Segoe UI"/>
          <w:sz w:val="22"/>
          <w:szCs w:val="22"/>
        </w:rPr>
        <w:t xml:space="preserve">to consider the Addendum to the Report in the Reading Room.  Notable is </w:t>
      </w:r>
      <w:r w:rsidR="00062312" w:rsidRPr="00320775">
        <w:rPr>
          <w:rFonts w:ascii="Segoe UI" w:hAnsi="Segoe UI" w:cs="Segoe UI"/>
          <w:sz w:val="22"/>
          <w:szCs w:val="22"/>
        </w:rPr>
        <w:t xml:space="preserve">the ongoing </w:t>
      </w:r>
      <w:r w:rsidR="00FE2084" w:rsidRPr="00320775">
        <w:rPr>
          <w:rFonts w:ascii="Segoe UI" w:hAnsi="Segoe UI" w:cs="Segoe UI"/>
          <w:sz w:val="22"/>
          <w:szCs w:val="22"/>
        </w:rPr>
        <w:t xml:space="preserve">theme </w:t>
      </w:r>
      <w:r w:rsidR="00062312" w:rsidRPr="00320775">
        <w:rPr>
          <w:rFonts w:ascii="Segoe UI" w:hAnsi="Segoe UI" w:cs="Segoe UI"/>
          <w:sz w:val="22"/>
          <w:szCs w:val="22"/>
        </w:rPr>
        <w:t>of the</w:t>
      </w:r>
      <w:r w:rsidR="004A11CA" w:rsidRPr="00320775">
        <w:rPr>
          <w:rFonts w:ascii="Segoe UI" w:hAnsi="Segoe UI" w:cs="Segoe UI"/>
          <w:sz w:val="22"/>
          <w:szCs w:val="22"/>
        </w:rPr>
        <w:t xml:space="preserve"> importance </w:t>
      </w:r>
      <w:r w:rsidR="00AE1EA6" w:rsidRPr="00320775">
        <w:rPr>
          <w:rFonts w:ascii="Segoe UI" w:hAnsi="Segoe UI" w:cs="Segoe UI"/>
          <w:sz w:val="22"/>
          <w:szCs w:val="22"/>
        </w:rPr>
        <w:t xml:space="preserve">of </w:t>
      </w:r>
      <w:r w:rsidR="00836DDB" w:rsidRPr="00320775">
        <w:rPr>
          <w:rFonts w:ascii="Segoe UI" w:hAnsi="Segoe UI" w:cs="Segoe UI"/>
          <w:sz w:val="22"/>
          <w:szCs w:val="22"/>
        </w:rPr>
        <w:t>culture and safe environments for speaking up</w:t>
      </w:r>
      <w:r w:rsidR="002A3A11" w:rsidRPr="00320775">
        <w:rPr>
          <w:rFonts w:ascii="Segoe UI" w:hAnsi="Segoe UI" w:cs="Segoe UI"/>
          <w:sz w:val="22"/>
          <w:szCs w:val="22"/>
        </w:rPr>
        <w:t xml:space="preserve"> and </w:t>
      </w:r>
      <w:proofErr w:type="gramStart"/>
      <w:r w:rsidR="002A3A11" w:rsidRPr="00320775">
        <w:rPr>
          <w:rFonts w:ascii="Segoe UI" w:hAnsi="Segoe UI" w:cs="Segoe UI"/>
          <w:sz w:val="22"/>
          <w:szCs w:val="22"/>
        </w:rPr>
        <w:t>a number of</w:t>
      </w:r>
      <w:proofErr w:type="gramEnd"/>
      <w:r w:rsidR="002A3A11" w:rsidRPr="00320775">
        <w:rPr>
          <w:rFonts w:ascii="Segoe UI" w:hAnsi="Segoe UI" w:cs="Segoe UI"/>
          <w:sz w:val="22"/>
          <w:szCs w:val="22"/>
        </w:rPr>
        <w:t xml:space="preserve"> CQC inspections included in the report </w:t>
      </w:r>
      <w:r w:rsidR="00E50430" w:rsidRPr="00320775">
        <w:rPr>
          <w:rFonts w:ascii="Segoe UI" w:hAnsi="Segoe UI" w:cs="Segoe UI"/>
          <w:sz w:val="22"/>
          <w:szCs w:val="22"/>
        </w:rPr>
        <w:t>will assist with our own development focus.</w:t>
      </w:r>
      <w:r w:rsidR="00836DDB" w:rsidRPr="00836DDB">
        <w:rPr>
          <w:rFonts w:ascii="Segoe UI" w:hAnsi="Segoe UI" w:cs="Segoe UI"/>
          <w:sz w:val="22"/>
          <w:szCs w:val="22"/>
        </w:rPr>
        <w:t xml:space="preserve">           </w:t>
      </w:r>
    </w:p>
    <w:p w14:paraId="2BC26542" w14:textId="77777777" w:rsidR="004A11CA" w:rsidRPr="00FD27BE"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55CDB0C3" w14:textId="4A46F17D" w:rsidR="00EF522A"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w:t>
      </w:r>
      <w:proofErr w:type="gramStart"/>
      <w:r w:rsidR="00165B79">
        <w:rPr>
          <w:rFonts w:ascii="Segoe UI" w:hAnsi="Segoe UI" w:cs="Segoe UI"/>
          <w:sz w:val="22"/>
          <w:szCs w:val="22"/>
        </w:rPr>
        <w:t>risk based</w:t>
      </w:r>
      <w:proofErr w:type="gramEnd"/>
      <w:r w:rsidR="00165B79">
        <w:rPr>
          <w:rFonts w:ascii="Segoe UI" w:hAnsi="Segoe UI" w:cs="Segoe UI"/>
          <w:sz w:val="22"/>
          <w:szCs w:val="22"/>
        </w:rPr>
        <w:t xml:space="preserve">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r w:rsidR="000A371D">
        <w:rPr>
          <w:rFonts w:ascii="Segoe UI" w:hAnsi="Segoe UI" w:cs="Segoe UI"/>
          <w:sz w:val="22"/>
          <w:szCs w:val="22"/>
        </w:rPr>
        <w:t xml:space="preserve"> </w:t>
      </w:r>
      <w:r w:rsidR="00BB770F">
        <w:rPr>
          <w:rFonts w:ascii="Segoe UI" w:hAnsi="Segoe UI" w:cs="Segoe UI"/>
          <w:sz w:val="22"/>
          <w:szCs w:val="22"/>
        </w:rPr>
        <w:t xml:space="preserve">The governance framework </w:t>
      </w:r>
      <w:r w:rsidR="00353564">
        <w:rPr>
          <w:rFonts w:ascii="Segoe UI" w:hAnsi="Segoe UI" w:cs="Segoe UI"/>
          <w:sz w:val="22"/>
          <w:szCs w:val="22"/>
        </w:rPr>
        <w:t xml:space="preserve">(Board, committees, legal duties and management functions) </w:t>
      </w:r>
      <w:proofErr w:type="gramStart"/>
      <w:r w:rsidR="00065F3A">
        <w:rPr>
          <w:rFonts w:ascii="Segoe UI" w:hAnsi="Segoe UI" w:cs="Segoe UI"/>
          <w:sz w:val="22"/>
          <w:szCs w:val="22"/>
        </w:rPr>
        <w:t>facilitate</w:t>
      </w:r>
      <w:proofErr w:type="gramEnd"/>
      <w:r w:rsidR="00065F3A">
        <w:rPr>
          <w:rFonts w:ascii="Segoe UI" w:hAnsi="Segoe UI" w:cs="Segoe UI"/>
          <w:sz w:val="22"/>
          <w:szCs w:val="22"/>
        </w:rPr>
        <w:t xml:space="preserve"> responsive and effective decision making, ensuring the Board and its Committees and the Executive Management Committee and senior management are able to collaborate</w:t>
      </w:r>
      <w:r w:rsidR="00995699">
        <w:rPr>
          <w:rFonts w:ascii="Segoe UI" w:hAnsi="Segoe UI" w:cs="Segoe UI"/>
          <w:sz w:val="22"/>
          <w:szCs w:val="22"/>
        </w:rPr>
        <w:t xml:space="preserve">, consider issues and respond. </w:t>
      </w:r>
    </w:p>
    <w:p w14:paraId="42C110EA" w14:textId="77777777" w:rsidR="00EF522A" w:rsidRDefault="00EF522A" w:rsidP="004A11CA">
      <w:pPr>
        <w:jc w:val="both"/>
        <w:rPr>
          <w:rFonts w:ascii="Segoe UI" w:hAnsi="Segoe UI" w:cs="Segoe UI"/>
          <w:sz w:val="22"/>
          <w:szCs w:val="22"/>
        </w:rPr>
      </w:pPr>
    </w:p>
    <w:p w14:paraId="73A41C74" w14:textId="62D9A155" w:rsidR="00BF3A16" w:rsidRDefault="00EF522A" w:rsidP="004A11CA">
      <w:pPr>
        <w:jc w:val="both"/>
        <w:rPr>
          <w:rFonts w:ascii="Segoe UI" w:hAnsi="Segoe UI" w:cs="Segoe UI"/>
          <w:sz w:val="22"/>
          <w:szCs w:val="22"/>
        </w:rPr>
      </w:pPr>
      <w:r>
        <w:rPr>
          <w:rFonts w:ascii="Segoe UI" w:hAnsi="Segoe UI" w:cs="Segoe UI"/>
          <w:sz w:val="22"/>
          <w:szCs w:val="22"/>
        </w:rPr>
        <w:t>Good governance is at the core</w:t>
      </w:r>
      <w:r w:rsidR="00AE504F">
        <w:rPr>
          <w:rFonts w:ascii="Segoe UI" w:hAnsi="Segoe UI" w:cs="Segoe UI"/>
          <w:sz w:val="22"/>
          <w:szCs w:val="22"/>
        </w:rPr>
        <w:t xml:space="preserve"> of successful operation, ensuring considered and efficient decision making in furtherance of our overarching strategy and </w:t>
      </w:r>
      <w:r w:rsidR="00EC3CA0">
        <w:rPr>
          <w:rFonts w:ascii="Segoe UI" w:hAnsi="Segoe UI" w:cs="Segoe UI"/>
          <w:sz w:val="22"/>
          <w:szCs w:val="22"/>
        </w:rPr>
        <w:t>long-term</w:t>
      </w:r>
      <w:r w:rsidR="00AE504F">
        <w:rPr>
          <w:rFonts w:ascii="Segoe UI" w:hAnsi="Segoe UI" w:cs="Segoe UI"/>
          <w:sz w:val="22"/>
          <w:szCs w:val="22"/>
        </w:rPr>
        <w:t xml:space="preserve"> sustainability.</w:t>
      </w:r>
      <w:r w:rsidR="00995699">
        <w:rPr>
          <w:rFonts w:ascii="Segoe UI" w:hAnsi="Segoe UI" w:cs="Segoe UI"/>
          <w:sz w:val="22"/>
          <w:szCs w:val="22"/>
        </w:rPr>
        <w:t xml:space="preserve"> </w:t>
      </w:r>
      <w:r w:rsidR="00BF3A16">
        <w:rPr>
          <w:rFonts w:ascii="Segoe UI" w:hAnsi="Segoe UI" w:cs="Segoe UI"/>
          <w:sz w:val="22"/>
          <w:szCs w:val="22"/>
        </w:rPr>
        <w:t xml:space="preserve">In discharging its </w:t>
      </w:r>
      <w:proofErr w:type="gramStart"/>
      <w:r w:rsidR="00BF3A16">
        <w:rPr>
          <w:rFonts w:ascii="Segoe UI" w:hAnsi="Segoe UI" w:cs="Segoe UI"/>
          <w:sz w:val="22"/>
          <w:szCs w:val="22"/>
        </w:rPr>
        <w:t>duties</w:t>
      </w:r>
      <w:proofErr w:type="gramEnd"/>
      <w:r w:rsidR="00BF3A16">
        <w:rPr>
          <w:rFonts w:ascii="Segoe UI" w:hAnsi="Segoe UI" w:cs="Segoe UI"/>
          <w:sz w:val="22"/>
          <w:szCs w:val="22"/>
        </w:rPr>
        <w:t xml:space="preserve"> the Board is supported by its various Board Committees</w:t>
      </w:r>
      <w:r w:rsidR="00EC3CA0">
        <w:rPr>
          <w:rFonts w:ascii="Segoe UI" w:hAnsi="Segoe UI" w:cs="Segoe UI"/>
          <w:sz w:val="22"/>
          <w:szCs w:val="22"/>
        </w:rPr>
        <w:t>.</w:t>
      </w:r>
    </w:p>
    <w:p w14:paraId="520F25C6" w14:textId="2A290C5A" w:rsidR="007F48A4" w:rsidRDefault="007F48A4" w:rsidP="004A11CA">
      <w:pPr>
        <w:jc w:val="both"/>
        <w:rPr>
          <w:rFonts w:ascii="Segoe UI" w:hAnsi="Segoe UI" w:cs="Segoe UI"/>
          <w:sz w:val="22"/>
          <w:szCs w:val="22"/>
        </w:rPr>
      </w:pPr>
    </w:p>
    <w:p w14:paraId="7D036735" w14:textId="43557C4D" w:rsidR="000D0030" w:rsidRPr="000D0030" w:rsidRDefault="000D0030" w:rsidP="000D0030">
      <w:pPr>
        <w:jc w:val="both"/>
        <w:rPr>
          <w:rFonts w:ascii="Segoe UI" w:hAnsi="Segoe UI" w:cs="Segoe UI"/>
          <w:sz w:val="22"/>
          <w:szCs w:val="22"/>
        </w:rPr>
      </w:pPr>
      <w:r w:rsidRPr="000D0030">
        <w:rPr>
          <w:rFonts w:ascii="Segoe UI" w:hAnsi="Segoe UI" w:cs="Segoe UI"/>
          <w:sz w:val="22"/>
          <w:szCs w:val="22"/>
        </w:rPr>
        <w:t>The principal Committee meetings of the Board are aligned to the cadence of the Board calendar, with the Chair of each Committee providing the Board with their latest updates and recommendations for approval.  Following the interim findings of the Good Governance Institute as part of the external review against the Well Led framework into quality governance, the Chair of each Committee will from November adopt a ‘Three A’s’ approach to upward reporting to Board (Advice, Alert, Assurance).  In addition to the matters in this report, and other Board reporting, the Board will need to use the Committee Chair’s updates to also influence its identification and assessment of new/emerging risk</w:t>
      </w:r>
      <w:r w:rsidR="00641B8C">
        <w:rPr>
          <w:rFonts w:ascii="Segoe UI" w:hAnsi="Segoe UI" w:cs="Segoe UI"/>
          <w:sz w:val="22"/>
          <w:szCs w:val="22"/>
        </w:rPr>
        <w:t xml:space="preserve"> to performance or objectives</w:t>
      </w:r>
      <w:r w:rsidRPr="000D0030">
        <w:rPr>
          <w:rFonts w:ascii="Segoe UI" w:hAnsi="Segoe UI" w:cs="Segoe UI"/>
          <w:sz w:val="22"/>
          <w:szCs w:val="22"/>
        </w:rPr>
        <w:t>.</w:t>
      </w:r>
    </w:p>
    <w:p w14:paraId="03CB8FFF" w14:textId="77777777" w:rsidR="007F48A4" w:rsidRPr="009C3CC8" w:rsidRDefault="007F48A4" w:rsidP="004A11CA">
      <w:pPr>
        <w:jc w:val="both"/>
        <w:rPr>
          <w:rFonts w:ascii="Segoe UI" w:hAnsi="Segoe UI" w:cs="Segoe UI"/>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A9E4B62" w:rsidR="004A11CA"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w:t>
      </w:r>
      <w:r w:rsidR="00277CF2">
        <w:rPr>
          <w:rFonts w:ascii="Segoe UI" w:hAnsi="Segoe UI" w:cs="Segoe UI"/>
          <w:sz w:val="22"/>
          <w:szCs w:val="22"/>
        </w:rPr>
        <w:t xml:space="preserve"> and reassurance</w:t>
      </w:r>
      <w:r w:rsidRPr="0072538C">
        <w:rPr>
          <w:rFonts w:ascii="Segoe UI" w:hAnsi="Segoe UI" w:cs="Segoe UI"/>
          <w:sz w:val="22"/>
          <w:szCs w:val="22"/>
        </w:rPr>
        <w:t xml:space="preserve"> that the internal plans and controls in place to deliver compliance against </w:t>
      </w:r>
      <w:r w:rsidR="00EE0CBF">
        <w:rPr>
          <w:rFonts w:ascii="Segoe UI" w:hAnsi="Segoe UI" w:cs="Segoe UI"/>
          <w:sz w:val="22"/>
          <w:szCs w:val="22"/>
        </w:rPr>
        <w:t>relevant</w:t>
      </w:r>
      <w:r w:rsidRPr="0072538C">
        <w:rPr>
          <w:rFonts w:ascii="Segoe UI" w:hAnsi="Segoe UI" w:cs="Segoe UI"/>
          <w:sz w:val="22"/>
          <w:szCs w:val="22"/>
        </w:rPr>
        <w:t xml:space="preserve"> Trust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r w:rsidR="00686064">
        <w:rPr>
          <w:rFonts w:ascii="Segoe UI" w:hAnsi="Segoe UI" w:cs="Segoe UI"/>
          <w:sz w:val="22"/>
          <w:szCs w:val="22"/>
        </w:rPr>
        <w:t xml:space="preserve"> and in the context of the Trust’s strategic risk profile and</w:t>
      </w:r>
      <w:r w:rsidR="00130DE0">
        <w:rPr>
          <w:rFonts w:ascii="Segoe UI" w:hAnsi="Segoe UI" w:cs="Segoe UI"/>
          <w:sz w:val="22"/>
          <w:szCs w:val="22"/>
        </w:rPr>
        <w:t xml:space="preserve"> the effectiveness of</w:t>
      </w:r>
      <w:r w:rsidR="00686064">
        <w:rPr>
          <w:rFonts w:ascii="Segoe UI" w:hAnsi="Segoe UI" w:cs="Segoe UI"/>
          <w:sz w:val="22"/>
          <w:szCs w:val="22"/>
        </w:rPr>
        <w:t xml:space="preserve"> mitigation</w:t>
      </w:r>
      <w:r w:rsidR="00130DE0">
        <w:rPr>
          <w:rFonts w:ascii="Segoe UI" w:hAnsi="Segoe UI" w:cs="Segoe UI"/>
          <w:sz w:val="22"/>
          <w:szCs w:val="22"/>
        </w:rPr>
        <w:t>s/</w:t>
      </w:r>
      <w:r w:rsidR="00686064">
        <w:rPr>
          <w:rFonts w:ascii="Segoe UI" w:hAnsi="Segoe UI" w:cs="Segoe UI"/>
          <w:sz w:val="22"/>
          <w:szCs w:val="22"/>
        </w:rPr>
        <w:t>control</w:t>
      </w:r>
      <w:r w:rsidR="00130DE0">
        <w:rPr>
          <w:rFonts w:ascii="Segoe UI" w:hAnsi="Segoe UI" w:cs="Segoe UI"/>
          <w:sz w:val="22"/>
          <w:szCs w:val="22"/>
        </w:rPr>
        <w:t>s</w:t>
      </w:r>
      <w:r w:rsidRPr="0072538C">
        <w:rPr>
          <w:rFonts w:ascii="Segoe UI" w:hAnsi="Segoe UI" w:cs="Segoe UI"/>
          <w:sz w:val="22"/>
          <w:szCs w:val="22"/>
        </w:rPr>
        <w:t>.</w:t>
      </w:r>
    </w:p>
    <w:p w14:paraId="427BBB95" w14:textId="1FD8109B" w:rsidR="00F77791" w:rsidRDefault="00F77791" w:rsidP="004A11CA">
      <w:pPr>
        <w:jc w:val="both"/>
        <w:rPr>
          <w:rFonts w:ascii="Segoe UI" w:hAnsi="Segoe UI" w:cs="Segoe UI"/>
          <w:sz w:val="22"/>
          <w:szCs w:val="22"/>
        </w:rPr>
      </w:pPr>
    </w:p>
    <w:p w14:paraId="1277E282" w14:textId="56A3F1AA" w:rsidR="004A11CA" w:rsidRPr="0072538C" w:rsidRDefault="004A11CA" w:rsidP="00265772">
      <w:pPr>
        <w:rPr>
          <w:rFonts w:ascii="Segoe UI" w:hAnsi="Segoe UI" w:cs="Segoe UI"/>
          <w:sz w:val="22"/>
          <w:szCs w:val="22"/>
        </w:rPr>
      </w:pPr>
      <w:r w:rsidRPr="0072538C">
        <w:rPr>
          <w:rFonts w:ascii="Segoe UI" w:hAnsi="Segoe UI" w:cs="Segoe UI"/>
          <w:b/>
          <w:sz w:val="22"/>
          <w:szCs w:val="22"/>
        </w:rPr>
        <w:t>Author and Title: Kerry Rogers, Director of Corporate Affairs &amp;</w:t>
      </w:r>
      <w:r w:rsidR="002F1393">
        <w:rPr>
          <w:rFonts w:ascii="Segoe UI" w:hAnsi="Segoe UI" w:cs="Segoe UI"/>
          <w:b/>
          <w:sz w:val="22"/>
          <w:szCs w:val="22"/>
        </w:rPr>
        <w:t xml:space="preserve"> </w:t>
      </w:r>
      <w:r w:rsidRPr="0072538C">
        <w:rPr>
          <w:rFonts w:ascii="Segoe UI" w:hAnsi="Segoe UI" w:cs="Segoe UI"/>
          <w:b/>
          <w:sz w:val="22"/>
          <w:szCs w:val="22"/>
        </w:rPr>
        <w:t xml:space="preserve">Company Secretary </w:t>
      </w:r>
    </w:p>
    <w:p w14:paraId="1C394901" w14:textId="3038A24A" w:rsidR="004A11CA" w:rsidRPr="0072538C" w:rsidRDefault="004A11CA" w:rsidP="00265772">
      <w:pPr>
        <w:rPr>
          <w:rFonts w:ascii="Segoe UI" w:hAnsi="Segoe UI" w:cs="Segoe UI"/>
          <w:b/>
          <w:sz w:val="22"/>
          <w:szCs w:val="22"/>
        </w:rPr>
      </w:pPr>
      <w:r w:rsidRPr="0072538C">
        <w:rPr>
          <w:rFonts w:ascii="Segoe UI" w:hAnsi="Segoe UI" w:cs="Segoe UI"/>
          <w:b/>
          <w:sz w:val="22"/>
          <w:szCs w:val="22"/>
        </w:rPr>
        <w:t>Lead Exec:</w:t>
      </w:r>
      <w:r w:rsidR="00265772">
        <w:rPr>
          <w:rFonts w:ascii="Segoe UI" w:hAnsi="Segoe UI" w:cs="Segoe UI"/>
          <w:b/>
          <w:sz w:val="22"/>
          <w:szCs w:val="22"/>
        </w:rPr>
        <w:t xml:space="preserve"> </w:t>
      </w:r>
      <w:r w:rsidRPr="0072538C">
        <w:rPr>
          <w:rFonts w:ascii="Segoe UI" w:hAnsi="Segoe UI" w:cs="Segoe UI"/>
          <w:b/>
          <w:sz w:val="22"/>
          <w:szCs w:val="22"/>
        </w:rPr>
        <w:t xml:space="preserve">Kerry Rogers, Director of Corporate Affairs &amp; Company Secretary </w:t>
      </w:r>
      <w:r w:rsidRPr="0072538C">
        <w:rPr>
          <w:rFonts w:ascii="Segoe UI" w:hAnsi="Segoe UI" w:cs="Segoe UI"/>
          <w:sz w:val="22"/>
          <w:szCs w:val="22"/>
        </w:rPr>
        <w:tab/>
        <w:t xml:space="preserve"> </w:t>
      </w: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30231B52"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w:t>
      </w:r>
      <w:r w:rsidR="00EC3CA0">
        <w:rPr>
          <w:rFonts w:ascii="Segoe UI" w:hAnsi="Segoe UI" w:cs="Segoe UI"/>
          <w:i/>
          <w:sz w:val="20"/>
          <w:szCs w:val="20"/>
        </w:rPr>
        <w:t xml:space="preserve">all </w:t>
      </w:r>
      <w:r w:rsidRPr="0072538C">
        <w:rPr>
          <w:rFonts w:ascii="Segoe UI" w:hAnsi="Segoe UI" w:cs="Segoe UI"/>
          <w:i/>
          <w:sz w:val="20"/>
          <w:szCs w:val="20"/>
        </w:rPr>
        <w:t xml:space="preserve">aspects of each of the Strategic Objectives/Priorities of the Trust </w:t>
      </w:r>
    </w:p>
    <w:sectPr w:rsidR="004A11CA" w:rsidRPr="007253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BF04" w14:textId="77777777" w:rsidR="00787A89" w:rsidRDefault="00787A89" w:rsidP="004A11CA">
      <w:r>
        <w:separator/>
      </w:r>
    </w:p>
  </w:endnote>
  <w:endnote w:type="continuationSeparator" w:id="0">
    <w:p w14:paraId="0CB3F122" w14:textId="77777777" w:rsidR="00787A89" w:rsidRDefault="00787A89"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2F0" w14:textId="77777777" w:rsidR="00787A89" w:rsidRDefault="00787A89" w:rsidP="004A11CA">
      <w:r>
        <w:separator/>
      </w:r>
    </w:p>
  </w:footnote>
  <w:footnote w:type="continuationSeparator" w:id="0">
    <w:p w14:paraId="27EBD049" w14:textId="77777777" w:rsidR="00787A89" w:rsidRDefault="00787A89"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13CF0"/>
    <w:multiLevelType w:val="multilevel"/>
    <w:tmpl w:val="E68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6132C4"/>
    <w:multiLevelType w:val="multilevel"/>
    <w:tmpl w:val="6D4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9121">
    <w:abstractNumId w:val="19"/>
  </w:num>
  <w:num w:numId="2" w16cid:durableId="1934626909">
    <w:abstractNumId w:val="10"/>
  </w:num>
  <w:num w:numId="3" w16cid:durableId="820000199">
    <w:abstractNumId w:val="13"/>
  </w:num>
  <w:num w:numId="4" w16cid:durableId="632366924">
    <w:abstractNumId w:val="1"/>
  </w:num>
  <w:num w:numId="5" w16cid:durableId="2096052687">
    <w:abstractNumId w:val="14"/>
  </w:num>
  <w:num w:numId="6" w16cid:durableId="1545143745">
    <w:abstractNumId w:val="5"/>
  </w:num>
  <w:num w:numId="7" w16cid:durableId="1458915799">
    <w:abstractNumId w:val="16"/>
  </w:num>
  <w:num w:numId="8" w16cid:durableId="2109033176">
    <w:abstractNumId w:val="3"/>
  </w:num>
  <w:num w:numId="9" w16cid:durableId="2095467055">
    <w:abstractNumId w:val="17"/>
  </w:num>
  <w:num w:numId="10" w16cid:durableId="7221000">
    <w:abstractNumId w:val="21"/>
  </w:num>
  <w:num w:numId="11" w16cid:durableId="33577368">
    <w:abstractNumId w:val="0"/>
  </w:num>
  <w:num w:numId="12" w16cid:durableId="1463305832">
    <w:abstractNumId w:val="6"/>
  </w:num>
  <w:num w:numId="13" w16cid:durableId="632294134">
    <w:abstractNumId w:val="7"/>
  </w:num>
  <w:num w:numId="14" w16cid:durableId="1717582699">
    <w:abstractNumId w:val="15"/>
  </w:num>
  <w:num w:numId="15" w16cid:durableId="175702135">
    <w:abstractNumId w:val="9"/>
  </w:num>
  <w:num w:numId="16" w16cid:durableId="1415204654">
    <w:abstractNumId w:val="4"/>
  </w:num>
  <w:num w:numId="17" w16cid:durableId="2098479416">
    <w:abstractNumId w:val="8"/>
  </w:num>
  <w:num w:numId="18" w16cid:durableId="1376733317">
    <w:abstractNumId w:val="12"/>
  </w:num>
  <w:num w:numId="19" w16cid:durableId="1453670450">
    <w:abstractNumId w:val="2"/>
  </w:num>
  <w:num w:numId="20" w16cid:durableId="1817792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383391">
    <w:abstractNumId w:val="18"/>
  </w:num>
  <w:num w:numId="22" w16cid:durableId="2970773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04DCB"/>
    <w:rsid w:val="00023B36"/>
    <w:rsid w:val="000266FF"/>
    <w:rsid w:val="00030C5F"/>
    <w:rsid w:val="00031C4C"/>
    <w:rsid w:val="00034F7E"/>
    <w:rsid w:val="000557E0"/>
    <w:rsid w:val="00062312"/>
    <w:rsid w:val="00065F3A"/>
    <w:rsid w:val="00092012"/>
    <w:rsid w:val="00092559"/>
    <w:rsid w:val="000A31D1"/>
    <w:rsid w:val="000A371D"/>
    <w:rsid w:val="000A3EF8"/>
    <w:rsid w:val="000B223F"/>
    <w:rsid w:val="000B5FC0"/>
    <w:rsid w:val="000C2CB9"/>
    <w:rsid w:val="000D0030"/>
    <w:rsid w:val="000E6E09"/>
    <w:rsid w:val="000F1C94"/>
    <w:rsid w:val="000F2C61"/>
    <w:rsid w:val="000F327B"/>
    <w:rsid w:val="000F47E7"/>
    <w:rsid w:val="000F6F5F"/>
    <w:rsid w:val="000F7910"/>
    <w:rsid w:val="00106344"/>
    <w:rsid w:val="00107B6F"/>
    <w:rsid w:val="00107C10"/>
    <w:rsid w:val="001130D1"/>
    <w:rsid w:val="00113D45"/>
    <w:rsid w:val="00116FD7"/>
    <w:rsid w:val="00122BC2"/>
    <w:rsid w:val="00125E83"/>
    <w:rsid w:val="001266CA"/>
    <w:rsid w:val="00130DE0"/>
    <w:rsid w:val="001312B3"/>
    <w:rsid w:val="001361D1"/>
    <w:rsid w:val="0014008C"/>
    <w:rsid w:val="0014257B"/>
    <w:rsid w:val="0014738E"/>
    <w:rsid w:val="00151A8C"/>
    <w:rsid w:val="00165B79"/>
    <w:rsid w:val="00177DAE"/>
    <w:rsid w:val="0018017E"/>
    <w:rsid w:val="001932D2"/>
    <w:rsid w:val="001940A9"/>
    <w:rsid w:val="0019586F"/>
    <w:rsid w:val="001D251A"/>
    <w:rsid w:val="001D2D43"/>
    <w:rsid w:val="001D3D2E"/>
    <w:rsid w:val="001D79D5"/>
    <w:rsid w:val="001E0518"/>
    <w:rsid w:val="001E10DE"/>
    <w:rsid w:val="001E2BAC"/>
    <w:rsid w:val="001E37C2"/>
    <w:rsid w:val="001F4335"/>
    <w:rsid w:val="001F5DCC"/>
    <w:rsid w:val="001F6EF4"/>
    <w:rsid w:val="00206623"/>
    <w:rsid w:val="00214753"/>
    <w:rsid w:val="0021533A"/>
    <w:rsid w:val="00216000"/>
    <w:rsid w:val="002271A4"/>
    <w:rsid w:val="00250F2D"/>
    <w:rsid w:val="00256C62"/>
    <w:rsid w:val="00260D0E"/>
    <w:rsid w:val="00262B7A"/>
    <w:rsid w:val="0026412D"/>
    <w:rsid w:val="002645FC"/>
    <w:rsid w:val="00265772"/>
    <w:rsid w:val="0027043D"/>
    <w:rsid w:val="00277CF2"/>
    <w:rsid w:val="0028433A"/>
    <w:rsid w:val="002846D2"/>
    <w:rsid w:val="00291B83"/>
    <w:rsid w:val="00295BF3"/>
    <w:rsid w:val="002A3A11"/>
    <w:rsid w:val="002B77FE"/>
    <w:rsid w:val="002C4E90"/>
    <w:rsid w:val="002C5536"/>
    <w:rsid w:val="002C6CB7"/>
    <w:rsid w:val="002D1EAB"/>
    <w:rsid w:val="002D3E71"/>
    <w:rsid w:val="002D572D"/>
    <w:rsid w:val="002F1393"/>
    <w:rsid w:val="00300E3B"/>
    <w:rsid w:val="00307135"/>
    <w:rsid w:val="00310CDE"/>
    <w:rsid w:val="00320775"/>
    <w:rsid w:val="00320879"/>
    <w:rsid w:val="00331AB0"/>
    <w:rsid w:val="00336423"/>
    <w:rsid w:val="003466E5"/>
    <w:rsid w:val="00353564"/>
    <w:rsid w:val="003742D5"/>
    <w:rsid w:val="003809E6"/>
    <w:rsid w:val="00380B84"/>
    <w:rsid w:val="00385298"/>
    <w:rsid w:val="00396C63"/>
    <w:rsid w:val="003A64E2"/>
    <w:rsid w:val="003A6A8A"/>
    <w:rsid w:val="003B7350"/>
    <w:rsid w:val="003C1B7E"/>
    <w:rsid w:val="003C2862"/>
    <w:rsid w:val="003C3824"/>
    <w:rsid w:val="003C632D"/>
    <w:rsid w:val="003D1715"/>
    <w:rsid w:val="003E287C"/>
    <w:rsid w:val="003F391D"/>
    <w:rsid w:val="003F4380"/>
    <w:rsid w:val="003F5F1E"/>
    <w:rsid w:val="003F728D"/>
    <w:rsid w:val="00401CF4"/>
    <w:rsid w:val="00402A7B"/>
    <w:rsid w:val="00407298"/>
    <w:rsid w:val="00421A29"/>
    <w:rsid w:val="00424DBF"/>
    <w:rsid w:val="0043077B"/>
    <w:rsid w:val="0044240B"/>
    <w:rsid w:val="00444F70"/>
    <w:rsid w:val="00447952"/>
    <w:rsid w:val="00461F54"/>
    <w:rsid w:val="00465D9D"/>
    <w:rsid w:val="00470CEB"/>
    <w:rsid w:val="00471765"/>
    <w:rsid w:val="00485207"/>
    <w:rsid w:val="0048538B"/>
    <w:rsid w:val="004A11CA"/>
    <w:rsid w:val="004A448A"/>
    <w:rsid w:val="004B28D3"/>
    <w:rsid w:val="004B655D"/>
    <w:rsid w:val="004C048B"/>
    <w:rsid w:val="004C6DE4"/>
    <w:rsid w:val="004E0CC0"/>
    <w:rsid w:val="004E4DE8"/>
    <w:rsid w:val="004F65C5"/>
    <w:rsid w:val="0051008F"/>
    <w:rsid w:val="0051103D"/>
    <w:rsid w:val="00514F2C"/>
    <w:rsid w:val="0051742A"/>
    <w:rsid w:val="00521762"/>
    <w:rsid w:val="00530CA4"/>
    <w:rsid w:val="00543DB9"/>
    <w:rsid w:val="00547C0F"/>
    <w:rsid w:val="00550441"/>
    <w:rsid w:val="00564B8C"/>
    <w:rsid w:val="00564D8A"/>
    <w:rsid w:val="00565269"/>
    <w:rsid w:val="005677D9"/>
    <w:rsid w:val="00583F86"/>
    <w:rsid w:val="005B2F2A"/>
    <w:rsid w:val="005C4DD0"/>
    <w:rsid w:val="005C74DE"/>
    <w:rsid w:val="005D0950"/>
    <w:rsid w:val="005E728B"/>
    <w:rsid w:val="005E78C6"/>
    <w:rsid w:val="006023E7"/>
    <w:rsid w:val="00602C81"/>
    <w:rsid w:val="00630B94"/>
    <w:rsid w:val="00641B8C"/>
    <w:rsid w:val="006439DC"/>
    <w:rsid w:val="00643E94"/>
    <w:rsid w:val="00645375"/>
    <w:rsid w:val="006610E2"/>
    <w:rsid w:val="00667E4A"/>
    <w:rsid w:val="00676658"/>
    <w:rsid w:val="00686064"/>
    <w:rsid w:val="00687367"/>
    <w:rsid w:val="006A0D10"/>
    <w:rsid w:val="006A3848"/>
    <w:rsid w:val="006A434E"/>
    <w:rsid w:val="006A4B39"/>
    <w:rsid w:val="006E0C0B"/>
    <w:rsid w:val="006E6111"/>
    <w:rsid w:val="006E769B"/>
    <w:rsid w:val="006F1406"/>
    <w:rsid w:val="006F249A"/>
    <w:rsid w:val="007009D0"/>
    <w:rsid w:val="00701134"/>
    <w:rsid w:val="00710FEF"/>
    <w:rsid w:val="0071150B"/>
    <w:rsid w:val="00720481"/>
    <w:rsid w:val="00722727"/>
    <w:rsid w:val="0073401D"/>
    <w:rsid w:val="00735A31"/>
    <w:rsid w:val="007409D9"/>
    <w:rsid w:val="0074242B"/>
    <w:rsid w:val="007506D5"/>
    <w:rsid w:val="00760536"/>
    <w:rsid w:val="00760A48"/>
    <w:rsid w:val="00771C22"/>
    <w:rsid w:val="00776661"/>
    <w:rsid w:val="00786C88"/>
    <w:rsid w:val="00787A89"/>
    <w:rsid w:val="007929AA"/>
    <w:rsid w:val="007C0342"/>
    <w:rsid w:val="007C5675"/>
    <w:rsid w:val="007F48A4"/>
    <w:rsid w:val="00802F03"/>
    <w:rsid w:val="008033D4"/>
    <w:rsid w:val="00821896"/>
    <w:rsid w:val="00824264"/>
    <w:rsid w:val="008330FA"/>
    <w:rsid w:val="00836DDB"/>
    <w:rsid w:val="008414E8"/>
    <w:rsid w:val="008466C2"/>
    <w:rsid w:val="008505BE"/>
    <w:rsid w:val="008520BF"/>
    <w:rsid w:val="008543FD"/>
    <w:rsid w:val="00855834"/>
    <w:rsid w:val="00860199"/>
    <w:rsid w:val="00860D75"/>
    <w:rsid w:val="00860ED7"/>
    <w:rsid w:val="00865CFB"/>
    <w:rsid w:val="008B0BA3"/>
    <w:rsid w:val="008B6B34"/>
    <w:rsid w:val="008D2B30"/>
    <w:rsid w:val="008E2BDA"/>
    <w:rsid w:val="008E705C"/>
    <w:rsid w:val="008F077D"/>
    <w:rsid w:val="008F2D28"/>
    <w:rsid w:val="008F2E96"/>
    <w:rsid w:val="00900349"/>
    <w:rsid w:val="00902271"/>
    <w:rsid w:val="009034BE"/>
    <w:rsid w:val="00917655"/>
    <w:rsid w:val="00923F05"/>
    <w:rsid w:val="0093599B"/>
    <w:rsid w:val="009405DE"/>
    <w:rsid w:val="00942E62"/>
    <w:rsid w:val="009437DD"/>
    <w:rsid w:val="00946625"/>
    <w:rsid w:val="00955D15"/>
    <w:rsid w:val="009601FD"/>
    <w:rsid w:val="009615A4"/>
    <w:rsid w:val="00965BFC"/>
    <w:rsid w:val="0097097E"/>
    <w:rsid w:val="00970D65"/>
    <w:rsid w:val="00975498"/>
    <w:rsid w:val="009828FE"/>
    <w:rsid w:val="00983AA9"/>
    <w:rsid w:val="009849A3"/>
    <w:rsid w:val="0098599E"/>
    <w:rsid w:val="00993793"/>
    <w:rsid w:val="00995699"/>
    <w:rsid w:val="009A1618"/>
    <w:rsid w:val="009A3C5F"/>
    <w:rsid w:val="009A61EA"/>
    <w:rsid w:val="009A6C9D"/>
    <w:rsid w:val="009C21F7"/>
    <w:rsid w:val="009E1D77"/>
    <w:rsid w:val="009F6820"/>
    <w:rsid w:val="00A01D33"/>
    <w:rsid w:val="00A03722"/>
    <w:rsid w:val="00A07AC3"/>
    <w:rsid w:val="00A14BFF"/>
    <w:rsid w:val="00A15841"/>
    <w:rsid w:val="00A33CA1"/>
    <w:rsid w:val="00A36117"/>
    <w:rsid w:val="00A45310"/>
    <w:rsid w:val="00A4631F"/>
    <w:rsid w:val="00A475A1"/>
    <w:rsid w:val="00A52B23"/>
    <w:rsid w:val="00A56B04"/>
    <w:rsid w:val="00A82196"/>
    <w:rsid w:val="00A86710"/>
    <w:rsid w:val="00AA4E52"/>
    <w:rsid w:val="00AB442B"/>
    <w:rsid w:val="00AB51E9"/>
    <w:rsid w:val="00AC1950"/>
    <w:rsid w:val="00AD1412"/>
    <w:rsid w:val="00AE1EA6"/>
    <w:rsid w:val="00AE458A"/>
    <w:rsid w:val="00AE504F"/>
    <w:rsid w:val="00AE5694"/>
    <w:rsid w:val="00AF2F7E"/>
    <w:rsid w:val="00AF35D6"/>
    <w:rsid w:val="00B12FA8"/>
    <w:rsid w:val="00B159CE"/>
    <w:rsid w:val="00B215CC"/>
    <w:rsid w:val="00B234F5"/>
    <w:rsid w:val="00B33DAD"/>
    <w:rsid w:val="00B47D87"/>
    <w:rsid w:val="00B537C7"/>
    <w:rsid w:val="00B54FB9"/>
    <w:rsid w:val="00B6381A"/>
    <w:rsid w:val="00B74059"/>
    <w:rsid w:val="00B97147"/>
    <w:rsid w:val="00BA5950"/>
    <w:rsid w:val="00BB763C"/>
    <w:rsid w:val="00BB770F"/>
    <w:rsid w:val="00BC1773"/>
    <w:rsid w:val="00BD1D7A"/>
    <w:rsid w:val="00BD64A7"/>
    <w:rsid w:val="00BE1137"/>
    <w:rsid w:val="00BE26A9"/>
    <w:rsid w:val="00BE7A0C"/>
    <w:rsid w:val="00BF3A16"/>
    <w:rsid w:val="00BF422C"/>
    <w:rsid w:val="00C158F5"/>
    <w:rsid w:val="00C176AD"/>
    <w:rsid w:val="00C22E7D"/>
    <w:rsid w:val="00C33F7E"/>
    <w:rsid w:val="00C416E2"/>
    <w:rsid w:val="00C4631C"/>
    <w:rsid w:val="00C72352"/>
    <w:rsid w:val="00C7779D"/>
    <w:rsid w:val="00C84F83"/>
    <w:rsid w:val="00C909AB"/>
    <w:rsid w:val="00C9519A"/>
    <w:rsid w:val="00C96D06"/>
    <w:rsid w:val="00CA22E0"/>
    <w:rsid w:val="00CC0182"/>
    <w:rsid w:val="00CC5F36"/>
    <w:rsid w:val="00CC6535"/>
    <w:rsid w:val="00CF17EA"/>
    <w:rsid w:val="00D02E70"/>
    <w:rsid w:val="00D04BD1"/>
    <w:rsid w:val="00D1294F"/>
    <w:rsid w:val="00D26C42"/>
    <w:rsid w:val="00D33E8C"/>
    <w:rsid w:val="00D35EAA"/>
    <w:rsid w:val="00D434AC"/>
    <w:rsid w:val="00D51C06"/>
    <w:rsid w:val="00D5383E"/>
    <w:rsid w:val="00D55F3D"/>
    <w:rsid w:val="00D61200"/>
    <w:rsid w:val="00D6133C"/>
    <w:rsid w:val="00D61913"/>
    <w:rsid w:val="00D74317"/>
    <w:rsid w:val="00D838FE"/>
    <w:rsid w:val="00D84C0F"/>
    <w:rsid w:val="00D853C5"/>
    <w:rsid w:val="00D92B34"/>
    <w:rsid w:val="00DA6449"/>
    <w:rsid w:val="00DC1D0C"/>
    <w:rsid w:val="00DC4ED4"/>
    <w:rsid w:val="00DC70B0"/>
    <w:rsid w:val="00DC7F52"/>
    <w:rsid w:val="00DD0715"/>
    <w:rsid w:val="00DE1255"/>
    <w:rsid w:val="00DF3E47"/>
    <w:rsid w:val="00DF74DE"/>
    <w:rsid w:val="00E00681"/>
    <w:rsid w:val="00E00AD3"/>
    <w:rsid w:val="00E20D11"/>
    <w:rsid w:val="00E269F0"/>
    <w:rsid w:val="00E36833"/>
    <w:rsid w:val="00E50430"/>
    <w:rsid w:val="00E510F7"/>
    <w:rsid w:val="00E52441"/>
    <w:rsid w:val="00E55250"/>
    <w:rsid w:val="00E65935"/>
    <w:rsid w:val="00E721EF"/>
    <w:rsid w:val="00E74A0B"/>
    <w:rsid w:val="00E764CB"/>
    <w:rsid w:val="00E80BF0"/>
    <w:rsid w:val="00E90044"/>
    <w:rsid w:val="00E95F9C"/>
    <w:rsid w:val="00EA2E2D"/>
    <w:rsid w:val="00EA4E9E"/>
    <w:rsid w:val="00EB01A3"/>
    <w:rsid w:val="00EB41DD"/>
    <w:rsid w:val="00EC3CA0"/>
    <w:rsid w:val="00EC4CC4"/>
    <w:rsid w:val="00ED7834"/>
    <w:rsid w:val="00EE0CBF"/>
    <w:rsid w:val="00EF44A4"/>
    <w:rsid w:val="00EF522A"/>
    <w:rsid w:val="00F02E20"/>
    <w:rsid w:val="00F04F71"/>
    <w:rsid w:val="00F05F8E"/>
    <w:rsid w:val="00F10E91"/>
    <w:rsid w:val="00F11573"/>
    <w:rsid w:val="00F234DC"/>
    <w:rsid w:val="00F24B7B"/>
    <w:rsid w:val="00F46E11"/>
    <w:rsid w:val="00F60A3C"/>
    <w:rsid w:val="00F663EF"/>
    <w:rsid w:val="00F675B1"/>
    <w:rsid w:val="00F74073"/>
    <w:rsid w:val="00F76F9B"/>
    <w:rsid w:val="00F77791"/>
    <w:rsid w:val="00F8500B"/>
    <w:rsid w:val="00F8673A"/>
    <w:rsid w:val="00F8722F"/>
    <w:rsid w:val="00F87895"/>
    <w:rsid w:val="00F960A6"/>
    <w:rsid w:val="00F97C7F"/>
    <w:rsid w:val="00FB1841"/>
    <w:rsid w:val="00FB70A9"/>
    <w:rsid w:val="00FB7861"/>
    <w:rsid w:val="00FD1F38"/>
    <w:rsid w:val="00FD2668"/>
    <w:rsid w:val="00FD27BE"/>
    <w:rsid w:val="00FD6E03"/>
    <w:rsid w:val="00FE2084"/>
    <w:rsid w:val="00FF56CB"/>
    <w:rsid w:val="00FF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 w:type="character" w:styleId="UnresolvedMention">
    <w:name w:val="Unresolved Mention"/>
    <w:basedOn w:val="DefaultParagraphFont"/>
    <w:uiPriority w:val="99"/>
    <w:semiHidden/>
    <w:unhideWhenUsed/>
    <w:rsid w:val="0078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1796">
      <w:bodyDiv w:val="1"/>
      <w:marLeft w:val="0"/>
      <w:marRight w:val="0"/>
      <w:marTop w:val="0"/>
      <w:marBottom w:val="0"/>
      <w:divBdr>
        <w:top w:val="none" w:sz="0" w:space="0" w:color="auto"/>
        <w:left w:val="none" w:sz="0" w:space="0" w:color="auto"/>
        <w:bottom w:val="none" w:sz="0" w:space="0" w:color="auto"/>
        <w:right w:val="none" w:sz="0" w:space="0" w:color="auto"/>
      </w:divBdr>
    </w:div>
    <w:div w:id="579295943">
      <w:bodyDiv w:val="1"/>
      <w:marLeft w:val="0"/>
      <w:marRight w:val="0"/>
      <w:marTop w:val="0"/>
      <w:marBottom w:val="0"/>
      <w:divBdr>
        <w:top w:val="none" w:sz="0" w:space="0" w:color="auto"/>
        <w:left w:val="none" w:sz="0" w:space="0" w:color="auto"/>
        <w:bottom w:val="none" w:sz="0" w:space="0" w:color="auto"/>
        <w:right w:val="none" w:sz="0" w:space="0" w:color="auto"/>
      </w:divBdr>
    </w:div>
    <w:div w:id="783384501">
      <w:bodyDiv w:val="1"/>
      <w:marLeft w:val="0"/>
      <w:marRight w:val="0"/>
      <w:marTop w:val="0"/>
      <w:marBottom w:val="0"/>
      <w:divBdr>
        <w:top w:val="none" w:sz="0" w:space="0" w:color="auto"/>
        <w:left w:val="none" w:sz="0" w:space="0" w:color="auto"/>
        <w:bottom w:val="none" w:sz="0" w:space="0" w:color="auto"/>
        <w:right w:val="none" w:sz="0" w:space="0" w:color="auto"/>
      </w:divBdr>
    </w:div>
    <w:div w:id="909925083">
      <w:bodyDiv w:val="1"/>
      <w:marLeft w:val="0"/>
      <w:marRight w:val="0"/>
      <w:marTop w:val="0"/>
      <w:marBottom w:val="0"/>
      <w:divBdr>
        <w:top w:val="none" w:sz="0" w:space="0" w:color="auto"/>
        <w:left w:val="none" w:sz="0" w:space="0" w:color="auto"/>
        <w:bottom w:val="none" w:sz="0" w:space="0" w:color="auto"/>
        <w:right w:val="none" w:sz="0" w:space="0" w:color="auto"/>
      </w:divBdr>
    </w:div>
    <w:div w:id="1179542133">
      <w:bodyDiv w:val="1"/>
      <w:marLeft w:val="0"/>
      <w:marRight w:val="0"/>
      <w:marTop w:val="0"/>
      <w:marBottom w:val="0"/>
      <w:divBdr>
        <w:top w:val="none" w:sz="0" w:space="0" w:color="auto"/>
        <w:left w:val="none" w:sz="0" w:space="0" w:color="auto"/>
        <w:bottom w:val="none" w:sz="0" w:space="0" w:color="auto"/>
        <w:right w:val="none" w:sz="0" w:space="0" w:color="auto"/>
      </w:divBdr>
    </w:div>
    <w:div w:id="18678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3399</Words>
  <Characters>19103</Characters>
  <Application>Microsoft Office Word</Application>
  <DocSecurity>0</DocSecurity>
  <Lines>1364</Lines>
  <Paragraphs>416</Paragraphs>
  <ScaleCrop>false</ScaleCrop>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155</cp:revision>
  <dcterms:created xsi:type="dcterms:W3CDTF">2022-11-26T10:41:00Z</dcterms:created>
  <dcterms:modified xsi:type="dcterms:W3CDTF">2022-11-27T23:10:00Z</dcterms:modified>
</cp:coreProperties>
</file>