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77777777" w:rsidR="005D3499" w:rsidRPr="00FA3993" w:rsidRDefault="005D3499" w:rsidP="007B02FB">
      <w:pPr>
        <w:pStyle w:val="Heading1"/>
        <w:rPr>
          <w:rFonts w:ascii="Segoe UI" w:hAnsi="Segoe UI" w:cs="Segoe UI"/>
          <w:sz w:val="28"/>
          <w:u w:val="none"/>
        </w:rPr>
      </w:pPr>
    </w:p>
    <w:p w14:paraId="5B4DE2E5" w14:textId="77777777"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52CF9FD7" wp14:editId="6D790761">
                <wp:simplePos x="0" y="0"/>
                <wp:positionH relativeFrom="column">
                  <wp:posOffset>4491355</wp:posOffset>
                </wp:positionH>
                <wp:positionV relativeFrom="paragraph">
                  <wp:posOffset>40005</wp:posOffset>
                </wp:positionV>
                <wp:extent cx="1727200" cy="457200"/>
                <wp:effectExtent l="0" t="0" r="2540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57200"/>
                        </a:xfrm>
                        <a:prstGeom prst="rect">
                          <a:avLst/>
                        </a:prstGeom>
                        <a:solidFill>
                          <a:srgbClr val="FFFFFF"/>
                        </a:solidFill>
                        <a:ln w="9525">
                          <a:solidFill>
                            <a:srgbClr val="000000"/>
                          </a:solidFill>
                          <a:miter lim="800000"/>
                          <a:headEnd/>
                          <a:tailEnd/>
                        </a:ln>
                      </wps:spPr>
                      <wps:txbx>
                        <w:txbxContent>
                          <w:p w14:paraId="029CD20E" w14:textId="705714D6" w:rsidR="00781566" w:rsidRDefault="006427ED">
                            <w:pPr>
                              <w:jc w:val="center"/>
                              <w:rPr>
                                <w:rFonts w:ascii="Segoe UI" w:hAnsi="Segoe UI" w:cs="Segoe UI"/>
                              </w:rPr>
                            </w:pPr>
                            <w:r>
                              <w:rPr>
                                <w:rFonts w:ascii="Segoe UI" w:hAnsi="Segoe UI" w:cs="Segoe UI"/>
                                <w:b/>
                              </w:rPr>
                              <w:t>RR/App_</w:t>
                            </w:r>
                            <w:r w:rsidR="00342219">
                              <w:rPr>
                                <w:rFonts w:ascii="Segoe UI" w:hAnsi="Segoe UI" w:cs="Segoe UI"/>
                                <w:b/>
                              </w:rPr>
                              <w:t>CoG</w:t>
                            </w:r>
                            <w:r w:rsidR="00FA3993">
                              <w:rPr>
                                <w:rFonts w:ascii="Segoe UI" w:hAnsi="Segoe UI" w:cs="Segoe UI"/>
                                <w:b/>
                              </w:rPr>
                              <w:t xml:space="preserve"> </w:t>
                            </w:r>
                            <w:r>
                              <w:rPr>
                                <w:rFonts w:ascii="Segoe UI" w:hAnsi="Segoe UI" w:cs="Segoe UI"/>
                                <w:b/>
                              </w:rPr>
                              <w:t>01</w:t>
                            </w:r>
                            <w:r w:rsidR="00FA3993">
                              <w:rPr>
                                <w:rFonts w:ascii="Segoe UI" w:hAnsi="Segoe UI" w:cs="Segoe UI"/>
                                <w:b/>
                              </w:rPr>
                              <w:t>/20</w:t>
                            </w:r>
                            <w:r w:rsidR="00842E4A">
                              <w:rPr>
                                <w:rFonts w:ascii="Segoe UI" w:hAnsi="Segoe UI" w:cs="Segoe UI"/>
                                <w:b/>
                              </w:rPr>
                              <w:t>2</w:t>
                            </w:r>
                            <w:r>
                              <w:rPr>
                                <w:rFonts w:ascii="Segoe UI" w:hAnsi="Segoe UI" w:cs="Segoe UI"/>
                                <w:b/>
                              </w:rPr>
                              <w:t>2</w:t>
                            </w:r>
                          </w:p>
                          <w:p w14:paraId="55332493" w14:textId="4C109793" w:rsidR="00FA3993" w:rsidRPr="00FA3993" w:rsidRDefault="00FA3993">
                            <w:pPr>
                              <w:jc w:val="center"/>
                              <w:rPr>
                                <w:rFonts w:ascii="Segoe UI" w:hAnsi="Segoe UI" w:cs="Segoe UI"/>
                                <w:sz w:val="22"/>
                                <w:szCs w:val="22"/>
                              </w:rPr>
                            </w:pPr>
                            <w:r>
                              <w:rPr>
                                <w:rFonts w:ascii="Segoe UI" w:hAnsi="Segoe UI" w:cs="Segoe UI"/>
                                <w:sz w:val="22"/>
                                <w:szCs w:val="22"/>
                              </w:rPr>
                              <w:t>(Agenda item:</w:t>
                            </w:r>
                            <w:r w:rsidR="006427ED">
                              <w:rPr>
                                <w:rFonts w:ascii="Segoe UI" w:hAnsi="Segoe UI" w:cs="Segoe UI"/>
                                <w:sz w:val="22"/>
                                <w:szCs w:val="22"/>
                              </w:rPr>
                              <w:t xml:space="preserve"> 16</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9FD7" id="Rectangle 10" o:spid="_x0000_s1026" style="position:absolute;left:0;text-align:left;margin-left:353.65pt;margin-top:3.15pt;width:1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ZOGgIAADgEAAAOAAAAZHJzL2Uyb0RvYy54bWysU8GO0zAQvSPxD5bvNE1F2SVqulp1KUJa&#10;YMXCBziOk1g4HjN2m5SvZ+y03S5wQvhgPdvj55k3z6ubsTdsr9BrsCXPZ3POlJVQa9uW/NvX7atr&#10;znwQthYGrCr5QXl+s375YjW4Qi2gA1MrZERifTG4knchuCLLvOxUL/wMnLJ02AD2ItAS26xGMRB7&#10;b7LFfP4mGwBrhyCV97R7Nx3ydeJvGiXD56bxKjBTcsotpBnTXMU5W69E0aJwnZbHNMQ/ZNELbenR&#10;M9WdCILtUP9B1WuJ4KEJMwl9Bk2jpUo1UDX5/LdqHjvhVKqFxPHuLJP/f7Ty0/4Bma5LvuDMip5a&#10;9IVEE7Y1iuVJn8H5gsIe3QPGCr27B/ndMwubjsLULSIMnRI1ZZVHPbNnF+LC01VWDR+hJnqxC5Ck&#10;GhvsIyGJwMbUkcO5I2oMTNJmfrW4ojZzJuns9TLh+IQoTrcd+vBeQc8iKDlS8old7O99mEJPISl7&#10;MLreamPSAttqY5DtBbljm0YqgIq8DDOWDSV/u1wsE/OzM39JMU/jbxS9DmRzo/uSX5+DRBFle2fr&#10;ZMIgtJkwVWfsUccoXTSzL8JYjRQYYQX1gRRFmOxM349AB/iTs4GsXHL/YydQcWY+WOpK9P0J4AlU&#10;JyCspKslD5xNcBOm/7FzqNuOmPNUtoVb6lyjk6hPWRzzJHumthy/UvT/5TpFPX349S8AAAD//wMA&#10;UEsDBBQABgAIAAAAIQDscdMw4AAAAAgBAAAPAAAAZHJzL2Rvd25yZXYueG1sTI9BT8JAEIXvJv6H&#10;zZh4ky2iFEq3xJhw0UiwEuNx6Q5ttTvbdJdS/PUMJz3NTN7Le9+ky8E2osfO144UjEcRCKTCmZpK&#10;BduP1d0MhA+ajG4coYITelhm11epTow70jv2eSgFh5BPtIIqhDaR0hcVWu1HrkVibe86qwOfXSlN&#10;p48cbht5H0VTaXVN3FDpFp8rLH7yg+Xeh/Z7u35Zr95Ov5+937x+5Y97p9TtzfC0ABFwCH9muOAz&#10;OmTMtHMHMl40CuIonrBVwZQH6/N4zsuOhdkEZJbK/w9kZwAAAP//AwBQSwECLQAUAAYACAAAACEA&#10;toM4kv4AAADhAQAAEwAAAAAAAAAAAAAAAAAAAAAAW0NvbnRlbnRfVHlwZXNdLnhtbFBLAQItABQA&#10;BgAIAAAAIQA4/SH/1gAAAJQBAAALAAAAAAAAAAAAAAAAAC8BAABfcmVscy8ucmVsc1BLAQItABQA&#10;BgAIAAAAIQBfxXZOGgIAADgEAAAOAAAAAAAAAAAAAAAAAC4CAABkcnMvZTJvRG9jLnhtbFBLAQIt&#10;ABQABgAIAAAAIQDscdMw4AAAAAgBAAAPAAAAAAAAAAAAAAAAAHQEAABkcnMvZG93bnJldi54bWxQ&#10;SwUGAAAAAAQABADzAAAAgQUAAAAA&#10;">
                <v:textbox inset="0,0,0,0">
                  <w:txbxContent>
                    <w:p w14:paraId="029CD20E" w14:textId="705714D6" w:rsidR="00781566" w:rsidRDefault="006427ED">
                      <w:pPr>
                        <w:jc w:val="center"/>
                        <w:rPr>
                          <w:rFonts w:ascii="Segoe UI" w:hAnsi="Segoe UI" w:cs="Segoe UI"/>
                        </w:rPr>
                      </w:pPr>
                      <w:r>
                        <w:rPr>
                          <w:rFonts w:ascii="Segoe UI" w:hAnsi="Segoe UI" w:cs="Segoe UI"/>
                          <w:b/>
                        </w:rPr>
                        <w:t>RR/App_</w:t>
                      </w:r>
                      <w:r w:rsidR="00342219">
                        <w:rPr>
                          <w:rFonts w:ascii="Segoe UI" w:hAnsi="Segoe UI" w:cs="Segoe UI"/>
                          <w:b/>
                        </w:rPr>
                        <w:t>CoG</w:t>
                      </w:r>
                      <w:r w:rsidR="00FA3993">
                        <w:rPr>
                          <w:rFonts w:ascii="Segoe UI" w:hAnsi="Segoe UI" w:cs="Segoe UI"/>
                          <w:b/>
                        </w:rPr>
                        <w:t xml:space="preserve"> </w:t>
                      </w:r>
                      <w:r>
                        <w:rPr>
                          <w:rFonts w:ascii="Segoe UI" w:hAnsi="Segoe UI" w:cs="Segoe UI"/>
                          <w:b/>
                        </w:rPr>
                        <w:t>01</w:t>
                      </w:r>
                      <w:r w:rsidR="00FA3993">
                        <w:rPr>
                          <w:rFonts w:ascii="Segoe UI" w:hAnsi="Segoe UI" w:cs="Segoe UI"/>
                          <w:b/>
                        </w:rPr>
                        <w:t>/20</w:t>
                      </w:r>
                      <w:r w:rsidR="00842E4A">
                        <w:rPr>
                          <w:rFonts w:ascii="Segoe UI" w:hAnsi="Segoe UI" w:cs="Segoe UI"/>
                          <w:b/>
                        </w:rPr>
                        <w:t>2</w:t>
                      </w:r>
                      <w:r>
                        <w:rPr>
                          <w:rFonts w:ascii="Segoe UI" w:hAnsi="Segoe UI" w:cs="Segoe UI"/>
                          <w:b/>
                        </w:rPr>
                        <w:t>2</w:t>
                      </w:r>
                    </w:p>
                    <w:p w14:paraId="55332493" w14:textId="4C109793" w:rsidR="00FA3993" w:rsidRPr="00FA3993" w:rsidRDefault="00FA3993">
                      <w:pPr>
                        <w:jc w:val="center"/>
                        <w:rPr>
                          <w:rFonts w:ascii="Segoe UI" w:hAnsi="Segoe UI" w:cs="Segoe UI"/>
                          <w:sz w:val="22"/>
                          <w:szCs w:val="22"/>
                        </w:rPr>
                      </w:pPr>
                      <w:r>
                        <w:rPr>
                          <w:rFonts w:ascii="Segoe UI" w:hAnsi="Segoe UI" w:cs="Segoe UI"/>
                          <w:sz w:val="22"/>
                          <w:szCs w:val="22"/>
                        </w:rPr>
                        <w:t>(Agenda item:</w:t>
                      </w:r>
                      <w:r w:rsidR="006427ED">
                        <w:rPr>
                          <w:rFonts w:ascii="Segoe UI" w:hAnsi="Segoe UI" w:cs="Segoe UI"/>
                          <w:sz w:val="22"/>
                          <w:szCs w:val="22"/>
                        </w:rPr>
                        <w:t xml:space="preserve"> 16</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77777777"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ED54CE9" w14:textId="0473192D" w:rsidR="005D3499" w:rsidRPr="00FA3993" w:rsidRDefault="008A6E6B" w:rsidP="00A901FF">
      <w:pPr>
        <w:jc w:val="center"/>
        <w:rPr>
          <w:rFonts w:ascii="Segoe UI" w:hAnsi="Segoe UI" w:cs="Segoe UI"/>
          <w:b/>
          <w:bCs/>
        </w:rPr>
      </w:pPr>
      <w:r>
        <w:rPr>
          <w:rFonts w:ascii="Segoe UI" w:hAnsi="Segoe UI" w:cs="Segoe UI"/>
          <w:b/>
          <w:bCs/>
        </w:rPr>
        <w:t>24</w:t>
      </w:r>
      <w:r w:rsidRPr="008A6E6B">
        <w:rPr>
          <w:rFonts w:ascii="Segoe UI" w:hAnsi="Segoe UI" w:cs="Segoe UI"/>
          <w:b/>
          <w:bCs/>
          <w:vertAlign w:val="superscript"/>
        </w:rPr>
        <w:t>th</w:t>
      </w:r>
      <w:r>
        <w:rPr>
          <w:rFonts w:ascii="Segoe UI" w:hAnsi="Segoe UI" w:cs="Segoe UI"/>
          <w:b/>
          <w:bCs/>
        </w:rPr>
        <w:t xml:space="preserve"> March 2022</w:t>
      </w:r>
    </w:p>
    <w:p w14:paraId="27F436E6" w14:textId="77777777" w:rsidR="005D3499" w:rsidRPr="00FA3993" w:rsidRDefault="005D3499">
      <w:pPr>
        <w:jc w:val="center"/>
        <w:rPr>
          <w:rFonts w:ascii="Segoe UI" w:hAnsi="Segoe UI" w:cs="Segoe UI"/>
          <w:b/>
        </w:rPr>
      </w:pPr>
    </w:p>
    <w:p w14:paraId="5EEAEE7E" w14:textId="200CFDF9" w:rsidR="005D3499" w:rsidRPr="00FA3993" w:rsidRDefault="001F2B8D" w:rsidP="00FD2279">
      <w:pPr>
        <w:jc w:val="center"/>
        <w:rPr>
          <w:rFonts w:ascii="Segoe UI" w:hAnsi="Segoe UI" w:cs="Segoe UI"/>
          <w:b/>
        </w:rPr>
      </w:pPr>
      <w:r>
        <w:rPr>
          <w:rFonts w:ascii="Segoe UI" w:hAnsi="Segoe UI" w:cs="Segoe UI"/>
          <w:b/>
        </w:rPr>
        <w:t>Integrated Performance Report (IPR)</w:t>
      </w:r>
    </w:p>
    <w:p w14:paraId="75CC48EA" w14:textId="77777777" w:rsidR="005D3499" w:rsidRPr="00FA3993" w:rsidRDefault="005D3499">
      <w:pPr>
        <w:rPr>
          <w:rFonts w:ascii="Segoe UI" w:hAnsi="Segoe UI" w:cs="Segoe UI"/>
          <w:b/>
        </w:rPr>
      </w:pPr>
    </w:p>
    <w:p w14:paraId="39161D7D" w14:textId="0B479259" w:rsidR="00241A66" w:rsidRDefault="00292613" w:rsidP="00241A66">
      <w:pPr>
        <w:jc w:val="center"/>
        <w:rPr>
          <w:rFonts w:ascii="Segoe UI" w:hAnsi="Segoe UI" w:cs="Segoe UI"/>
        </w:rPr>
      </w:pPr>
      <w:r w:rsidRPr="00FA3993">
        <w:rPr>
          <w:rFonts w:ascii="Segoe UI" w:hAnsi="Segoe UI" w:cs="Segoe UI"/>
          <w:b/>
          <w:u w:val="single"/>
        </w:rPr>
        <w:t>For: Information</w:t>
      </w:r>
    </w:p>
    <w:p w14:paraId="6C0C2A98" w14:textId="77777777" w:rsidR="00292613" w:rsidRPr="00FA3993" w:rsidRDefault="00292613">
      <w:pPr>
        <w:rPr>
          <w:rFonts w:ascii="Segoe UI" w:hAnsi="Segoe UI" w:cs="Segoe UI"/>
          <w:b/>
        </w:rPr>
      </w:pPr>
    </w:p>
    <w:p w14:paraId="29CB0886"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p>
    <w:p w14:paraId="5848F848" w14:textId="77777777" w:rsidR="004A1E77" w:rsidRDefault="004A1E77" w:rsidP="004A1E77">
      <w:pPr>
        <w:jc w:val="both"/>
        <w:rPr>
          <w:rFonts w:ascii="Arial" w:hAnsi="Arial" w:cs="Arial"/>
          <w:b/>
        </w:rPr>
      </w:pPr>
    </w:p>
    <w:p w14:paraId="29A6DEDB" w14:textId="77777777" w:rsidR="00CE7B45" w:rsidRDefault="004A1E77" w:rsidP="004A1E77">
      <w:pPr>
        <w:rPr>
          <w:rFonts w:ascii="Arial" w:hAnsi="Arial" w:cs="Arial"/>
        </w:rPr>
      </w:pPr>
      <w:r w:rsidRPr="006B1604">
        <w:rPr>
          <w:rFonts w:ascii="Arial" w:hAnsi="Arial" w:cs="Arial"/>
        </w:rPr>
        <w:t>This</w:t>
      </w:r>
      <w:r>
        <w:rPr>
          <w:rFonts w:ascii="Arial" w:hAnsi="Arial" w:cs="Arial"/>
        </w:rPr>
        <w:t xml:space="preserve"> report is intended to provide the </w:t>
      </w:r>
      <w:r w:rsidR="00CE7B45">
        <w:rPr>
          <w:rFonts w:ascii="Arial" w:hAnsi="Arial" w:cs="Arial"/>
        </w:rPr>
        <w:t xml:space="preserve">Council of Governors with an overview of the </w:t>
      </w:r>
      <w:r>
        <w:rPr>
          <w:rFonts w:ascii="Arial" w:hAnsi="Arial" w:cs="Arial"/>
        </w:rPr>
        <w:t>Trust’s overall performance</w:t>
      </w:r>
      <w:r w:rsidR="00CE7B45">
        <w:rPr>
          <w:rFonts w:ascii="Arial" w:hAnsi="Arial" w:cs="Arial"/>
        </w:rPr>
        <w:t xml:space="preserve">.  </w:t>
      </w:r>
    </w:p>
    <w:p w14:paraId="45A9F9A5" w14:textId="77777777" w:rsidR="00CE7B45" w:rsidRDefault="00CE7B45" w:rsidP="004A1E77">
      <w:pPr>
        <w:rPr>
          <w:rFonts w:ascii="Arial" w:hAnsi="Arial" w:cs="Arial"/>
        </w:rPr>
      </w:pPr>
    </w:p>
    <w:p w14:paraId="5447935D" w14:textId="0D418341" w:rsidR="00CE7B45" w:rsidRDefault="00CE7B45" w:rsidP="004A1E77">
      <w:pPr>
        <w:rPr>
          <w:rFonts w:ascii="Arial" w:hAnsi="Arial" w:cs="Arial"/>
        </w:rPr>
      </w:pPr>
      <w:r>
        <w:rPr>
          <w:rFonts w:ascii="Arial" w:hAnsi="Arial" w:cs="Arial"/>
        </w:rPr>
        <w:t>This update is based on the Integrated Performance Report (IPR) that was presented at the public session of the Board of Directors in January as that is the most recent information publicly available.  The March IPR will be presented to the Board of Directors at the end of the month.</w:t>
      </w:r>
    </w:p>
    <w:p w14:paraId="28C1275B" w14:textId="150F8D4D" w:rsidR="00CE7B45" w:rsidRDefault="00CE7B45" w:rsidP="004A1E77">
      <w:pPr>
        <w:rPr>
          <w:rFonts w:ascii="Arial" w:hAnsi="Arial" w:cs="Arial"/>
        </w:rPr>
      </w:pPr>
    </w:p>
    <w:p w14:paraId="10AC8224" w14:textId="642C2269" w:rsidR="00CE7B45" w:rsidRDefault="00CE7B45" w:rsidP="004A1E77">
      <w:pPr>
        <w:rPr>
          <w:rFonts w:ascii="Arial" w:hAnsi="Arial" w:cs="Arial"/>
        </w:rPr>
      </w:pPr>
      <w:r>
        <w:rPr>
          <w:rFonts w:ascii="Arial" w:hAnsi="Arial" w:cs="Arial"/>
        </w:rPr>
        <w:t>For information, the IPR has been developed to provide an integrated view of the performance domains of Quality, People, Sustainability and Research &amp; Education.  The report is divided into five sections, each with a Executive owner.</w:t>
      </w:r>
    </w:p>
    <w:p w14:paraId="2DF65075" w14:textId="77777777" w:rsidR="004A1E77" w:rsidRDefault="004A1E77" w:rsidP="004A1E77">
      <w:pPr>
        <w:rPr>
          <w:rFonts w:ascii="Arial" w:hAnsi="Arial" w:cs="Arial"/>
        </w:rPr>
      </w:pPr>
    </w:p>
    <w:p w14:paraId="5D79574B" w14:textId="77777777" w:rsidR="004A1E77" w:rsidRDefault="004A1E77" w:rsidP="004A1E77">
      <w:pPr>
        <w:rPr>
          <w:rFonts w:ascii="Arial" w:hAnsi="Arial" w:cs="Arial"/>
        </w:rPr>
      </w:pPr>
      <w:r>
        <w:rPr>
          <w:rFonts w:ascii="Arial" w:hAnsi="Arial" w:cs="Arial"/>
        </w:rPr>
        <w:t>Section 1:  A narrative that describes the Trust strategy and the key objectives</w:t>
      </w:r>
    </w:p>
    <w:p w14:paraId="1316D155" w14:textId="77777777" w:rsidR="004A1E77" w:rsidRDefault="004A1E77" w:rsidP="004A1E77">
      <w:pPr>
        <w:rPr>
          <w:rFonts w:ascii="Arial" w:hAnsi="Arial" w:cs="Arial"/>
        </w:rPr>
      </w:pPr>
    </w:p>
    <w:p w14:paraId="6D6971BC" w14:textId="77777777" w:rsidR="004A1E77" w:rsidRDefault="004A1E77" w:rsidP="004A1E77">
      <w:pPr>
        <w:rPr>
          <w:rFonts w:ascii="Arial" w:hAnsi="Arial" w:cs="Arial"/>
        </w:rPr>
      </w:pPr>
      <w:r>
        <w:rPr>
          <w:rFonts w:ascii="Arial" w:hAnsi="Arial" w:cs="Arial"/>
        </w:rPr>
        <w:t xml:space="preserve">Section 2:  Key headlines to help set context on what the Trust has delivered during the reporting period </w:t>
      </w:r>
    </w:p>
    <w:p w14:paraId="013D1A8F" w14:textId="77777777" w:rsidR="004A1E77" w:rsidRDefault="004A1E77" w:rsidP="004A1E77">
      <w:pPr>
        <w:rPr>
          <w:rFonts w:ascii="Arial" w:hAnsi="Arial" w:cs="Arial"/>
        </w:rPr>
      </w:pPr>
    </w:p>
    <w:p w14:paraId="20308ABC" w14:textId="77777777" w:rsidR="004A1E77" w:rsidRDefault="004A1E77" w:rsidP="004A1E77">
      <w:pPr>
        <w:rPr>
          <w:rFonts w:ascii="Arial" w:hAnsi="Arial" w:cs="Arial"/>
        </w:rPr>
      </w:pPr>
      <w:r>
        <w:rPr>
          <w:rFonts w:ascii="Arial" w:hAnsi="Arial" w:cs="Arial"/>
        </w:rPr>
        <w:t>Section 3: Delivery against the targets set nationally in the NHS Oversight Framework</w:t>
      </w:r>
    </w:p>
    <w:p w14:paraId="01471D47" w14:textId="77777777" w:rsidR="004A1E77" w:rsidRDefault="004A1E77" w:rsidP="004A1E77">
      <w:pPr>
        <w:rPr>
          <w:rFonts w:ascii="Arial" w:hAnsi="Arial" w:cs="Arial"/>
        </w:rPr>
      </w:pPr>
    </w:p>
    <w:p w14:paraId="203AD6A5" w14:textId="77777777" w:rsidR="004A1E77" w:rsidRDefault="004A1E77" w:rsidP="004A1E77">
      <w:pPr>
        <w:rPr>
          <w:rFonts w:ascii="Arial" w:hAnsi="Arial" w:cs="Arial"/>
        </w:rPr>
      </w:pPr>
      <w:r>
        <w:rPr>
          <w:rFonts w:ascii="Arial" w:hAnsi="Arial" w:cs="Arial"/>
        </w:rPr>
        <w:t>Section 4:  Measuring the Trust’s performance against its strategic objectives using the Objective Key Results (OKRs) agreed during the development of the Trust’s strategy</w:t>
      </w:r>
    </w:p>
    <w:p w14:paraId="0C49295C" w14:textId="77777777" w:rsidR="004A1E77" w:rsidRDefault="004A1E77" w:rsidP="004A1E77">
      <w:pPr>
        <w:rPr>
          <w:rFonts w:ascii="Arial" w:hAnsi="Arial" w:cs="Arial"/>
        </w:rPr>
      </w:pPr>
    </w:p>
    <w:p w14:paraId="6DC47899" w14:textId="77777777" w:rsidR="004A1E77" w:rsidRDefault="004A1E77" w:rsidP="004A1E77">
      <w:pPr>
        <w:rPr>
          <w:rFonts w:ascii="Arial" w:hAnsi="Arial" w:cs="Arial"/>
        </w:rPr>
      </w:pPr>
      <w:r>
        <w:rPr>
          <w:rFonts w:ascii="Arial" w:hAnsi="Arial" w:cs="Arial"/>
        </w:rPr>
        <w:t>Section 5:  Highlights from the Executive Managing Directors</w:t>
      </w:r>
      <w:r>
        <w:rPr>
          <w:rFonts w:ascii="Arial" w:hAnsi="Arial" w:cs="Arial"/>
        </w:rPr>
        <w:tab/>
      </w:r>
    </w:p>
    <w:p w14:paraId="25537F0B" w14:textId="77777777" w:rsidR="004A1E77" w:rsidRDefault="004A1E77" w:rsidP="004A1E77">
      <w:pPr>
        <w:rPr>
          <w:rFonts w:ascii="Arial" w:hAnsi="Arial" w:cs="Arial"/>
        </w:rPr>
      </w:pPr>
    </w:p>
    <w:p w14:paraId="0F3D8D69" w14:textId="369D8CCC" w:rsidR="004A1E77" w:rsidRDefault="004A1E77" w:rsidP="004A1E77">
      <w:pPr>
        <w:rPr>
          <w:rFonts w:ascii="Arial" w:hAnsi="Arial" w:cs="Arial"/>
        </w:rPr>
      </w:pPr>
      <w:r>
        <w:rPr>
          <w:rFonts w:ascii="Arial" w:hAnsi="Arial" w:cs="Arial"/>
        </w:rPr>
        <w:t xml:space="preserve">The </w:t>
      </w:r>
      <w:r w:rsidR="00CE7B45">
        <w:rPr>
          <w:rFonts w:ascii="Arial" w:hAnsi="Arial" w:cs="Arial"/>
        </w:rPr>
        <w:t xml:space="preserve">IPR should be </w:t>
      </w:r>
      <w:r>
        <w:rPr>
          <w:rFonts w:ascii="Arial" w:hAnsi="Arial" w:cs="Arial"/>
        </w:rPr>
        <w:t xml:space="preserve">read alongside the standard reporting on each specific area (Quality, Workforce, Finance and Operational Performance). </w:t>
      </w:r>
    </w:p>
    <w:p w14:paraId="552F2DB9" w14:textId="0DF9F437" w:rsidR="00CE7B45" w:rsidRDefault="00CE7B45" w:rsidP="004A1E77">
      <w:pPr>
        <w:rPr>
          <w:rFonts w:ascii="Arial" w:hAnsi="Arial" w:cs="Arial"/>
        </w:rPr>
      </w:pPr>
    </w:p>
    <w:p w14:paraId="454894D3" w14:textId="186CCF07" w:rsidR="00CE7B45" w:rsidRDefault="00CE7B45" w:rsidP="006E22CF">
      <w:pPr>
        <w:jc w:val="both"/>
        <w:rPr>
          <w:rFonts w:ascii="Segoe UI" w:hAnsi="Segoe UI" w:cs="Segoe UI"/>
          <w:b/>
        </w:rPr>
      </w:pPr>
      <w:r>
        <w:rPr>
          <w:rFonts w:ascii="Segoe UI" w:hAnsi="Segoe UI" w:cs="Segoe UI"/>
          <w:b/>
        </w:rPr>
        <w:t>Key Headlines for the Council of Governors:</w:t>
      </w:r>
    </w:p>
    <w:p w14:paraId="214EFD49" w14:textId="6E57A6C5" w:rsidR="00CE7B45" w:rsidRDefault="00CE7B45" w:rsidP="006E22CF">
      <w:pPr>
        <w:jc w:val="both"/>
        <w:rPr>
          <w:rFonts w:ascii="Segoe UI" w:hAnsi="Segoe UI" w:cs="Segoe UI"/>
          <w:b/>
        </w:rPr>
      </w:pPr>
    </w:p>
    <w:p w14:paraId="3B973EBF" w14:textId="77777777" w:rsidR="00CE7B45" w:rsidRDefault="00CE7B45" w:rsidP="00CE7B45">
      <w:pPr>
        <w:rPr>
          <w:rFonts w:ascii="Arial" w:hAnsi="Arial" w:cs="Arial"/>
          <w:b/>
          <w:bCs/>
        </w:rPr>
      </w:pPr>
      <w:r>
        <w:rPr>
          <w:rFonts w:ascii="Arial" w:hAnsi="Arial" w:cs="Arial"/>
          <w:b/>
          <w:bCs/>
        </w:rPr>
        <w:t xml:space="preserve">COVID-19: </w:t>
      </w:r>
    </w:p>
    <w:p w14:paraId="344F091E" w14:textId="77777777" w:rsidR="00CE7B45" w:rsidRDefault="00CE7B45" w:rsidP="00CE7B45">
      <w:pPr>
        <w:rPr>
          <w:rFonts w:ascii="Arial" w:hAnsi="Arial" w:cs="Arial"/>
          <w:b/>
          <w:bCs/>
        </w:rPr>
      </w:pPr>
    </w:p>
    <w:p w14:paraId="571D94AC" w14:textId="73373847" w:rsidR="00CE7B45" w:rsidRDefault="00CE7B45" w:rsidP="00CE7B45">
      <w:pPr>
        <w:pStyle w:val="ListParagraph"/>
        <w:numPr>
          <w:ilvl w:val="0"/>
          <w:numId w:val="10"/>
        </w:numPr>
        <w:rPr>
          <w:rFonts w:ascii="Arial" w:hAnsi="Arial" w:cs="Arial"/>
        </w:rPr>
      </w:pPr>
      <w:r w:rsidRPr="00C51626">
        <w:rPr>
          <w:rFonts w:ascii="Arial" w:hAnsi="Arial" w:cs="Arial"/>
        </w:rPr>
        <w:t xml:space="preserve">The current number of inpatients with COVID-19 </w:t>
      </w:r>
      <w:r>
        <w:rPr>
          <w:rFonts w:ascii="Arial" w:hAnsi="Arial" w:cs="Arial"/>
        </w:rPr>
        <w:t>has increased to</w:t>
      </w:r>
      <w:r w:rsidRPr="00C51626">
        <w:rPr>
          <w:rFonts w:ascii="Arial" w:hAnsi="Arial" w:cs="Arial"/>
        </w:rPr>
        <w:t xml:space="preserve"> </w:t>
      </w:r>
      <w:r>
        <w:rPr>
          <w:rFonts w:ascii="Arial" w:hAnsi="Arial" w:cs="Arial"/>
        </w:rPr>
        <w:t>2</w:t>
      </w:r>
      <w:r w:rsidR="002842FE">
        <w:rPr>
          <w:rFonts w:ascii="Arial" w:hAnsi="Arial" w:cs="Arial"/>
        </w:rPr>
        <w:t>6</w:t>
      </w:r>
      <w:r w:rsidRPr="00C51626">
        <w:rPr>
          <w:rFonts w:ascii="Arial" w:hAnsi="Arial" w:cs="Arial"/>
        </w:rPr>
        <w:t xml:space="preserve"> (at </w:t>
      </w:r>
      <w:r>
        <w:rPr>
          <w:rFonts w:ascii="Arial" w:hAnsi="Arial" w:cs="Arial"/>
        </w:rPr>
        <w:t>1</w:t>
      </w:r>
      <w:r w:rsidR="002842FE">
        <w:rPr>
          <w:rFonts w:ascii="Arial" w:hAnsi="Arial" w:cs="Arial"/>
        </w:rPr>
        <w:t>8</w:t>
      </w:r>
      <w:r w:rsidRPr="00792BF8">
        <w:rPr>
          <w:rFonts w:ascii="Arial" w:hAnsi="Arial" w:cs="Arial"/>
          <w:vertAlign w:val="superscript"/>
        </w:rPr>
        <w:t>th</w:t>
      </w:r>
      <w:r>
        <w:rPr>
          <w:rFonts w:ascii="Arial" w:hAnsi="Arial" w:cs="Arial"/>
        </w:rPr>
        <w:t xml:space="preserve"> March</w:t>
      </w:r>
      <w:r w:rsidRPr="00C51626">
        <w:rPr>
          <w:rFonts w:ascii="Arial" w:hAnsi="Arial" w:cs="Arial"/>
        </w:rPr>
        <w:t>)</w:t>
      </w:r>
      <w:r w:rsidR="002842FE">
        <w:rPr>
          <w:rFonts w:ascii="Arial" w:hAnsi="Arial" w:cs="Arial"/>
        </w:rPr>
        <w:t xml:space="preserve"> There has been a sharp increase over the past 2 weeks</w:t>
      </w:r>
    </w:p>
    <w:p w14:paraId="2876FF12" w14:textId="77777777" w:rsidR="002842FE" w:rsidRDefault="002842FE" w:rsidP="002842FE">
      <w:pPr>
        <w:pStyle w:val="ListParagraph"/>
        <w:rPr>
          <w:rFonts w:ascii="Arial" w:hAnsi="Arial" w:cs="Arial"/>
        </w:rPr>
      </w:pPr>
    </w:p>
    <w:p w14:paraId="54EE3CED" w14:textId="4D1D8BA2" w:rsidR="002842FE" w:rsidRDefault="002842FE" w:rsidP="00CE7B45">
      <w:pPr>
        <w:pStyle w:val="ListParagraph"/>
        <w:numPr>
          <w:ilvl w:val="0"/>
          <w:numId w:val="10"/>
        </w:numPr>
        <w:rPr>
          <w:rFonts w:ascii="Arial" w:hAnsi="Arial" w:cs="Arial"/>
        </w:rPr>
      </w:pPr>
      <w:r>
        <w:rPr>
          <w:rFonts w:ascii="Arial" w:hAnsi="Arial" w:cs="Arial"/>
        </w:rPr>
        <w:t>There has also been a rapid rise in staff absent from work due to COVID.  110 staff as at 18</w:t>
      </w:r>
      <w:r w:rsidRPr="002842FE">
        <w:rPr>
          <w:rFonts w:ascii="Arial" w:hAnsi="Arial" w:cs="Arial"/>
          <w:vertAlign w:val="superscript"/>
        </w:rPr>
        <w:t>th</w:t>
      </w:r>
      <w:r>
        <w:rPr>
          <w:rFonts w:ascii="Arial" w:hAnsi="Arial" w:cs="Arial"/>
        </w:rPr>
        <w:t xml:space="preserve"> March.  This is compared to C60 2 weeks ago.  At the peak in wave 2, there were approx. 220 staff absent.</w:t>
      </w:r>
    </w:p>
    <w:p w14:paraId="5F2F4AA4" w14:textId="77777777" w:rsidR="002842FE" w:rsidRPr="00C51626" w:rsidRDefault="002842FE" w:rsidP="002842FE">
      <w:pPr>
        <w:pStyle w:val="ListParagraph"/>
        <w:rPr>
          <w:rFonts w:ascii="Arial" w:hAnsi="Arial" w:cs="Arial"/>
        </w:rPr>
      </w:pPr>
    </w:p>
    <w:p w14:paraId="5B44E27F" w14:textId="77777777" w:rsidR="00CE7B45" w:rsidRPr="00052D28" w:rsidRDefault="00CE7B45" w:rsidP="00CE7B45">
      <w:pPr>
        <w:pStyle w:val="ListParagraph"/>
        <w:numPr>
          <w:ilvl w:val="0"/>
          <w:numId w:val="10"/>
        </w:numPr>
        <w:rPr>
          <w:rFonts w:ascii="Arial" w:hAnsi="Arial" w:cs="Arial"/>
          <w:b/>
          <w:bCs/>
        </w:rPr>
      </w:pPr>
      <w:r w:rsidRPr="00052D28">
        <w:rPr>
          <w:rFonts w:ascii="Arial" w:hAnsi="Arial" w:cs="Arial"/>
        </w:rPr>
        <w:t xml:space="preserve">COVID-19 vaccination uptake at </w:t>
      </w:r>
      <w:r>
        <w:rPr>
          <w:rFonts w:ascii="Arial" w:hAnsi="Arial" w:cs="Arial"/>
        </w:rPr>
        <w:t>10</w:t>
      </w:r>
      <w:r w:rsidRPr="008C2306">
        <w:rPr>
          <w:rFonts w:ascii="Arial" w:hAnsi="Arial" w:cs="Arial"/>
          <w:vertAlign w:val="superscript"/>
        </w:rPr>
        <w:t>th</w:t>
      </w:r>
      <w:r>
        <w:rPr>
          <w:rFonts w:ascii="Arial" w:hAnsi="Arial" w:cs="Arial"/>
        </w:rPr>
        <w:t xml:space="preserve"> March</w:t>
      </w:r>
      <w:r w:rsidRPr="00052D28">
        <w:rPr>
          <w:rFonts w:ascii="Arial" w:hAnsi="Arial" w:cs="Arial"/>
        </w:rPr>
        <w:t xml:space="preserve"> 2022:</w:t>
      </w:r>
      <w:r w:rsidRPr="00052D28">
        <w:rPr>
          <w:rFonts w:ascii="Arial" w:hAnsi="Arial" w:cs="Arial"/>
          <w:b/>
          <w:bCs/>
        </w:rPr>
        <w:t xml:space="preserve"> </w:t>
      </w:r>
      <w:r w:rsidRPr="00052D28">
        <w:rPr>
          <w:rFonts w:ascii="Arial" w:hAnsi="Arial" w:cs="Arial"/>
        </w:rPr>
        <w:t xml:space="preserve">Dose 1 = </w:t>
      </w:r>
      <w:r>
        <w:rPr>
          <w:rFonts w:ascii="Arial" w:hAnsi="Arial" w:cs="Arial"/>
        </w:rPr>
        <w:t>92.7</w:t>
      </w:r>
      <w:r w:rsidRPr="00052D28">
        <w:rPr>
          <w:rFonts w:ascii="Arial" w:hAnsi="Arial" w:cs="Arial"/>
        </w:rPr>
        <w:t xml:space="preserve">%, Dose 2 = </w:t>
      </w:r>
      <w:r>
        <w:rPr>
          <w:rFonts w:ascii="Arial" w:hAnsi="Arial" w:cs="Arial"/>
        </w:rPr>
        <w:t>90.6</w:t>
      </w:r>
      <w:r w:rsidRPr="00052D28">
        <w:rPr>
          <w:rFonts w:ascii="Arial" w:hAnsi="Arial" w:cs="Arial"/>
        </w:rPr>
        <w:t xml:space="preserve">% and Dose 3 (eligible staff only) </w:t>
      </w:r>
      <w:r>
        <w:rPr>
          <w:rFonts w:ascii="Arial" w:hAnsi="Arial" w:cs="Arial"/>
        </w:rPr>
        <w:t>69.7</w:t>
      </w:r>
      <w:r w:rsidRPr="00052D28">
        <w:rPr>
          <w:rFonts w:ascii="Arial" w:hAnsi="Arial" w:cs="Arial"/>
        </w:rPr>
        <w:t>%.  Patient Facing Dose 1 = 9</w:t>
      </w:r>
      <w:r>
        <w:rPr>
          <w:rFonts w:ascii="Arial" w:hAnsi="Arial" w:cs="Arial"/>
        </w:rPr>
        <w:t>2.8</w:t>
      </w:r>
      <w:r w:rsidRPr="00052D28">
        <w:rPr>
          <w:rFonts w:ascii="Arial" w:hAnsi="Arial" w:cs="Arial"/>
        </w:rPr>
        <w:t xml:space="preserve">%, Dose 2 = </w:t>
      </w:r>
      <w:r>
        <w:rPr>
          <w:rFonts w:ascii="Arial" w:hAnsi="Arial" w:cs="Arial"/>
        </w:rPr>
        <w:t>90.8</w:t>
      </w:r>
      <w:r w:rsidRPr="00052D28">
        <w:rPr>
          <w:rFonts w:ascii="Arial" w:hAnsi="Arial" w:cs="Arial"/>
        </w:rPr>
        <w:t xml:space="preserve">% and Dose 3 (eligible staff only) </w:t>
      </w:r>
      <w:r>
        <w:rPr>
          <w:rFonts w:ascii="Arial" w:hAnsi="Arial" w:cs="Arial"/>
        </w:rPr>
        <w:t>70.0</w:t>
      </w:r>
      <w:r w:rsidRPr="00052D28">
        <w:rPr>
          <w:rFonts w:ascii="Arial" w:hAnsi="Arial" w:cs="Arial"/>
        </w:rPr>
        <w:t>%</w:t>
      </w:r>
    </w:p>
    <w:p w14:paraId="617716D2" w14:textId="30B352FA" w:rsidR="00CE7B45" w:rsidRDefault="00CE7B45" w:rsidP="006E22CF">
      <w:pPr>
        <w:jc w:val="both"/>
        <w:rPr>
          <w:rFonts w:ascii="Segoe UI" w:hAnsi="Segoe UI" w:cs="Segoe UI"/>
          <w:b/>
        </w:rPr>
      </w:pPr>
    </w:p>
    <w:p w14:paraId="23F39951" w14:textId="77777777" w:rsidR="00CE7B45" w:rsidRDefault="00CE7B45" w:rsidP="00CE7B45">
      <w:pPr>
        <w:rPr>
          <w:rFonts w:ascii="Arial" w:hAnsi="Arial" w:cs="Arial"/>
          <w:b/>
          <w:bCs/>
        </w:rPr>
      </w:pPr>
      <w:r>
        <w:rPr>
          <w:rFonts w:ascii="Arial" w:hAnsi="Arial" w:cs="Arial"/>
          <w:b/>
          <w:bCs/>
        </w:rPr>
        <w:t>Delivery of the National Oversight Framework</w:t>
      </w:r>
    </w:p>
    <w:p w14:paraId="534D7E68" w14:textId="77777777" w:rsidR="00CE7B45" w:rsidRDefault="00CE7B45" w:rsidP="00CE7B45">
      <w:pPr>
        <w:rPr>
          <w:rFonts w:ascii="Arial" w:hAnsi="Arial" w:cs="Arial"/>
          <w:b/>
          <w:bCs/>
        </w:rPr>
      </w:pPr>
    </w:p>
    <w:p w14:paraId="5EF74EA5" w14:textId="77777777" w:rsidR="00CE7B45" w:rsidRDefault="00CE7B45" w:rsidP="00CE7B45">
      <w:pPr>
        <w:rPr>
          <w:rFonts w:ascii="Arial" w:hAnsi="Arial" w:cs="Arial"/>
          <w:b/>
          <w:bCs/>
        </w:rPr>
      </w:pPr>
      <w:r w:rsidRPr="001933A1">
        <w:rPr>
          <w:rFonts w:ascii="Arial" w:hAnsi="Arial" w:cs="Arial"/>
        </w:rPr>
        <w:t xml:space="preserve">The </w:t>
      </w:r>
      <w:r w:rsidRPr="00267A66">
        <w:rPr>
          <w:rFonts w:ascii="Arial" w:hAnsi="Arial" w:cs="Arial"/>
        </w:rPr>
        <w:t xml:space="preserve">Trust is performing well against all targeted metrics with the exception of </w:t>
      </w:r>
      <w:r>
        <w:rPr>
          <w:rFonts w:ascii="Arial" w:hAnsi="Arial" w:cs="Arial"/>
          <w:b/>
          <w:bCs/>
        </w:rPr>
        <w:t xml:space="preserve">Out of Area Placements </w:t>
      </w:r>
      <w:r>
        <w:rPr>
          <w:rFonts w:ascii="Arial" w:hAnsi="Arial" w:cs="Arial"/>
        </w:rPr>
        <w:t xml:space="preserve">and </w:t>
      </w:r>
      <w:r>
        <w:rPr>
          <w:rFonts w:ascii="Arial" w:hAnsi="Arial" w:cs="Arial"/>
          <w:b/>
          <w:bCs/>
        </w:rPr>
        <w:t>IAPT, % of people completing a course of IAPT treatment moving to recovery</w:t>
      </w:r>
      <w:r w:rsidRPr="00267A66">
        <w:rPr>
          <w:rFonts w:ascii="Arial" w:hAnsi="Arial" w:cs="Arial"/>
          <w:b/>
          <w:bCs/>
        </w:rPr>
        <w:t xml:space="preserve">. </w:t>
      </w:r>
    </w:p>
    <w:p w14:paraId="5090FB3D" w14:textId="77777777" w:rsidR="00CE7B45" w:rsidRDefault="00CE7B45" w:rsidP="00CE7B45">
      <w:pPr>
        <w:rPr>
          <w:rFonts w:ascii="Arial" w:hAnsi="Arial" w:cs="Arial"/>
          <w:b/>
          <w:bCs/>
        </w:rPr>
      </w:pPr>
    </w:p>
    <w:p w14:paraId="65033131" w14:textId="77777777" w:rsidR="00CE7B45" w:rsidRDefault="00CE7B45" w:rsidP="00CE7B45">
      <w:pPr>
        <w:rPr>
          <w:rFonts w:ascii="Arial" w:hAnsi="Arial" w:cs="Arial"/>
        </w:rPr>
      </w:pPr>
      <w:r w:rsidRPr="00C73522">
        <w:rPr>
          <w:rFonts w:ascii="Arial" w:hAnsi="Arial" w:cs="Arial"/>
          <w:b/>
          <w:bCs/>
        </w:rPr>
        <w:t>IAPT:</w:t>
      </w:r>
      <w:r>
        <w:rPr>
          <w:rFonts w:ascii="Arial" w:hAnsi="Arial" w:cs="Arial"/>
        </w:rPr>
        <w:t xml:space="preserve"> The Trust is slightly below the 50% target for Qtr 2 (latest nationally published data available) at </w:t>
      </w:r>
      <w:r w:rsidRPr="0005485C">
        <w:rPr>
          <w:rFonts w:ascii="Arial" w:hAnsi="Arial" w:cs="Arial"/>
          <w:b/>
          <w:bCs/>
        </w:rPr>
        <w:t>49%</w:t>
      </w:r>
      <w:r>
        <w:rPr>
          <w:rFonts w:ascii="Arial" w:hAnsi="Arial" w:cs="Arial"/>
        </w:rPr>
        <w:t>.  Bucks CCG provision remains above target, but Oxon CCG provision is below.  This is due to ongoing service delivery challenges within the step 2 part of the service.  There have been longer than expected waits for interventions and higher levels of patient dropout.  The waits are due to staffing challenges.  The Trust is working with its partner, Oxfordshire Mind to jointly resolve the issues.</w:t>
      </w:r>
    </w:p>
    <w:p w14:paraId="4683236E" w14:textId="77777777" w:rsidR="00CE7B45" w:rsidRDefault="00CE7B45" w:rsidP="00CE7B45">
      <w:pPr>
        <w:rPr>
          <w:rFonts w:ascii="Arial" w:hAnsi="Arial" w:cs="Arial"/>
        </w:rPr>
      </w:pPr>
    </w:p>
    <w:p w14:paraId="2FF30BC1" w14:textId="77777777" w:rsidR="00CE7B45" w:rsidRPr="003E7022" w:rsidRDefault="00CE7B45" w:rsidP="00CE7B45">
      <w:pPr>
        <w:rPr>
          <w:rFonts w:ascii="Segoe UI" w:hAnsi="Segoe UI" w:cs="Segoe UI"/>
        </w:rPr>
      </w:pPr>
      <w:r w:rsidRPr="003E7022">
        <w:rPr>
          <w:rFonts w:ascii="Arial" w:hAnsi="Arial" w:cs="Arial"/>
          <w:b/>
          <w:bCs/>
        </w:rPr>
        <w:t xml:space="preserve">OAPs:  </w:t>
      </w:r>
      <w:r w:rsidRPr="003E7022">
        <w:rPr>
          <w:rFonts w:ascii="Arial" w:hAnsi="Arial" w:cs="Arial"/>
        </w:rPr>
        <w:t xml:space="preserve">The use of inappropriate Out of Area Placements (OAPs) has decreased in the quarter with none reported in December.  There has been an increased in January and February.  This was primarily due to </w:t>
      </w:r>
      <w:r>
        <w:rPr>
          <w:rFonts w:ascii="Arial" w:hAnsi="Arial" w:cs="Arial"/>
        </w:rPr>
        <w:t>winter pressures and COVID.</w:t>
      </w:r>
    </w:p>
    <w:p w14:paraId="6A830EBE" w14:textId="77777777" w:rsidR="00CE7B45" w:rsidRPr="00CE7B45" w:rsidRDefault="00CE7B45" w:rsidP="006E22CF">
      <w:pPr>
        <w:jc w:val="both"/>
        <w:rPr>
          <w:rFonts w:ascii="Segoe UI" w:hAnsi="Segoe UI" w:cs="Segoe UI"/>
          <w:bCs/>
        </w:rPr>
      </w:pPr>
    </w:p>
    <w:p w14:paraId="2491A624" w14:textId="77777777" w:rsidR="00CE7B45" w:rsidRPr="00863827" w:rsidRDefault="00CE7B45" w:rsidP="00CE7B45">
      <w:pPr>
        <w:rPr>
          <w:rFonts w:ascii="Arial" w:hAnsi="Arial" w:cs="Arial"/>
          <w:b/>
          <w:bCs/>
        </w:rPr>
      </w:pPr>
      <w:r w:rsidRPr="00863827">
        <w:rPr>
          <w:rFonts w:ascii="Arial" w:hAnsi="Arial" w:cs="Arial"/>
          <w:b/>
          <w:bCs/>
        </w:rPr>
        <w:t>Delivery of strategic objectives (Objective Key Results (OKRs)</w:t>
      </w:r>
      <w:r>
        <w:rPr>
          <w:rFonts w:ascii="Arial" w:hAnsi="Arial" w:cs="Arial"/>
          <w:b/>
          <w:bCs/>
        </w:rPr>
        <w:t xml:space="preserve"> at end Qtr3 (Dec 21 data)</w:t>
      </w:r>
    </w:p>
    <w:p w14:paraId="029F6D00" w14:textId="77777777" w:rsidR="00CE7B45" w:rsidRPr="00863827" w:rsidRDefault="00CE7B45" w:rsidP="00CE7B45">
      <w:pPr>
        <w:rPr>
          <w:rFonts w:ascii="Arial" w:hAnsi="Arial" w:cs="Arial"/>
          <w:b/>
          <w:bCs/>
        </w:rPr>
      </w:pPr>
    </w:p>
    <w:p w14:paraId="39255C23" w14:textId="770B4979" w:rsidR="00CE7B45" w:rsidRPr="00863827" w:rsidRDefault="00CE7B45" w:rsidP="00CE7B45">
      <w:pPr>
        <w:pStyle w:val="ListParagraph"/>
        <w:numPr>
          <w:ilvl w:val="0"/>
          <w:numId w:val="9"/>
        </w:numPr>
        <w:rPr>
          <w:rFonts w:ascii="Arial" w:hAnsi="Arial" w:cs="Arial"/>
        </w:rPr>
      </w:pPr>
      <w:r w:rsidRPr="00863827">
        <w:rPr>
          <w:rFonts w:ascii="Arial" w:hAnsi="Arial" w:cs="Arial"/>
          <w:b/>
          <w:bCs/>
        </w:rPr>
        <w:t xml:space="preserve">Quality: </w:t>
      </w:r>
      <w:r w:rsidRPr="00863827">
        <w:rPr>
          <w:rFonts w:ascii="Arial" w:hAnsi="Arial" w:cs="Arial"/>
        </w:rPr>
        <w:t xml:space="preserve">The Trust is achieving 5 of the 10 OKRs.  Areas </w:t>
      </w:r>
      <w:r>
        <w:rPr>
          <w:rFonts w:ascii="Arial" w:hAnsi="Arial" w:cs="Arial"/>
        </w:rPr>
        <w:t>for improvement</w:t>
      </w:r>
      <w:r w:rsidRPr="00863827">
        <w:rPr>
          <w:rFonts w:ascii="Arial" w:hAnsi="Arial" w:cs="Arial"/>
        </w:rPr>
        <w:t xml:space="preserve"> are;</w:t>
      </w:r>
    </w:p>
    <w:p w14:paraId="694C7AF7" w14:textId="77777777" w:rsidR="00CE7B45" w:rsidRPr="00863827" w:rsidRDefault="00CE7B45" w:rsidP="00CE7B45">
      <w:pPr>
        <w:pStyle w:val="ListParagraph"/>
        <w:rPr>
          <w:rFonts w:ascii="Arial" w:hAnsi="Arial" w:cs="Arial"/>
        </w:rPr>
      </w:pPr>
    </w:p>
    <w:p w14:paraId="361634D1"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Clinical supervision compliance</w:t>
      </w:r>
    </w:p>
    <w:p w14:paraId="0CF4FCA9"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Reduction in use of Prone restraint</w:t>
      </w:r>
    </w:p>
    <w:p w14:paraId="2D8DA4DB"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Lester Tool completion in the community</w:t>
      </w:r>
    </w:p>
    <w:p w14:paraId="2DFA27A6"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Evidence patients have been involved in their care plans</w:t>
      </w:r>
    </w:p>
    <w:p w14:paraId="70CFC6B8"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 xml:space="preserve">Autism e-learning training compliance.  </w:t>
      </w:r>
    </w:p>
    <w:p w14:paraId="6E07829E" w14:textId="77777777" w:rsidR="00CE7B45" w:rsidRPr="00863827" w:rsidRDefault="00CE7B45" w:rsidP="00CE7B45">
      <w:pPr>
        <w:pStyle w:val="ListParagraph"/>
        <w:rPr>
          <w:rFonts w:ascii="Arial" w:hAnsi="Arial" w:cs="Arial"/>
        </w:rPr>
      </w:pPr>
    </w:p>
    <w:p w14:paraId="312AD851" w14:textId="05B67493" w:rsidR="00CE7B45" w:rsidRPr="00863827" w:rsidRDefault="00CE7B45" w:rsidP="00CE7B45">
      <w:pPr>
        <w:pStyle w:val="ListParagraph"/>
        <w:numPr>
          <w:ilvl w:val="0"/>
          <w:numId w:val="9"/>
        </w:numPr>
        <w:rPr>
          <w:rFonts w:ascii="Arial" w:hAnsi="Arial" w:cs="Arial"/>
        </w:rPr>
      </w:pPr>
      <w:r w:rsidRPr="00863827">
        <w:rPr>
          <w:rFonts w:ascii="Arial" w:hAnsi="Arial" w:cs="Arial"/>
          <w:b/>
          <w:bCs/>
        </w:rPr>
        <w:t>People:</w:t>
      </w:r>
      <w:r w:rsidRPr="00863827">
        <w:rPr>
          <w:rFonts w:ascii="Arial" w:hAnsi="Arial" w:cs="Arial"/>
        </w:rPr>
        <w:t xml:space="preserve"> The Trust is achieving 3 of the 9 OKRs.  Areas </w:t>
      </w:r>
      <w:r>
        <w:rPr>
          <w:rFonts w:ascii="Arial" w:hAnsi="Arial" w:cs="Arial"/>
        </w:rPr>
        <w:t>for improvement</w:t>
      </w:r>
      <w:r w:rsidRPr="00863827">
        <w:rPr>
          <w:rFonts w:ascii="Arial" w:hAnsi="Arial" w:cs="Arial"/>
        </w:rPr>
        <w:t xml:space="preserve"> are:</w:t>
      </w:r>
    </w:p>
    <w:p w14:paraId="53B96B13" w14:textId="77777777" w:rsidR="00CE7B45" w:rsidRPr="00863827" w:rsidRDefault="00CE7B45" w:rsidP="00CE7B45">
      <w:pPr>
        <w:pStyle w:val="ListParagraph"/>
        <w:rPr>
          <w:rFonts w:ascii="Arial" w:hAnsi="Arial" w:cs="Arial"/>
        </w:rPr>
      </w:pPr>
    </w:p>
    <w:p w14:paraId="0B4D94F8"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Staff sickness</w:t>
      </w:r>
    </w:p>
    <w:p w14:paraId="3A589223"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Turnover</w:t>
      </w:r>
    </w:p>
    <w:p w14:paraId="72EB0A59"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Vacancy reduction</w:t>
      </w:r>
    </w:p>
    <w:p w14:paraId="3DF8FD08"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Personal Development Review (PDR) compliance</w:t>
      </w:r>
    </w:p>
    <w:p w14:paraId="140FE9C2" w14:textId="77777777" w:rsidR="00CE7B45" w:rsidRPr="00863827" w:rsidRDefault="00CE7B45" w:rsidP="00CE7B45">
      <w:pPr>
        <w:pStyle w:val="ListParagraph"/>
        <w:numPr>
          <w:ilvl w:val="1"/>
          <w:numId w:val="9"/>
        </w:numPr>
        <w:rPr>
          <w:rFonts w:ascii="Arial" w:hAnsi="Arial" w:cs="Arial"/>
        </w:rPr>
      </w:pPr>
      <w:r w:rsidRPr="00863827">
        <w:rPr>
          <w:rFonts w:ascii="Arial" w:hAnsi="Arial" w:cs="Arial"/>
        </w:rPr>
        <w:t>PPST compliance</w:t>
      </w:r>
    </w:p>
    <w:p w14:paraId="418786C0" w14:textId="77777777" w:rsidR="00CE7B45" w:rsidRPr="00863827" w:rsidRDefault="00CE7B45" w:rsidP="00CE7B45">
      <w:pPr>
        <w:pStyle w:val="ListParagraph"/>
        <w:ind w:left="1440"/>
        <w:rPr>
          <w:rFonts w:ascii="Arial" w:hAnsi="Arial" w:cs="Arial"/>
        </w:rPr>
      </w:pPr>
    </w:p>
    <w:p w14:paraId="07495456" w14:textId="0784E7B1" w:rsidR="00CE7B45" w:rsidRPr="00863827" w:rsidRDefault="00CE7B45" w:rsidP="00CE7B45">
      <w:pPr>
        <w:pStyle w:val="ListParagraph"/>
        <w:numPr>
          <w:ilvl w:val="0"/>
          <w:numId w:val="9"/>
        </w:numPr>
        <w:rPr>
          <w:rFonts w:ascii="Arial" w:hAnsi="Arial" w:cs="Arial"/>
        </w:rPr>
      </w:pPr>
      <w:r w:rsidRPr="00863827">
        <w:rPr>
          <w:rFonts w:ascii="Arial" w:hAnsi="Arial" w:cs="Arial"/>
          <w:b/>
          <w:bCs/>
        </w:rPr>
        <w:t>Sustainability</w:t>
      </w:r>
      <w:r w:rsidRPr="00863827">
        <w:rPr>
          <w:rFonts w:ascii="Arial" w:hAnsi="Arial" w:cs="Arial"/>
        </w:rPr>
        <w:t xml:space="preserve">: The Trust is achieving 4 of the 5 OKRs. The </w:t>
      </w:r>
      <w:r>
        <w:rPr>
          <w:rFonts w:ascii="Arial" w:hAnsi="Arial" w:cs="Arial"/>
        </w:rPr>
        <w:t xml:space="preserve">primary </w:t>
      </w:r>
      <w:r w:rsidRPr="00863827">
        <w:rPr>
          <w:rFonts w:ascii="Arial" w:hAnsi="Arial" w:cs="Arial"/>
        </w:rPr>
        <w:t xml:space="preserve">area </w:t>
      </w:r>
      <w:r>
        <w:rPr>
          <w:rFonts w:ascii="Arial" w:hAnsi="Arial" w:cs="Arial"/>
        </w:rPr>
        <w:t>for improvement</w:t>
      </w:r>
      <w:r w:rsidRPr="00863827">
        <w:rPr>
          <w:rFonts w:ascii="Arial" w:hAnsi="Arial" w:cs="Arial"/>
        </w:rPr>
        <w:t xml:space="preserve"> is </w:t>
      </w:r>
      <w:r>
        <w:rPr>
          <w:rFonts w:ascii="Arial" w:hAnsi="Arial" w:cs="Arial"/>
        </w:rPr>
        <w:t xml:space="preserve">the </w:t>
      </w:r>
      <w:r w:rsidRPr="00863827">
        <w:rPr>
          <w:rFonts w:ascii="Arial" w:hAnsi="Arial" w:cs="Arial"/>
        </w:rPr>
        <w:t>delivery of the cost improvement plan (CIP)</w:t>
      </w:r>
    </w:p>
    <w:p w14:paraId="23351FE4" w14:textId="77777777" w:rsidR="00CE7B45" w:rsidRPr="00863827" w:rsidRDefault="00CE7B45" w:rsidP="00CE7B45">
      <w:pPr>
        <w:rPr>
          <w:rFonts w:ascii="Arial" w:hAnsi="Arial" w:cs="Arial"/>
        </w:rPr>
      </w:pPr>
    </w:p>
    <w:p w14:paraId="48152D98" w14:textId="77777777" w:rsidR="00CE7B45" w:rsidRPr="001846A7" w:rsidRDefault="00CE7B45" w:rsidP="00CE7B45">
      <w:pPr>
        <w:rPr>
          <w:rFonts w:ascii="Arial" w:hAnsi="Arial" w:cs="Arial"/>
        </w:rPr>
      </w:pPr>
      <w:r w:rsidRPr="00863827">
        <w:rPr>
          <w:rFonts w:ascii="Arial" w:hAnsi="Arial" w:cs="Arial"/>
        </w:rPr>
        <w:t>Please see the report for further information and plans to address.</w:t>
      </w:r>
    </w:p>
    <w:p w14:paraId="7DC183A3" w14:textId="77777777" w:rsidR="00CE7B45" w:rsidRDefault="00CE7B45" w:rsidP="006E22CF">
      <w:pPr>
        <w:jc w:val="both"/>
        <w:rPr>
          <w:rFonts w:ascii="Segoe UI" w:hAnsi="Segoe UI" w:cs="Segoe UI"/>
          <w:b/>
        </w:rPr>
      </w:pPr>
    </w:p>
    <w:p w14:paraId="39C67270" w14:textId="1F904D13" w:rsidR="002842FE" w:rsidRDefault="002842FE" w:rsidP="002842FE">
      <w:pPr>
        <w:rPr>
          <w:rFonts w:ascii="Arial" w:hAnsi="Arial" w:cs="Arial"/>
          <w:b/>
          <w:bCs/>
        </w:rPr>
      </w:pPr>
      <w:r>
        <w:rPr>
          <w:rFonts w:ascii="Arial" w:hAnsi="Arial" w:cs="Arial"/>
          <w:b/>
          <w:bCs/>
        </w:rPr>
        <w:t xml:space="preserve">Operational </w:t>
      </w:r>
      <w:r w:rsidRPr="3A6B872D">
        <w:rPr>
          <w:rFonts w:ascii="Arial" w:hAnsi="Arial" w:cs="Arial"/>
          <w:b/>
          <w:bCs/>
        </w:rPr>
        <w:t>Performance Summary:</w:t>
      </w:r>
    </w:p>
    <w:p w14:paraId="0D2102F0" w14:textId="77777777" w:rsidR="002842FE" w:rsidRDefault="002842FE" w:rsidP="002842FE">
      <w:pPr>
        <w:rPr>
          <w:rFonts w:ascii="Arial" w:hAnsi="Arial" w:cs="Arial"/>
        </w:rPr>
      </w:pPr>
    </w:p>
    <w:p w14:paraId="467A7945" w14:textId="77777777" w:rsidR="002842FE" w:rsidRPr="00DA7378" w:rsidRDefault="002842FE" w:rsidP="002842FE">
      <w:pPr>
        <w:rPr>
          <w:rFonts w:ascii="Arial" w:hAnsi="Arial" w:cs="Arial"/>
          <w:b/>
          <w:bCs/>
        </w:rPr>
      </w:pPr>
      <w:r w:rsidRPr="00DA7378">
        <w:rPr>
          <w:rFonts w:ascii="Arial" w:hAnsi="Arial" w:cs="Arial"/>
          <w:b/>
          <w:bCs/>
        </w:rPr>
        <w:t>Referrals</w:t>
      </w:r>
    </w:p>
    <w:p w14:paraId="638B1BDD" w14:textId="77777777" w:rsidR="002842FE" w:rsidRDefault="002842FE" w:rsidP="002842FE">
      <w:pPr>
        <w:rPr>
          <w:rFonts w:ascii="Arial" w:hAnsi="Arial" w:cs="Arial"/>
        </w:rPr>
      </w:pPr>
      <w:r w:rsidRPr="00E46017">
        <w:rPr>
          <w:rFonts w:ascii="Arial" w:hAnsi="Arial" w:cs="Arial"/>
        </w:rPr>
        <w:t xml:space="preserve">The Trust continues to receive a higher number of referrals than has been seen in previous years.  </w:t>
      </w:r>
      <w:r>
        <w:rPr>
          <w:rFonts w:ascii="Arial" w:hAnsi="Arial" w:cs="Arial"/>
        </w:rPr>
        <w:t xml:space="preserve"> </w:t>
      </w:r>
    </w:p>
    <w:p w14:paraId="6AB8D848" w14:textId="77777777" w:rsidR="002842FE" w:rsidRPr="00B71AC4" w:rsidRDefault="002842FE" w:rsidP="002842FE">
      <w:pPr>
        <w:rPr>
          <w:rFonts w:ascii="Arial" w:hAnsi="Arial" w:cs="Arial"/>
          <w:i/>
          <w:iCs/>
        </w:rPr>
      </w:pPr>
    </w:p>
    <w:p w14:paraId="504E2AAE" w14:textId="11577855" w:rsidR="002842FE" w:rsidRDefault="002842FE" w:rsidP="002842FE">
      <w:r w:rsidRPr="3A6B872D">
        <w:rPr>
          <w:rFonts w:ascii="Arial" w:hAnsi="Arial" w:cs="Arial"/>
        </w:rPr>
        <w:t>The increase in referrals has had a significant impact on waiting times across virtually all service areas.  In many cases, waits for routine referrals have been most affected as the operational priority remains on Emergency and Urgent</w:t>
      </w:r>
      <w:r>
        <w:rPr>
          <w:rFonts w:ascii="Arial" w:hAnsi="Arial" w:cs="Arial"/>
        </w:rPr>
        <w:t xml:space="preserve"> referrals</w:t>
      </w:r>
      <w:r w:rsidRPr="3A6B872D">
        <w:rPr>
          <w:rFonts w:ascii="Arial" w:hAnsi="Arial" w:cs="Arial"/>
        </w:rPr>
        <w:t>.</w:t>
      </w:r>
    </w:p>
    <w:p w14:paraId="61C83DF5" w14:textId="77777777" w:rsidR="002842FE" w:rsidRDefault="002842FE" w:rsidP="002842FE">
      <w:pPr>
        <w:rPr>
          <w:rFonts w:ascii="Arial" w:hAnsi="Arial" w:cs="Arial"/>
        </w:rPr>
      </w:pPr>
    </w:p>
    <w:p w14:paraId="59FDDDA8" w14:textId="77777777" w:rsidR="002842FE" w:rsidRPr="0075195C" w:rsidRDefault="002842FE" w:rsidP="002842FE">
      <w:pPr>
        <w:rPr>
          <w:rFonts w:ascii="Arial" w:hAnsi="Arial" w:cs="Arial"/>
        </w:rPr>
      </w:pPr>
      <w:r w:rsidRPr="0075195C">
        <w:rPr>
          <w:rFonts w:ascii="Arial" w:hAnsi="Arial" w:cs="Arial"/>
        </w:rPr>
        <w:t>From the analysis of the data in quarter, the following areas have been escalated to the Operations Management Team as exceptions for awareness and action:</w:t>
      </w:r>
    </w:p>
    <w:p w14:paraId="7B2D6752" w14:textId="77777777" w:rsidR="002842FE" w:rsidRPr="0075195C" w:rsidRDefault="002842FE" w:rsidP="002842FE">
      <w:pPr>
        <w:rPr>
          <w:rFonts w:ascii="Arial" w:hAnsi="Arial" w:cs="Arial"/>
        </w:rPr>
      </w:pPr>
    </w:p>
    <w:p w14:paraId="17E1A735" w14:textId="77777777" w:rsidR="002842FE" w:rsidRDefault="002842FE" w:rsidP="002842FE">
      <w:pPr>
        <w:pStyle w:val="ListParagraph"/>
        <w:numPr>
          <w:ilvl w:val="0"/>
          <w:numId w:val="8"/>
        </w:numPr>
        <w:spacing w:after="160" w:line="259" w:lineRule="auto"/>
        <w:contextualSpacing/>
        <w:rPr>
          <w:rFonts w:ascii="Arial" w:hAnsi="Arial" w:cs="Arial"/>
        </w:rPr>
      </w:pPr>
      <w:r w:rsidRPr="0075195C">
        <w:rPr>
          <w:rFonts w:ascii="Arial" w:hAnsi="Arial" w:cs="Arial"/>
        </w:rPr>
        <w:t xml:space="preserve">Increased referrals in Learning Disability services </w:t>
      </w:r>
    </w:p>
    <w:p w14:paraId="46D85DD1" w14:textId="77777777" w:rsidR="002842FE" w:rsidRDefault="002842FE" w:rsidP="002842FE">
      <w:pPr>
        <w:pStyle w:val="ListParagraph"/>
        <w:numPr>
          <w:ilvl w:val="0"/>
          <w:numId w:val="8"/>
        </w:numPr>
        <w:spacing w:after="160" w:line="259" w:lineRule="auto"/>
        <w:contextualSpacing/>
        <w:rPr>
          <w:rFonts w:ascii="Arial" w:hAnsi="Arial" w:cs="Arial"/>
        </w:rPr>
      </w:pPr>
      <w:r>
        <w:rPr>
          <w:rFonts w:ascii="Arial" w:hAnsi="Arial" w:cs="Arial"/>
        </w:rPr>
        <w:t>Increased referrals in Adult &amp; Older Adult MH in Oxfordshire</w:t>
      </w:r>
    </w:p>
    <w:p w14:paraId="7593F24A" w14:textId="77777777" w:rsidR="002842FE" w:rsidRDefault="002842FE" w:rsidP="002842FE">
      <w:pPr>
        <w:pStyle w:val="ListParagraph"/>
        <w:numPr>
          <w:ilvl w:val="0"/>
          <w:numId w:val="8"/>
        </w:numPr>
        <w:spacing w:after="160" w:line="259" w:lineRule="auto"/>
        <w:contextualSpacing/>
        <w:rPr>
          <w:rFonts w:ascii="Arial" w:hAnsi="Arial" w:cs="Arial"/>
        </w:rPr>
      </w:pPr>
      <w:r>
        <w:rPr>
          <w:rFonts w:ascii="Arial" w:hAnsi="Arial" w:cs="Arial"/>
        </w:rPr>
        <w:t>Increased referrals in Bucks CAMHs</w:t>
      </w:r>
    </w:p>
    <w:p w14:paraId="47C2F924" w14:textId="77777777" w:rsidR="002842FE" w:rsidRDefault="002842FE" w:rsidP="002842FE">
      <w:pPr>
        <w:pStyle w:val="ListParagraph"/>
        <w:numPr>
          <w:ilvl w:val="0"/>
          <w:numId w:val="8"/>
        </w:numPr>
        <w:spacing w:after="160" w:line="259" w:lineRule="auto"/>
        <w:contextualSpacing/>
        <w:rPr>
          <w:rFonts w:ascii="Arial" w:hAnsi="Arial" w:cs="Arial"/>
        </w:rPr>
      </w:pPr>
      <w:r>
        <w:rPr>
          <w:rFonts w:ascii="Arial" w:hAnsi="Arial" w:cs="Arial"/>
        </w:rPr>
        <w:t>Decrease in demand in Dental services as high street dental services (main referrers) continue to return to pre pandemic practices.</w:t>
      </w:r>
    </w:p>
    <w:p w14:paraId="13A4A56E" w14:textId="77777777" w:rsidR="002842FE" w:rsidRDefault="002842FE" w:rsidP="002842FE">
      <w:pPr>
        <w:pStyle w:val="ListParagraph"/>
        <w:numPr>
          <w:ilvl w:val="0"/>
          <w:numId w:val="8"/>
        </w:numPr>
        <w:spacing w:after="160" w:line="259" w:lineRule="auto"/>
        <w:contextualSpacing/>
        <w:rPr>
          <w:rFonts w:ascii="Arial" w:hAnsi="Arial" w:cs="Arial"/>
        </w:rPr>
      </w:pPr>
      <w:r w:rsidRPr="0075195C">
        <w:rPr>
          <w:rFonts w:ascii="Arial" w:hAnsi="Arial" w:cs="Arial"/>
        </w:rPr>
        <w:t>Increased activity in Forensic service, further analysis has revealed that this is due to improvements in recording of activity</w:t>
      </w:r>
    </w:p>
    <w:p w14:paraId="2E6B2EC0" w14:textId="77777777" w:rsidR="002842FE" w:rsidRDefault="002842FE" w:rsidP="002842FE">
      <w:pPr>
        <w:pStyle w:val="ListParagraph"/>
        <w:numPr>
          <w:ilvl w:val="0"/>
          <w:numId w:val="8"/>
        </w:numPr>
        <w:spacing w:after="160" w:line="259" w:lineRule="auto"/>
        <w:contextualSpacing/>
        <w:rPr>
          <w:rFonts w:ascii="Arial" w:hAnsi="Arial" w:cs="Arial"/>
        </w:rPr>
      </w:pPr>
      <w:r>
        <w:rPr>
          <w:rFonts w:ascii="Arial" w:hAnsi="Arial" w:cs="Arial"/>
        </w:rPr>
        <w:t>Increased activity in IAPT</w:t>
      </w:r>
    </w:p>
    <w:p w14:paraId="60ED41A8" w14:textId="77777777" w:rsidR="002842FE" w:rsidRPr="0006679D" w:rsidRDefault="002842FE" w:rsidP="002842FE">
      <w:pPr>
        <w:rPr>
          <w:rFonts w:ascii="Arial" w:hAnsi="Arial" w:cs="Arial"/>
        </w:rPr>
      </w:pPr>
    </w:p>
    <w:p w14:paraId="08FCB5EF" w14:textId="77777777" w:rsidR="002842FE" w:rsidRPr="0006679D" w:rsidRDefault="002842FE" w:rsidP="002842FE">
      <w:pPr>
        <w:rPr>
          <w:rFonts w:ascii="Arial" w:hAnsi="Arial" w:cs="Arial"/>
        </w:rPr>
      </w:pPr>
      <w:r w:rsidRPr="0006679D">
        <w:rPr>
          <w:rFonts w:ascii="Arial" w:hAnsi="Arial" w:cs="Arial"/>
        </w:rPr>
        <w:t xml:space="preserve">Admissions to the Trust’s mental health inpatient wards has been consistent with previous quarters.  </w:t>
      </w:r>
    </w:p>
    <w:p w14:paraId="61DC3484" w14:textId="77777777" w:rsidR="002842FE" w:rsidRPr="0006679D" w:rsidRDefault="002842FE" w:rsidP="002842FE">
      <w:pPr>
        <w:rPr>
          <w:rFonts w:ascii="Arial" w:hAnsi="Arial" w:cs="Arial"/>
        </w:rPr>
      </w:pPr>
    </w:p>
    <w:p w14:paraId="57D7899D" w14:textId="77777777" w:rsidR="002842FE" w:rsidRDefault="002842FE" w:rsidP="002842FE">
      <w:pPr>
        <w:rPr>
          <w:rFonts w:ascii="Arial" w:hAnsi="Arial" w:cs="Arial"/>
        </w:rPr>
      </w:pPr>
      <w:r w:rsidRPr="00966D9C">
        <w:rPr>
          <w:rFonts w:ascii="Arial" w:hAnsi="Arial" w:cs="Arial"/>
        </w:rPr>
        <w:t xml:space="preserve">Admissions to the Trust’s </w:t>
      </w:r>
      <w:r>
        <w:rPr>
          <w:rFonts w:ascii="Arial" w:hAnsi="Arial" w:cs="Arial"/>
        </w:rPr>
        <w:t xml:space="preserve">Community services increased in December as the service flexed their bed stock to respond to system demands associated with winter/Covid.  </w:t>
      </w:r>
    </w:p>
    <w:p w14:paraId="02C727D4" w14:textId="77777777" w:rsidR="002842FE" w:rsidRPr="00414456" w:rsidRDefault="002842FE" w:rsidP="002842FE">
      <w:pPr>
        <w:rPr>
          <w:rFonts w:ascii="Arial" w:hAnsi="Arial" w:cs="Arial"/>
        </w:rPr>
      </w:pPr>
    </w:p>
    <w:p w14:paraId="2D4F90B0" w14:textId="77777777" w:rsidR="002842FE" w:rsidRPr="00414456" w:rsidRDefault="002842FE" w:rsidP="002842FE">
      <w:pPr>
        <w:rPr>
          <w:rFonts w:ascii="Arial" w:hAnsi="Arial" w:cs="Arial"/>
        </w:rPr>
      </w:pPr>
      <w:r w:rsidRPr="00414456">
        <w:rPr>
          <w:rFonts w:ascii="Arial" w:hAnsi="Arial" w:cs="Arial"/>
        </w:rPr>
        <w:t>Average length of stay is generally in line with historical trends, with monthly variation attributed to discharge of patients with exceptional long length of stay.  There has been an improvement in the LOS for Adult MH acute and also Community Hospitals, both being below average in the quarter.</w:t>
      </w:r>
    </w:p>
    <w:p w14:paraId="606E6AE8" w14:textId="77777777" w:rsidR="002842FE" w:rsidRDefault="002842FE" w:rsidP="002842FE">
      <w:pPr>
        <w:rPr>
          <w:rFonts w:ascii="Arial" w:hAnsi="Arial" w:cs="Arial"/>
          <w:highlight w:val="yellow"/>
        </w:rPr>
      </w:pPr>
    </w:p>
    <w:p w14:paraId="07083541" w14:textId="77777777" w:rsidR="002842FE" w:rsidRDefault="002842FE" w:rsidP="002842FE">
      <w:pPr>
        <w:spacing w:after="160" w:line="259" w:lineRule="auto"/>
        <w:contextualSpacing/>
        <w:rPr>
          <w:rFonts w:ascii="Arial" w:hAnsi="Arial" w:cs="Arial"/>
        </w:rPr>
      </w:pPr>
      <w:r>
        <w:rPr>
          <w:rFonts w:ascii="Arial" w:hAnsi="Arial" w:cs="Arial"/>
        </w:rPr>
        <w:t>There continues to be lower Bed Occupancy in</w:t>
      </w:r>
      <w:r w:rsidRPr="00414456">
        <w:rPr>
          <w:rFonts w:ascii="Arial" w:hAnsi="Arial" w:cs="Arial"/>
        </w:rPr>
        <w:t xml:space="preserve"> many areas in accordance with infection control measures</w:t>
      </w:r>
      <w:r>
        <w:rPr>
          <w:rFonts w:ascii="Arial" w:hAnsi="Arial" w:cs="Arial"/>
        </w:rPr>
        <w:t>.</w:t>
      </w:r>
    </w:p>
    <w:p w14:paraId="60EFB276" w14:textId="77777777" w:rsidR="002842FE" w:rsidRDefault="002842FE" w:rsidP="002842FE">
      <w:pPr>
        <w:rPr>
          <w:rFonts w:ascii="Arial" w:hAnsi="Arial" w:cs="Arial"/>
        </w:rPr>
      </w:pPr>
    </w:p>
    <w:p w14:paraId="669E4D61" w14:textId="77777777" w:rsidR="002842FE" w:rsidRPr="000C3694" w:rsidRDefault="002842FE" w:rsidP="002842FE">
      <w:pPr>
        <w:rPr>
          <w:rFonts w:ascii="Arial" w:hAnsi="Arial" w:cs="Arial"/>
          <w:b/>
          <w:bCs/>
        </w:rPr>
      </w:pPr>
      <w:r w:rsidRPr="000C3694">
        <w:rPr>
          <w:rFonts w:ascii="Arial" w:hAnsi="Arial" w:cs="Arial"/>
          <w:b/>
          <w:bCs/>
        </w:rPr>
        <w:t>Waiting Times*:</w:t>
      </w:r>
    </w:p>
    <w:p w14:paraId="620B6D62" w14:textId="77777777" w:rsidR="002842FE" w:rsidRPr="000C3694" w:rsidRDefault="002842FE" w:rsidP="002842FE">
      <w:pPr>
        <w:rPr>
          <w:rFonts w:ascii="Arial" w:hAnsi="Arial" w:cs="Arial"/>
        </w:rPr>
      </w:pPr>
      <w:r w:rsidRPr="000C3694">
        <w:rPr>
          <w:rFonts w:ascii="Arial" w:hAnsi="Arial" w:cs="Arial"/>
        </w:rPr>
        <w:t>*</w:t>
      </w:r>
      <w:r w:rsidRPr="000C3694">
        <w:rPr>
          <w:rFonts w:ascii="Arial" w:hAnsi="Arial" w:cs="Arial"/>
          <w:sz w:val="16"/>
          <w:szCs w:val="16"/>
        </w:rPr>
        <w:t>against generic Trust wait time of &gt;48 hour for emergency &amp; &gt;7 days for urgent, work is underway to develop service specific waiting time standards</w:t>
      </w:r>
      <w:r>
        <w:rPr>
          <w:rFonts w:ascii="Arial" w:hAnsi="Arial" w:cs="Arial"/>
          <w:sz w:val="16"/>
          <w:szCs w:val="16"/>
        </w:rPr>
        <w:t>, these will be available from April 2022.</w:t>
      </w:r>
    </w:p>
    <w:p w14:paraId="6B703F10" w14:textId="77777777" w:rsidR="002842FE" w:rsidRPr="000C3694" w:rsidRDefault="002842FE" w:rsidP="002842FE">
      <w:pPr>
        <w:rPr>
          <w:rFonts w:ascii="Arial" w:hAnsi="Arial" w:cs="Arial"/>
        </w:rPr>
      </w:pPr>
    </w:p>
    <w:p w14:paraId="4C302952" w14:textId="77777777" w:rsidR="002842FE" w:rsidRDefault="002842FE" w:rsidP="002842FE">
      <w:pPr>
        <w:jc w:val="both"/>
        <w:rPr>
          <w:rFonts w:ascii="Arial" w:hAnsi="Arial" w:cs="Arial"/>
          <w:iCs/>
        </w:rPr>
      </w:pPr>
      <w:r w:rsidRPr="00521C4D">
        <w:rPr>
          <w:rFonts w:ascii="Arial" w:hAnsi="Arial" w:cs="Arial"/>
          <w:iCs/>
        </w:rPr>
        <w:t xml:space="preserve">Following discussion at the last Council of Governors meeting below is a summary of waiting times for assessment within Psychological Therapies, CAMHS and Adult Eating Disorders.  There was a request to report on autism assessments, information is shown below for CYP Neuro development pathway which would include CYP autism assessments. </w:t>
      </w:r>
    </w:p>
    <w:p w14:paraId="6EAE06D4" w14:textId="77777777" w:rsidR="002842FE" w:rsidRDefault="002842FE" w:rsidP="002842FE">
      <w:pPr>
        <w:jc w:val="both"/>
        <w:rPr>
          <w:rFonts w:ascii="Arial" w:hAnsi="Arial" w:cs="Arial"/>
          <w:iCs/>
        </w:rPr>
      </w:pPr>
    </w:p>
    <w:p w14:paraId="2548DD44" w14:textId="77777777" w:rsidR="002842FE" w:rsidRDefault="002842FE" w:rsidP="002842FE">
      <w:pPr>
        <w:jc w:val="both"/>
        <w:rPr>
          <w:rFonts w:ascii="Arial" w:hAnsi="Arial" w:cs="Arial"/>
          <w:b/>
          <w:bCs/>
          <w:iCs/>
        </w:rPr>
      </w:pPr>
      <w:r>
        <w:rPr>
          <w:rFonts w:ascii="Arial" w:hAnsi="Arial" w:cs="Arial"/>
          <w:b/>
          <w:bCs/>
          <w:iCs/>
        </w:rPr>
        <w:t>Psychological Therapies</w:t>
      </w:r>
    </w:p>
    <w:p w14:paraId="775D430E" w14:textId="77777777" w:rsidR="002842FE" w:rsidRDefault="002842FE" w:rsidP="002842FE">
      <w:pPr>
        <w:jc w:val="both"/>
        <w:rPr>
          <w:rFonts w:ascii="Arial" w:hAnsi="Arial" w:cs="Arial"/>
          <w:iCs/>
        </w:rPr>
      </w:pPr>
      <w:r w:rsidRPr="008005E3">
        <w:rPr>
          <w:rFonts w:ascii="Arial" w:hAnsi="Arial" w:cs="Arial"/>
          <w:iCs/>
        </w:rPr>
        <w:t>April</w:t>
      </w:r>
      <w:r>
        <w:rPr>
          <w:rFonts w:ascii="Arial" w:hAnsi="Arial" w:cs="Arial"/>
          <w:iCs/>
        </w:rPr>
        <w:t xml:space="preserve"> 21</w:t>
      </w:r>
      <w:r w:rsidRPr="008005E3">
        <w:rPr>
          <w:rFonts w:ascii="Arial" w:hAnsi="Arial" w:cs="Arial"/>
          <w:iCs/>
        </w:rPr>
        <w:t xml:space="preserve"> to </w:t>
      </w:r>
      <w:r>
        <w:rPr>
          <w:rFonts w:ascii="Arial" w:hAnsi="Arial" w:cs="Arial"/>
          <w:iCs/>
        </w:rPr>
        <w:t>Feb 22</w:t>
      </w:r>
      <w:r w:rsidRPr="008005E3">
        <w:rPr>
          <w:rFonts w:ascii="Arial" w:hAnsi="Arial" w:cs="Arial"/>
          <w:iCs/>
        </w:rPr>
        <w:t>: average wait time</w:t>
      </w:r>
      <w:r>
        <w:rPr>
          <w:rFonts w:ascii="Arial" w:hAnsi="Arial" w:cs="Arial"/>
          <w:iCs/>
        </w:rPr>
        <w:t>s for all Psychological Services Assessment teams:</w:t>
      </w:r>
    </w:p>
    <w:p w14:paraId="4FE2699E" w14:textId="77777777" w:rsidR="002842FE" w:rsidRDefault="002842FE" w:rsidP="002842FE">
      <w:pPr>
        <w:jc w:val="both"/>
        <w:rPr>
          <w:rFonts w:ascii="Arial" w:hAnsi="Arial" w:cs="Arial"/>
          <w:iCs/>
        </w:rPr>
      </w:pPr>
      <w:r w:rsidRPr="00891478">
        <w:rPr>
          <w:rFonts w:ascii="Arial" w:hAnsi="Arial" w:cs="Arial"/>
          <w:b/>
          <w:bCs/>
          <w:iCs/>
        </w:rPr>
        <w:t>Emergency</w:t>
      </w:r>
      <w:r>
        <w:rPr>
          <w:rFonts w:ascii="Arial" w:hAnsi="Arial" w:cs="Arial"/>
          <w:iCs/>
        </w:rPr>
        <w:t xml:space="preserve"> referrals 21 hours</w:t>
      </w:r>
    </w:p>
    <w:p w14:paraId="3BFAC437" w14:textId="77777777" w:rsidR="002842FE" w:rsidRDefault="002842FE" w:rsidP="002842FE">
      <w:pPr>
        <w:jc w:val="both"/>
        <w:rPr>
          <w:rFonts w:ascii="Arial" w:hAnsi="Arial" w:cs="Arial"/>
          <w:iCs/>
        </w:rPr>
      </w:pPr>
      <w:r w:rsidRPr="006D16E2">
        <w:rPr>
          <w:rFonts w:ascii="Arial" w:hAnsi="Arial" w:cs="Arial"/>
          <w:b/>
          <w:bCs/>
          <w:iCs/>
        </w:rPr>
        <w:t>Urgent</w:t>
      </w:r>
      <w:r>
        <w:rPr>
          <w:rFonts w:ascii="Arial" w:hAnsi="Arial" w:cs="Arial"/>
          <w:iCs/>
        </w:rPr>
        <w:t xml:space="preserve"> referrals 58 days</w:t>
      </w:r>
    </w:p>
    <w:p w14:paraId="1E464873" w14:textId="77777777" w:rsidR="002842FE" w:rsidRDefault="002842FE" w:rsidP="002842FE">
      <w:pPr>
        <w:jc w:val="both"/>
        <w:rPr>
          <w:rFonts w:ascii="Arial" w:hAnsi="Arial" w:cs="Arial"/>
          <w:iCs/>
        </w:rPr>
      </w:pPr>
      <w:r w:rsidRPr="006D16E2">
        <w:rPr>
          <w:rFonts w:ascii="Arial" w:hAnsi="Arial" w:cs="Arial"/>
          <w:b/>
          <w:bCs/>
          <w:iCs/>
        </w:rPr>
        <w:t>Routine</w:t>
      </w:r>
      <w:r>
        <w:rPr>
          <w:rFonts w:ascii="Arial" w:hAnsi="Arial" w:cs="Arial"/>
          <w:b/>
          <w:bCs/>
          <w:iCs/>
        </w:rPr>
        <w:t xml:space="preserve"> </w:t>
      </w:r>
      <w:r w:rsidRPr="006D16E2">
        <w:rPr>
          <w:rFonts w:ascii="Arial" w:hAnsi="Arial" w:cs="Arial"/>
          <w:iCs/>
        </w:rPr>
        <w:t>referrals</w:t>
      </w:r>
      <w:r>
        <w:rPr>
          <w:rFonts w:ascii="Arial" w:hAnsi="Arial" w:cs="Arial"/>
          <w:iCs/>
        </w:rPr>
        <w:t xml:space="preserve"> 42 days.   </w:t>
      </w:r>
    </w:p>
    <w:p w14:paraId="09562EC9" w14:textId="77777777" w:rsidR="002842FE" w:rsidRDefault="002842FE" w:rsidP="002842FE">
      <w:pPr>
        <w:jc w:val="both"/>
        <w:rPr>
          <w:rFonts w:ascii="Arial" w:hAnsi="Arial" w:cs="Arial"/>
          <w:iCs/>
        </w:rPr>
      </w:pPr>
    </w:p>
    <w:p w14:paraId="4A4D81AD" w14:textId="77777777" w:rsidR="002842FE" w:rsidRDefault="002842FE" w:rsidP="002842FE">
      <w:pPr>
        <w:jc w:val="both"/>
        <w:rPr>
          <w:rFonts w:ascii="Arial" w:hAnsi="Arial" w:cs="Arial"/>
          <w:b/>
          <w:bCs/>
          <w:iCs/>
        </w:rPr>
      </w:pPr>
      <w:r>
        <w:rPr>
          <w:rFonts w:ascii="Arial" w:hAnsi="Arial" w:cs="Arial"/>
          <w:b/>
          <w:bCs/>
          <w:iCs/>
        </w:rPr>
        <w:t>CAMHs</w:t>
      </w:r>
    </w:p>
    <w:p w14:paraId="1A74AD94" w14:textId="77777777" w:rsidR="002842FE" w:rsidRDefault="002842FE" w:rsidP="002842FE">
      <w:pPr>
        <w:jc w:val="both"/>
        <w:rPr>
          <w:rFonts w:ascii="Arial" w:hAnsi="Arial" w:cs="Arial"/>
          <w:iCs/>
        </w:rPr>
      </w:pPr>
      <w:r w:rsidRPr="00891478">
        <w:rPr>
          <w:rFonts w:ascii="Arial" w:hAnsi="Arial" w:cs="Arial"/>
          <w:iCs/>
        </w:rPr>
        <w:t xml:space="preserve">April 21 to Feb 22: </w:t>
      </w:r>
      <w:r>
        <w:rPr>
          <w:rFonts w:ascii="Arial" w:hAnsi="Arial" w:cs="Arial"/>
          <w:iCs/>
        </w:rPr>
        <w:t>average wait time for all CAMHS services (excluding NDC):</w:t>
      </w:r>
    </w:p>
    <w:p w14:paraId="0933D78B" w14:textId="77777777" w:rsidR="002842FE" w:rsidRDefault="002842FE" w:rsidP="002842FE">
      <w:pPr>
        <w:jc w:val="both"/>
        <w:rPr>
          <w:rFonts w:ascii="Arial" w:hAnsi="Arial" w:cs="Arial"/>
          <w:iCs/>
        </w:rPr>
      </w:pPr>
      <w:r w:rsidRPr="00FF420A">
        <w:rPr>
          <w:rFonts w:ascii="Arial" w:hAnsi="Arial" w:cs="Arial"/>
          <w:b/>
          <w:bCs/>
          <w:iCs/>
        </w:rPr>
        <w:t>Emergency</w:t>
      </w:r>
      <w:r>
        <w:rPr>
          <w:rFonts w:ascii="Arial" w:hAnsi="Arial" w:cs="Arial"/>
          <w:iCs/>
        </w:rPr>
        <w:t xml:space="preserve"> Referrals 2 hours</w:t>
      </w:r>
    </w:p>
    <w:p w14:paraId="24E09BA1" w14:textId="77777777" w:rsidR="002842FE" w:rsidRDefault="002842FE" w:rsidP="002842FE">
      <w:pPr>
        <w:jc w:val="both"/>
        <w:rPr>
          <w:rFonts w:ascii="Arial" w:hAnsi="Arial" w:cs="Arial"/>
          <w:iCs/>
        </w:rPr>
      </w:pPr>
      <w:r w:rsidRPr="00FF420A">
        <w:rPr>
          <w:rFonts w:ascii="Arial" w:hAnsi="Arial" w:cs="Arial"/>
          <w:b/>
          <w:bCs/>
          <w:iCs/>
        </w:rPr>
        <w:t>Urgent</w:t>
      </w:r>
      <w:r>
        <w:rPr>
          <w:rFonts w:ascii="Arial" w:hAnsi="Arial" w:cs="Arial"/>
          <w:iCs/>
        </w:rPr>
        <w:t xml:space="preserve"> Referrals 1 day</w:t>
      </w:r>
    </w:p>
    <w:p w14:paraId="57BF48CD" w14:textId="77777777" w:rsidR="002842FE" w:rsidRDefault="002842FE" w:rsidP="002842FE">
      <w:pPr>
        <w:jc w:val="both"/>
        <w:rPr>
          <w:rFonts w:ascii="Arial" w:hAnsi="Arial" w:cs="Arial"/>
          <w:iCs/>
        </w:rPr>
      </w:pPr>
      <w:r w:rsidRPr="00FF420A">
        <w:rPr>
          <w:rFonts w:ascii="Arial" w:hAnsi="Arial" w:cs="Arial"/>
          <w:b/>
          <w:bCs/>
          <w:iCs/>
        </w:rPr>
        <w:t>Routine</w:t>
      </w:r>
      <w:r>
        <w:rPr>
          <w:rFonts w:ascii="Arial" w:hAnsi="Arial" w:cs="Arial"/>
          <w:iCs/>
        </w:rPr>
        <w:t xml:space="preserve"> Referrals 30 days.</w:t>
      </w:r>
    </w:p>
    <w:p w14:paraId="6058CE17" w14:textId="77777777" w:rsidR="002842FE" w:rsidRDefault="002842FE" w:rsidP="002842FE">
      <w:pPr>
        <w:jc w:val="both"/>
        <w:rPr>
          <w:rFonts w:ascii="Arial" w:hAnsi="Arial" w:cs="Arial"/>
          <w:iCs/>
        </w:rPr>
      </w:pPr>
    </w:p>
    <w:p w14:paraId="49E73E98" w14:textId="77777777" w:rsidR="002842FE" w:rsidRDefault="002842FE" w:rsidP="002842FE">
      <w:pPr>
        <w:jc w:val="both"/>
        <w:rPr>
          <w:rFonts w:ascii="Arial" w:hAnsi="Arial" w:cs="Arial"/>
          <w:b/>
          <w:bCs/>
          <w:iCs/>
        </w:rPr>
      </w:pPr>
      <w:r>
        <w:rPr>
          <w:rFonts w:ascii="Arial" w:hAnsi="Arial" w:cs="Arial"/>
          <w:b/>
          <w:bCs/>
          <w:iCs/>
        </w:rPr>
        <w:t>CYP NDC</w:t>
      </w:r>
    </w:p>
    <w:p w14:paraId="475918D2" w14:textId="77777777" w:rsidR="002842FE" w:rsidRDefault="002842FE" w:rsidP="002842FE">
      <w:pPr>
        <w:jc w:val="both"/>
        <w:rPr>
          <w:rFonts w:ascii="Arial" w:hAnsi="Arial" w:cs="Arial"/>
          <w:iCs/>
        </w:rPr>
      </w:pPr>
      <w:r w:rsidRPr="00891478">
        <w:rPr>
          <w:rFonts w:ascii="Arial" w:hAnsi="Arial" w:cs="Arial"/>
          <w:iCs/>
        </w:rPr>
        <w:t xml:space="preserve">April 21 to Feb 22: </w:t>
      </w:r>
      <w:r>
        <w:rPr>
          <w:rFonts w:ascii="Arial" w:hAnsi="Arial" w:cs="Arial"/>
          <w:iCs/>
        </w:rPr>
        <w:t>average wait time for all CYP NDC services:</w:t>
      </w:r>
    </w:p>
    <w:p w14:paraId="401A14B1" w14:textId="77777777" w:rsidR="002842FE" w:rsidRDefault="002842FE" w:rsidP="002842FE">
      <w:pPr>
        <w:jc w:val="both"/>
        <w:rPr>
          <w:rFonts w:ascii="Arial" w:hAnsi="Arial" w:cs="Arial"/>
          <w:iCs/>
        </w:rPr>
      </w:pPr>
      <w:r w:rsidRPr="00FF420A">
        <w:rPr>
          <w:rFonts w:ascii="Arial" w:hAnsi="Arial" w:cs="Arial"/>
          <w:b/>
          <w:bCs/>
          <w:iCs/>
        </w:rPr>
        <w:t>Urgent</w:t>
      </w:r>
      <w:r>
        <w:rPr>
          <w:rFonts w:ascii="Arial" w:hAnsi="Arial" w:cs="Arial"/>
          <w:iCs/>
        </w:rPr>
        <w:t xml:space="preserve"> Referrals 18 days</w:t>
      </w:r>
    </w:p>
    <w:p w14:paraId="4398B36D" w14:textId="77777777" w:rsidR="002842FE" w:rsidRDefault="002842FE" w:rsidP="002842FE">
      <w:pPr>
        <w:jc w:val="both"/>
        <w:rPr>
          <w:rFonts w:ascii="Arial" w:hAnsi="Arial" w:cs="Arial"/>
          <w:iCs/>
        </w:rPr>
      </w:pPr>
      <w:r w:rsidRPr="00FF420A">
        <w:rPr>
          <w:rFonts w:ascii="Arial" w:hAnsi="Arial" w:cs="Arial"/>
          <w:b/>
          <w:bCs/>
          <w:iCs/>
        </w:rPr>
        <w:t>Routine</w:t>
      </w:r>
      <w:r>
        <w:rPr>
          <w:rFonts w:ascii="Arial" w:hAnsi="Arial" w:cs="Arial"/>
          <w:iCs/>
        </w:rPr>
        <w:t xml:space="preserve"> Referrals 170 days.</w:t>
      </w:r>
    </w:p>
    <w:p w14:paraId="5428305E" w14:textId="77777777" w:rsidR="002842FE" w:rsidRDefault="002842FE" w:rsidP="002842FE">
      <w:pPr>
        <w:jc w:val="both"/>
        <w:rPr>
          <w:rFonts w:ascii="Arial" w:hAnsi="Arial" w:cs="Arial"/>
          <w:iCs/>
        </w:rPr>
      </w:pPr>
    </w:p>
    <w:p w14:paraId="24D462D6" w14:textId="77777777" w:rsidR="002842FE" w:rsidRDefault="002842FE" w:rsidP="002842FE">
      <w:pPr>
        <w:jc w:val="both"/>
        <w:rPr>
          <w:rFonts w:ascii="Arial" w:hAnsi="Arial" w:cs="Arial"/>
          <w:b/>
          <w:bCs/>
          <w:iCs/>
        </w:rPr>
      </w:pPr>
      <w:r>
        <w:rPr>
          <w:rFonts w:ascii="Arial" w:hAnsi="Arial" w:cs="Arial"/>
          <w:b/>
          <w:bCs/>
          <w:iCs/>
        </w:rPr>
        <w:t>Adult Eating Disorders</w:t>
      </w:r>
    </w:p>
    <w:p w14:paraId="02E079AC" w14:textId="77777777" w:rsidR="002842FE" w:rsidRDefault="002842FE" w:rsidP="002842FE">
      <w:pPr>
        <w:jc w:val="both"/>
        <w:rPr>
          <w:rFonts w:ascii="Arial" w:hAnsi="Arial" w:cs="Arial"/>
          <w:iCs/>
        </w:rPr>
      </w:pPr>
      <w:r w:rsidRPr="00891478">
        <w:rPr>
          <w:rFonts w:ascii="Arial" w:hAnsi="Arial" w:cs="Arial"/>
          <w:iCs/>
        </w:rPr>
        <w:t xml:space="preserve">April 21 to Feb 22: </w:t>
      </w:r>
      <w:r>
        <w:rPr>
          <w:rFonts w:ascii="Arial" w:hAnsi="Arial" w:cs="Arial"/>
          <w:iCs/>
        </w:rPr>
        <w:t>average wait time for all Adult ED teams:</w:t>
      </w:r>
    </w:p>
    <w:p w14:paraId="78A86B5C" w14:textId="77777777" w:rsidR="002842FE" w:rsidRDefault="002842FE" w:rsidP="002842FE">
      <w:pPr>
        <w:jc w:val="both"/>
        <w:rPr>
          <w:rFonts w:ascii="Arial" w:hAnsi="Arial" w:cs="Arial"/>
          <w:iCs/>
        </w:rPr>
      </w:pPr>
      <w:r w:rsidRPr="00FF420A">
        <w:rPr>
          <w:rFonts w:ascii="Arial" w:hAnsi="Arial" w:cs="Arial"/>
          <w:b/>
          <w:bCs/>
          <w:iCs/>
        </w:rPr>
        <w:t>Emergency</w:t>
      </w:r>
      <w:r>
        <w:rPr>
          <w:rFonts w:ascii="Arial" w:hAnsi="Arial" w:cs="Arial"/>
          <w:iCs/>
        </w:rPr>
        <w:t xml:space="preserve"> Referrals 524 hours (this related to 1 patient)</w:t>
      </w:r>
    </w:p>
    <w:p w14:paraId="702BAB3F" w14:textId="77777777" w:rsidR="002842FE" w:rsidRDefault="002842FE" w:rsidP="002842FE">
      <w:pPr>
        <w:jc w:val="both"/>
        <w:rPr>
          <w:rFonts w:ascii="Arial" w:hAnsi="Arial" w:cs="Arial"/>
          <w:iCs/>
        </w:rPr>
      </w:pPr>
      <w:r w:rsidRPr="00FF420A">
        <w:rPr>
          <w:rFonts w:ascii="Arial" w:hAnsi="Arial" w:cs="Arial"/>
          <w:b/>
          <w:bCs/>
          <w:iCs/>
        </w:rPr>
        <w:t>Urgent</w:t>
      </w:r>
      <w:r>
        <w:rPr>
          <w:rFonts w:ascii="Arial" w:hAnsi="Arial" w:cs="Arial"/>
          <w:iCs/>
        </w:rPr>
        <w:t xml:space="preserve"> Referrals 18 days</w:t>
      </w:r>
    </w:p>
    <w:p w14:paraId="56558659" w14:textId="77777777" w:rsidR="002842FE" w:rsidRDefault="002842FE" w:rsidP="002842FE">
      <w:pPr>
        <w:jc w:val="both"/>
        <w:rPr>
          <w:rFonts w:ascii="Arial" w:hAnsi="Arial" w:cs="Arial"/>
          <w:iCs/>
        </w:rPr>
      </w:pPr>
      <w:r w:rsidRPr="00FF420A">
        <w:rPr>
          <w:rFonts w:ascii="Arial" w:hAnsi="Arial" w:cs="Arial"/>
          <w:b/>
          <w:bCs/>
          <w:iCs/>
        </w:rPr>
        <w:t>Routine</w:t>
      </w:r>
      <w:r>
        <w:rPr>
          <w:rFonts w:ascii="Arial" w:hAnsi="Arial" w:cs="Arial"/>
          <w:iCs/>
        </w:rPr>
        <w:t xml:space="preserve"> Referrals 38 days.</w:t>
      </w:r>
    </w:p>
    <w:p w14:paraId="2A0FE4EB" w14:textId="77777777" w:rsidR="002842FE" w:rsidRDefault="002842FE" w:rsidP="002842FE">
      <w:pPr>
        <w:jc w:val="both"/>
        <w:rPr>
          <w:rFonts w:ascii="Arial" w:hAnsi="Arial" w:cs="Arial"/>
          <w:b/>
          <w:bCs/>
          <w:iCs/>
        </w:rPr>
      </w:pPr>
    </w:p>
    <w:p w14:paraId="3ECDC404" w14:textId="77777777" w:rsidR="002842FE" w:rsidRDefault="002842FE" w:rsidP="002842FE">
      <w:pPr>
        <w:jc w:val="both"/>
        <w:rPr>
          <w:rFonts w:ascii="Arial" w:hAnsi="Arial" w:cs="Arial"/>
          <w:iCs/>
        </w:rPr>
      </w:pPr>
      <w:r w:rsidRPr="003D72F8">
        <w:rPr>
          <w:rFonts w:ascii="Arial" w:hAnsi="Arial" w:cs="Arial"/>
          <w:b/>
          <w:bCs/>
          <w:iCs/>
        </w:rPr>
        <w:t>Remedial actions:</w:t>
      </w:r>
      <w:r>
        <w:rPr>
          <w:rFonts w:ascii="Arial" w:hAnsi="Arial" w:cs="Arial"/>
          <w:iCs/>
        </w:rPr>
        <w:t xml:space="preserve"> Waiting times are monitored by operational services as part of daily clinical/operational processes.  In addition, the weekly performance report presented to OMT and the Exec team highlights team level exceptions where patients are waiting longer than the generic waits standards.  Teams can review this information further in the TOBI Patient Activity and Demand app and take appropriate action.</w:t>
      </w:r>
    </w:p>
    <w:p w14:paraId="76E5B394" w14:textId="77777777" w:rsidR="002842FE" w:rsidRDefault="002842FE" w:rsidP="002842FE">
      <w:pPr>
        <w:jc w:val="both"/>
        <w:rPr>
          <w:rFonts w:ascii="Arial" w:hAnsi="Arial" w:cs="Arial"/>
          <w:iCs/>
        </w:rPr>
      </w:pPr>
    </w:p>
    <w:p w14:paraId="652724B5" w14:textId="77777777" w:rsidR="002842FE" w:rsidRPr="002842FE" w:rsidRDefault="002842FE" w:rsidP="002842FE">
      <w:pPr>
        <w:jc w:val="both"/>
        <w:rPr>
          <w:rFonts w:ascii="Arial" w:hAnsi="Arial" w:cs="Arial"/>
          <w:b/>
          <w:bCs/>
          <w:iCs/>
        </w:rPr>
      </w:pPr>
      <w:r w:rsidRPr="002842FE">
        <w:rPr>
          <w:rFonts w:ascii="Arial" w:hAnsi="Arial" w:cs="Arial"/>
          <w:b/>
          <w:bCs/>
          <w:iCs/>
        </w:rPr>
        <w:t>Neuro Developmental Conditions (NDC)</w:t>
      </w:r>
    </w:p>
    <w:p w14:paraId="29B81BFB" w14:textId="77777777" w:rsidR="002842FE" w:rsidRDefault="002842FE" w:rsidP="002842FE">
      <w:pPr>
        <w:jc w:val="both"/>
        <w:rPr>
          <w:rFonts w:ascii="Arial" w:hAnsi="Arial" w:cs="Arial"/>
          <w:iCs/>
        </w:rPr>
      </w:pPr>
      <w:r>
        <w:rPr>
          <w:rFonts w:ascii="Arial" w:hAnsi="Arial" w:cs="Arial"/>
          <w:iCs/>
        </w:rPr>
        <w:t xml:space="preserve">Bucks </w:t>
      </w:r>
      <w:r w:rsidRPr="00733682">
        <w:rPr>
          <w:rFonts w:ascii="Arial" w:hAnsi="Arial" w:cs="Arial"/>
          <w:iCs/>
        </w:rPr>
        <w:t xml:space="preserve">Collaborative pathway with BHT: Despite additional non-recurrent investment from commissioners to support waiting list reduction, </w:t>
      </w:r>
      <w:r>
        <w:rPr>
          <w:rFonts w:ascii="Arial" w:hAnsi="Arial" w:cs="Arial"/>
          <w:iCs/>
        </w:rPr>
        <w:t>the backlog/</w:t>
      </w:r>
      <w:r w:rsidRPr="00733682">
        <w:rPr>
          <w:rFonts w:ascii="Arial" w:hAnsi="Arial" w:cs="Arial"/>
          <w:iCs/>
        </w:rPr>
        <w:t>demand continues to exceed clinical workforce. A proposal is being developed for commissioner consideration that could reduce the longest wait to 1 year in a year. This is a regional and national pressure and in addition to work at “place” a BOB-wide review is to be undertaken to explore more radical options at scale.</w:t>
      </w:r>
    </w:p>
    <w:p w14:paraId="5CEC35A8" w14:textId="77777777" w:rsidR="00CE7B45" w:rsidRDefault="00CE7B45" w:rsidP="006E22CF">
      <w:pPr>
        <w:jc w:val="both"/>
        <w:rPr>
          <w:rFonts w:ascii="Segoe UI" w:hAnsi="Segoe UI" w:cs="Segoe UI"/>
          <w:b/>
        </w:rPr>
      </w:pPr>
    </w:p>
    <w:p w14:paraId="4E2E35D0" w14:textId="03E4004D" w:rsidR="006E22CF" w:rsidRDefault="00FA3993" w:rsidP="006E22CF">
      <w:pPr>
        <w:jc w:val="both"/>
        <w:rPr>
          <w:rFonts w:ascii="Segoe UI" w:hAnsi="Segoe UI" w:cs="Segoe UI"/>
          <w:b/>
        </w:rPr>
      </w:pPr>
      <w:r>
        <w:rPr>
          <w:rFonts w:ascii="Segoe UI" w:hAnsi="Segoe UI" w:cs="Segoe UI"/>
          <w:b/>
        </w:rPr>
        <w:t>Governance Route/Approval Process</w:t>
      </w:r>
    </w:p>
    <w:p w14:paraId="5A1E9C89" w14:textId="083519B3" w:rsidR="003A392D" w:rsidRDefault="00CE7B45" w:rsidP="006E22CF">
      <w:pPr>
        <w:jc w:val="both"/>
        <w:rPr>
          <w:rFonts w:ascii="Arial" w:hAnsi="Arial" w:cs="Arial"/>
        </w:rPr>
      </w:pPr>
      <w:r>
        <w:rPr>
          <w:rFonts w:ascii="Arial" w:hAnsi="Arial" w:cs="Arial"/>
        </w:rPr>
        <w:t>The IPR is produced</w:t>
      </w:r>
      <w:r w:rsidR="006E22CF">
        <w:rPr>
          <w:rFonts w:ascii="Arial" w:hAnsi="Arial" w:cs="Arial"/>
        </w:rPr>
        <w:t xml:space="preserve"> monthly </w:t>
      </w:r>
      <w:r>
        <w:rPr>
          <w:rFonts w:ascii="Arial" w:hAnsi="Arial" w:cs="Arial"/>
        </w:rPr>
        <w:t>for</w:t>
      </w:r>
      <w:r w:rsidR="006E22CF">
        <w:rPr>
          <w:rFonts w:ascii="Arial" w:hAnsi="Arial" w:cs="Arial"/>
        </w:rPr>
        <w:t xml:space="preserve"> the Executive Team and</w:t>
      </w:r>
      <w:r>
        <w:rPr>
          <w:rFonts w:ascii="Arial" w:hAnsi="Arial" w:cs="Arial"/>
        </w:rPr>
        <w:t xml:space="preserve"> presented</w:t>
      </w:r>
      <w:r w:rsidR="006E22CF">
        <w:rPr>
          <w:rFonts w:ascii="Arial" w:hAnsi="Arial" w:cs="Arial"/>
        </w:rPr>
        <w:t xml:space="preserve"> to the</w:t>
      </w:r>
      <w:r w:rsidR="00E84D93">
        <w:rPr>
          <w:rFonts w:ascii="Arial" w:hAnsi="Arial" w:cs="Arial"/>
        </w:rPr>
        <w:t xml:space="preserve"> </w:t>
      </w:r>
      <w:r w:rsidR="00FB0F97">
        <w:rPr>
          <w:rFonts w:ascii="Arial" w:hAnsi="Arial" w:cs="Arial"/>
        </w:rPr>
        <w:t xml:space="preserve">Board of Directors meetings </w:t>
      </w:r>
      <w:r>
        <w:rPr>
          <w:rFonts w:ascii="Arial" w:hAnsi="Arial" w:cs="Arial"/>
        </w:rPr>
        <w:t>on a bi-monthly basis</w:t>
      </w:r>
      <w:r w:rsidR="00E84D93">
        <w:rPr>
          <w:rFonts w:ascii="Arial" w:hAnsi="Arial" w:cs="Arial"/>
        </w:rPr>
        <w:t>.</w:t>
      </w:r>
      <w:r w:rsidR="00FB0F97">
        <w:rPr>
          <w:rFonts w:ascii="Arial" w:hAnsi="Arial" w:cs="Arial"/>
        </w:rPr>
        <w:t xml:space="preserve">  </w:t>
      </w:r>
    </w:p>
    <w:p w14:paraId="05F1DE39" w14:textId="77777777" w:rsidR="00FB0F97" w:rsidRPr="006E22CF" w:rsidRDefault="00FB0F97" w:rsidP="006E22CF">
      <w:pPr>
        <w:jc w:val="both"/>
        <w:rPr>
          <w:rFonts w:ascii="Segoe UI" w:hAnsi="Segoe UI" w:cs="Segoe UI"/>
          <w:b/>
        </w:rPr>
      </w:pPr>
    </w:p>
    <w:p w14:paraId="63681579"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2B0CBDC4" w14:textId="178701F1" w:rsidR="000A5A07" w:rsidRDefault="000A5A07" w:rsidP="0073522A">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Pr>
          <w:rFonts w:ascii="Segoe UI" w:hAnsi="Segoe UI" w:cs="Segoe UI"/>
        </w:rPr>
        <w:t xml:space="preserve"> to</w:t>
      </w:r>
      <w:r w:rsidR="00E84D93">
        <w:rPr>
          <w:rFonts w:ascii="Segoe UI" w:hAnsi="Segoe UI" w:cs="Segoe UI"/>
        </w:rPr>
        <w:t xml:space="preserve"> note </w:t>
      </w:r>
      <w:r>
        <w:rPr>
          <w:rFonts w:ascii="Segoe UI" w:hAnsi="Segoe UI" w:cs="Segoe UI"/>
        </w:rPr>
        <w:t xml:space="preserve">the report.  </w:t>
      </w:r>
    </w:p>
    <w:p w14:paraId="73B844EF" w14:textId="77777777" w:rsidR="005D3499" w:rsidRPr="00FA3993" w:rsidRDefault="005D3499">
      <w:pPr>
        <w:jc w:val="both"/>
        <w:rPr>
          <w:rFonts w:ascii="Segoe UI" w:hAnsi="Segoe UI" w:cs="Segoe UI"/>
          <w:b/>
        </w:rPr>
      </w:pPr>
    </w:p>
    <w:p w14:paraId="217461D3" w14:textId="6AE246D9" w:rsidR="00CE7B45"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CE7B45">
        <w:rPr>
          <w:rFonts w:ascii="Segoe UI" w:hAnsi="Segoe UI" w:cs="Segoe UI"/>
          <w:b/>
        </w:rPr>
        <w:t>Claire Page – Head of Performance &amp; Information</w:t>
      </w:r>
    </w:p>
    <w:p w14:paraId="41D17981" w14:textId="77777777" w:rsidR="00CE7B45" w:rsidRDefault="00CE7B45" w:rsidP="0073522A">
      <w:pPr>
        <w:ind w:left="1440" w:hanging="1440"/>
        <w:jc w:val="both"/>
        <w:rPr>
          <w:rFonts w:ascii="Segoe UI" w:hAnsi="Segoe UI" w:cs="Segoe UI"/>
          <w:b/>
        </w:rPr>
      </w:pPr>
    </w:p>
    <w:p w14:paraId="3B44F187" w14:textId="77777777" w:rsidR="00CE7B45" w:rsidRDefault="0073522A" w:rsidP="53C4554A">
      <w:pPr>
        <w:jc w:val="both"/>
        <w:rPr>
          <w:rFonts w:ascii="Segoe UI" w:hAnsi="Segoe UI" w:cs="Segoe UI"/>
          <w:b/>
          <w:bCs/>
        </w:rPr>
      </w:pPr>
      <w:r w:rsidRPr="53C4554A">
        <w:rPr>
          <w:rFonts w:ascii="Segoe UI" w:hAnsi="Segoe UI" w:cs="Segoe UI"/>
          <w:b/>
          <w:bCs/>
        </w:rPr>
        <w:t>Lead Executive Director:</w:t>
      </w:r>
      <w:r w:rsidR="007B02FB" w:rsidRPr="53C4554A">
        <w:rPr>
          <w:rFonts w:ascii="Segoe UI" w:hAnsi="Segoe UI" w:cs="Segoe UI"/>
          <w:b/>
          <w:bCs/>
        </w:rPr>
        <w:t xml:space="preserve"> </w:t>
      </w:r>
    </w:p>
    <w:p w14:paraId="5CA88F9A" w14:textId="7F64287D" w:rsidR="00FA3993" w:rsidRPr="002250DE" w:rsidRDefault="00CE7B45" w:rsidP="53C4554A">
      <w:pPr>
        <w:jc w:val="both"/>
        <w:rPr>
          <w:rFonts w:ascii="Segoe UI" w:hAnsi="Segoe UI" w:cs="Segoe UI"/>
          <w:b/>
          <w:bCs/>
        </w:rPr>
      </w:pPr>
      <w:r>
        <w:rPr>
          <w:rFonts w:ascii="Segoe UI" w:hAnsi="Segoe UI" w:cs="Segoe UI"/>
          <w:b/>
          <w:bCs/>
        </w:rPr>
        <w:t xml:space="preserve">Martyn Ward - </w:t>
      </w:r>
      <w:r w:rsidR="00E77177" w:rsidRPr="53C4554A">
        <w:rPr>
          <w:rFonts w:ascii="Segoe UI" w:hAnsi="Segoe UI" w:cs="Segoe UI"/>
          <w:b/>
          <w:bCs/>
        </w:rPr>
        <w:t>Executive Director</w:t>
      </w:r>
      <w:r>
        <w:rPr>
          <w:rFonts w:ascii="Segoe UI" w:hAnsi="Segoe UI" w:cs="Segoe UI"/>
          <w:b/>
          <w:bCs/>
        </w:rPr>
        <w:t xml:space="preserve">: </w:t>
      </w:r>
      <w:r w:rsidR="00E77177" w:rsidRPr="53C4554A">
        <w:rPr>
          <w:rFonts w:ascii="Segoe UI" w:hAnsi="Segoe UI" w:cs="Segoe UI"/>
          <w:b/>
          <w:bCs/>
        </w:rPr>
        <w:t>Digital &amp; Transformation.</w:t>
      </w:r>
      <w:r w:rsidR="007B02FB" w:rsidRPr="53C4554A">
        <w:rPr>
          <w:rFonts w:ascii="Segoe UI" w:hAnsi="Segoe UI" w:cs="Segoe UI"/>
          <w:b/>
          <w:bCs/>
        </w:rPr>
        <w:t xml:space="preserve"> </w:t>
      </w:r>
    </w:p>
    <w:p w14:paraId="4999ECC6" w14:textId="77777777" w:rsidR="00FA3993" w:rsidRDefault="00FA3993" w:rsidP="00FA3993">
      <w:pPr>
        <w:jc w:val="both"/>
        <w:rPr>
          <w:rFonts w:ascii="Segoe UI" w:hAnsi="Segoe UI" w:cs="Segoe UI"/>
        </w:rPr>
      </w:pPr>
    </w:p>
    <w:sectPr w:rsidR="00FA3993" w:rsidSect="00262F0F">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F9F8" w14:textId="77777777" w:rsidR="007925E8" w:rsidRDefault="007925E8" w:rsidP="005B3E3C">
      <w:r>
        <w:separator/>
      </w:r>
    </w:p>
  </w:endnote>
  <w:endnote w:type="continuationSeparator" w:id="0">
    <w:p w14:paraId="4A667BD8" w14:textId="77777777" w:rsidR="007925E8" w:rsidRDefault="007925E8" w:rsidP="005B3E3C">
      <w:r>
        <w:continuationSeparator/>
      </w:r>
    </w:p>
  </w:endnote>
  <w:endnote w:type="continuationNotice" w:id="1">
    <w:p w14:paraId="0C269054" w14:textId="77777777" w:rsidR="007925E8" w:rsidRDefault="0079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B7A2" w14:textId="77777777" w:rsidR="007925E8" w:rsidRDefault="007925E8" w:rsidP="005B3E3C">
      <w:r>
        <w:separator/>
      </w:r>
    </w:p>
  </w:footnote>
  <w:footnote w:type="continuationSeparator" w:id="0">
    <w:p w14:paraId="69C05A4C" w14:textId="77777777" w:rsidR="007925E8" w:rsidRDefault="007925E8" w:rsidP="005B3E3C">
      <w:r>
        <w:continuationSeparator/>
      </w:r>
    </w:p>
  </w:footnote>
  <w:footnote w:type="continuationNotice" w:id="1">
    <w:p w14:paraId="3F194D65" w14:textId="77777777" w:rsidR="007925E8" w:rsidRDefault="00792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77777777"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r w:rsidRPr="00342219">
      <w:rPr>
        <w:rFonts w:ascii="Segoe UI" w:hAnsi="Segoe UI" w:cs="Segoe UI"/>
        <w:sz w:val="20"/>
        <w:szCs w:val="20"/>
      </w:rPr>
      <w:t>[</w:t>
    </w:r>
    <w:r w:rsidRPr="00342219">
      <w:rPr>
        <w:rFonts w:ascii="Segoe UI" w:hAnsi="Segoe UI" w:cs="Segoe UI"/>
        <w:i/>
        <w:sz w:val="20"/>
        <w:szCs w:val="20"/>
      </w:rPr>
      <w:t xml:space="preserve">please remove any patient identifiable information </w:t>
    </w:r>
    <w:r w:rsidR="00342219" w:rsidRPr="00342219">
      <w:rPr>
        <w:rFonts w:ascii="Segoe UI" w:hAnsi="Segoe UI" w:cs="Segoe UI"/>
        <w:i/>
        <w:sz w:val="20"/>
        <w:szCs w:val="20"/>
      </w:rPr>
      <w:t>from papers for the public</w:t>
    </w:r>
    <w:r w:rsidRPr="00342219">
      <w:rPr>
        <w:rFonts w:ascii="Segoe UI" w:hAnsi="Segoe UI" w:cs="Segoe UI"/>
        <w:i/>
        <w:sz w:val="20"/>
        <w:szCs w:val="20"/>
      </w:rPr>
      <w:t xml:space="preserve"> meeting</w:t>
    </w:r>
    <w:r w:rsidRPr="00342219">
      <w:rPr>
        <w:rFonts w:ascii="Segoe UI" w:hAnsi="Segoe UI" w:cs="Segoe UI"/>
        <w:sz w:val="20"/>
        <w:szCs w:val="20"/>
      </w:rPr>
      <w:t>]</w:t>
    </w:r>
    <w:r w:rsidRPr="00342219">
      <w:rPr>
        <w:rFonts w:ascii="Segoe UI" w:hAnsi="Segoe UI" w:cs="Segoe UI"/>
        <w:b/>
        <w:i/>
        <w:sz w:val="20"/>
        <w:szCs w:val="20"/>
      </w:rPr>
      <w:t xml:space="preserve"> </w:t>
    </w:r>
  </w:p>
  <w:p w14:paraId="12332C66" w14:textId="77777777" w:rsidR="00262F0F" w:rsidRPr="00342219" w:rsidRDefault="00262F0F" w:rsidP="00262F0F">
    <w:pPr>
      <w:pStyle w:val="Header"/>
      <w:jc w:val="center"/>
      <w:rPr>
        <w:rFonts w:ascii="Segoe UI" w:hAnsi="Segoe UI" w:cs="Segoe UI"/>
        <w:i/>
        <w:sz w:val="20"/>
        <w:szCs w:val="20"/>
      </w:rPr>
    </w:pPr>
    <w:r w:rsidRPr="00342219">
      <w:rPr>
        <w:rFonts w:ascii="Segoe UI" w:hAnsi="Segoe UI" w:cs="Segoe UI"/>
        <w:i/>
        <w:sz w:val="20"/>
        <w:szCs w:val="20"/>
      </w:rPr>
      <w:t xml:space="preserve">OR </w:t>
    </w:r>
  </w:p>
  <w:p w14:paraId="503B0737" w14:textId="77777777" w:rsidR="00262F0F" w:rsidRPr="00342219" w:rsidRDefault="00262F0F" w:rsidP="00262F0F">
    <w:pPr>
      <w:pStyle w:val="Header"/>
      <w:jc w:val="center"/>
      <w:rPr>
        <w:rFonts w:ascii="Segoe UI" w:hAnsi="Segoe UI" w:cs="Segoe UI"/>
        <w:sz w:val="20"/>
        <w:szCs w:val="20"/>
      </w:rPr>
    </w:pPr>
    <w:r w:rsidRPr="00342219">
      <w:rPr>
        <w:rFonts w:ascii="Segoe UI" w:hAnsi="Segoe UI" w:cs="Segoe UI"/>
        <w:b/>
        <w:i/>
        <w:sz w:val="20"/>
        <w:szCs w:val="20"/>
      </w:rPr>
      <w:t xml:space="preserve">CONFIDENTIAL </w:t>
    </w:r>
    <w:r w:rsidRPr="00342219">
      <w:rPr>
        <w:rFonts w:ascii="Segoe UI" w:hAnsi="Segoe UI" w:cs="Segoe UI"/>
        <w:i/>
        <w:sz w:val="20"/>
        <w:szCs w:val="20"/>
      </w:rPr>
      <w:t>- not for disclosure under the Freedom of Information Act, the exemptions under section 36(2)(b)(ii) (prejudice to effective conduct of public affairs) and section 43 (commercial interests) may apply</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04A6"/>
    <w:multiLevelType w:val="hybridMultilevel"/>
    <w:tmpl w:val="022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074752B"/>
    <w:multiLevelType w:val="hybridMultilevel"/>
    <w:tmpl w:val="17BA94FE"/>
    <w:lvl w:ilvl="0" w:tplc="8DC2DC9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5ECF7E66"/>
    <w:multiLevelType w:val="hybridMultilevel"/>
    <w:tmpl w:val="BBB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1"/>
  </w:num>
  <w:num w:numId="5">
    <w:abstractNumId w:val="6"/>
  </w:num>
  <w:num w:numId="6">
    <w:abstractNumId w:val="2"/>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239D"/>
    <w:rsid w:val="00012F3D"/>
    <w:rsid w:val="00030247"/>
    <w:rsid w:val="000347FB"/>
    <w:rsid w:val="0006679D"/>
    <w:rsid w:val="00071842"/>
    <w:rsid w:val="00097DDC"/>
    <w:rsid w:val="000A3A29"/>
    <w:rsid w:val="000A5A07"/>
    <w:rsid w:val="000C3206"/>
    <w:rsid w:val="000E317C"/>
    <w:rsid w:val="00102B25"/>
    <w:rsid w:val="001208D1"/>
    <w:rsid w:val="001A6734"/>
    <w:rsid w:val="001B7237"/>
    <w:rsid w:val="001C3922"/>
    <w:rsid w:val="001E4C35"/>
    <w:rsid w:val="001F2B8D"/>
    <w:rsid w:val="001F4EBE"/>
    <w:rsid w:val="001F560B"/>
    <w:rsid w:val="001F76ED"/>
    <w:rsid w:val="002250DE"/>
    <w:rsid w:val="00227FCE"/>
    <w:rsid w:val="00241A66"/>
    <w:rsid w:val="00242459"/>
    <w:rsid w:val="00244A07"/>
    <w:rsid w:val="002619EF"/>
    <w:rsid w:val="00262F0F"/>
    <w:rsid w:val="00270D6D"/>
    <w:rsid w:val="002821F8"/>
    <w:rsid w:val="002842FE"/>
    <w:rsid w:val="002865FA"/>
    <w:rsid w:val="00292613"/>
    <w:rsid w:val="002A73E8"/>
    <w:rsid w:val="002C2F97"/>
    <w:rsid w:val="002D6F41"/>
    <w:rsid w:val="002E6FC6"/>
    <w:rsid w:val="00306AF0"/>
    <w:rsid w:val="00326773"/>
    <w:rsid w:val="00342219"/>
    <w:rsid w:val="003536DE"/>
    <w:rsid w:val="00354C85"/>
    <w:rsid w:val="003577FC"/>
    <w:rsid w:val="00361251"/>
    <w:rsid w:val="0038127B"/>
    <w:rsid w:val="003867F5"/>
    <w:rsid w:val="003927AC"/>
    <w:rsid w:val="003971F6"/>
    <w:rsid w:val="003A392D"/>
    <w:rsid w:val="003D72F8"/>
    <w:rsid w:val="003E7022"/>
    <w:rsid w:val="003F2AF4"/>
    <w:rsid w:val="003F36B9"/>
    <w:rsid w:val="003F7366"/>
    <w:rsid w:val="00414456"/>
    <w:rsid w:val="00421DB8"/>
    <w:rsid w:val="004326BB"/>
    <w:rsid w:val="00432EA3"/>
    <w:rsid w:val="00454862"/>
    <w:rsid w:val="00456DDE"/>
    <w:rsid w:val="00465812"/>
    <w:rsid w:val="004742D0"/>
    <w:rsid w:val="00496B12"/>
    <w:rsid w:val="004A1E77"/>
    <w:rsid w:val="004A5BF6"/>
    <w:rsid w:val="004B64C8"/>
    <w:rsid w:val="004F4BBA"/>
    <w:rsid w:val="00502406"/>
    <w:rsid w:val="00521C4D"/>
    <w:rsid w:val="005233AA"/>
    <w:rsid w:val="00527D4A"/>
    <w:rsid w:val="00534870"/>
    <w:rsid w:val="00535DE2"/>
    <w:rsid w:val="00541799"/>
    <w:rsid w:val="005518C7"/>
    <w:rsid w:val="00551B0F"/>
    <w:rsid w:val="005575AC"/>
    <w:rsid w:val="005659FB"/>
    <w:rsid w:val="00592F8F"/>
    <w:rsid w:val="005A3CBA"/>
    <w:rsid w:val="005B3E3C"/>
    <w:rsid w:val="005C3FC1"/>
    <w:rsid w:val="005D03A4"/>
    <w:rsid w:val="005D3499"/>
    <w:rsid w:val="005E2583"/>
    <w:rsid w:val="00611022"/>
    <w:rsid w:val="0061684E"/>
    <w:rsid w:val="006427ED"/>
    <w:rsid w:val="006456CB"/>
    <w:rsid w:val="00662651"/>
    <w:rsid w:val="0067319C"/>
    <w:rsid w:val="006B327F"/>
    <w:rsid w:val="006D16E2"/>
    <w:rsid w:val="006E1E13"/>
    <w:rsid w:val="006E22CF"/>
    <w:rsid w:val="006E38F4"/>
    <w:rsid w:val="006E3C3E"/>
    <w:rsid w:val="006F2F62"/>
    <w:rsid w:val="006F3E37"/>
    <w:rsid w:val="006F6BA5"/>
    <w:rsid w:val="00717F26"/>
    <w:rsid w:val="00733232"/>
    <w:rsid w:val="00733682"/>
    <w:rsid w:val="00733BCF"/>
    <w:rsid w:val="0073522A"/>
    <w:rsid w:val="0075195C"/>
    <w:rsid w:val="007769CD"/>
    <w:rsid w:val="0078032B"/>
    <w:rsid w:val="00781566"/>
    <w:rsid w:val="007925E8"/>
    <w:rsid w:val="00792BF8"/>
    <w:rsid w:val="00792E95"/>
    <w:rsid w:val="007976E7"/>
    <w:rsid w:val="007A2CF0"/>
    <w:rsid w:val="007B02FB"/>
    <w:rsid w:val="007B6D77"/>
    <w:rsid w:val="007E6B44"/>
    <w:rsid w:val="008005E3"/>
    <w:rsid w:val="00802701"/>
    <w:rsid w:val="00802E20"/>
    <w:rsid w:val="008038A2"/>
    <w:rsid w:val="00811FE8"/>
    <w:rsid w:val="00842E4A"/>
    <w:rsid w:val="0084720C"/>
    <w:rsid w:val="0086436B"/>
    <w:rsid w:val="00886037"/>
    <w:rsid w:val="00891478"/>
    <w:rsid w:val="00894B97"/>
    <w:rsid w:val="008A6E6B"/>
    <w:rsid w:val="008C2306"/>
    <w:rsid w:val="008E32B1"/>
    <w:rsid w:val="008F3744"/>
    <w:rsid w:val="00905755"/>
    <w:rsid w:val="00910FFE"/>
    <w:rsid w:val="009369E9"/>
    <w:rsid w:val="00946E6E"/>
    <w:rsid w:val="009869DE"/>
    <w:rsid w:val="009E22F8"/>
    <w:rsid w:val="009E63BF"/>
    <w:rsid w:val="00A06C86"/>
    <w:rsid w:val="00A40B92"/>
    <w:rsid w:val="00A64F30"/>
    <w:rsid w:val="00A674FB"/>
    <w:rsid w:val="00A76C38"/>
    <w:rsid w:val="00A85311"/>
    <w:rsid w:val="00A86977"/>
    <w:rsid w:val="00A901FF"/>
    <w:rsid w:val="00AA0C3F"/>
    <w:rsid w:val="00AC3814"/>
    <w:rsid w:val="00AC518A"/>
    <w:rsid w:val="00AD3B1D"/>
    <w:rsid w:val="00AF0562"/>
    <w:rsid w:val="00AF650A"/>
    <w:rsid w:val="00B00CBA"/>
    <w:rsid w:val="00B10FB2"/>
    <w:rsid w:val="00B26E1A"/>
    <w:rsid w:val="00B26F2C"/>
    <w:rsid w:val="00B50D5E"/>
    <w:rsid w:val="00B60E6A"/>
    <w:rsid w:val="00B65B63"/>
    <w:rsid w:val="00BA3B3E"/>
    <w:rsid w:val="00BB6BCF"/>
    <w:rsid w:val="00BC152C"/>
    <w:rsid w:val="00BE7B2E"/>
    <w:rsid w:val="00BF3538"/>
    <w:rsid w:val="00BF3A88"/>
    <w:rsid w:val="00BF5367"/>
    <w:rsid w:val="00C07817"/>
    <w:rsid w:val="00C11AA2"/>
    <w:rsid w:val="00C2463F"/>
    <w:rsid w:val="00C67635"/>
    <w:rsid w:val="00C71005"/>
    <w:rsid w:val="00C73522"/>
    <w:rsid w:val="00C902E7"/>
    <w:rsid w:val="00C97483"/>
    <w:rsid w:val="00CC67ED"/>
    <w:rsid w:val="00CE65B3"/>
    <w:rsid w:val="00CE7B45"/>
    <w:rsid w:val="00D07064"/>
    <w:rsid w:val="00D101CB"/>
    <w:rsid w:val="00D279FC"/>
    <w:rsid w:val="00D45647"/>
    <w:rsid w:val="00D55ADD"/>
    <w:rsid w:val="00D7558E"/>
    <w:rsid w:val="00D832C9"/>
    <w:rsid w:val="00D8544F"/>
    <w:rsid w:val="00D870AD"/>
    <w:rsid w:val="00DA0FA6"/>
    <w:rsid w:val="00DA7378"/>
    <w:rsid w:val="00DB161E"/>
    <w:rsid w:val="00DC46A7"/>
    <w:rsid w:val="00DD33DF"/>
    <w:rsid w:val="00DE1293"/>
    <w:rsid w:val="00DE5A8C"/>
    <w:rsid w:val="00DF10CC"/>
    <w:rsid w:val="00E0336A"/>
    <w:rsid w:val="00E21213"/>
    <w:rsid w:val="00E47112"/>
    <w:rsid w:val="00E60D96"/>
    <w:rsid w:val="00E77177"/>
    <w:rsid w:val="00E827C5"/>
    <w:rsid w:val="00E84D93"/>
    <w:rsid w:val="00E85A71"/>
    <w:rsid w:val="00EA37E0"/>
    <w:rsid w:val="00EB6617"/>
    <w:rsid w:val="00EE6DBC"/>
    <w:rsid w:val="00F23B3D"/>
    <w:rsid w:val="00F24EB2"/>
    <w:rsid w:val="00F26488"/>
    <w:rsid w:val="00F50A07"/>
    <w:rsid w:val="00F57119"/>
    <w:rsid w:val="00F57391"/>
    <w:rsid w:val="00F77C13"/>
    <w:rsid w:val="00F83556"/>
    <w:rsid w:val="00F945DB"/>
    <w:rsid w:val="00F95FAB"/>
    <w:rsid w:val="00FA1DE9"/>
    <w:rsid w:val="00FA3993"/>
    <w:rsid w:val="00FA5118"/>
    <w:rsid w:val="00FB0F97"/>
    <w:rsid w:val="00FD2279"/>
    <w:rsid w:val="00FE113A"/>
    <w:rsid w:val="00FF420A"/>
    <w:rsid w:val="04946BAC"/>
    <w:rsid w:val="0A3EED11"/>
    <w:rsid w:val="0C3CD7D2"/>
    <w:rsid w:val="0F647DC9"/>
    <w:rsid w:val="146C55BA"/>
    <w:rsid w:val="14DA29C2"/>
    <w:rsid w:val="1881F88D"/>
    <w:rsid w:val="1A1F8F56"/>
    <w:rsid w:val="231D353E"/>
    <w:rsid w:val="288022EA"/>
    <w:rsid w:val="2A9639E9"/>
    <w:rsid w:val="2B723545"/>
    <w:rsid w:val="2C0AF399"/>
    <w:rsid w:val="2C9CDB7E"/>
    <w:rsid w:val="2E47F618"/>
    <w:rsid w:val="3312A8C7"/>
    <w:rsid w:val="380B5CB7"/>
    <w:rsid w:val="3A6B872D"/>
    <w:rsid w:val="3D39FCAE"/>
    <w:rsid w:val="3ECED7C3"/>
    <w:rsid w:val="3F462443"/>
    <w:rsid w:val="42A69968"/>
    <w:rsid w:val="4477AD5E"/>
    <w:rsid w:val="4480704C"/>
    <w:rsid w:val="49251D85"/>
    <w:rsid w:val="4DE84FF0"/>
    <w:rsid w:val="4E151AA1"/>
    <w:rsid w:val="4EEBBA23"/>
    <w:rsid w:val="5033E874"/>
    <w:rsid w:val="525CF782"/>
    <w:rsid w:val="537B6347"/>
    <w:rsid w:val="53C4554A"/>
    <w:rsid w:val="561083F3"/>
    <w:rsid w:val="5D4C4DB7"/>
    <w:rsid w:val="66ED3103"/>
    <w:rsid w:val="6D9EB19C"/>
    <w:rsid w:val="73413A5D"/>
    <w:rsid w:val="74848B94"/>
    <w:rsid w:val="751ADE70"/>
    <w:rsid w:val="769C37E9"/>
    <w:rsid w:val="79BF8BA9"/>
    <w:rsid w:val="7CB19E04"/>
    <w:rsid w:val="7DAC5163"/>
    <w:rsid w:val="7DDC4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0BF8B2"/>
  <w15:docId w15:val="{8329AB8C-8052-4BE6-97A4-B0E9DDCA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customStyle="1" w:styleId="normaltextrun">
    <w:name w:val="normaltextrun"/>
    <w:basedOn w:val="DefaultParagraphFont"/>
    <w:rsid w:val="0073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4" ma:contentTypeDescription="Create a new document." ma:contentTypeScope="" ma:versionID="1235abcc8f03abebd51c75cfbcdbb627">
  <xsd:schema xmlns:xsd="http://www.w3.org/2001/XMLSchema" xmlns:xs="http://www.w3.org/2001/XMLSchema" xmlns:p="http://schemas.microsoft.com/office/2006/metadata/properties" xmlns:ns2="250169f9-d2da-4118-b53a-263316cd62ce" targetNamespace="http://schemas.microsoft.com/office/2006/metadata/properties" ma:root="true" ma:fieldsID="a911cc9c4047fa7d51f23cad0855bf7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668A0-C56E-48A5-8622-4C1624CF5F87}">
  <ds:schemaRefs>
    <ds:schemaRef ds:uri="http://schemas.openxmlformats.org/officeDocument/2006/bibliography"/>
  </ds:schemaRefs>
</ds:datastoreItem>
</file>

<file path=customXml/itemProps2.xml><?xml version="1.0" encoding="utf-8"?>
<ds:datastoreItem xmlns:ds="http://schemas.openxmlformats.org/officeDocument/2006/customXml" ds:itemID="{7C78E018-CBAB-418B-9B0E-7CDFF8D2C0E6}">
  <ds:schemaRefs>
    <ds:schemaRef ds:uri="http://schemas.microsoft.com/sharepoint/v3/contenttype/forms"/>
  </ds:schemaRefs>
</ds:datastoreItem>
</file>

<file path=customXml/itemProps3.xml><?xml version="1.0" encoding="utf-8"?>
<ds:datastoreItem xmlns:ds="http://schemas.openxmlformats.org/officeDocument/2006/customXml" ds:itemID="{026DCB5C-FE7A-4D01-AC15-7D8EA5EBB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77164-17B3-44B7-B1DD-61839DB592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6754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Gill Nicola (RNU) Oxford Health</cp:lastModifiedBy>
  <cp:revision>3</cp:revision>
  <cp:lastPrinted>2014-03-17T14:55:00Z</cp:lastPrinted>
  <dcterms:created xsi:type="dcterms:W3CDTF">2022-03-18T12:49:00Z</dcterms:created>
  <dcterms:modified xsi:type="dcterms:W3CDTF">2022-03-18T13:06:00Z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