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247F" w14:textId="77777777"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541219B0" wp14:editId="55705DE9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AF9CB" w14:textId="77777777"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14:paraId="5B4DE2E5" w14:textId="77777777"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F9FD7" wp14:editId="73335C0F">
                <wp:simplePos x="0" y="0"/>
                <wp:positionH relativeFrom="column">
                  <wp:posOffset>4488015</wp:posOffset>
                </wp:positionH>
                <wp:positionV relativeFrom="paragraph">
                  <wp:posOffset>38739</wp:posOffset>
                </wp:positionV>
                <wp:extent cx="1754802" cy="457200"/>
                <wp:effectExtent l="0" t="0" r="1714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80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D20E" w14:textId="5687A249" w:rsidR="00781566" w:rsidRDefault="00447428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RR/App-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15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842E4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55332493" w14:textId="74AE907D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4474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9FD7" id="Rectangle 10" o:spid="_x0000_s1026" style="position:absolute;left:0;text-align:left;margin-left:353.4pt;margin-top:3.05pt;width:138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">
                <v:textbox inset="0,0,0,0">
                  <w:txbxContent>
                    <w:p w14:paraId="029CD20E" w14:textId="5687A249" w:rsidR="00781566" w:rsidRDefault="00447428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RR/App-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</w:rPr>
                        <w:t xml:space="preserve"> 15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842E4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55332493" w14:textId="74AE907D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4474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560658A9" w14:textId="77777777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4C8433B2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06C00783" w14:textId="77777777"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14:paraId="0ED54CE9" w14:textId="2C67D6E6" w:rsidR="005D3499" w:rsidRPr="00FA3993" w:rsidRDefault="00BD4FAB" w:rsidP="00A901FF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23</w:t>
      </w:r>
      <w:r w:rsidRPr="00BD4FAB">
        <w:rPr>
          <w:rFonts w:ascii="Segoe UI" w:hAnsi="Segoe UI" w:cs="Segoe UI"/>
          <w:b/>
          <w:bCs/>
          <w:vertAlign w:val="superscript"/>
        </w:rPr>
        <w:t>rd</w:t>
      </w:r>
      <w:r>
        <w:rPr>
          <w:rFonts w:ascii="Segoe UI" w:hAnsi="Segoe UI" w:cs="Segoe UI"/>
          <w:b/>
          <w:bCs/>
        </w:rPr>
        <w:t xml:space="preserve"> November </w:t>
      </w:r>
      <w:r w:rsidR="008A6E6B">
        <w:rPr>
          <w:rFonts w:ascii="Segoe UI" w:hAnsi="Segoe UI" w:cs="Segoe UI"/>
          <w:b/>
          <w:bCs/>
        </w:rPr>
        <w:t>2022</w:t>
      </w:r>
    </w:p>
    <w:p w14:paraId="27F436E6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5EEAEE7E" w14:textId="200CFDF9" w:rsidR="005D3499" w:rsidRPr="00FA3993" w:rsidRDefault="001F2B8D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Integrated Performance Report (IPR)</w:t>
      </w:r>
    </w:p>
    <w:p w14:paraId="75CC48EA" w14:textId="77777777" w:rsidR="005D3499" w:rsidRPr="00FA3993" w:rsidRDefault="005D3499">
      <w:pPr>
        <w:rPr>
          <w:rFonts w:ascii="Segoe UI" w:hAnsi="Segoe UI" w:cs="Segoe UI"/>
          <w:b/>
        </w:rPr>
      </w:pPr>
    </w:p>
    <w:p w14:paraId="39161D7D" w14:textId="0B479259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14:paraId="6C0C2A98" w14:textId="77777777" w:rsidR="00292613" w:rsidRPr="00FA3993" w:rsidRDefault="00292613">
      <w:pPr>
        <w:rPr>
          <w:rFonts w:ascii="Segoe UI" w:hAnsi="Segoe UI" w:cs="Segoe UI"/>
          <w:b/>
        </w:rPr>
      </w:pPr>
    </w:p>
    <w:p w14:paraId="29CB0886" w14:textId="77777777" w:rsidR="007A2CF0" w:rsidRPr="00FA3993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14:paraId="5848F848" w14:textId="77777777" w:rsidR="004A1E77" w:rsidRDefault="004A1E77" w:rsidP="004A1E77">
      <w:pPr>
        <w:jc w:val="both"/>
        <w:rPr>
          <w:rFonts w:ascii="Arial" w:hAnsi="Arial" w:cs="Arial"/>
          <w:b/>
        </w:rPr>
      </w:pPr>
    </w:p>
    <w:p w14:paraId="29A6DEDB" w14:textId="2753CCA8" w:rsidR="00CE7B45" w:rsidRDefault="004A1E77" w:rsidP="004A1E77">
      <w:pPr>
        <w:rPr>
          <w:rFonts w:ascii="Arial" w:hAnsi="Arial" w:cs="Arial"/>
        </w:rPr>
      </w:pPr>
      <w:r w:rsidRPr="006B1604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report is intended to provide the </w:t>
      </w:r>
      <w:r w:rsidR="00CE7B45">
        <w:rPr>
          <w:rFonts w:ascii="Arial" w:hAnsi="Arial" w:cs="Arial"/>
        </w:rPr>
        <w:t xml:space="preserve">Council of Governors with an overview of the </w:t>
      </w:r>
      <w:r>
        <w:rPr>
          <w:rFonts w:ascii="Arial" w:hAnsi="Arial" w:cs="Arial"/>
        </w:rPr>
        <w:t>Trust’s overall performance</w:t>
      </w:r>
      <w:r w:rsidR="00617E32">
        <w:rPr>
          <w:rFonts w:ascii="Arial" w:hAnsi="Arial" w:cs="Arial"/>
        </w:rPr>
        <w:t xml:space="preserve"> to </w:t>
      </w:r>
      <w:r w:rsidR="00BD4FAB">
        <w:rPr>
          <w:rFonts w:ascii="Arial" w:hAnsi="Arial" w:cs="Arial"/>
        </w:rPr>
        <w:t>July/August</w:t>
      </w:r>
      <w:r w:rsidR="00617E32">
        <w:rPr>
          <w:rFonts w:ascii="Arial" w:hAnsi="Arial" w:cs="Arial"/>
        </w:rPr>
        <w:t xml:space="preserve"> 2022</w:t>
      </w:r>
      <w:r w:rsidR="00FB524E">
        <w:rPr>
          <w:rFonts w:ascii="Arial" w:hAnsi="Arial" w:cs="Arial"/>
        </w:rPr>
        <w:t>.</w:t>
      </w:r>
    </w:p>
    <w:p w14:paraId="45A9F9A5" w14:textId="77777777" w:rsidR="00CE7B45" w:rsidRDefault="00CE7B45" w:rsidP="004A1E77">
      <w:pPr>
        <w:rPr>
          <w:rFonts w:ascii="Arial" w:hAnsi="Arial" w:cs="Arial"/>
        </w:rPr>
      </w:pPr>
    </w:p>
    <w:p w14:paraId="5447935D" w14:textId="48E18038" w:rsidR="00CE7B45" w:rsidRDefault="00CE7B45" w:rsidP="004A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update is based on the Integrated Performance Report (IPR) that was presented at the public session of the Board of Directors in </w:t>
      </w:r>
      <w:r w:rsidR="00BD4FAB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as that is the most recent information publicly available.  </w:t>
      </w:r>
      <w:r w:rsidR="00D1567C">
        <w:rPr>
          <w:rFonts w:ascii="Arial" w:hAnsi="Arial" w:cs="Arial"/>
        </w:rPr>
        <w:t xml:space="preserve"> </w:t>
      </w:r>
    </w:p>
    <w:p w14:paraId="28C1275B" w14:textId="150F8D4D" w:rsidR="00CE7B45" w:rsidRDefault="00CE7B45" w:rsidP="004A1E77">
      <w:pPr>
        <w:rPr>
          <w:rFonts w:ascii="Arial" w:hAnsi="Arial" w:cs="Arial"/>
        </w:rPr>
      </w:pPr>
    </w:p>
    <w:p w14:paraId="10AC8224" w14:textId="1E1F8DC5" w:rsidR="00CE7B45" w:rsidRDefault="00CE7B45" w:rsidP="004A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information, the IPR has been developed to provide an integrated view of the </w:t>
      </w:r>
      <w:r w:rsidR="00224B9B">
        <w:rPr>
          <w:rFonts w:ascii="Arial" w:hAnsi="Arial" w:cs="Arial"/>
        </w:rPr>
        <w:t>four strategic objectives of the Trust -</w:t>
      </w:r>
      <w:r>
        <w:rPr>
          <w:rFonts w:ascii="Arial" w:hAnsi="Arial" w:cs="Arial"/>
        </w:rPr>
        <w:t xml:space="preserve"> Quality, People, Sustainability and Research &amp; Education.  The report is divided into five sections, each with a</w:t>
      </w:r>
      <w:r w:rsidR="00224B9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Executive owner.</w:t>
      </w:r>
    </w:p>
    <w:p w14:paraId="2DF65075" w14:textId="77777777" w:rsidR="004A1E77" w:rsidRDefault="004A1E77" w:rsidP="004A1E77">
      <w:pPr>
        <w:rPr>
          <w:rFonts w:ascii="Arial" w:hAnsi="Arial" w:cs="Arial"/>
        </w:rPr>
      </w:pPr>
    </w:p>
    <w:p w14:paraId="5D79574B" w14:textId="77777777" w:rsidR="004A1E77" w:rsidRDefault="004A1E77" w:rsidP="004A1E77">
      <w:pPr>
        <w:rPr>
          <w:rFonts w:ascii="Arial" w:hAnsi="Arial" w:cs="Arial"/>
        </w:rPr>
      </w:pPr>
      <w:r>
        <w:rPr>
          <w:rFonts w:ascii="Arial" w:hAnsi="Arial" w:cs="Arial"/>
        </w:rPr>
        <w:t>Section 1:  A narrative that describes the Trust strategy and the key objectives</w:t>
      </w:r>
    </w:p>
    <w:p w14:paraId="1316D155" w14:textId="77777777" w:rsidR="004A1E77" w:rsidRDefault="004A1E77" w:rsidP="004A1E77">
      <w:pPr>
        <w:rPr>
          <w:rFonts w:ascii="Arial" w:hAnsi="Arial" w:cs="Arial"/>
        </w:rPr>
      </w:pPr>
    </w:p>
    <w:p w14:paraId="6D6971BC" w14:textId="03DB93DD" w:rsidR="004A1E77" w:rsidRDefault="004A1E77" w:rsidP="004A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2:  </w:t>
      </w:r>
      <w:r w:rsidR="0090536E">
        <w:rPr>
          <w:rFonts w:ascii="Arial" w:hAnsi="Arial" w:cs="Arial"/>
        </w:rPr>
        <w:t xml:space="preserve">Highlights from the Executive Managing Directors </w:t>
      </w:r>
      <w:r w:rsidR="00DE47C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Key headlines to help set context on what the Trust has delivered during the reporting period </w:t>
      </w:r>
    </w:p>
    <w:p w14:paraId="013D1A8F" w14:textId="77777777" w:rsidR="004A1E77" w:rsidRDefault="004A1E77" w:rsidP="004A1E77">
      <w:pPr>
        <w:rPr>
          <w:rFonts w:ascii="Arial" w:hAnsi="Arial" w:cs="Arial"/>
        </w:rPr>
      </w:pPr>
    </w:p>
    <w:p w14:paraId="20308ABC" w14:textId="77777777" w:rsidR="004A1E77" w:rsidRDefault="004A1E77" w:rsidP="004A1E77">
      <w:pPr>
        <w:rPr>
          <w:rFonts w:ascii="Arial" w:hAnsi="Arial" w:cs="Arial"/>
        </w:rPr>
      </w:pPr>
      <w:r>
        <w:rPr>
          <w:rFonts w:ascii="Arial" w:hAnsi="Arial" w:cs="Arial"/>
        </w:rPr>
        <w:t>Section 3: Delivery against the targets set nationally in the NHS Oversight Framework</w:t>
      </w:r>
    </w:p>
    <w:p w14:paraId="01471D47" w14:textId="77777777" w:rsidR="004A1E77" w:rsidRDefault="004A1E77" w:rsidP="004A1E77">
      <w:pPr>
        <w:rPr>
          <w:rFonts w:ascii="Arial" w:hAnsi="Arial" w:cs="Arial"/>
        </w:rPr>
      </w:pPr>
    </w:p>
    <w:p w14:paraId="3C9F7BE2" w14:textId="19C42EA6" w:rsidR="00FD1853" w:rsidRDefault="004A1E77" w:rsidP="004A1E77">
      <w:pPr>
        <w:rPr>
          <w:rFonts w:ascii="Arial" w:hAnsi="Arial" w:cs="Arial"/>
        </w:rPr>
      </w:pPr>
      <w:r>
        <w:rPr>
          <w:rFonts w:ascii="Arial" w:hAnsi="Arial" w:cs="Arial"/>
        </w:rPr>
        <w:t>Section 4</w:t>
      </w:r>
      <w:r w:rsidR="00E2669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 </w:t>
      </w:r>
      <w:r w:rsidR="00FD1853">
        <w:rPr>
          <w:rFonts w:ascii="Arial" w:hAnsi="Arial" w:cs="Arial"/>
        </w:rPr>
        <w:t>Comparative/Benchmarking data</w:t>
      </w:r>
    </w:p>
    <w:p w14:paraId="163E53F9" w14:textId="77777777" w:rsidR="00DE47CD" w:rsidRDefault="00DE47CD" w:rsidP="004A1E77">
      <w:pPr>
        <w:rPr>
          <w:rFonts w:ascii="Arial" w:hAnsi="Arial" w:cs="Arial"/>
        </w:rPr>
      </w:pPr>
    </w:p>
    <w:p w14:paraId="004C8831" w14:textId="25899D40" w:rsidR="00E26695" w:rsidRDefault="00E26695" w:rsidP="004A1E77">
      <w:pPr>
        <w:rPr>
          <w:rFonts w:ascii="Arial" w:hAnsi="Arial" w:cs="Arial"/>
        </w:rPr>
      </w:pPr>
      <w:r>
        <w:rPr>
          <w:rFonts w:ascii="Arial" w:hAnsi="Arial" w:cs="Arial"/>
        </w:rPr>
        <w:t>Section 4b</w:t>
      </w:r>
      <w:r w:rsidR="00A32722">
        <w:rPr>
          <w:rFonts w:ascii="Arial" w:hAnsi="Arial" w:cs="Arial"/>
        </w:rPr>
        <w:t>:  SE Regional Performance including Provider Collaborative Performance</w:t>
      </w:r>
    </w:p>
    <w:p w14:paraId="0C49295C" w14:textId="77777777" w:rsidR="004A1E77" w:rsidRDefault="004A1E77" w:rsidP="004A1E77">
      <w:pPr>
        <w:rPr>
          <w:rFonts w:ascii="Arial" w:hAnsi="Arial" w:cs="Arial"/>
        </w:rPr>
      </w:pPr>
    </w:p>
    <w:p w14:paraId="787358FE" w14:textId="77777777" w:rsidR="00A32722" w:rsidRDefault="004A1E77" w:rsidP="00A327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Section 5:  </w:t>
      </w:r>
      <w:r w:rsidR="00A32722">
        <w:rPr>
          <w:rFonts w:ascii="Arial" w:hAnsi="Arial" w:cs="Arial"/>
        </w:rPr>
        <w:t>Measuring the Trust’s performance against its strategic objectives using the Objective Key Results (OKRs) agreed during the development of the Trust’s strategy</w:t>
      </w:r>
    </w:p>
    <w:p w14:paraId="25537F0B" w14:textId="51A15DC8" w:rsidR="004A1E77" w:rsidRDefault="00A32722" w:rsidP="004A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3D8D69" w14:textId="369D8CCC" w:rsidR="004A1E77" w:rsidRDefault="004A1E77" w:rsidP="004A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E7B45">
        <w:rPr>
          <w:rFonts w:ascii="Arial" w:hAnsi="Arial" w:cs="Arial"/>
        </w:rPr>
        <w:t xml:space="preserve">IPR should be </w:t>
      </w:r>
      <w:r>
        <w:rPr>
          <w:rFonts w:ascii="Arial" w:hAnsi="Arial" w:cs="Arial"/>
        </w:rPr>
        <w:t xml:space="preserve">read alongside the standard reporting on each specific area (Quality, Workforce, Finance and Operational Performance). </w:t>
      </w:r>
    </w:p>
    <w:p w14:paraId="552F2DB9" w14:textId="0DF9F437" w:rsidR="00CE7B45" w:rsidRDefault="00CE7B45" w:rsidP="004A1E77">
      <w:pPr>
        <w:rPr>
          <w:rFonts w:ascii="Arial" w:hAnsi="Arial" w:cs="Arial"/>
        </w:rPr>
      </w:pPr>
    </w:p>
    <w:p w14:paraId="454894D3" w14:textId="186CCF07" w:rsidR="00CE7B45" w:rsidRDefault="00CE7B45" w:rsidP="006E22C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Key Headlines for the Council of Governors:</w:t>
      </w:r>
    </w:p>
    <w:p w14:paraId="214EFD49" w14:textId="71416CE4" w:rsidR="00CE7B45" w:rsidRDefault="00CE7B45" w:rsidP="006E22CF">
      <w:pPr>
        <w:jc w:val="both"/>
        <w:rPr>
          <w:rFonts w:ascii="Segoe UI" w:hAnsi="Segoe UI" w:cs="Segoe UI"/>
          <w:b/>
        </w:rPr>
      </w:pPr>
    </w:p>
    <w:p w14:paraId="4EA54A11" w14:textId="77777777" w:rsidR="00125664" w:rsidRPr="00FF5475" w:rsidRDefault="00125664" w:rsidP="00125664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>IPR - Performance Summary</w:t>
      </w:r>
    </w:p>
    <w:p w14:paraId="361740D3" w14:textId="77777777" w:rsidR="00125664" w:rsidRPr="00372D77" w:rsidRDefault="00125664" w:rsidP="00125664">
      <w:pPr>
        <w:rPr>
          <w:rFonts w:ascii="Arial" w:hAnsi="Arial" w:cs="Arial"/>
          <w:b/>
          <w:bCs/>
        </w:rPr>
      </w:pPr>
    </w:p>
    <w:p w14:paraId="351E9F8B" w14:textId="77777777" w:rsidR="00125664" w:rsidRPr="00372D77" w:rsidRDefault="00125664" w:rsidP="00125664">
      <w:pPr>
        <w:rPr>
          <w:rFonts w:ascii="Arial" w:hAnsi="Arial" w:cs="Arial"/>
          <w:b/>
          <w:bCs/>
        </w:rPr>
      </w:pPr>
      <w:r w:rsidRPr="00372D77">
        <w:rPr>
          <w:rFonts w:ascii="Arial" w:hAnsi="Arial" w:cs="Arial"/>
          <w:b/>
          <w:bCs/>
        </w:rPr>
        <w:t xml:space="preserve">Delivery of the </w:t>
      </w:r>
      <w:r>
        <w:rPr>
          <w:rFonts w:ascii="Arial" w:hAnsi="Arial" w:cs="Arial"/>
          <w:b/>
          <w:bCs/>
        </w:rPr>
        <w:t>NHS</w:t>
      </w:r>
      <w:r w:rsidRPr="00372D77">
        <w:rPr>
          <w:rFonts w:ascii="Arial" w:hAnsi="Arial" w:cs="Arial"/>
          <w:b/>
          <w:bCs/>
        </w:rPr>
        <w:t xml:space="preserve"> National Oversight Framework</w:t>
      </w:r>
    </w:p>
    <w:p w14:paraId="56204E9D" w14:textId="77777777" w:rsidR="00125664" w:rsidRDefault="00125664" w:rsidP="00035475">
      <w:pPr>
        <w:rPr>
          <w:rFonts w:ascii="Arial" w:hAnsi="Arial" w:cs="Arial"/>
        </w:rPr>
      </w:pPr>
    </w:p>
    <w:p w14:paraId="7917FDCB" w14:textId="20C58F89" w:rsidR="00035475" w:rsidRDefault="00035475" w:rsidP="00035475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is performing well against </w:t>
      </w:r>
      <w:r>
        <w:rPr>
          <w:rFonts w:ascii="Arial" w:hAnsi="Arial" w:cs="Arial"/>
        </w:rPr>
        <w:t>the</w:t>
      </w:r>
      <w:r w:rsidRPr="00372D77">
        <w:rPr>
          <w:rFonts w:ascii="Arial" w:hAnsi="Arial" w:cs="Arial"/>
        </w:rPr>
        <w:t xml:space="preserve"> targeted metrics with the exception </w:t>
      </w:r>
      <w:proofErr w:type="gramStart"/>
      <w:r w:rsidRPr="00372D77">
        <w:rPr>
          <w:rFonts w:ascii="Arial" w:hAnsi="Arial" w:cs="Arial"/>
        </w:rPr>
        <w:t>of</w:t>
      </w:r>
      <w:r>
        <w:rPr>
          <w:rFonts w:ascii="Arial" w:hAnsi="Arial" w:cs="Arial"/>
        </w:rPr>
        <w:t>;</w:t>
      </w:r>
      <w:proofErr w:type="gramEnd"/>
    </w:p>
    <w:p w14:paraId="28703EFF" w14:textId="77777777" w:rsidR="00035475" w:rsidRDefault="00035475" w:rsidP="00035475">
      <w:pPr>
        <w:rPr>
          <w:rFonts w:ascii="Arial" w:hAnsi="Arial" w:cs="Arial"/>
        </w:rPr>
      </w:pPr>
    </w:p>
    <w:p w14:paraId="752D85FD" w14:textId="77777777" w:rsidR="00035475" w:rsidRPr="002157CF" w:rsidRDefault="00035475" w:rsidP="0003547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Inappropriate OAPs bed days used</w:t>
      </w:r>
    </w:p>
    <w:p w14:paraId="6E7A3471" w14:textId="77777777" w:rsidR="00035475" w:rsidRPr="002157CF" w:rsidRDefault="00035475" w:rsidP="0003547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 xml:space="preserve">Minor Injury Units (MIU) </w:t>
      </w:r>
      <w:proofErr w:type="gramStart"/>
      <w:r w:rsidRPr="002157CF">
        <w:rPr>
          <w:rFonts w:ascii="Arial" w:hAnsi="Arial" w:cs="Arial"/>
        </w:rPr>
        <w:t>4 hour</w:t>
      </w:r>
      <w:proofErr w:type="gramEnd"/>
      <w:r w:rsidRPr="002157CF">
        <w:rPr>
          <w:rFonts w:ascii="Arial" w:hAnsi="Arial" w:cs="Arial"/>
        </w:rPr>
        <w:t xml:space="preserve"> performance and</w:t>
      </w:r>
    </w:p>
    <w:p w14:paraId="613AC4DD" w14:textId="77777777" w:rsidR="00035475" w:rsidRPr="002157CF" w:rsidRDefault="00035475" w:rsidP="0003547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IAPT; the percentage of people completing a course of IAPT treatment moving to recovery</w:t>
      </w:r>
    </w:p>
    <w:p w14:paraId="269F4F31" w14:textId="77777777" w:rsidR="00035475" w:rsidRDefault="00035475" w:rsidP="00035475">
      <w:pPr>
        <w:rPr>
          <w:rFonts w:ascii="Arial" w:hAnsi="Arial" w:cs="Arial"/>
          <w:b/>
          <w:bCs/>
        </w:rPr>
      </w:pPr>
    </w:p>
    <w:p w14:paraId="48ADDCC6" w14:textId="59C672A0" w:rsidR="00035475" w:rsidRPr="00447DDF" w:rsidRDefault="00035475" w:rsidP="00035475">
      <w:pPr>
        <w:rPr>
          <w:rFonts w:ascii="Arial" w:hAnsi="Arial" w:cs="Arial"/>
          <w:u w:val="single"/>
        </w:rPr>
      </w:pPr>
      <w:r w:rsidRPr="00447DDF">
        <w:rPr>
          <w:rFonts w:ascii="Arial" w:hAnsi="Arial" w:cs="Arial"/>
          <w:u w:val="single"/>
        </w:rPr>
        <w:t>Inappropriate O</w:t>
      </w:r>
      <w:r w:rsidR="00D211ED">
        <w:rPr>
          <w:rFonts w:ascii="Arial" w:hAnsi="Arial" w:cs="Arial"/>
          <w:u w:val="single"/>
        </w:rPr>
        <w:t xml:space="preserve">ut of </w:t>
      </w:r>
      <w:r w:rsidRPr="00447DDF">
        <w:rPr>
          <w:rFonts w:ascii="Arial" w:hAnsi="Arial" w:cs="Arial"/>
          <w:u w:val="single"/>
        </w:rPr>
        <w:t>A</w:t>
      </w:r>
      <w:r w:rsidR="00D211ED">
        <w:rPr>
          <w:rFonts w:ascii="Arial" w:hAnsi="Arial" w:cs="Arial"/>
          <w:u w:val="single"/>
        </w:rPr>
        <w:t xml:space="preserve">rea </w:t>
      </w:r>
      <w:r w:rsidRPr="00447DDF">
        <w:rPr>
          <w:rFonts w:ascii="Arial" w:hAnsi="Arial" w:cs="Arial"/>
          <w:u w:val="single"/>
        </w:rPr>
        <w:t>P</w:t>
      </w:r>
      <w:r w:rsidR="00D211ED">
        <w:rPr>
          <w:rFonts w:ascii="Arial" w:hAnsi="Arial" w:cs="Arial"/>
          <w:u w:val="single"/>
        </w:rPr>
        <w:t>lacement</w:t>
      </w:r>
      <w:r w:rsidRPr="00447DDF">
        <w:rPr>
          <w:rFonts w:ascii="Arial" w:hAnsi="Arial" w:cs="Arial"/>
          <w:u w:val="single"/>
        </w:rPr>
        <w:t>s</w:t>
      </w:r>
      <w:r w:rsidR="00D211ED">
        <w:rPr>
          <w:rFonts w:ascii="Arial" w:hAnsi="Arial" w:cs="Arial"/>
          <w:u w:val="single"/>
        </w:rPr>
        <w:t xml:space="preserve"> (OAPs)</w:t>
      </w:r>
      <w:r w:rsidRPr="00447DDF">
        <w:rPr>
          <w:rFonts w:ascii="Arial" w:hAnsi="Arial" w:cs="Arial"/>
          <w:u w:val="single"/>
        </w:rPr>
        <w:t xml:space="preserve"> bed days used</w:t>
      </w:r>
    </w:p>
    <w:p w14:paraId="50FB66D4" w14:textId="77777777" w:rsidR="00035475" w:rsidRDefault="00035475" w:rsidP="00035475">
      <w:pPr>
        <w:rPr>
          <w:rFonts w:ascii="Arial" w:hAnsi="Arial" w:cs="Arial"/>
        </w:rPr>
      </w:pPr>
    </w:p>
    <w:p w14:paraId="57A4B71E" w14:textId="74502A44" w:rsidR="00035475" w:rsidRDefault="00035475" w:rsidP="00035475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</w:t>
      </w:r>
      <w:r>
        <w:rPr>
          <w:rFonts w:ascii="Arial" w:hAnsi="Arial" w:cs="Arial"/>
        </w:rPr>
        <w:t xml:space="preserve">used </w:t>
      </w:r>
      <w:r w:rsidR="00766F8A">
        <w:rPr>
          <w:rFonts w:ascii="Arial" w:hAnsi="Arial" w:cs="Arial"/>
          <w:b/>
          <w:bCs/>
        </w:rPr>
        <w:t>203</w:t>
      </w:r>
      <w:r>
        <w:rPr>
          <w:rFonts w:ascii="Arial" w:hAnsi="Arial" w:cs="Arial"/>
          <w:b/>
          <w:bCs/>
        </w:rPr>
        <w:t xml:space="preserve"> </w:t>
      </w:r>
      <w:r w:rsidR="00CB27EF">
        <w:rPr>
          <w:rFonts w:ascii="Arial" w:hAnsi="Arial" w:cs="Arial"/>
          <w:b/>
          <w:bCs/>
        </w:rPr>
        <w:t xml:space="preserve">inappropriate </w:t>
      </w:r>
      <w:r>
        <w:rPr>
          <w:rFonts w:ascii="Arial" w:hAnsi="Arial" w:cs="Arial"/>
          <w:b/>
          <w:bCs/>
        </w:rPr>
        <w:t xml:space="preserve">OAP bed days in </w:t>
      </w:r>
      <w:r w:rsidR="00766F8A">
        <w:rPr>
          <w:rFonts w:ascii="Arial" w:hAnsi="Arial" w:cs="Arial"/>
          <w:b/>
          <w:bCs/>
        </w:rPr>
        <w:t>August</w:t>
      </w:r>
      <w:r>
        <w:rPr>
          <w:rFonts w:ascii="Arial" w:hAnsi="Arial" w:cs="Arial"/>
          <w:b/>
          <w:bCs/>
        </w:rPr>
        <w:t xml:space="preserve">; </w:t>
      </w:r>
      <w:r w:rsidR="00D92638">
        <w:rPr>
          <w:rFonts w:ascii="Arial" w:hAnsi="Arial" w:cs="Arial"/>
          <w:b/>
          <w:bCs/>
        </w:rPr>
        <w:t>114</w:t>
      </w:r>
      <w:r w:rsidRPr="00227A3F">
        <w:rPr>
          <w:rFonts w:ascii="Arial" w:hAnsi="Arial" w:cs="Arial"/>
          <w:b/>
          <w:bCs/>
        </w:rPr>
        <w:t xml:space="preserve"> in Bucks and </w:t>
      </w:r>
      <w:r w:rsidR="00D92638">
        <w:rPr>
          <w:rFonts w:ascii="Arial" w:hAnsi="Arial" w:cs="Arial"/>
          <w:b/>
          <w:bCs/>
        </w:rPr>
        <w:t>89</w:t>
      </w:r>
      <w:r w:rsidRPr="00227A3F">
        <w:rPr>
          <w:rFonts w:ascii="Arial" w:hAnsi="Arial" w:cs="Arial"/>
          <w:b/>
          <w:bCs/>
        </w:rPr>
        <w:t xml:space="preserve"> in Oxon</w:t>
      </w:r>
      <w:r>
        <w:rPr>
          <w:rFonts w:ascii="Arial" w:hAnsi="Arial" w:cs="Arial"/>
          <w:b/>
          <w:bCs/>
        </w:rPr>
        <w:t xml:space="preserve"> </w:t>
      </w:r>
      <w:r w:rsidRPr="00561B83">
        <w:rPr>
          <w:rFonts w:ascii="Arial" w:hAnsi="Arial" w:cs="Arial"/>
        </w:rPr>
        <w:t>which is a</w:t>
      </w:r>
      <w:r w:rsidR="0012376B">
        <w:rPr>
          <w:rFonts w:ascii="Arial" w:hAnsi="Arial" w:cs="Arial"/>
        </w:rPr>
        <w:t xml:space="preserve">n </w:t>
      </w:r>
      <w:r w:rsidR="00D92638">
        <w:rPr>
          <w:rFonts w:ascii="Arial" w:hAnsi="Arial" w:cs="Arial"/>
        </w:rPr>
        <w:t>increase</w:t>
      </w:r>
      <w:r w:rsidRPr="00561B83">
        <w:rPr>
          <w:rFonts w:ascii="Arial" w:hAnsi="Arial" w:cs="Arial"/>
        </w:rPr>
        <w:t xml:space="preserve"> on the previous month.</w:t>
      </w:r>
      <w:r w:rsidR="008040CE">
        <w:rPr>
          <w:rFonts w:ascii="Arial" w:hAnsi="Arial" w:cs="Arial"/>
        </w:rPr>
        <w:t xml:space="preserve">  This was due to demand outstripping capacity for inpatient beds.  In September</w:t>
      </w:r>
      <w:r w:rsidR="007F4223">
        <w:rPr>
          <w:rFonts w:ascii="Arial" w:hAnsi="Arial" w:cs="Arial"/>
        </w:rPr>
        <w:t>,</w:t>
      </w:r>
      <w:r w:rsidR="008040CE">
        <w:rPr>
          <w:rFonts w:ascii="Arial" w:hAnsi="Arial" w:cs="Arial"/>
        </w:rPr>
        <w:t xml:space="preserve"> the </w:t>
      </w:r>
      <w:r w:rsidR="00997FA9">
        <w:rPr>
          <w:rFonts w:ascii="Arial" w:hAnsi="Arial" w:cs="Arial"/>
        </w:rPr>
        <w:t xml:space="preserve">numbers reduced to more normal levels (total of </w:t>
      </w:r>
      <w:r w:rsidR="006744A5">
        <w:rPr>
          <w:rFonts w:ascii="Arial" w:hAnsi="Arial" w:cs="Arial"/>
        </w:rPr>
        <w:t>32 days</w:t>
      </w:r>
      <w:r w:rsidR="001F4D6B">
        <w:rPr>
          <w:rFonts w:ascii="Arial" w:hAnsi="Arial" w:cs="Arial"/>
        </w:rPr>
        <w:t>).</w:t>
      </w:r>
    </w:p>
    <w:p w14:paraId="6511ED83" w14:textId="77777777" w:rsidR="00035475" w:rsidRDefault="00035475" w:rsidP="00035475">
      <w:pPr>
        <w:rPr>
          <w:rFonts w:ascii="Arial" w:hAnsi="Arial" w:cs="Arial"/>
        </w:rPr>
      </w:pPr>
    </w:p>
    <w:p w14:paraId="7BD19ED7" w14:textId="5619A710" w:rsidR="00035475" w:rsidRDefault="00094FEC" w:rsidP="0003547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Due to the increase in August</w:t>
      </w:r>
      <w:r w:rsidR="007F422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Oxford Health were reported as having the second high</w:t>
      </w:r>
      <w:r w:rsidR="00C77D65">
        <w:rPr>
          <w:rFonts w:ascii="Arial" w:hAnsi="Arial" w:cs="Arial"/>
          <w:lang w:val="en-GB"/>
        </w:rPr>
        <w:t>est number o</w:t>
      </w:r>
      <w:r w:rsidR="00932CF0">
        <w:rPr>
          <w:rFonts w:ascii="Arial" w:hAnsi="Arial" w:cs="Arial"/>
          <w:lang w:val="en-GB"/>
        </w:rPr>
        <w:t>f</w:t>
      </w:r>
      <w:r w:rsidR="00C77D65">
        <w:rPr>
          <w:rFonts w:ascii="Arial" w:hAnsi="Arial" w:cs="Arial"/>
          <w:lang w:val="en-GB"/>
        </w:rPr>
        <w:t xml:space="preserve"> inappropriate out of area placements in the </w:t>
      </w:r>
      <w:proofErr w:type="gramStart"/>
      <w:r w:rsidR="00FA0D23">
        <w:rPr>
          <w:rFonts w:ascii="Arial" w:hAnsi="Arial" w:cs="Arial"/>
          <w:lang w:val="en-GB"/>
        </w:rPr>
        <w:t>South</w:t>
      </w:r>
      <w:r w:rsidR="002B0D07">
        <w:rPr>
          <w:rFonts w:ascii="Arial" w:hAnsi="Arial" w:cs="Arial"/>
          <w:lang w:val="en-GB"/>
        </w:rPr>
        <w:t xml:space="preserve"> E</w:t>
      </w:r>
      <w:r w:rsidR="00FA0D23">
        <w:rPr>
          <w:rFonts w:ascii="Arial" w:hAnsi="Arial" w:cs="Arial"/>
          <w:lang w:val="en-GB"/>
        </w:rPr>
        <w:t>ast</w:t>
      </w:r>
      <w:proofErr w:type="gramEnd"/>
      <w:r w:rsidR="00C77D65">
        <w:rPr>
          <w:rFonts w:ascii="Arial" w:hAnsi="Arial" w:cs="Arial"/>
          <w:lang w:val="en-GB"/>
        </w:rPr>
        <w:t xml:space="preserve"> region. </w:t>
      </w:r>
    </w:p>
    <w:p w14:paraId="665EE9D6" w14:textId="77777777" w:rsidR="00E47EBE" w:rsidRDefault="00E47EBE" w:rsidP="00035475">
      <w:pPr>
        <w:rPr>
          <w:rFonts w:ascii="Arial" w:hAnsi="Arial" w:cs="Arial"/>
          <w:lang w:val="en-GB"/>
        </w:rPr>
      </w:pPr>
    </w:p>
    <w:p w14:paraId="72FF6656" w14:textId="4E6BC0B8" w:rsidR="00E47EBE" w:rsidRPr="00654884" w:rsidRDefault="00E47EBE" w:rsidP="0003547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Nb: inappropriate OAPs are where the Trust did not have capacity to meet the demand for a service it would normally provide</w:t>
      </w:r>
      <w:r w:rsidR="005C7FBD">
        <w:rPr>
          <w:rFonts w:ascii="Arial" w:hAnsi="Arial" w:cs="Arial"/>
          <w:lang w:val="en-GB"/>
        </w:rPr>
        <w:t>.</w:t>
      </w:r>
    </w:p>
    <w:p w14:paraId="33C79FA8" w14:textId="77777777" w:rsidR="00035475" w:rsidRDefault="00035475" w:rsidP="00035475">
      <w:pPr>
        <w:rPr>
          <w:rFonts w:ascii="Arial" w:hAnsi="Arial" w:cs="Arial"/>
        </w:rPr>
      </w:pPr>
    </w:p>
    <w:p w14:paraId="08BD4054" w14:textId="43591242" w:rsidR="0038724D" w:rsidRPr="00447DDF" w:rsidRDefault="0038724D" w:rsidP="0038724D">
      <w:pPr>
        <w:rPr>
          <w:rFonts w:ascii="Arial" w:hAnsi="Arial" w:cs="Arial"/>
          <w:u w:val="single"/>
        </w:rPr>
      </w:pPr>
      <w:r w:rsidRPr="00447DDF">
        <w:rPr>
          <w:rFonts w:ascii="Arial" w:hAnsi="Arial" w:cs="Arial"/>
          <w:u w:val="single"/>
        </w:rPr>
        <w:t xml:space="preserve">Minor Injuries Unit (MIU) </w:t>
      </w:r>
      <w:r w:rsidR="00FA0D23" w:rsidRPr="00447DDF">
        <w:rPr>
          <w:rFonts w:ascii="Arial" w:hAnsi="Arial" w:cs="Arial"/>
          <w:u w:val="single"/>
        </w:rPr>
        <w:t>4-hour</w:t>
      </w:r>
      <w:r w:rsidRPr="00447DDF">
        <w:rPr>
          <w:rFonts w:ascii="Arial" w:hAnsi="Arial" w:cs="Arial"/>
          <w:u w:val="single"/>
        </w:rPr>
        <w:t xml:space="preserve"> performance</w:t>
      </w:r>
    </w:p>
    <w:p w14:paraId="5F599CE9" w14:textId="77777777" w:rsidR="0038724D" w:rsidRDefault="0038724D" w:rsidP="0038724D">
      <w:pPr>
        <w:rPr>
          <w:rFonts w:ascii="Arial" w:hAnsi="Arial" w:cs="Arial"/>
        </w:rPr>
      </w:pPr>
    </w:p>
    <w:p w14:paraId="0BE5764B" w14:textId="24D00190" w:rsidR="0038724D" w:rsidRDefault="0038724D" w:rsidP="0038724D">
      <w:pPr>
        <w:rPr>
          <w:rFonts w:ascii="Arial" w:hAnsi="Arial" w:cs="Arial"/>
        </w:rPr>
      </w:pPr>
      <w:r w:rsidRPr="008445EB">
        <w:rPr>
          <w:rFonts w:ascii="Arial" w:hAnsi="Arial" w:cs="Arial"/>
        </w:rPr>
        <w:t xml:space="preserve">MIU performance in </w:t>
      </w:r>
      <w:r>
        <w:rPr>
          <w:rFonts w:ascii="Arial" w:hAnsi="Arial" w:cs="Arial"/>
        </w:rPr>
        <w:t>July</w:t>
      </w:r>
      <w:r w:rsidRPr="008445EB">
        <w:rPr>
          <w:rFonts w:ascii="Arial" w:hAnsi="Arial" w:cs="Arial"/>
        </w:rPr>
        <w:t xml:space="preserve"> was 8</w:t>
      </w:r>
      <w:r>
        <w:rPr>
          <w:rFonts w:ascii="Arial" w:hAnsi="Arial" w:cs="Arial"/>
        </w:rPr>
        <w:t>8.8</w:t>
      </w:r>
      <w:r w:rsidRPr="008445EB">
        <w:rPr>
          <w:rFonts w:ascii="Arial" w:hAnsi="Arial" w:cs="Arial"/>
        </w:rPr>
        <w:t xml:space="preserve">% which is </w:t>
      </w:r>
      <w:r>
        <w:rPr>
          <w:rFonts w:ascii="Arial" w:hAnsi="Arial" w:cs="Arial"/>
        </w:rPr>
        <w:t>6.2</w:t>
      </w:r>
      <w:r w:rsidRPr="008445EB">
        <w:rPr>
          <w:rFonts w:ascii="Arial" w:hAnsi="Arial" w:cs="Arial"/>
        </w:rPr>
        <w:t xml:space="preserve">% under </w:t>
      </w:r>
      <w:r>
        <w:rPr>
          <w:rFonts w:ascii="Arial" w:hAnsi="Arial" w:cs="Arial"/>
        </w:rPr>
        <w:t xml:space="preserve">the national </w:t>
      </w:r>
      <w:r w:rsidRPr="008445EB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.  However, in comparison, the national position </w:t>
      </w:r>
      <w:r w:rsidR="00B85C82">
        <w:rPr>
          <w:rFonts w:ascii="Arial" w:hAnsi="Arial" w:cs="Arial"/>
        </w:rPr>
        <w:t>was</w:t>
      </w:r>
      <w:r w:rsidRPr="008445EB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1</w:t>
      </w:r>
      <w:r w:rsidRPr="008445EB">
        <w:rPr>
          <w:rFonts w:ascii="Arial" w:hAnsi="Arial" w:cs="Arial"/>
        </w:rPr>
        <w:t xml:space="preserve">%.  </w:t>
      </w:r>
    </w:p>
    <w:p w14:paraId="7CF7DCBB" w14:textId="77777777" w:rsidR="0038724D" w:rsidRDefault="0038724D" w:rsidP="0038724D">
      <w:pPr>
        <w:rPr>
          <w:rFonts w:ascii="Arial" w:hAnsi="Arial" w:cs="Arial"/>
        </w:rPr>
      </w:pPr>
    </w:p>
    <w:p w14:paraId="4BDBE8B2" w14:textId="77777777" w:rsidR="0038724D" w:rsidRDefault="0038724D" w:rsidP="0038724D">
      <w:pPr>
        <w:rPr>
          <w:rFonts w:ascii="Arial" w:hAnsi="Arial" w:cs="Arial"/>
        </w:rPr>
      </w:pPr>
      <w:r w:rsidRPr="008445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root </w:t>
      </w:r>
      <w:r w:rsidRPr="008445EB">
        <w:rPr>
          <w:rFonts w:ascii="Arial" w:hAnsi="Arial" w:cs="Arial"/>
        </w:rPr>
        <w:t xml:space="preserve">cause of the </w:t>
      </w:r>
      <w:r>
        <w:rPr>
          <w:rFonts w:ascii="Arial" w:hAnsi="Arial" w:cs="Arial"/>
        </w:rPr>
        <w:t>variation</w:t>
      </w:r>
      <w:r w:rsidRPr="008445EB">
        <w:rPr>
          <w:rFonts w:ascii="Arial" w:hAnsi="Arial" w:cs="Arial"/>
        </w:rPr>
        <w:t xml:space="preserve"> is due</w:t>
      </w:r>
      <w:r>
        <w:rPr>
          <w:rFonts w:ascii="Arial" w:hAnsi="Arial" w:cs="Arial"/>
        </w:rPr>
        <w:t xml:space="preserve"> primarily</w:t>
      </w:r>
      <w:r w:rsidRPr="008445E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</w:p>
    <w:p w14:paraId="4E7ACAC2" w14:textId="77777777" w:rsidR="0038724D" w:rsidRDefault="0038724D" w:rsidP="0038724D">
      <w:pPr>
        <w:rPr>
          <w:rFonts w:ascii="Arial" w:hAnsi="Arial" w:cs="Arial"/>
        </w:rPr>
      </w:pPr>
    </w:p>
    <w:p w14:paraId="57C14300" w14:textId="77777777" w:rsidR="0038724D" w:rsidRDefault="0038724D" w:rsidP="0038724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>increased levels of activity (see visual below)</w:t>
      </w:r>
      <w:r>
        <w:rPr>
          <w:rFonts w:ascii="Arial" w:hAnsi="Arial" w:cs="Arial"/>
        </w:rPr>
        <w:t>.  Although Abingdon continues to see the highest numbers of patients, there has been an increase in virtually all MIUs</w:t>
      </w:r>
    </w:p>
    <w:p w14:paraId="2C343EA1" w14:textId="77777777" w:rsidR="0038724D" w:rsidRDefault="0038724D" w:rsidP="0038724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>longer consultation times due to increased patient complexity,</w:t>
      </w:r>
    </w:p>
    <w:p w14:paraId="6B5361FB" w14:textId="77777777" w:rsidR="0038724D" w:rsidRPr="00C95F13" w:rsidRDefault="0038724D" w:rsidP="0038724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 xml:space="preserve">staff sickness and staff vacancies.  Recruitment is underway and there is a </w:t>
      </w:r>
      <w:proofErr w:type="gramStart"/>
      <w:r w:rsidRPr="00C95F13">
        <w:rPr>
          <w:rFonts w:ascii="Arial" w:hAnsi="Arial" w:cs="Arial"/>
        </w:rPr>
        <w:t>111 campaign</w:t>
      </w:r>
      <w:proofErr w:type="gramEnd"/>
      <w:r w:rsidRPr="00C95F13">
        <w:rPr>
          <w:rFonts w:ascii="Arial" w:hAnsi="Arial" w:cs="Arial"/>
        </w:rPr>
        <w:t xml:space="preserve"> promoting the appropriate use of emergency services. </w:t>
      </w:r>
    </w:p>
    <w:p w14:paraId="78E2BC90" w14:textId="54E256A7" w:rsidR="00FA0D23" w:rsidRDefault="00FA0D23">
      <w:pPr>
        <w:rPr>
          <w:rFonts w:ascii="Arial" w:hAnsi="Arial" w:cs="Arial"/>
        </w:rPr>
      </w:pPr>
    </w:p>
    <w:p w14:paraId="5182FB91" w14:textId="77777777" w:rsidR="008E524E" w:rsidRDefault="008E524E" w:rsidP="008E5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Referrals to MIUs in July at </w:t>
      </w:r>
      <w:r w:rsidRPr="00797E69">
        <w:rPr>
          <w:rFonts w:ascii="Arial" w:hAnsi="Arial" w:cs="Arial"/>
          <w:b/>
          <w:bCs/>
        </w:rPr>
        <w:t>highest levels in last 4 years</w:t>
      </w:r>
      <w:r>
        <w:rPr>
          <w:rFonts w:ascii="Arial" w:hAnsi="Arial" w:cs="Arial"/>
        </w:rPr>
        <w:t>:</w:t>
      </w:r>
    </w:p>
    <w:p w14:paraId="5DA0B5D9" w14:textId="796D1E78" w:rsidR="008E524E" w:rsidRDefault="008E524E" w:rsidP="008E524E">
      <w:pPr>
        <w:jc w:val="center"/>
        <w:rPr>
          <w:rFonts w:ascii="Arial" w:hAnsi="Arial" w:cs="Arial"/>
        </w:rPr>
      </w:pPr>
      <w:r w:rsidRPr="00816DFF">
        <w:rPr>
          <w:rFonts w:ascii="Arial" w:hAnsi="Arial" w:cs="Arial"/>
          <w:noProof/>
        </w:rPr>
        <w:drawing>
          <wp:inline distT="0" distB="0" distL="0" distR="0" wp14:anchorId="6A36DD39" wp14:editId="55D1C8D2">
            <wp:extent cx="4810125" cy="1252431"/>
            <wp:effectExtent l="19050" t="19050" r="9525" b="24130"/>
            <wp:docPr id="7" name="Picture 6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B865E2-A16D-FEC2-5231-D70E1F0DB2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C7B865E2-A16D-FEC2-5231-D70E1F0DB2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3192" cy="126624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D24C542" w14:textId="76B04D17" w:rsidR="008E524E" w:rsidRDefault="008E524E" w:rsidP="0038724D">
      <w:pPr>
        <w:rPr>
          <w:rFonts w:ascii="Arial" w:hAnsi="Arial" w:cs="Arial"/>
        </w:rPr>
      </w:pPr>
    </w:p>
    <w:p w14:paraId="0DD873A7" w14:textId="77777777" w:rsidR="00035475" w:rsidRDefault="00035475" w:rsidP="00035475">
      <w:pPr>
        <w:rPr>
          <w:rFonts w:ascii="Arial" w:hAnsi="Arial" w:cs="Arial"/>
        </w:rPr>
      </w:pPr>
    </w:p>
    <w:p w14:paraId="43D973A8" w14:textId="754180B9" w:rsidR="00035475" w:rsidRPr="002157CF" w:rsidRDefault="00035475" w:rsidP="00035475">
      <w:pPr>
        <w:rPr>
          <w:rFonts w:ascii="Arial" w:hAnsi="Arial" w:cs="Arial"/>
          <w:u w:val="single"/>
        </w:rPr>
      </w:pPr>
      <w:r w:rsidRPr="002157CF">
        <w:rPr>
          <w:rFonts w:ascii="Arial" w:hAnsi="Arial" w:cs="Arial"/>
          <w:u w:val="single"/>
        </w:rPr>
        <w:t>I</w:t>
      </w:r>
      <w:r w:rsidR="00DC20DF">
        <w:rPr>
          <w:rFonts w:ascii="Arial" w:hAnsi="Arial" w:cs="Arial"/>
          <w:u w:val="single"/>
        </w:rPr>
        <w:t>mproving Access to Psychological Therapies (I</w:t>
      </w:r>
      <w:r w:rsidRPr="002157CF">
        <w:rPr>
          <w:rFonts w:ascii="Arial" w:hAnsi="Arial" w:cs="Arial"/>
          <w:u w:val="single"/>
        </w:rPr>
        <w:t>APT</w:t>
      </w:r>
      <w:r w:rsidR="00DC20DF">
        <w:rPr>
          <w:rFonts w:ascii="Arial" w:hAnsi="Arial" w:cs="Arial"/>
          <w:u w:val="single"/>
        </w:rPr>
        <w:t>)</w:t>
      </w:r>
      <w:r w:rsidRPr="002157CF">
        <w:rPr>
          <w:rFonts w:ascii="Arial" w:hAnsi="Arial" w:cs="Arial"/>
          <w:u w:val="single"/>
        </w:rPr>
        <w:t>; the percentage of people completing a course of IAPT treatment moving to recovery</w:t>
      </w:r>
    </w:p>
    <w:p w14:paraId="0836D165" w14:textId="77777777" w:rsidR="00035475" w:rsidRDefault="00035475" w:rsidP="00035475">
      <w:pPr>
        <w:rPr>
          <w:rFonts w:ascii="Arial" w:hAnsi="Arial" w:cs="Arial"/>
          <w:b/>
          <w:bCs/>
        </w:rPr>
      </w:pPr>
    </w:p>
    <w:p w14:paraId="3A0BCF9B" w14:textId="77777777" w:rsidR="00035475" w:rsidRDefault="00035475" w:rsidP="00035475">
      <w:pPr>
        <w:rPr>
          <w:rFonts w:ascii="Arial" w:hAnsi="Arial" w:cs="Arial"/>
        </w:rPr>
      </w:pPr>
      <w:r>
        <w:rPr>
          <w:rFonts w:ascii="Arial" w:hAnsi="Arial" w:cs="Arial"/>
        </w:rPr>
        <w:t>Performance is slightly under target but higher than the national position.  This will be monitored but is currently considered to be low risk.</w:t>
      </w:r>
    </w:p>
    <w:p w14:paraId="722844D2" w14:textId="77777777" w:rsidR="00035475" w:rsidRDefault="00035475" w:rsidP="00035475">
      <w:pPr>
        <w:rPr>
          <w:rFonts w:ascii="Arial" w:hAnsi="Arial" w:cs="Arial"/>
        </w:rPr>
      </w:pPr>
    </w:p>
    <w:p w14:paraId="0DE5327D" w14:textId="3D03FF2D" w:rsidR="00035475" w:rsidRDefault="00035475" w:rsidP="000354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NHS </w:t>
      </w:r>
      <w:r w:rsidRPr="00CA59D7">
        <w:rPr>
          <w:rFonts w:ascii="Arial" w:hAnsi="Arial" w:cs="Arial"/>
          <w:b/>
          <w:bCs/>
        </w:rPr>
        <w:t>Benchmarking</w:t>
      </w:r>
      <w:r>
        <w:rPr>
          <w:rFonts w:ascii="Arial" w:hAnsi="Arial" w:cs="Arial"/>
          <w:b/>
          <w:bCs/>
        </w:rPr>
        <w:t xml:space="preserve"> </w:t>
      </w:r>
    </w:p>
    <w:p w14:paraId="2CCEA52D" w14:textId="77777777" w:rsidR="00035475" w:rsidRDefault="00035475" w:rsidP="00035475">
      <w:pPr>
        <w:rPr>
          <w:rFonts w:ascii="Arial" w:hAnsi="Arial" w:cs="Arial"/>
        </w:rPr>
      </w:pPr>
    </w:p>
    <w:p w14:paraId="5A49697B" w14:textId="49974BF1" w:rsidR="002808CB" w:rsidRPr="00BA37AF" w:rsidRDefault="002808CB" w:rsidP="00280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detailed report and action plan will be provided to the Board following receipt of the published annual benchmarking reports.  </w:t>
      </w:r>
      <w:r w:rsidR="001558DA">
        <w:rPr>
          <w:rFonts w:ascii="Arial" w:hAnsi="Arial" w:cs="Arial"/>
        </w:rPr>
        <w:t xml:space="preserve"> </w:t>
      </w:r>
    </w:p>
    <w:p w14:paraId="3063042D" w14:textId="77777777" w:rsidR="00035475" w:rsidRPr="00CA59D7" w:rsidRDefault="00035475" w:rsidP="00035475">
      <w:pPr>
        <w:rPr>
          <w:rFonts w:ascii="Arial" w:hAnsi="Arial" w:cs="Arial"/>
          <w:b/>
          <w:bCs/>
        </w:rPr>
      </w:pPr>
    </w:p>
    <w:p w14:paraId="61A3F149" w14:textId="77777777" w:rsidR="00035475" w:rsidRPr="00282923" w:rsidRDefault="00035475" w:rsidP="00035475">
      <w:pPr>
        <w:rPr>
          <w:rFonts w:ascii="Arial" w:hAnsi="Arial" w:cs="Arial"/>
          <w:b/>
          <w:bCs/>
        </w:rPr>
      </w:pPr>
      <w:r w:rsidRPr="00282923">
        <w:rPr>
          <w:rFonts w:ascii="Arial" w:hAnsi="Arial" w:cs="Arial"/>
          <w:b/>
          <w:bCs/>
        </w:rPr>
        <w:t>SE Regional Performance and how we compare</w:t>
      </w:r>
    </w:p>
    <w:p w14:paraId="696C6D89" w14:textId="77777777" w:rsidR="00035475" w:rsidRDefault="00035475" w:rsidP="00035475">
      <w:pPr>
        <w:rPr>
          <w:rFonts w:ascii="Arial" w:hAnsi="Arial" w:cs="Arial"/>
          <w:b/>
          <w:bCs/>
        </w:rPr>
      </w:pPr>
    </w:p>
    <w:p w14:paraId="7FB30FCF" w14:textId="59181211" w:rsidR="00035475" w:rsidRPr="005C231E" w:rsidRDefault="00035475" w:rsidP="0003547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Performance is reported quarterly.  There has been no change in the Trust’s performance in relation to its peers since the last report in </w:t>
      </w:r>
      <w:r w:rsidR="002808CB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2022. </w:t>
      </w:r>
      <w:r w:rsidR="00CF0A92">
        <w:rPr>
          <w:rFonts w:ascii="Arial" w:hAnsi="Arial" w:cs="Arial"/>
        </w:rPr>
        <w:t xml:space="preserve">  Some metrics in the regional performance report are impacted by the </w:t>
      </w:r>
      <w:r w:rsidR="005C6DB7">
        <w:rPr>
          <w:rFonts w:ascii="Arial" w:hAnsi="Arial" w:cs="Arial"/>
        </w:rPr>
        <w:t xml:space="preserve">clinical systems </w:t>
      </w:r>
      <w:r w:rsidR="00CF0A92">
        <w:rPr>
          <w:rFonts w:ascii="Arial" w:hAnsi="Arial" w:cs="Arial"/>
        </w:rPr>
        <w:t xml:space="preserve">outage and </w:t>
      </w:r>
      <w:r w:rsidR="005C6DB7">
        <w:rPr>
          <w:rFonts w:ascii="Arial" w:hAnsi="Arial" w:cs="Arial"/>
        </w:rPr>
        <w:t xml:space="preserve">is </w:t>
      </w:r>
      <w:r w:rsidR="00CF0A92">
        <w:rPr>
          <w:rFonts w:ascii="Arial" w:hAnsi="Arial" w:cs="Arial"/>
        </w:rPr>
        <w:t>not available.</w:t>
      </w:r>
    </w:p>
    <w:p w14:paraId="13727FBF" w14:textId="617ED834" w:rsidR="00035475" w:rsidRDefault="00035475" w:rsidP="00035475">
      <w:pPr>
        <w:pStyle w:val="ListParagraph"/>
        <w:rPr>
          <w:rFonts w:ascii="Arial" w:hAnsi="Arial" w:cs="Arial"/>
          <w:lang w:val="en-GB"/>
        </w:rPr>
      </w:pPr>
    </w:p>
    <w:p w14:paraId="2B1F8ED0" w14:textId="77777777" w:rsidR="00B02CAC" w:rsidRDefault="00B02CAC" w:rsidP="00B02CAC">
      <w:pPr>
        <w:rPr>
          <w:rFonts w:ascii="Arial" w:hAnsi="Arial" w:cs="Arial"/>
          <w:b/>
          <w:bCs/>
        </w:rPr>
      </w:pPr>
      <w:r w:rsidRPr="007F1D70">
        <w:rPr>
          <w:rFonts w:ascii="Arial" w:hAnsi="Arial" w:cs="Arial"/>
          <w:b/>
          <w:bCs/>
        </w:rPr>
        <w:t>Delivery of strategic objectives (Objective Key Results (OKRs)</w:t>
      </w:r>
    </w:p>
    <w:p w14:paraId="74B6916F" w14:textId="77777777" w:rsidR="00B02CAC" w:rsidRDefault="00B02CAC" w:rsidP="00B02CAC">
      <w:pPr>
        <w:rPr>
          <w:rFonts w:ascii="Arial" w:hAnsi="Arial" w:cs="Arial"/>
          <w:b/>
          <w:bCs/>
        </w:rPr>
      </w:pPr>
    </w:p>
    <w:p w14:paraId="2F7AFF4B" w14:textId="77777777" w:rsidR="000B7D54" w:rsidRDefault="000B7D54" w:rsidP="000B7D54">
      <w:pPr>
        <w:rPr>
          <w:rFonts w:ascii="Arial" w:hAnsi="Arial" w:cs="Arial"/>
        </w:rPr>
      </w:pPr>
      <w:r w:rsidRPr="007A2BF5">
        <w:rPr>
          <w:rFonts w:ascii="Arial" w:hAnsi="Arial" w:cs="Arial"/>
        </w:rPr>
        <w:t xml:space="preserve">The Trust has </w:t>
      </w:r>
      <w:r w:rsidRPr="005B7A9C">
        <w:rPr>
          <w:rFonts w:ascii="Arial" w:hAnsi="Arial" w:cs="Arial"/>
        </w:rPr>
        <w:t>32 OKRs (18 relating to quality, 9 to people and 5 to sustainability).  20 of the OKRs have targets; the Trust has successfully achieved 7 of the targeted OKRs by</w:t>
      </w:r>
      <w:r>
        <w:rPr>
          <w:rFonts w:ascii="Arial" w:hAnsi="Arial" w:cs="Arial"/>
        </w:rPr>
        <w:t xml:space="preserve"> July 2022.  </w:t>
      </w:r>
    </w:p>
    <w:p w14:paraId="1CA09EF7" w14:textId="1ACAB2BF" w:rsidR="00FA0D23" w:rsidRDefault="00FA0D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3815F6" w14:textId="77777777" w:rsidR="000B7D54" w:rsidRDefault="000B7D54" w:rsidP="000B7D54">
      <w:pPr>
        <w:rPr>
          <w:rFonts w:ascii="Arial" w:hAnsi="Arial" w:cs="Arial"/>
        </w:rPr>
      </w:pPr>
    </w:p>
    <w:p w14:paraId="58FF1E7B" w14:textId="77777777" w:rsidR="000B7D54" w:rsidRPr="00700C38" w:rsidRDefault="000B7D54" w:rsidP="000B7D54">
      <w:pPr>
        <w:rPr>
          <w:rFonts w:ascii="Arial" w:hAnsi="Arial" w:cs="Arial"/>
        </w:rPr>
      </w:pPr>
      <w:r>
        <w:rPr>
          <w:rFonts w:ascii="Arial" w:hAnsi="Arial" w:cs="Arial"/>
        </w:rPr>
        <w:t>The table below provides an overview of the OKRs that are not yet being achieved and their performance compared to last month.</w:t>
      </w:r>
      <w:r w:rsidRPr="00700C38">
        <w:rPr>
          <w:rFonts w:ascii="Arial" w:hAnsi="Arial" w:cs="Arial"/>
        </w:rPr>
        <w:t xml:space="preserve">  </w:t>
      </w:r>
    </w:p>
    <w:p w14:paraId="4E4129BA" w14:textId="77777777" w:rsidR="000B7D54" w:rsidRDefault="000B7D54" w:rsidP="000B7D54">
      <w:pPr>
        <w:rPr>
          <w:rFonts w:ascii="Arial" w:hAnsi="Arial" w:cs="Arial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77"/>
        <w:gridCol w:w="2020"/>
        <w:gridCol w:w="1337"/>
        <w:gridCol w:w="1670"/>
        <w:gridCol w:w="1670"/>
        <w:gridCol w:w="1444"/>
      </w:tblGrid>
      <w:tr w:rsidR="000B7D54" w14:paraId="57B91D51" w14:textId="77777777">
        <w:tc>
          <w:tcPr>
            <w:tcW w:w="1777" w:type="dxa"/>
            <w:shd w:val="clear" w:color="auto" w:fill="DBE5F1" w:themeFill="accent1" w:themeFillTint="33"/>
          </w:tcPr>
          <w:p w14:paraId="34EAA4A1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14:paraId="28BA8916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OKR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14:paraId="1729C73E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1670" w:type="dxa"/>
            <w:shd w:val="clear" w:color="auto" w:fill="DBE5F1" w:themeFill="accent1" w:themeFillTint="33"/>
          </w:tcPr>
          <w:p w14:paraId="38CD5C7B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Last month’s performance</w:t>
            </w:r>
          </w:p>
        </w:tc>
        <w:tc>
          <w:tcPr>
            <w:tcW w:w="1670" w:type="dxa"/>
            <w:shd w:val="clear" w:color="auto" w:fill="DBE5F1" w:themeFill="accent1" w:themeFillTint="33"/>
          </w:tcPr>
          <w:p w14:paraId="3961B50C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This month’s performance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14:paraId="746B6972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0B7D54" w:rsidRPr="00DF071F" w14:paraId="171623F5" w14:textId="77777777">
        <w:tc>
          <w:tcPr>
            <w:tcW w:w="1777" w:type="dxa"/>
          </w:tcPr>
          <w:p w14:paraId="73A6A3A2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5AE07DAE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Clinical supervision compliance</w:t>
            </w:r>
          </w:p>
        </w:tc>
        <w:tc>
          <w:tcPr>
            <w:tcW w:w="1337" w:type="dxa"/>
          </w:tcPr>
          <w:p w14:paraId="7142518D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183F8A28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44%</w:t>
            </w:r>
          </w:p>
        </w:tc>
        <w:tc>
          <w:tcPr>
            <w:tcW w:w="1670" w:type="dxa"/>
          </w:tcPr>
          <w:p w14:paraId="58A3E4CA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48%</w:t>
            </w:r>
          </w:p>
        </w:tc>
        <w:tc>
          <w:tcPr>
            <w:tcW w:w="1444" w:type="dxa"/>
            <w:shd w:val="clear" w:color="auto" w:fill="92D050"/>
          </w:tcPr>
          <w:p w14:paraId="228D056E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position</w:t>
            </w:r>
          </w:p>
        </w:tc>
      </w:tr>
      <w:tr w:rsidR="000B7D54" w:rsidRPr="00540D97" w14:paraId="2BE6F425" w14:textId="77777777">
        <w:tc>
          <w:tcPr>
            <w:tcW w:w="1777" w:type="dxa"/>
          </w:tcPr>
          <w:p w14:paraId="476E1D0F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665DA4FC" w14:textId="77777777" w:rsidR="000B7D54" w:rsidRPr="0004303D" w:rsidRDefault="000B7D54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Lester Tool completion in the community</w:t>
            </w:r>
          </w:p>
        </w:tc>
        <w:tc>
          <w:tcPr>
            <w:tcW w:w="1337" w:type="dxa"/>
          </w:tcPr>
          <w:p w14:paraId="318F3DE6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670" w:type="dxa"/>
          </w:tcPr>
          <w:p w14:paraId="5F467F0A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66.1%</w:t>
            </w:r>
          </w:p>
        </w:tc>
        <w:tc>
          <w:tcPr>
            <w:tcW w:w="1670" w:type="dxa"/>
          </w:tcPr>
          <w:p w14:paraId="2E847E59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64%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2BEFDC66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0B7D54" w:rsidRPr="00540D97" w14:paraId="3423CB97" w14:textId="77777777">
        <w:tc>
          <w:tcPr>
            <w:tcW w:w="1777" w:type="dxa"/>
          </w:tcPr>
          <w:p w14:paraId="56310708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31E7A4B6" w14:textId="77777777" w:rsidR="000B7D54" w:rsidRPr="0004303D" w:rsidRDefault="000B7D54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Lester Tool completion in the EIP service</w:t>
            </w:r>
          </w:p>
        </w:tc>
        <w:tc>
          <w:tcPr>
            <w:tcW w:w="1337" w:type="dxa"/>
          </w:tcPr>
          <w:p w14:paraId="1EA695B0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1670" w:type="dxa"/>
          </w:tcPr>
          <w:p w14:paraId="77C943EC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84.5%</w:t>
            </w:r>
          </w:p>
        </w:tc>
        <w:tc>
          <w:tcPr>
            <w:tcW w:w="1670" w:type="dxa"/>
          </w:tcPr>
          <w:p w14:paraId="7F3F9D68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80.5%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4686958B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0B7D54" w14:paraId="75CBF34D" w14:textId="77777777">
        <w:tc>
          <w:tcPr>
            <w:tcW w:w="1777" w:type="dxa"/>
          </w:tcPr>
          <w:p w14:paraId="5C462E61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0B6E26DE" w14:textId="77777777" w:rsidR="000B7D54" w:rsidRPr="0004303D" w:rsidRDefault="000B7D54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Evidence patients have been involved in their care plans</w:t>
            </w:r>
          </w:p>
        </w:tc>
        <w:tc>
          <w:tcPr>
            <w:tcW w:w="1337" w:type="dxa"/>
          </w:tcPr>
          <w:p w14:paraId="1BD5CE25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74521D75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92%</w:t>
            </w:r>
          </w:p>
        </w:tc>
        <w:tc>
          <w:tcPr>
            <w:tcW w:w="1670" w:type="dxa"/>
          </w:tcPr>
          <w:p w14:paraId="0D40FE4E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82%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689FED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0B7D54" w14:paraId="21F4D5E8" w14:textId="77777777">
        <w:tc>
          <w:tcPr>
            <w:tcW w:w="1777" w:type="dxa"/>
          </w:tcPr>
          <w:p w14:paraId="2C41D79F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74F9B1F8" w14:textId="77777777" w:rsidR="000B7D54" w:rsidRPr="0004303D" w:rsidRDefault="000B7D54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Reduce agency usage to NHSE/I target </w:t>
            </w:r>
          </w:p>
        </w:tc>
        <w:tc>
          <w:tcPr>
            <w:tcW w:w="1337" w:type="dxa"/>
          </w:tcPr>
          <w:p w14:paraId="2A2D74AD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&lt;10.2%</w:t>
            </w:r>
          </w:p>
        </w:tc>
        <w:tc>
          <w:tcPr>
            <w:tcW w:w="1670" w:type="dxa"/>
          </w:tcPr>
          <w:p w14:paraId="2CE1D4CF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15.3%</w:t>
            </w:r>
          </w:p>
        </w:tc>
        <w:tc>
          <w:tcPr>
            <w:tcW w:w="1670" w:type="dxa"/>
          </w:tcPr>
          <w:p w14:paraId="6EADD95F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14.8%</w:t>
            </w:r>
          </w:p>
        </w:tc>
        <w:tc>
          <w:tcPr>
            <w:tcW w:w="1444" w:type="dxa"/>
            <w:shd w:val="clear" w:color="auto" w:fill="92D050"/>
          </w:tcPr>
          <w:p w14:paraId="1E78F8FD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position</w:t>
            </w:r>
          </w:p>
        </w:tc>
      </w:tr>
      <w:tr w:rsidR="000B7D54" w14:paraId="740FC427" w14:textId="77777777">
        <w:tc>
          <w:tcPr>
            <w:tcW w:w="1777" w:type="dxa"/>
          </w:tcPr>
          <w:p w14:paraId="48BEF082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601D9327" w14:textId="77777777" w:rsidR="000B7D54" w:rsidRPr="0004303D" w:rsidRDefault="000B7D54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Staff sickness</w:t>
            </w:r>
          </w:p>
        </w:tc>
        <w:tc>
          <w:tcPr>
            <w:tcW w:w="1337" w:type="dxa"/>
          </w:tcPr>
          <w:p w14:paraId="69A31688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&lt;3.5%</w:t>
            </w:r>
          </w:p>
        </w:tc>
        <w:tc>
          <w:tcPr>
            <w:tcW w:w="1670" w:type="dxa"/>
          </w:tcPr>
          <w:p w14:paraId="30A457AB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6.2%</w:t>
            </w:r>
          </w:p>
        </w:tc>
        <w:tc>
          <w:tcPr>
            <w:tcW w:w="1670" w:type="dxa"/>
          </w:tcPr>
          <w:p w14:paraId="2BC4030E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5.3%</w:t>
            </w:r>
          </w:p>
        </w:tc>
        <w:tc>
          <w:tcPr>
            <w:tcW w:w="1444" w:type="dxa"/>
            <w:shd w:val="clear" w:color="auto" w:fill="92D050"/>
          </w:tcPr>
          <w:p w14:paraId="19B5F1F3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position</w:t>
            </w:r>
          </w:p>
        </w:tc>
      </w:tr>
      <w:tr w:rsidR="000B7D54" w14:paraId="1AD967F8" w14:textId="77777777">
        <w:tc>
          <w:tcPr>
            <w:tcW w:w="1777" w:type="dxa"/>
          </w:tcPr>
          <w:p w14:paraId="1BE4F3F2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396F546B" w14:textId="77777777" w:rsidR="000B7D54" w:rsidRPr="0004303D" w:rsidRDefault="000B7D54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Turnover</w:t>
            </w:r>
          </w:p>
        </w:tc>
        <w:tc>
          <w:tcPr>
            <w:tcW w:w="1337" w:type="dxa"/>
          </w:tcPr>
          <w:p w14:paraId="7F066DFA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&lt;10%</w:t>
            </w:r>
          </w:p>
        </w:tc>
        <w:tc>
          <w:tcPr>
            <w:tcW w:w="1670" w:type="dxa"/>
          </w:tcPr>
          <w:p w14:paraId="34B5F93F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15.1%</w:t>
            </w:r>
          </w:p>
        </w:tc>
        <w:tc>
          <w:tcPr>
            <w:tcW w:w="1670" w:type="dxa"/>
          </w:tcPr>
          <w:p w14:paraId="4427AF3E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14.9%</w:t>
            </w:r>
          </w:p>
        </w:tc>
        <w:tc>
          <w:tcPr>
            <w:tcW w:w="1444" w:type="dxa"/>
            <w:shd w:val="clear" w:color="auto" w:fill="92D050"/>
          </w:tcPr>
          <w:p w14:paraId="417AB0B2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</w:t>
            </w:r>
            <w:r w:rsidRPr="0004303D">
              <w:rPr>
                <w:rFonts w:ascii="Arial" w:hAnsi="Arial" w:cs="Arial"/>
                <w:sz w:val="22"/>
                <w:szCs w:val="22"/>
                <w:shd w:val="clear" w:color="auto" w:fill="92D050"/>
              </w:rPr>
              <w:t>on</w:t>
            </w:r>
          </w:p>
        </w:tc>
      </w:tr>
      <w:tr w:rsidR="000B7D54" w14:paraId="1F3E13CC" w14:textId="77777777">
        <w:tc>
          <w:tcPr>
            <w:tcW w:w="1777" w:type="dxa"/>
          </w:tcPr>
          <w:p w14:paraId="21765DA0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54F2965F" w14:textId="77777777" w:rsidR="000B7D54" w:rsidRPr="0004303D" w:rsidRDefault="000B7D54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Reduction in vacancies</w:t>
            </w:r>
          </w:p>
        </w:tc>
        <w:tc>
          <w:tcPr>
            <w:tcW w:w="1337" w:type="dxa"/>
          </w:tcPr>
          <w:p w14:paraId="797F8CC8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&lt;9%</w:t>
            </w:r>
          </w:p>
        </w:tc>
        <w:tc>
          <w:tcPr>
            <w:tcW w:w="1670" w:type="dxa"/>
          </w:tcPr>
          <w:p w14:paraId="2D48BF6E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12.6%</w:t>
            </w:r>
          </w:p>
        </w:tc>
        <w:tc>
          <w:tcPr>
            <w:tcW w:w="1670" w:type="dxa"/>
          </w:tcPr>
          <w:p w14:paraId="5AE4B2A8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13.5%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12A6ACC1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0B7D54" w14:paraId="7EF433AD" w14:textId="77777777">
        <w:tc>
          <w:tcPr>
            <w:tcW w:w="1777" w:type="dxa"/>
          </w:tcPr>
          <w:p w14:paraId="2B8A4EFB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7404ACCD" w14:textId="77777777" w:rsidR="000B7D54" w:rsidRPr="0004303D" w:rsidRDefault="000B7D54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Personal Development Review (PDR) compliance</w:t>
            </w:r>
          </w:p>
        </w:tc>
        <w:tc>
          <w:tcPr>
            <w:tcW w:w="1337" w:type="dxa"/>
          </w:tcPr>
          <w:p w14:paraId="72662875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542B1799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27%</w:t>
            </w:r>
          </w:p>
        </w:tc>
        <w:tc>
          <w:tcPr>
            <w:tcW w:w="1670" w:type="dxa"/>
          </w:tcPr>
          <w:p w14:paraId="1435359B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29%</w:t>
            </w:r>
          </w:p>
        </w:tc>
        <w:tc>
          <w:tcPr>
            <w:tcW w:w="1444" w:type="dxa"/>
            <w:shd w:val="clear" w:color="auto" w:fill="92D050"/>
          </w:tcPr>
          <w:p w14:paraId="585639CC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</w:t>
            </w:r>
            <w:r w:rsidRPr="0004303D">
              <w:rPr>
                <w:rFonts w:ascii="Arial" w:hAnsi="Arial" w:cs="Arial"/>
                <w:sz w:val="22"/>
                <w:szCs w:val="22"/>
                <w:shd w:val="clear" w:color="auto" w:fill="92D050"/>
              </w:rPr>
              <w:t>on</w:t>
            </w:r>
          </w:p>
        </w:tc>
      </w:tr>
      <w:tr w:rsidR="000B7D54" w14:paraId="5291947C" w14:textId="77777777">
        <w:tc>
          <w:tcPr>
            <w:tcW w:w="1777" w:type="dxa"/>
          </w:tcPr>
          <w:p w14:paraId="796F7B9D" w14:textId="77777777" w:rsidR="000B7D54" w:rsidRPr="0004303D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44E63B55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PPST compliance</w:t>
            </w:r>
          </w:p>
        </w:tc>
        <w:tc>
          <w:tcPr>
            <w:tcW w:w="1337" w:type="dxa"/>
          </w:tcPr>
          <w:p w14:paraId="4F7F0B1D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57DA2C34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82%</w:t>
            </w:r>
          </w:p>
        </w:tc>
        <w:tc>
          <w:tcPr>
            <w:tcW w:w="1670" w:type="dxa"/>
          </w:tcPr>
          <w:p w14:paraId="67DEAA78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84%</w:t>
            </w:r>
          </w:p>
        </w:tc>
        <w:tc>
          <w:tcPr>
            <w:tcW w:w="1444" w:type="dxa"/>
            <w:shd w:val="clear" w:color="auto" w:fill="92D050"/>
          </w:tcPr>
          <w:p w14:paraId="643EA6CB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position</w:t>
            </w:r>
          </w:p>
        </w:tc>
      </w:tr>
      <w:tr w:rsidR="000B7D54" w14:paraId="659B2615" w14:textId="77777777">
        <w:tc>
          <w:tcPr>
            <w:tcW w:w="1777" w:type="dxa"/>
          </w:tcPr>
          <w:p w14:paraId="35FA319D" w14:textId="77777777" w:rsidR="000B7D54" w:rsidRPr="008328EF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8EF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</w:tc>
        <w:tc>
          <w:tcPr>
            <w:tcW w:w="2020" w:type="dxa"/>
          </w:tcPr>
          <w:p w14:paraId="5A4E2255" w14:textId="77777777" w:rsidR="000B7D54" w:rsidRPr="008328EF" w:rsidRDefault="000B7D54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Delivery of cost improvement plan</w:t>
            </w:r>
          </w:p>
        </w:tc>
        <w:tc>
          <w:tcPr>
            <w:tcW w:w="1337" w:type="dxa"/>
          </w:tcPr>
          <w:p w14:paraId="02880FF8" w14:textId="77777777" w:rsidR="000B7D54" w:rsidRPr="008328EF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£-</w:t>
            </w:r>
          </w:p>
        </w:tc>
        <w:tc>
          <w:tcPr>
            <w:tcW w:w="1670" w:type="dxa"/>
          </w:tcPr>
          <w:p w14:paraId="38D93E96" w14:textId="77777777" w:rsidR="000B7D54" w:rsidRPr="008328EF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£1.5m adverse</w:t>
            </w:r>
          </w:p>
        </w:tc>
        <w:tc>
          <w:tcPr>
            <w:tcW w:w="1670" w:type="dxa"/>
          </w:tcPr>
          <w:p w14:paraId="0142E1C1" w14:textId="77777777" w:rsidR="000B7D54" w:rsidRPr="008328EF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£3.1m adverse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7DDB6ABF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Declining position</w:t>
            </w:r>
          </w:p>
        </w:tc>
      </w:tr>
      <w:tr w:rsidR="000B7D54" w14:paraId="0ED9B065" w14:textId="77777777">
        <w:tc>
          <w:tcPr>
            <w:tcW w:w="1777" w:type="dxa"/>
          </w:tcPr>
          <w:p w14:paraId="0C10F363" w14:textId="77777777" w:rsidR="000B7D54" w:rsidRPr="00834492" w:rsidRDefault="000B7D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92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</w:tc>
        <w:tc>
          <w:tcPr>
            <w:tcW w:w="2020" w:type="dxa"/>
          </w:tcPr>
          <w:p w14:paraId="0155C4D5" w14:textId="77777777" w:rsidR="000B7D54" w:rsidRPr="00834492" w:rsidRDefault="000B7D54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Achievement of all 8 targeted NOF measures</w:t>
            </w:r>
          </w:p>
        </w:tc>
        <w:tc>
          <w:tcPr>
            <w:tcW w:w="1337" w:type="dxa"/>
          </w:tcPr>
          <w:p w14:paraId="526CC4C4" w14:textId="77777777" w:rsidR="000B7D54" w:rsidRPr="00834492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70" w:type="dxa"/>
          </w:tcPr>
          <w:p w14:paraId="31C5858C" w14:textId="77777777" w:rsidR="000B7D54" w:rsidRPr="00834492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5/8</w:t>
            </w:r>
          </w:p>
        </w:tc>
        <w:tc>
          <w:tcPr>
            <w:tcW w:w="1670" w:type="dxa"/>
          </w:tcPr>
          <w:p w14:paraId="01A111D9" w14:textId="77777777" w:rsidR="000B7D54" w:rsidRPr="00834492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5/8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1B3657F9" w14:textId="77777777" w:rsidR="000B7D54" w:rsidRPr="0004303D" w:rsidRDefault="000B7D54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</w:tr>
    </w:tbl>
    <w:p w14:paraId="5050D5DD" w14:textId="77777777" w:rsidR="000B7D54" w:rsidRDefault="000B7D54" w:rsidP="000B7D54">
      <w:pPr>
        <w:rPr>
          <w:rFonts w:ascii="Arial" w:hAnsi="Arial" w:cs="Arial"/>
        </w:rPr>
      </w:pPr>
      <w:r w:rsidRPr="00CB77F3">
        <w:rPr>
          <w:rFonts w:ascii="Arial" w:hAnsi="Arial" w:cs="Arial"/>
        </w:rPr>
        <w:t>Please see the report for further information and plans to address.</w:t>
      </w:r>
    </w:p>
    <w:p w14:paraId="48296633" w14:textId="66480B76" w:rsidR="00AE716B" w:rsidRDefault="00AE71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EC90B2" w14:textId="77777777" w:rsidR="000B7D54" w:rsidRDefault="000B7D54" w:rsidP="000B7D54">
      <w:pPr>
        <w:rPr>
          <w:rFonts w:ascii="Arial" w:hAnsi="Arial" w:cs="Arial"/>
        </w:rPr>
      </w:pPr>
    </w:p>
    <w:p w14:paraId="293125E1" w14:textId="77777777" w:rsidR="00EA1894" w:rsidRPr="00FF5475" w:rsidRDefault="00EA1894" w:rsidP="00EA1894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>IPR Supporting Report - Performance Summary</w:t>
      </w:r>
    </w:p>
    <w:p w14:paraId="5D86F850" w14:textId="77777777" w:rsidR="00EA1894" w:rsidRDefault="00EA1894" w:rsidP="00EA1894">
      <w:pPr>
        <w:rPr>
          <w:rFonts w:ascii="Arial" w:hAnsi="Arial" w:cs="Arial"/>
        </w:rPr>
      </w:pPr>
    </w:p>
    <w:p w14:paraId="66F95FC9" w14:textId="77777777" w:rsidR="00701B95" w:rsidRDefault="00701B95" w:rsidP="00701B95">
      <w:pPr>
        <w:jc w:val="both"/>
        <w:rPr>
          <w:rFonts w:ascii="Segoe UI" w:hAnsi="Segoe UI" w:cs="Segoe UI"/>
          <w:b/>
        </w:rPr>
      </w:pPr>
    </w:p>
    <w:p w14:paraId="07DC7CFC" w14:textId="77777777" w:rsidR="00701B95" w:rsidRPr="009A38AA" w:rsidRDefault="00701B95" w:rsidP="00701B95">
      <w:pPr>
        <w:rPr>
          <w:rFonts w:ascii="Arial" w:hAnsi="Arial" w:cs="Arial"/>
          <w:b/>
          <w:bCs/>
        </w:rPr>
      </w:pPr>
      <w:r w:rsidRPr="004F7AB1">
        <w:rPr>
          <w:rFonts w:ascii="Arial" w:hAnsi="Arial" w:cs="Arial"/>
          <w:b/>
          <w:bCs/>
        </w:rPr>
        <w:t xml:space="preserve">COVID-19: </w:t>
      </w:r>
    </w:p>
    <w:p w14:paraId="30B396A8" w14:textId="77777777" w:rsidR="00701B95" w:rsidRPr="009A38AA" w:rsidRDefault="00701B95" w:rsidP="00701B95">
      <w:pPr>
        <w:rPr>
          <w:rFonts w:ascii="Arial" w:hAnsi="Arial" w:cs="Arial"/>
          <w:b/>
          <w:bCs/>
        </w:rPr>
      </w:pPr>
    </w:p>
    <w:p w14:paraId="74A76CF7" w14:textId="5996432D" w:rsidR="00701B95" w:rsidRPr="00B77E41" w:rsidRDefault="00701B95" w:rsidP="00591F3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77E41">
        <w:rPr>
          <w:rFonts w:ascii="Arial" w:hAnsi="Arial" w:cs="Arial"/>
        </w:rPr>
        <w:t xml:space="preserve">The current number of inpatients with COVID-19 has reduced to </w:t>
      </w:r>
      <w:r w:rsidR="00436AFD">
        <w:rPr>
          <w:rFonts w:ascii="Arial" w:hAnsi="Arial" w:cs="Arial"/>
        </w:rPr>
        <w:t>6</w:t>
      </w:r>
      <w:r w:rsidRPr="00B77E41">
        <w:rPr>
          <w:rFonts w:ascii="Arial" w:hAnsi="Arial" w:cs="Arial"/>
        </w:rPr>
        <w:t xml:space="preserve"> as of </w:t>
      </w:r>
      <w:r w:rsidR="00B77E41" w:rsidRPr="00B77E41">
        <w:rPr>
          <w:rFonts w:ascii="Arial" w:hAnsi="Arial" w:cs="Arial"/>
        </w:rPr>
        <w:t>15</w:t>
      </w:r>
      <w:r w:rsidRPr="00B77E41">
        <w:rPr>
          <w:rFonts w:ascii="Arial" w:hAnsi="Arial" w:cs="Arial"/>
          <w:vertAlign w:val="superscript"/>
        </w:rPr>
        <w:t>th</w:t>
      </w:r>
      <w:r w:rsidRPr="00B77E41">
        <w:rPr>
          <w:rFonts w:ascii="Arial" w:hAnsi="Arial" w:cs="Arial"/>
        </w:rPr>
        <w:t xml:space="preserve"> November (it was 13 as</w:t>
      </w:r>
      <w:r w:rsidR="003B3E8E" w:rsidRPr="00B77E41">
        <w:rPr>
          <w:rFonts w:ascii="Arial" w:hAnsi="Arial" w:cs="Arial"/>
        </w:rPr>
        <w:t xml:space="preserve"> at </w:t>
      </w:r>
      <w:r w:rsidRPr="00B77E41">
        <w:rPr>
          <w:rFonts w:ascii="Arial" w:hAnsi="Arial" w:cs="Arial"/>
        </w:rPr>
        <w:t>2</w:t>
      </w:r>
      <w:r w:rsidRPr="00B77E41">
        <w:rPr>
          <w:rFonts w:ascii="Arial" w:hAnsi="Arial" w:cs="Arial"/>
          <w:vertAlign w:val="superscript"/>
        </w:rPr>
        <w:t>nd</w:t>
      </w:r>
      <w:r w:rsidRPr="00B77E41">
        <w:rPr>
          <w:rFonts w:ascii="Arial" w:hAnsi="Arial" w:cs="Arial"/>
        </w:rPr>
        <w:t xml:space="preserve"> Sept)  </w:t>
      </w:r>
    </w:p>
    <w:p w14:paraId="5A816D16" w14:textId="7AAAAC2A" w:rsidR="00591F3A" w:rsidRPr="00A003F1" w:rsidRDefault="00C871C6" w:rsidP="00C871C6">
      <w:pPr>
        <w:pStyle w:val="ListParagraph"/>
        <w:jc w:val="center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51AFBD35" wp14:editId="461AE28A">
            <wp:extent cx="2167075" cy="933401"/>
            <wp:effectExtent l="0" t="0" r="5080" b="635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85" cy="9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8FEB" w14:textId="3562C8FC" w:rsidR="00701B95" w:rsidRPr="00886164" w:rsidRDefault="00701B95" w:rsidP="00701B9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86164">
        <w:rPr>
          <w:rFonts w:ascii="Arial" w:hAnsi="Arial" w:cs="Arial"/>
        </w:rPr>
        <w:t xml:space="preserve">There has also been a decrease in staff absent from work due to COVID.  </w:t>
      </w:r>
      <w:r w:rsidR="00527694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staff </w:t>
      </w:r>
      <w:r w:rsidR="003F426F">
        <w:rPr>
          <w:rFonts w:ascii="Arial" w:hAnsi="Arial" w:cs="Arial"/>
        </w:rPr>
        <w:t xml:space="preserve">as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527694">
        <w:rPr>
          <w:rFonts w:ascii="Arial" w:hAnsi="Arial" w:cs="Arial"/>
        </w:rPr>
        <w:t>15</w:t>
      </w:r>
      <w:r w:rsidRPr="00162A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(it was </w:t>
      </w:r>
      <w:r w:rsidRPr="00886164">
        <w:rPr>
          <w:rFonts w:ascii="Arial" w:hAnsi="Arial" w:cs="Arial"/>
        </w:rPr>
        <w:t>46 staff as at 2</w:t>
      </w:r>
      <w:r w:rsidRPr="00886164">
        <w:rPr>
          <w:rFonts w:ascii="Arial" w:hAnsi="Arial" w:cs="Arial"/>
          <w:vertAlign w:val="superscript"/>
        </w:rPr>
        <w:t>nd</w:t>
      </w:r>
      <w:r w:rsidRPr="00886164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>)</w:t>
      </w:r>
      <w:r w:rsidRPr="00886164">
        <w:rPr>
          <w:rFonts w:ascii="Arial" w:hAnsi="Arial" w:cs="Arial"/>
        </w:rPr>
        <w:t>.  At the peak in wave 2, there were approx. 220 staff absent.</w:t>
      </w:r>
    </w:p>
    <w:p w14:paraId="58F8FB25" w14:textId="77777777" w:rsidR="00701B95" w:rsidRPr="004F7AB1" w:rsidRDefault="00701B95" w:rsidP="00701B95">
      <w:pPr>
        <w:pStyle w:val="ListParagraph"/>
        <w:rPr>
          <w:rFonts w:ascii="Arial" w:hAnsi="Arial" w:cs="Arial"/>
        </w:rPr>
      </w:pPr>
    </w:p>
    <w:p w14:paraId="62C78CF0" w14:textId="216D6A46" w:rsidR="00701B95" w:rsidRPr="004F7AB1" w:rsidRDefault="00701B95" w:rsidP="00701B9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F7AB1">
        <w:rPr>
          <w:rFonts w:ascii="Arial" w:hAnsi="Arial" w:cs="Arial"/>
        </w:rPr>
        <w:t xml:space="preserve">COVID-19 vaccination uptake </w:t>
      </w:r>
      <w:r w:rsidR="003F426F">
        <w:rPr>
          <w:rFonts w:ascii="Arial" w:hAnsi="Arial" w:cs="Arial"/>
        </w:rPr>
        <w:t xml:space="preserve">as </w:t>
      </w:r>
      <w:proofErr w:type="gramStart"/>
      <w:r w:rsidRPr="004F7AB1">
        <w:rPr>
          <w:rFonts w:ascii="Arial" w:hAnsi="Arial" w:cs="Arial"/>
        </w:rPr>
        <w:t>at</w:t>
      </w:r>
      <w:proofErr w:type="gramEnd"/>
      <w:r w:rsidRPr="004F7AB1">
        <w:rPr>
          <w:rFonts w:ascii="Arial" w:hAnsi="Arial" w:cs="Arial"/>
        </w:rPr>
        <w:t xml:space="preserve"> </w:t>
      </w:r>
      <w:r w:rsidR="00C46DDF">
        <w:rPr>
          <w:rFonts w:ascii="Arial" w:hAnsi="Arial" w:cs="Arial"/>
        </w:rPr>
        <w:t>15</w:t>
      </w:r>
      <w:r w:rsidRPr="004606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Pr="004F7AB1">
        <w:rPr>
          <w:rFonts w:ascii="Arial" w:hAnsi="Arial" w:cs="Arial"/>
        </w:rPr>
        <w:t xml:space="preserve"> 2022:</w:t>
      </w:r>
      <w:r w:rsidRPr="004F7A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8</w:t>
      </w:r>
      <w:r w:rsidR="001E58B9">
        <w:rPr>
          <w:rFonts w:ascii="Arial" w:hAnsi="Arial" w:cs="Arial"/>
        </w:rPr>
        <w:t>5.9</w:t>
      </w:r>
      <w:r>
        <w:rPr>
          <w:rFonts w:ascii="Arial" w:hAnsi="Arial" w:cs="Arial"/>
        </w:rPr>
        <w:t>% total staff,</w:t>
      </w:r>
      <w:r w:rsidR="002C1125">
        <w:rPr>
          <w:rFonts w:ascii="Arial" w:hAnsi="Arial" w:cs="Arial"/>
        </w:rPr>
        <w:t xml:space="preserve"> </w:t>
      </w:r>
      <w:r w:rsidRPr="004F7AB1">
        <w:rPr>
          <w:rFonts w:ascii="Arial" w:hAnsi="Arial" w:cs="Arial"/>
        </w:rPr>
        <w:t xml:space="preserve">Patient Facing </w:t>
      </w:r>
      <w:r>
        <w:rPr>
          <w:rFonts w:ascii="Arial" w:hAnsi="Arial" w:cs="Arial"/>
        </w:rPr>
        <w:t>86.0%</w:t>
      </w:r>
    </w:p>
    <w:p w14:paraId="1C76AC81" w14:textId="77777777" w:rsidR="00701B95" w:rsidRDefault="00701B95" w:rsidP="00701B95">
      <w:pPr>
        <w:jc w:val="both"/>
        <w:rPr>
          <w:rFonts w:ascii="Segoe UI" w:hAnsi="Segoe UI" w:cs="Segoe UI"/>
          <w:b/>
        </w:rPr>
      </w:pPr>
    </w:p>
    <w:p w14:paraId="39C67270" w14:textId="3E6DD83C" w:rsidR="002842FE" w:rsidRDefault="002842FE" w:rsidP="002842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Operational </w:t>
      </w:r>
      <w:r w:rsidRPr="3A6B872D">
        <w:rPr>
          <w:rFonts w:ascii="Arial" w:hAnsi="Arial" w:cs="Arial"/>
          <w:b/>
          <w:bCs/>
        </w:rPr>
        <w:t>Performance Summary</w:t>
      </w:r>
      <w:r w:rsidR="00A116FE">
        <w:rPr>
          <w:rFonts w:ascii="Arial" w:hAnsi="Arial" w:cs="Arial"/>
          <w:b/>
          <w:bCs/>
        </w:rPr>
        <w:t>:</w:t>
      </w:r>
    </w:p>
    <w:p w14:paraId="34AE32B3" w14:textId="77777777" w:rsidR="00C66CD2" w:rsidRDefault="00C66CD2" w:rsidP="00860332">
      <w:pPr>
        <w:rPr>
          <w:rFonts w:ascii="Arial" w:hAnsi="Arial" w:cs="Arial"/>
          <w:b/>
          <w:bCs/>
        </w:rPr>
      </w:pPr>
    </w:p>
    <w:p w14:paraId="42F54B34" w14:textId="77777777" w:rsidR="00051AA2" w:rsidRDefault="00860332" w:rsidP="00051A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Patient Activity and Demand: </w:t>
      </w:r>
      <w:r w:rsidR="00051AA2">
        <w:rPr>
          <w:rFonts w:ascii="Arial" w:hAnsi="Arial" w:cs="Arial"/>
        </w:rPr>
        <w:t xml:space="preserve">The report that accompanies the IPR provides an overview of activity levels by Directorate for referrals received, appointments delivered, inpatient admissions and inpatient length of stay.  </w:t>
      </w:r>
    </w:p>
    <w:p w14:paraId="5752D199" w14:textId="77777777" w:rsidR="00051AA2" w:rsidRDefault="00051AA2" w:rsidP="00051AA2">
      <w:pPr>
        <w:rPr>
          <w:rFonts w:ascii="Arial" w:hAnsi="Arial" w:cs="Arial"/>
        </w:rPr>
      </w:pPr>
    </w:p>
    <w:p w14:paraId="156751A7" w14:textId="097E329A" w:rsidR="00111E89" w:rsidRPr="00787D5A" w:rsidRDefault="00860332" w:rsidP="00111E8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</w:t>
      </w:r>
      <w:r w:rsidRPr="002B3FE9">
        <w:rPr>
          <w:rFonts w:ascii="Arial" w:hAnsi="Arial" w:cs="Arial"/>
          <w:b/>
          <w:bCs/>
        </w:rPr>
        <w:t>eferrals:</w:t>
      </w:r>
      <w:r w:rsidR="00C66CD2">
        <w:rPr>
          <w:rFonts w:ascii="Arial" w:hAnsi="Arial" w:cs="Arial"/>
          <w:b/>
          <w:bCs/>
        </w:rPr>
        <w:t xml:space="preserve"> </w:t>
      </w:r>
      <w:r w:rsidR="00111E89">
        <w:rPr>
          <w:rFonts w:ascii="Arial" w:hAnsi="Arial" w:cs="Arial"/>
        </w:rPr>
        <w:t xml:space="preserve">Overall, referrals to the Trust in July 2022 were consistent with the numbers reported in previous months.  See slides 36-41 in the IPR for a summary of where referral numbers </w:t>
      </w:r>
      <w:r w:rsidR="00DC2FDB">
        <w:rPr>
          <w:rFonts w:ascii="Arial" w:hAnsi="Arial" w:cs="Arial"/>
        </w:rPr>
        <w:t>we</w:t>
      </w:r>
      <w:r w:rsidR="00111E89">
        <w:rPr>
          <w:rFonts w:ascii="Arial" w:hAnsi="Arial" w:cs="Arial"/>
        </w:rPr>
        <w:t>r</w:t>
      </w:r>
      <w:r w:rsidR="00DC2FDB">
        <w:rPr>
          <w:rFonts w:ascii="Arial" w:hAnsi="Arial" w:cs="Arial"/>
        </w:rPr>
        <w:t>e</w:t>
      </w:r>
      <w:r w:rsidR="00111E89">
        <w:rPr>
          <w:rFonts w:ascii="Arial" w:hAnsi="Arial" w:cs="Arial"/>
        </w:rPr>
        <w:t xml:space="preserve"> higher or lower than usual and </w:t>
      </w:r>
      <w:r w:rsidR="00DC2FDB">
        <w:rPr>
          <w:rFonts w:ascii="Arial" w:hAnsi="Arial" w:cs="Arial"/>
        </w:rPr>
        <w:t xml:space="preserve">if </w:t>
      </w:r>
      <w:r w:rsidR="00111E89">
        <w:rPr>
          <w:rFonts w:ascii="Arial" w:hAnsi="Arial" w:cs="Arial"/>
        </w:rPr>
        <w:t xml:space="preserve">it is an area of concern. </w:t>
      </w:r>
    </w:p>
    <w:p w14:paraId="40138B40" w14:textId="37B43156" w:rsidR="00860332" w:rsidRDefault="00860332" w:rsidP="00860332">
      <w:pPr>
        <w:rPr>
          <w:rFonts w:ascii="Arial" w:hAnsi="Arial" w:cs="Arial"/>
        </w:rPr>
      </w:pPr>
    </w:p>
    <w:p w14:paraId="008C242E" w14:textId="6FD6EE81" w:rsidR="00170881" w:rsidRDefault="00860332" w:rsidP="00170881">
      <w:pPr>
        <w:rPr>
          <w:rFonts w:ascii="Arial" w:hAnsi="Arial" w:cs="Arial"/>
        </w:rPr>
      </w:pPr>
      <w:r w:rsidRPr="00966D9C">
        <w:rPr>
          <w:rFonts w:ascii="Arial" w:hAnsi="Arial" w:cs="Arial"/>
          <w:b/>
          <w:bCs/>
        </w:rPr>
        <w:t>Activity:</w:t>
      </w:r>
      <w:r w:rsidR="00C66CD2">
        <w:rPr>
          <w:rFonts w:ascii="Arial" w:hAnsi="Arial" w:cs="Arial"/>
          <w:b/>
          <w:bCs/>
        </w:rPr>
        <w:t xml:space="preserve"> </w:t>
      </w:r>
      <w:r w:rsidR="00170881" w:rsidRPr="00082BF3">
        <w:rPr>
          <w:rFonts w:ascii="Arial" w:hAnsi="Arial" w:cs="Arial"/>
        </w:rPr>
        <w:t>Despite shortages in available workforce, the Trust continues to deliver overall activity in line with normal/expected</w:t>
      </w:r>
      <w:r w:rsidR="00170881">
        <w:rPr>
          <w:rFonts w:ascii="Arial" w:hAnsi="Arial" w:cs="Arial"/>
        </w:rPr>
        <w:t xml:space="preserve"> levels</w:t>
      </w:r>
      <w:r w:rsidR="00170881" w:rsidRPr="00082BF3">
        <w:rPr>
          <w:rFonts w:ascii="Arial" w:hAnsi="Arial" w:cs="Arial"/>
        </w:rPr>
        <w:t>.</w:t>
      </w:r>
      <w:r w:rsidR="00170881">
        <w:rPr>
          <w:rFonts w:ascii="Arial" w:hAnsi="Arial" w:cs="Arial"/>
        </w:rPr>
        <w:t xml:space="preserve">  Where higher or lower volumes of activity have been identified as a concern these are </w:t>
      </w:r>
      <w:proofErr w:type="spellStart"/>
      <w:r w:rsidR="00170881">
        <w:rPr>
          <w:rFonts w:ascii="Arial" w:hAnsi="Arial" w:cs="Arial"/>
        </w:rPr>
        <w:t>summarised</w:t>
      </w:r>
      <w:proofErr w:type="spellEnd"/>
      <w:r w:rsidR="00170881">
        <w:rPr>
          <w:rFonts w:ascii="Arial" w:hAnsi="Arial" w:cs="Arial"/>
        </w:rPr>
        <w:t xml:space="preserve"> in</w:t>
      </w:r>
      <w:r w:rsidR="007B7B8D">
        <w:rPr>
          <w:rFonts w:ascii="Arial" w:hAnsi="Arial" w:cs="Arial"/>
        </w:rPr>
        <w:t xml:space="preserve"> </w:t>
      </w:r>
      <w:r w:rsidR="00170881">
        <w:rPr>
          <w:rFonts w:ascii="Arial" w:hAnsi="Arial" w:cs="Arial"/>
        </w:rPr>
        <w:t xml:space="preserve">slides 36–41 in the IPR.   </w:t>
      </w:r>
    </w:p>
    <w:p w14:paraId="12190A14" w14:textId="05CCBB38" w:rsidR="005B6F81" w:rsidRDefault="005B6F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36FC08" w14:textId="77777777" w:rsidR="00860332" w:rsidRPr="00082BF3" w:rsidRDefault="00860332" w:rsidP="00860332">
      <w:pPr>
        <w:rPr>
          <w:rFonts w:ascii="Arial" w:hAnsi="Arial" w:cs="Arial"/>
        </w:rPr>
      </w:pPr>
    </w:p>
    <w:p w14:paraId="4E96E081" w14:textId="167FCD41" w:rsidR="00256E02" w:rsidRDefault="00860332" w:rsidP="00256E02">
      <w:pPr>
        <w:rPr>
          <w:rFonts w:ascii="Arial" w:hAnsi="Arial" w:cs="Arial"/>
        </w:rPr>
      </w:pPr>
      <w:r w:rsidRPr="00082BF3">
        <w:rPr>
          <w:rFonts w:ascii="Arial" w:hAnsi="Arial" w:cs="Arial"/>
          <w:b/>
          <w:bCs/>
        </w:rPr>
        <w:t>Admissions</w:t>
      </w:r>
      <w:r w:rsidR="00256E02">
        <w:rPr>
          <w:rFonts w:ascii="Arial" w:hAnsi="Arial" w:cs="Arial"/>
          <w:b/>
          <w:bCs/>
        </w:rPr>
        <w:t xml:space="preserve"> &amp;</w:t>
      </w:r>
      <w:r w:rsidRPr="00082BF3">
        <w:rPr>
          <w:rFonts w:ascii="Arial" w:hAnsi="Arial" w:cs="Arial"/>
          <w:b/>
          <w:bCs/>
        </w:rPr>
        <w:t xml:space="preserve"> Length of Stay (LOS): </w:t>
      </w:r>
      <w:r w:rsidR="00DB24C8">
        <w:rPr>
          <w:rFonts w:ascii="Arial" w:hAnsi="Arial" w:cs="Arial"/>
        </w:rPr>
        <w:t xml:space="preserve"> </w:t>
      </w:r>
      <w:r w:rsidR="00256E02">
        <w:rPr>
          <w:rFonts w:ascii="Arial" w:hAnsi="Arial" w:cs="Arial"/>
        </w:rPr>
        <w:t xml:space="preserve">Admissions and </w:t>
      </w:r>
      <w:r w:rsidR="00256E02" w:rsidRPr="4434B310">
        <w:rPr>
          <w:rFonts w:ascii="Arial" w:hAnsi="Arial" w:cs="Arial"/>
        </w:rPr>
        <w:t xml:space="preserve">Length of Stay (LOS) </w:t>
      </w:r>
      <w:r w:rsidR="00256E02">
        <w:rPr>
          <w:rFonts w:ascii="Arial" w:hAnsi="Arial" w:cs="Arial"/>
        </w:rPr>
        <w:t>across wards within the Trust are within normal ranges</w:t>
      </w:r>
      <w:r w:rsidR="00256E02" w:rsidRPr="00F80939">
        <w:rPr>
          <w:rFonts w:ascii="Arial" w:hAnsi="Arial" w:cs="Arial"/>
        </w:rPr>
        <w:t xml:space="preserve">.   The number of patients medically </w:t>
      </w:r>
      <w:proofErr w:type="spellStart"/>
      <w:r w:rsidR="00256E02" w:rsidRPr="00F80939">
        <w:rPr>
          <w:rFonts w:ascii="Arial" w:hAnsi="Arial" w:cs="Arial"/>
        </w:rPr>
        <w:t>optimised</w:t>
      </w:r>
      <w:proofErr w:type="spellEnd"/>
      <w:r w:rsidR="00256E02" w:rsidRPr="00F80939">
        <w:rPr>
          <w:rFonts w:ascii="Arial" w:hAnsi="Arial" w:cs="Arial"/>
        </w:rPr>
        <w:t xml:space="preserve"> for discharge (MOFD) in community hospitals continues to reflect the considerable pressure within the Oxfordshire System, although there was a decrease in July compared to a peak in June 2022 (see below).  </w:t>
      </w:r>
    </w:p>
    <w:p w14:paraId="5EEE1888" w14:textId="2CF20779" w:rsidR="001C3735" w:rsidRDefault="001C3735" w:rsidP="00860332">
      <w:pPr>
        <w:rPr>
          <w:rFonts w:ascii="Arial" w:hAnsi="Arial" w:cs="Arial"/>
        </w:rPr>
      </w:pPr>
    </w:p>
    <w:p w14:paraId="5C1581B3" w14:textId="401D9A93" w:rsidR="00333586" w:rsidRDefault="00333586" w:rsidP="00333586">
      <w:pPr>
        <w:jc w:val="center"/>
        <w:rPr>
          <w:rFonts w:ascii="Arial" w:hAnsi="Arial" w:cs="Arial"/>
        </w:rPr>
      </w:pPr>
      <w:r w:rsidRPr="00F80939">
        <w:rPr>
          <w:noProof/>
        </w:rPr>
        <w:drawing>
          <wp:inline distT="0" distB="0" distL="0" distR="0" wp14:anchorId="4ABFDE7B" wp14:editId="6E93A135">
            <wp:extent cx="2707977" cy="1345266"/>
            <wp:effectExtent l="0" t="0" r="0" b="762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44" cy="13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255D" w14:textId="77777777" w:rsidR="00860332" w:rsidRDefault="00860332" w:rsidP="00860332">
      <w:pPr>
        <w:rPr>
          <w:rFonts w:ascii="Arial" w:hAnsi="Arial" w:cs="Arial"/>
        </w:rPr>
      </w:pPr>
    </w:p>
    <w:p w14:paraId="6A8D1A7A" w14:textId="77777777" w:rsidR="00860332" w:rsidRPr="000C3694" w:rsidRDefault="00860332" w:rsidP="00860332">
      <w:pPr>
        <w:rPr>
          <w:rFonts w:ascii="Arial" w:hAnsi="Arial" w:cs="Arial"/>
        </w:rPr>
      </w:pPr>
      <w:r w:rsidRPr="000C3694">
        <w:rPr>
          <w:rFonts w:ascii="Arial" w:hAnsi="Arial" w:cs="Arial"/>
          <w:b/>
          <w:bCs/>
        </w:rPr>
        <w:t>Waiting Times*:</w:t>
      </w:r>
      <w:r>
        <w:rPr>
          <w:rFonts w:ascii="Arial" w:hAnsi="Arial" w:cs="Arial"/>
          <w:b/>
          <w:bCs/>
        </w:rPr>
        <w:t xml:space="preserve"> </w:t>
      </w:r>
      <w:r w:rsidRPr="000C3694">
        <w:rPr>
          <w:rFonts w:ascii="Arial" w:hAnsi="Arial" w:cs="Arial"/>
        </w:rPr>
        <w:t>*</w:t>
      </w:r>
      <w:r w:rsidRPr="000C3694">
        <w:rPr>
          <w:rFonts w:ascii="Arial" w:hAnsi="Arial" w:cs="Arial"/>
          <w:sz w:val="16"/>
          <w:szCs w:val="16"/>
        </w:rPr>
        <w:t>against generic Trust wait time of &gt;48 hour for emergency &amp; &gt;7 days for urgent, work is underway to develop service specific waiting time standards</w:t>
      </w:r>
    </w:p>
    <w:p w14:paraId="4D8A0745" w14:textId="77777777" w:rsidR="006928E7" w:rsidRPr="005F409C" w:rsidRDefault="006928E7" w:rsidP="00692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outage of clinical information </w:t>
      </w:r>
      <w:proofErr w:type="gramStart"/>
      <w:r>
        <w:rPr>
          <w:rFonts w:ascii="Arial" w:hAnsi="Arial" w:cs="Arial"/>
        </w:rPr>
        <w:t>systems</w:t>
      </w:r>
      <w:proofErr w:type="gramEnd"/>
      <w:r>
        <w:rPr>
          <w:rFonts w:ascii="Arial" w:hAnsi="Arial" w:cs="Arial"/>
        </w:rPr>
        <w:t xml:space="preserve"> we are not currently able to report waiting time information automatically</w:t>
      </w:r>
      <w:r w:rsidRPr="005F409C">
        <w:rPr>
          <w:rFonts w:ascii="Arial" w:hAnsi="Arial" w:cs="Arial"/>
        </w:rPr>
        <w:t>. Services have additional measures in place to manage risks whilst patients are waiting to be seen</w:t>
      </w:r>
      <w:r>
        <w:rPr>
          <w:rFonts w:ascii="Arial" w:hAnsi="Arial" w:cs="Arial"/>
        </w:rPr>
        <w:t>.</w:t>
      </w:r>
      <w:r w:rsidRPr="005F409C">
        <w:rPr>
          <w:rFonts w:ascii="Arial" w:hAnsi="Arial" w:cs="Arial"/>
        </w:rPr>
        <w:t xml:space="preserve"> </w:t>
      </w:r>
    </w:p>
    <w:p w14:paraId="03B420F3" w14:textId="77777777" w:rsidR="001A6FB9" w:rsidRDefault="001A6FB9" w:rsidP="00FA0D23">
      <w:pPr>
        <w:spacing w:after="160" w:line="259" w:lineRule="auto"/>
        <w:ind w:left="360"/>
        <w:contextualSpacing/>
        <w:rPr>
          <w:rFonts w:ascii="Arial" w:hAnsi="Arial" w:cs="Arial"/>
        </w:rPr>
      </w:pPr>
    </w:p>
    <w:p w14:paraId="730E133D" w14:textId="77777777" w:rsidR="00FA0D23" w:rsidRPr="00C23811" w:rsidRDefault="00FA0D23" w:rsidP="00FA0D23">
      <w:pPr>
        <w:rPr>
          <w:rFonts w:ascii="Arial" w:hAnsi="Arial" w:cs="Arial"/>
          <w:b/>
          <w:bCs/>
        </w:rPr>
      </w:pPr>
      <w:r w:rsidRPr="00C23811">
        <w:rPr>
          <w:rFonts w:ascii="Arial" w:hAnsi="Arial" w:cs="Arial"/>
          <w:b/>
          <w:bCs/>
        </w:rPr>
        <w:t>Contractual K</w:t>
      </w:r>
      <w:r>
        <w:rPr>
          <w:rFonts w:ascii="Arial" w:hAnsi="Arial" w:cs="Arial"/>
          <w:b/>
          <w:bCs/>
        </w:rPr>
        <w:t xml:space="preserve">ey </w:t>
      </w:r>
      <w:r w:rsidRPr="00C23811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erformance </w:t>
      </w:r>
      <w:r w:rsidRPr="00C2381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ndicator (KPI)</w:t>
      </w:r>
      <w:r w:rsidRPr="00C23811">
        <w:rPr>
          <w:rFonts w:ascii="Arial" w:hAnsi="Arial" w:cs="Arial"/>
          <w:b/>
          <w:bCs/>
        </w:rPr>
        <w:t xml:space="preserve"> Performance</w:t>
      </w:r>
    </w:p>
    <w:p w14:paraId="7E04EE70" w14:textId="77777777" w:rsidR="00FA0D23" w:rsidRPr="00C23811" w:rsidRDefault="00FA0D23" w:rsidP="00FA0D23">
      <w:pPr>
        <w:rPr>
          <w:rFonts w:ascii="Arial" w:hAnsi="Arial" w:cs="Arial"/>
        </w:rPr>
      </w:pPr>
    </w:p>
    <w:p w14:paraId="1E3C3274" w14:textId="77777777" w:rsidR="00FA0D23" w:rsidRDefault="00FA0D23" w:rsidP="00FA0D23">
      <w:pPr>
        <w:rPr>
          <w:rFonts w:ascii="Arial" w:hAnsi="Arial" w:cs="Arial"/>
        </w:rPr>
      </w:pPr>
      <w:r w:rsidRPr="00CA2EC4">
        <w:rPr>
          <w:rFonts w:ascii="Arial" w:hAnsi="Arial" w:cs="Arial"/>
        </w:rPr>
        <w:t xml:space="preserve">The Trust achieved </w:t>
      </w:r>
      <w:r>
        <w:rPr>
          <w:rFonts w:ascii="Arial" w:hAnsi="Arial" w:cs="Arial"/>
        </w:rPr>
        <w:t>78</w:t>
      </w:r>
      <w:r w:rsidRPr="00CA2EC4">
        <w:rPr>
          <w:rFonts w:ascii="Arial" w:hAnsi="Arial" w:cs="Arial"/>
        </w:rPr>
        <w:t xml:space="preserve">% of its contractual KPIs in </w:t>
      </w:r>
      <w:r>
        <w:rPr>
          <w:rFonts w:ascii="Arial" w:hAnsi="Arial" w:cs="Arial"/>
        </w:rPr>
        <w:t xml:space="preserve">July, this is a decrease from </w:t>
      </w:r>
      <w:r w:rsidRPr="009F4C7F">
        <w:rPr>
          <w:rFonts w:ascii="Arial" w:hAnsi="Arial" w:cs="Arial"/>
        </w:rPr>
        <w:t>the 83%</w:t>
      </w:r>
      <w:r>
        <w:rPr>
          <w:rFonts w:ascii="Arial" w:hAnsi="Arial" w:cs="Arial"/>
        </w:rPr>
        <w:t xml:space="preserve"> reported to Board in May.</w:t>
      </w:r>
    </w:p>
    <w:p w14:paraId="0668580C" w14:textId="77777777" w:rsidR="00FA0D23" w:rsidRDefault="00FA0D23" w:rsidP="00FA0D2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32FE49" wp14:editId="02E816A3">
            <wp:extent cx="1670233" cy="1303385"/>
            <wp:effectExtent l="0" t="0" r="635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9602" cy="13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77E8" w14:textId="77777777" w:rsidR="00FA0D23" w:rsidRDefault="00FA0D23" w:rsidP="00FA0D23">
      <w:pPr>
        <w:rPr>
          <w:rFonts w:ascii="Segoe UI" w:hAnsi="Segoe UI" w:cs="Segoe UI"/>
          <w:i/>
        </w:rPr>
      </w:pPr>
    </w:p>
    <w:p w14:paraId="4E2E35D0" w14:textId="03E4004D" w:rsidR="006E22CF" w:rsidRDefault="00FA3993" w:rsidP="006E22C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14:paraId="5A1E9C89" w14:textId="1928806A" w:rsidR="003A392D" w:rsidRDefault="00CE7B45" w:rsidP="006E2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IPR is produced</w:t>
      </w:r>
      <w:r w:rsidR="006E22CF">
        <w:rPr>
          <w:rFonts w:ascii="Arial" w:hAnsi="Arial" w:cs="Arial"/>
        </w:rPr>
        <w:t xml:space="preserve"> monthly </w:t>
      </w:r>
      <w:r>
        <w:rPr>
          <w:rFonts w:ascii="Arial" w:hAnsi="Arial" w:cs="Arial"/>
        </w:rPr>
        <w:t>for</w:t>
      </w:r>
      <w:r w:rsidR="006E22CF">
        <w:rPr>
          <w:rFonts w:ascii="Arial" w:hAnsi="Arial" w:cs="Arial"/>
        </w:rPr>
        <w:t xml:space="preserve"> the Executive Team and</w:t>
      </w:r>
      <w:r>
        <w:rPr>
          <w:rFonts w:ascii="Arial" w:hAnsi="Arial" w:cs="Arial"/>
        </w:rPr>
        <w:t xml:space="preserve"> presented</w:t>
      </w:r>
      <w:r w:rsidR="006E22CF">
        <w:rPr>
          <w:rFonts w:ascii="Arial" w:hAnsi="Arial" w:cs="Arial"/>
        </w:rPr>
        <w:t xml:space="preserve"> to the</w:t>
      </w:r>
      <w:r w:rsidR="00E84D93">
        <w:rPr>
          <w:rFonts w:ascii="Arial" w:hAnsi="Arial" w:cs="Arial"/>
        </w:rPr>
        <w:t xml:space="preserve"> </w:t>
      </w:r>
      <w:r w:rsidR="00FB0F97">
        <w:rPr>
          <w:rFonts w:ascii="Arial" w:hAnsi="Arial" w:cs="Arial"/>
        </w:rPr>
        <w:t xml:space="preserve">Board of Directors meetings </w:t>
      </w:r>
      <w:r>
        <w:rPr>
          <w:rFonts w:ascii="Arial" w:hAnsi="Arial" w:cs="Arial"/>
        </w:rPr>
        <w:t>on a bi-monthly basis</w:t>
      </w:r>
      <w:r w:rsidR="00E84D93">
        <w:rPr>
          <w:rFonts w:ascii="Arial" w:hAnsi="Arial" w:cs="Arial"/>
        </w:rPr>
        <w:t>.</w:t>
      </w:r>
      <w:r w:rsidR="00FB0F97">
        <w:rPr>
          <w:rFonts w:ascii="Arial" w:hAnsi="Arial" w:cs="Arial"/>
        </w:rPr>
        <w:t xml:space="preserve">  </w:t>
      </w:r>
    </w:p>
    <w:p w14:paraId="05F1DE39" w14:textId="77777777" w:rsidR="00FB0F97" w:rsidRPr="006E22CF" w:rsidRDefault="00FB0F97" w:rsidP="006E22CF">
      <w:pPr>
        <w:jc w:val="both"/>
        <w:rPr>
          <w:rFonts w:ascii="Segoe UI" w:hAnsi="Segoe UI" w:cs="Segoe UI"/>
          <w:b/>
        </w:rPr>
      </w:pPr>
    </w:p>
    <w:p w14:paraId="63681579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2B0CBDC4" w14:textId="178701F1" w:rsidR="000A5A07" w:rsidRPr="00FD77EC" w:rsidRDefault="000A5A07" w:rsidP="0073522A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The </w:t>
      </w:r>
      <w:r w:rsidR="00342219" w:rsidRPr="00FD77EC">
        <w:rPr>
          <w:rFonts w:ascii="Arial" w:hAnsi="Arial" w:cs="Arial"/>
        </w:rPr>
        <w:t>Council of Governors is invited</w:t>
      </w:r>
      <w:r w:rsidRPr="00FD77EC">
        <w:rPr>
          <w:rFonts w:ascii="Arial" w:hAnsi="Arial" w:cs="Arial"/>
        </w:rPr>
        <w:t xml:space="preserve"> to</w:t>
      </w:r>
      <w:r w:rsidR="00E84D93" w:rsidRPr="00FD77EC">
        <w:rPr>
          <w:rFonts w:ascii="Arial" w:hAnsi="Arial" w:cs="Arial"/>
        </w:rPr>
        <w:t xml:space="preserve"> note </w:t>
      </w:r>
      <w:r w:rsidRPr="00FD77EC">
        <w:rPr>
          <w:rFonts w:ascii="Arial" w:hAnsi="Arial" w:cs="Arial"/>
        </w:rPr>
        <w:t xml:space="preserve">the report.  </w:t>
      </w:r>
    </w:p>
    <w:p w14:paraId="73B844EF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217461D3" w14:textId="6AE246D9" w:rsidR="00CE7B45" w:rsidRDefault="002619EF" w:rsidP="0073522A">
      <w:pPr>
        <w:ind w:left="1440" w:hanging="1440"/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CE7B45">
        <w:rPr>
          <w:rFonts w:ascii="Segoe UI" w:hAnsi="Segoe UI" w:cs="Segoe UI"/>
          <w:b/>
        </w:rPr>
        <w:t>Claire Page – Head of Performance &amp; Information</w:t>
      </w:r>
    </w:p>
    <w:p w14:paraId="41D17981" w14:textId="77777777" w:rsidR="00CE7B45" w:rsidRDefault="00CE7B45" w:rsidP="0073522A">
      <w:pPr>
        <w:ind w:left="1440" w:hanging="1440"/>
        <w:jc w:val="both"/>
        <w:rPr>
          <w:rFonts w:ascii="Segoe UI" w:hAnsi="Segoe UI" w:cs="Segoe UI"/>
          <w:b/>
        </w:rPr>
      </w:pPr>
    </w:p>
    <w:p w14:paraId="3B44F187" w14:textId="77777777" w:rsidR="00CE7B45" w:rsidRDefault="0073522A" w:rsidP="53C4554A">
      <w:pPr>
        <w:jc w:val="both"/>
        <w:rPr>
          <w:rFonts w:ascii="Segoe UI" w:hAnsi="Segoe UI" w:cs="Segoe UI"/>
          <w:b/>
          <w:bCs/>
        </w:rPr>
      </w:pPr>
      <w:r w:rsidRPr="53C4554A">
        <w:rPr>
          <w:rFonts w:ascii="Segoe UI" w:hAnsi="Segoe UI" w:cs="Segoe UI"/>
          <w:b/>
          <w:bCs/>
        </w:rPr>
        <w:t>Lead Executive Director:</w:t>
      </w:r>
      <w:r w:rsidR="007B02FB" w:rsidRPr="53C4554A">
        <w:rPr>
          <w:rFonts w:ascii="Segoe UI" w:hAnsi="Segoe UI" w:cs="Segoe UI"/>
          <w:b/>
          <w:bCs/>
        </w:rPr>
        <w:t xml:space="preserve"> </w:t>
      </w:r>
    </w:p>
    <w:p w14:paraId="4999ECC6" w14:textId="55E7985B" w:rsidR="00FA3993" w:rsidRDefault="00CE7B45" w:rsidP="00FA39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Martyn Ward - </w:t>
      </w:r>
      <w:r w:rsidR="00E77177" w:rsidRPr="53C4554A">
        <w:rPr>
          <w:rFonts w:ascii="Segoe UI" w:hAnsi="Segoe UI" w:cs="Segoe UI"/>
          <w:b/>
          <w:bCs/>
        </w:rPr>
        <w:t>Executive Director</w:t>
      </w:r>
      <w:r>
        <w:rPr>
          <w:rFonts w:ascii="Segoe UI" w:hAnsi="Segoe UI" w:cs="Segoe UI"/>
          <w:b/>
          <w:bCs/>
        </w:rPr>
        <w:t xml:space="preserve">: </w:t>
      </w:r>
      <w:r w:rsidR="00E77177" w:rsidRPr="53C4554A">
        <w:rPr>
          <w:rFonts w:ascii="Segoe UI" w:hAnsi="Segoe UI" w:cs="Segoe UI"/>
          <w:b/>
          <w:bCs/>
        </w:rPr>
        <w:t>Digital &amp; Transformation.</w:t>
      </w:r>
      <w:r w:rsidR="007B02FB" w:rsidRPr="53C4554A">
        <w:rPr>
          <w:rFonts w:ascii="Segoe UI" w:hAnsi="Segoe UI" w:cs="Segoe UI"/>
          <w:b/>
          <w:bCs/>
        </w:rPr>
        <w:t xml:space="preserve"> </w:t>
      </w:r>
    </w:p>
    <w:sectPr w:rsidR="00FA3993" w:rsidSect="00262F0F">
      <w:headerReference w:type="first" r:id="rId18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D8BA" w14:textId="77777777" w:rsidR="0025311A" w:rsidRDefault="0025311A" w:rsidP="005B3E3C">
      <w:r>
        <w:separator/>
      </w:r>
    </w:p>
  </w:endnote>
  <w:endnote w:type="continuationSeparator" w:id="0">
    <w:p w14:paraId="6977E4D5" w14:textId="77777777" w:rsidR="0025311A" w:rsidRDefault="0025311A" w:rsidP="005B3E3C">
      <w:r>
        <w:continuationSeparator/>
      </w:r>
    </w:p>
  </w:endnote>
  <w:endnote w:type="continuationNotice" w:id="1">
    <w:p w14:paraId="0F96994D" w14:textId="77777777" w:rsidR="0025311A" w:rsidRDefault="00253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8C5A" w14:textId="77777777" w:rsidR="0025311A" w:rsidRDefault="0025311A" w:rsidP="005B3E3C">
      <w:r>
        <w:separator/>
      </w:r>
    </w:p>
  </w:footnote>
  <w:footnote w:type="continuationSeparator" w:id="0">
    <w:p w14:paraId="6A5788CD" w14:textId="77777777" w:rsidR="0025311A" w:rsidRDefault="0025311A" w:rsidP="005B3E3C">
      <w:r>
        <w:continuationSeparator/>
      </w:r>
    </w:p>
  </w:footnote>
  <w:footnote w:type="continuationNotice" w:id="1">
    <w:p w14:paraId="0A07E63A" w14:textId="77777777" w:rsidR="0025311A" w:rsidRDefault="00253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B1BC" w14:textId="130165E3" w:rsidR="00262F0F" w:rsidRDefault="00262F0F" w:rsidP="006138EC">
    <w:pPr>
      <w:pStyle w:val="Header"/>
      <w:jc w:val="center"/>
    </w:pPr>
    <w:r w:rsidRPr="00342219">
      <w:rPr>
        <w:rFonts w:ascii="Segoe UI" w:hAnsi="Segoe UI" w:cs="Segoe UI"/>
        <w:b/>
        <w:i/>
        <w:sz w:val="20"/>
        <w:szCs w:val="20"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04A6"/>
    <w:multiLevelType w:val="hybridMultilevel"/>
    <w:tmpl w:val="022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D9F2E8A"/>
    <w:multiLevelType w:val="hybridMultilevel"/>
    <w:tmpl w:val="1A48C366"/>
    <w:lvl w:ilvl="0" w:tplc="8BFCAFA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752B"/>
    <w:multiLevelType w:val="hybridMultilevel"/>
    <w:tmpl w:val="17BA94FE"/>
    <w:lvl w:ilvl="0" w:tplc="8DC2DC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3298"/>
    <w:multiLevelType w:val="hybridMultilevel"/>
    <w:tmpl w:val="66ECC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ECF7E66"/>
    <w:multiLevelType w:val="hybridMultilevel"/>
    <w:tmpl w:val="BBB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75037">
    <w:abstractNumId w:val="11"/>
  </w:num>
  <w:num w:numId="2" w16cid:durableId="1819108045">
    <w:abstractNumId w:val="6"/>
  </w:num>
  <w:num w:numId="3" w16cid:durableId="1637564593">
    <w:abstractNumId w:val="7"/>
  </w:num>
  <w:num w:numId="4" w16cid:durableId="1911768257">
    <w:abstractNumId w:val="1"/>
  </w:num>
  <w:num w:numId="5" w16cid:durableId="495193259">
    <w:abstractNumId w:val="8"/>
  </w:num>
  <w:num w:numId="6" w16cid:durableId="835344523">
    <w:abstractNumId w:val="2"/>
  </w:num>
  <w:num w:numId="7" w16cid:durableId="203373682">
    <w:abstractNumId w:val="10"/>
  </w:num>
  <w:num w:numId="8" w16cid:durableId="79104834">
    <w:abstractNumId w:val="4"/>
  </w:num>
  <w:num w:numId="9" w16cid:durableId="513224552">
    <w:abstractNumId w:val="9"/>
  </w:num>
  <w:num w:numId="10" w16cid:durableId="2082487756">
    <w:abstractNumId w:val="0"/>
  </w:num>
  <w:num w:numId="11" w16cid:durableId="1210997778">
    <w:abstractNumId w:val="5"/>
  </w:num>
  <w:num w:numId="12" w16cid:durableId="185522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0C3E"/>
    <w:rsid w:val="0001215E"/>
    <w:rsid w:val="0001239D"/>
    <w:rsid w:val="00012F3D"/>
    <w:rsid w:val="00030247"/>
    <w:rsid w:val="000347FB"/>
    <w:rsid w:val="00035475"/>
    <w:rsid w:val="00051AA2"/>
    <w:rsid w:val="00056DF8"/>
    <w:rsid w:val="00061178"/>
    <w:rsid w:val="0006679D"/>
    <w:rsid w:val="00071842"/>
    <w:rsid w:val="00094FEC"/>
    <w:rsid w:val="00097DDC"/>
    <w:rsid w:val="000A266F"/>
    <w:rsid w:val="000A3A29"/>
    <w:rsid w:val="000A5A07"/>
    <w:rsid w:val="000A69A3"/>
    <w:rsid w:val="000A6ECE"/>
    <w:rsid w:val="000B7D54"/>
    <w:rsid w:val="000C3206"/>
    <w:rsid w:val="000E317C"/>
    <w:rsid w:val="000E3447"/>
    <w:rsid w:val="00102B25"/>
    <w:rsid w:val="00106E27"/>
    <w:rsid w:val="00111E89"/>
    <w:rsid w:val="00115B5E"/>
    <w:rsid w:val="001208D1"/>
    <w:rsid w:val="0012376B"/>
    <w:rsid w:val="00125664"/>
    <w:rsid w:val="001558DA"/>
    <w:rsid w:val="00162AF1"/>
    <w:rsid w:val="00170881"/>
    <w:rsid w:val="00175388"/>
    <w:rsid w:val="00175FD2"/>
    <w:rsid w:val="00186F59"/>
    <w:rsid w:val="001A6734"/>
    <w:rsid w:val="001A6FB9"/>
    <w:rsid w:val="001B7237"/>
    <w:rsid w:val="001C3735"/>
    <w:rsid w:val="001C3922"/>
    <w:rsid w:val="001E4C35"/>
    <w:rsid w:val="001E58B9"/>
    <w:rsid w:val="001F0D6D"/>
    <w:rsid w:val="001F2B8D"/>
    <w:rsid w:val="001F4483"/>
    <w:rsid w:val="001F4D6B"/>
    <w:rsid w:val="001F4EBE"/>
    <w:rsid w:val="001F560B"/>
    <w:rsid w:val="001F67A0"/>
    <w:rsid w:val="001F76ED"/>
    <w:rsid w:val="002063E4"/>
    <w:rsid w:val="002133ED"/>
    <w:rsid w:val="00215007"/>
    <w:rsid w:val="00224B9B"/>
    <w:rsid w:val="002250DE"/>
    <w:rsid w:val="00227FCE"/>
    <w:rsid w:val="00241A66"/>
    <w:rsid w:val="00242459"/>
    <w:rsid w:val="00243AAF"/>
    <w:rsid w:val="00244A07"/>
    <w:rsid w:val="00251B0B"/>
    <w:rsid w:val="0025311A"/>
    <w:rsid w:val="00256E02"/>
    <w:rsid w:val="002619EF"/>
    <w:rsid w:val="00262F0F"/>
    <w:rsid w:val="00270D6D"/>
    <w:rsid w:val="002808CB"/>
    <w:rsid w:val="002821F8"/>
    <w:rsid w:val="002842FE"/>
    <w:rsid w:val="00284859"/>
    <w:rsid w:val="002865FA"/>
    <w:rsid w:val="00286D4C"/>
    <w:rsid w:val="00292613"/>
    <w:rsid w:val="00294C3B"/>
    <w:rsid w:val="0029509B"/>
    <w:rsid w:val="002A73E8"/>
    <w:rsid w:val="002B0D07"/>
    <w:rsid w:val="002C1125"/>
    <w:rsid w:val="002C2F97"/>
    <w:rsid w:val="002C4F36"/>
    <w:rsid w:val="002D6F41"/>
    <w:rsid w:val="002E6FC6"/>
    <w:rsid w:val="00306AF0"/>
    <w:rsid w:val="00326773"/>
    <w:rsid w:val="00333586"/>
    <w:rsid w:val="00342219"/>
    <w:rsid w:val="00350E1E"/>
    <w:rsid w:val="003536DE"/>
    <w:rsid w:val="00354C85"/>
    <w:rsid w:val="003577FC"/>
    <w:rsid w:val="00361251"/>
    <w:rsid w:val="0038127B"/>
    <w:rsid w:val="003867F5"/>
    <w:rsid w:val="0038724D"/>
    <w:rsid w:val="003927AC"/>
    <w:rsid w:val="003971F6"/>
    <w:rsid w:val="003A392D"/>
    <w:rsid w:val="003B3E8E"/>
    <w:rsid w:val="003D72F8"/>
    <w:rsid w:val="003E28E0"/>
    <w:rsid w:val="003E7022"/>
    <w:rsid w:val="003F2AF4"/>
    <w:rsid w:val="003F36B9"/>
    <w:rsid w:val="003F426F"/>
    <w:rsid w:val="003F7366"/>
    <w:rsid w:val="003F7575"/>
    <w:rsid w:val="00414456"/>
    <w:rsid w:val="00416330"/>
    <w:rsid w:val="00421DB8"/>
    <w:rsid w:val="004326BB"/>
    <w:rsid w:val="00432EA3"/>
    <w:rsid w:val="00436AFD"/>
    <w:rsid w:val="00447428"/>
    <w:rsid w:val="00454862"/>
    <w:rsid w:val="00456DDE"/>
    <w:rsid w:val="00460647"/>
    <w:rsid w:val="00465812"/>
    <w:rsid w:val="004742D0"/>
    <w:rsid w:val="004859E6"/>
    <w:rsid w:val="0049415F"/>
    <w:rsid w:val="00496B12"/>
    <w:rsid w:val="004A1E77"/>
    <w:rsid w:val="004A5BF6"/>
    <w:rsid w:val="004B64C8"/>
    <w:rsid w:val="004F4BBA"/>
    <w:rsid w:val="004F5A16"/>
    <w:rsid w:val="004F7AB1"/>
    <w:rsid w:val="00502406"/>
    <w:rsid w:val="00521C4D"/>
    <w:rsid w:val="005233AA"/>
    <w:rsid w:val="00527694"/>
    <w:rsid w:val="00527D4A"/>
    <w:rsid w:val="00534870"/>
    <w:rsid w:val="00535DE2"/>
    <w:rsid w:val="00537AE1"/>
    <w:rsid w:val="00541799"/>
    <w:rsid w:val="005518C7"/>
    <w:rsid w:val="00551B0F"/>
    <w:rsid w:val="005575AC"/>
    <w:rsid w:val="00560108"/>
    <w:rsid w:val="005659FB"/>
    <w:rsid w:val="00591F3A"/>
    <w:rsid w:val="00592F8F"/>
    <w:rsid w:val="005A3CBA"/>
    <w:rsid w:val="005B3E3C"/>
    <w:rsid w:val="005B6F81"/>
    <w:rsid w:val="005C3FC1"/>
    <w:rsid w:val="005C6DB7"/>
    <w:rsid w:val="005C7FBD"/>
    <w:rsid w:val="005D03A4"/>
    <w:rsid w:val="005D3499"/>
    <w:rsid w:val="005E2583"/>
    <w:rsid w:val="005F5E6B"/>
    <w:rsid w:val="00611022"/>
    <w:rsid w:val="006138EC"/>
    <w:rsid w:val="0061684E"/>
    <w:rsid w:val="00617E32"/>
    <w:rsid w:val="00641CB9"/>
    <w:rsid w:val="00644E03"/>
    <w:rsid w:val="006456CB"/>
    <w:rsid w:val="00662651"/>
    <w:rsid w:val="0067319C"/>
    <w:rsid w:val="006744A5"/>
    <w:rsid w:val="006802EF"/>
    <w:rsid w:val="006928E7"/>
    <w:rsid w:val="006A0F50"/>
    <w:rsid w:val="006B327F"/>
    <w:rsid w:val="006D16E2"/>
    <w:rsid w:val="006D261A"/>
    <w:rsid w:val="006E1E13"/>
    <w:rsid w:val="006E22CF"/>
    <w:rsid w:val="006E38F4"/>
    <w:rsid w:val="006E3C3E"/>
    <w:rsid w:val="006E70C0"/>
    <w:rsid w:val="006F2F62"/>
    <w:rsid w:val="006F3E37"/>
    <w:rsid w:val="006F6BA5"/>
    <w:rsid w:val="006F7AE7"/>
    <w:rsid w:val="00701B95"/>
    <w:rsid w:val="00712A23"/>
    <w:rsid w:val="007132FF"/>
    <w:rsid w:val="00717F26"/>
    <w:rsid w:val="00720074"/>
    <w:rsid w:val="007237A2"/>
    <w:rsid w:val="00733232"/>
    <w:rsid w:val="00733682"/>
    <w:rsid w:val="00733BCF"/>
    <w:rsid w:val="00734820"/>
    <w:rsid w:val="0073522A"/>
    <w:rsid w:val="0074677C"/>
    <w:rsid w:val="007517BF"/>
    <w:rsid w:val="0075195C"/>
    <w:rsid w:val="00764264"/>
    <w:rsid w:val="00766F8A"/>
    <w:rsid w:val="007769CD"/>
    <w:rsid w:val="0078032B"/>
    <w:rsid w:val="00781566"/>
    <w:rsid w:val="00783DEA"/>
    <w:rsid w:val="00791615"/>
    <w:rsid w:val="007925E8"/>
    <w:rsid w:val="0079273D"/>
    <w:rsid w:val="00792BF8"/>
    <w:rsid w:val="00792E95"/>
    <w:rsid w:val="007976E7"/>
    <w:rsid w:val="007A2CF0"/>
    <w:rsid w:val="007B02FB"/>
    <w:rsid w:val="007B4783"/>
    <w:rsid w:val="007B6D77"/>
    <w:rsid w:val="007B7B8D"/>
    <w:rsid w:val="007D679E"/>
    <w:rsid w:val="007E6B44"/>
    <w:rsid w:val="007F1DF8"/>
    <w:rsid w:val="007F4223"/>
    <w:rsid w:val="008005E3"/>
    <w:rsid w:val="00802701"/>
    <w:rsid w:val="00802E20"/>
    <w:rsid w:val="008038A2"/>
    <w:rsid w:val="00803BFE"/>
    <w:rsid w:val="008040CE"/>
    <w:rsid w:val="00811FE8"/>
    <w:rsid w:val="00842E4A"/>
    <w:rsid w:val="0084720C"/>
    <w:rsid w:val="00860123"/>
    <w:rsid w:val="00860332"/>
    <w:rsid w:val="0086436B"/>
    <w:rsid w:val="00874DC6"/>
    <w:rsid w:val="00886037"/>
    <w:rsid w:val="00886164"/>
    <w:rsid w:val="00891478"/>
    <w:rsid w:val="00894B97"/>
    <w:rsid w:val="00897B21"/>
    <w:rsid w:val="008A6E6B"/>
    <w:rsid w:val="008B6896"/>
    <w:rsid w:val="008C2306"/>
    <w:rsid w:val="008E32B1"/>
    <w:rsid w:val="008E524E"/>
    <w:rsid w:val="008F3744"/>
    <w:rsid w:val="0090536E"/>
    <w:rsid w:val="00905755"/>
    <w:rsid w:val="00910FFE"/>
    <w:rsid w:val="00912BE6"/>
    <w:rsid w:val="00927EE3"/>
    <w:rsid w:val="00932CF0"/>
    <w:rsid w:val="009369E9"/>
    <w:rsid w:val="00946E6E"/>
    <w:rsid w:val="0097281B"/>
    <w:rsid w:val="009869DE"/>
    <w:rsid w:val="00997FA9"/>
    <w:rsid w:val="009A38AA"/>
    <w:rsid w:val="009E22F8"/>
    <w:rsid w:val="009E63BF"/>
    <w:rsid w:val="00A003F1"/>
    <w:rsid w:val="00A06C86"/>
    <w:rsid w:val="00A116FE"/>
    <w:rsid w:val="00A147B8"/>
    <w:rsid w:val="00A32722"/>
    <w:rsid w:val="00A40B92"/>
    <w:rsid w:val="00A64F30"/>
    <w:rsid w:val="00A674FB"/>
    <w:rsid w:val="00A76C38"/>
    <w:rsid w:val="00A83977"/>
    <w:rsid w:val="00A85311"/>
    <w:rsid w:val="00A86977"/>
    <w:rsid w:val="00A901FF"/>
    <w:rsid w:val="00A92B4F"/>
    <w:rsid w:val="00AA0C3F"/>
    <w:rsid w:val="00AC3814"/>
    <w:rsid w:val="00AC518A"/>
    <w:rsid w:val="00AD0B20"/>
    <w:rsid w:val="00AD1C44"/>
    <w:rsid w:val="00AD3B1D"/>
    <w:rsid w:val="00AE716B"/>
    <w:rsid w:val="00AF0562"/>
    <w:rsid w:val="00AF650A"/>
    <w:rsid w:val="00B00CBA"/>
    <w:rsid w:val="00B02CAC"/>
    <w:rsid w:val="00B04E3A"/>
    <w:rsid w:val="00B10FB2"/>
    <w:rsid w:val="00B17232"/>
    <w:rsid w:val="00B26E1A"/>
    <w:rsid w:val="00B26F2C"/>
    <w:rsid w:val="00B50D5E"/>
    <w:rsid w:val="00B60E6A"/>
    <w:rsid w:val="00B6227A"/>
    <w:rsid w:val="00B65B63"/>
    <w:rsid w:val="00B75A54"/>
    <w:rsid w:val="00B77E41"/>
    <w:rsid w:val="00B85C82"/>
    <w:rsid w:val="00BA3B3E"/>
    <w:rsid w:val="00BB018D"/>
    <w:rsid w:val="00BB1FC8"/>
    <w:rsid w:val="00BB6BCF"/>
    <w:rsid w:val="00BC152C"/>
    <w:rsid w:val="00BC4E1C"/>
    <w:rsid w:val="00BC53B8"/>
    <w:rsid w:val="00BC748E"/>
    <w:rsid w:val="00BD4FAB"/>
    <w:rsid w:val="00BE7B2E"/>
    <w:rsid w:val="00BF3538"/>
    <w:rsid w:val="00BF3A88"/>
    <w:rsid w:val="00BF5367"/>
    <w:rsid w:val="00C07817"/>
    <w:rsid w:val="00C11AA2"/>
    <w:rsid w:val="00C2463F"/>
    <w:rsid w:val="00C41C1B"/>
    <w:rsid w:val="00C450E8"/>
    <w:rsid w:val="00C46DDF"/>
    <w:rsid w:val="00C64F95"/>
    <w:rsid w:val="00C65B89"/>
    <w:rsid w:val="00C66CD2"/>
    <w:rsid w:val="00C67635"/>
    <w:rsid w:val="00C71005"/>
    <w:rsid w:val="00C73522"/>
    <w:rsid w:val="00C77D65"/>
    <w:rsid w:val="00C871C6"/>
    <w:rsid w:val="00C8722F"/>
    <w:rsid w:val="00C902E7"/>
    <w:rsid w:val="00C97483"/>
    <w:rsid w:val="00CB27EF"/>
    <w:rsid w:val="00CB6BBE"/>
    <w:rsid w:val="00CC67ED"/>
    <w:rsid w:val="00CE65B3"/>
    <w:rsid w:val="00CE7B45"/>
    <w:rsid w:val="00CF0A92"/>
    <w:rsid w:val="00CF5F2E"/>
    <w:rsid w:val="00D07064"/>
    <w:rsid w:val="00D101CB"/>
    <w:rsid w:val="00D104BF"/>
    <w:rsid w:val="00D1567C"/>
    <w:rsid w:val="00D211ED"/>
    <w:rsid w:val="00D279FC"/>
    <w:rsid w:val="00D45647"/>
    <w:rsid w:val="00D55ADD"/>
    <w:rsid w:val="00D6230D"/>
    <w:rsid w:val="00D662CB"/>
    <w:rsid w:val="00D7558E"/>
    <w:rsid w:val="00D832C9"/>
    <w:rsid w:val="00D8544F"/>
    <w:rsid w:val="00D870AD"/>
    <w:rsid w:val="00D92638"/>
    <w:rsid w:val="00D95E68"/>
    <w:rsid w:val="00DA0FA6"/>
    <w:rsid w:val="00DA2815"/>
    <w:rsid w:val="00DA7378"/>
    <w:rsid w:val="00DB161E"/>
    <w:rsid w:val="00DB24C8"/>
    <w:rsid w:val="00DB64FA"/>
    <w:rsid w:val="00DC20DF"/>
    <w:rsid w:val="00DC2FDB"/>
    <w:rsid w:val="00DC46A7"/>
    <w:rsid w:val="00DC6266"/>
    <w:rsid w:val="00DD2E5F"/>
    <w:rsid w:val="00DD33DF"/>
    <w:rsid w:val="00DE1293"/>
    <w:rsid w:val="00DE272F"/>
    <w:rsid w:val="00DE47CD"/>
    <w:rsid w:val="00DE5A8C"/>
    <w:rsid w:val="00DE5DE1"/>
    <w:rsid w:val="00DF10CC"/>
    <w:rsid w:val="00DF3269"/>
    <w:rsid w:val="00DF399F"/>
    <w:rsid w:val="00E0336A"/>
    <w:rsid w:val="00E14657"/>
    <w:rsid w:val="00E20B6D"/>
    <w:rsid w:val="00E21213"/>
    <w:rsid w:val="00E26695"/>
    <w:rsid w:val="00E457C3"/>
    <w:rsid w:val="00E47112"/>
    <w:rsid w:val="00E47EBE"/>
    <w:rsid w:val="00E60D96"/>
    <w:rsid w:val="00E77177"/>
    <w:rsid w:val="00E827C5"/>
    <w:rsid w:val="00E84669"/>
    <w:rsid w:val="00E84D93"/>
    <w:rsid w:val="00E85A71"/>
    <w:rsid w:val="00EA0E67"/>
    <w:rsid w:val="00EA1894"/>
    <w:rsid w:val="00EA2EE2"/>
    <w:rsid w:val="00EA37E0"/>
    <w:rsid w:val="00EB6617"/>
    <w:rsid w:val="00EB692D"/>
    <w:rsid w:val="00ED0BE2"/>
    <w:rsid w:val="00ED35F8"/>
    <w:rsid w:val="00EE6DBC"/>
    <w:rsid w:val="00EF2452"/>
    <w:rsid w:val="00F1179E"/>
    <w:rsid w:val="00F155F7"/>
    <w:rsid w:val="00F23B3D"/>
    <w:rsid w:val="00F24EB2"/>
    <w:rsid w:val="00F26488"/>
    <w:rsid w:val="00F429D1"/>
    <w:rsid w:val="00F50A07"/>
    <w:rsid w:val="00F539AB"/>
    <w:rsid w:val="00F56E01"/>
    <w:rsid w:val="00F57119"/>
    <w:rsid w:val="00F57391"/>
    <w:rsid w:val="00F77C13"/>
    <w:rsid w:val="00F83556"/>
    <w:rsid w:val="00F85A32"/>
    <w:rsid w:val="00F945DB"/>
    <w:rsid w:val="00F95FAB"/>
    <w:rsid w:val="00FA0086"/>
    <w:rsid w:val="00FA0D23"/>
    <w:rsid w:val="00FA1DE9"/>
    <w:rsid w:val="00FA2C1C"/>
    <w:rsid w:val="00FA3993"/>
    <w:rsid w:val="00FA5118"/>
    <w:rsid w:val="00FB0F97"/>
    <w:rsid w:val="00FB524E"/>
    <w:rsid w:val="00FD1853"/>
    <w:rsid w:val="00FD2279"/>
    <w:rsid w:val="00FD77EC"/>
    <w:rsid w:val="00FE113A"/>
    <w:rsid w:val="00FF420A"/>
    <w:rsid w:val="04946BAC"/>
    <w:rsid w:val="0A3EED11"/>
    <w:rsid w:val="0C3CD7D2"/>
    <w:rsid w:val="0F647DC9"/>
    <w:rsid w:val="146C55BA"/>
    <w:rsid w:val="14DA29C2"/>
    <w:rsid w:val="1881F88D"/>
    <w:rsid w:val="1A1F8F56"/>
    <w:rsid w:val="231D353E"/>
    <w:rsid w:val="288022EA"/>
    <w:rsid w:val="2A9639E9"/>
    <w:rsid w:val="2B723545"/>
    <w:rsid w:val="2C0AF399"/>
    <w:rsid w:val="2C9CDB7E"/>
    <w:rsid w:val="2E47F618"/>
    <w:rsid w:val="3312A8C7"/>
    <w:rsid w:val="36B6A8CF"/>
    <w:rsid w:val="380B5CB7"/>
    <w:rsid w:val="3A6B872D"/>
    <w:rsid w:val="3D39FCAE"/>
    <w:rsid w:val="3ECED7C3"/>
    <w:rsid w:val="3F462443"/>
    <w:rsid w:val="42A69968"/>
    <w:rsid w:val="4477AD5E"/>
    <w:rsid w:val="4480704C"/>
    <w:rsid w:val="49251D85"/>
    <w:rsid w:val="4DE84FF0"/>
    <w:rsid w:val="4E151AA1"/>
    <w:rsid w:val="4EEBBA23"/>
    <w:rsid w:val="5033E874"/>
    <w:rsid w:val="525CF782"/>
    <w:rsid w:val="537B6347"/>
    <w:rsid w:val="53C4554A"/>
    <w:rsid w:val="561083F3"/>
    <w:rsid w:val="5D4C4DB7"/>
    <w:rsid w:val="66ED3103"/>
    <w:rsid w:val="6D9EB19C"/>
    <w:rsid w:val="73413A5D"/>
    <w:rsid w:val="74848B94"/>
    <w:rsid w:val="751ADE70"/>
    <w:rsid w:val="769C37E9"/>
    <w:rsid w:val="79BF8BA9"/>
    <w:rsid w:val="7CB19E04"/>
    <w:rsid w:val="7DAC5163"/>
    <w:rsid w:val="7DD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BF8B2"/>
  <w15:docId w15:val="{A9B88333-8348-4F34-B940-E4FC1B4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733682"/>
  </w:style>
  <w:style w:type="table" w:styleId="TableGrid">
    <w:name w:val="Table Grid"/>
    <w:basedOn w:val="TableNormal"/>
    <w:rsid w:val="0011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C9AE.A8BA65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8F99E.531DCA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7" ma:contentTypeDescription="Create a new document." ma:contentTypeScope="" ma:versionID="c34461d2e44bbd1dfd18a89a67c3eb8e">
  <xsd:schema xmlns:xsd="http://www.w3.org/2001/XMLSchema" xmlns:xs="http://www.w3.org/2001/XMLSchema" xmlns:p="http://schemas.microsoft.com/office/2006/metadata/properties" xmlns:ns2="250169f9-d2da-4118-b53a-263316cd62ce" xmlns:ns3="87e52216-f942-4014-98de-19b2a4303a61" targetNamespace="http://schemas.microsoft.com/office/2006/metadata/properties" ma:root="true" ma:fieldsID="512cabce86f3147a377c56e724fa8a98" ns2:_="" ns3:_="">
    <xsd:import namespace="250169f9-d2da-4118-b53a-263316cd62ce"/>
    <xsd:import namespace="87e52216-f942-4014-98de-19b2a4303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2216-f942-4014-98de-19b2a4303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71F4B-3D7B-44CB-AB4F-51C51707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87e52216-f942-4014-98de-19b2a4303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8E018-CBAB-418B-9B0E-7CDFF8D2C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668A0-C56E-48A5-8622-4C1624CF5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77164-17B3-44B7-B1DD-61839DB59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1238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StackJ</dc:creator>
  <cp:keywords/>
  <cp:lastModifiedBy>Gill Nicola (RNU) Oxford Health</cp:lastModifiedBy>
  <cp:revision>72</cp:revision>
  <cp:lastPrinted>2014-03-17T21:55:00Z</cp:lastPrinted>
  <dcterms:created xsi:type="dcterms:W3CDTF">2022-11-09T20:19:00Z</dcterms:created>
  <dcterms:modified xsi:type="dcterms:W3CDTF">2022-11-16T14:14:00Z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