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2335" w14:textId="77777777" w:rsidR="00EE477C" w:rsidRDefault="00EE477C" w:rsidP="00E65F3C">
      <w:pPr>
        <w:pStyle w:val="Default"/>
        <w:jc w:val="center"/>
        <w:rPr>
          <w:b/>
          <w:bCs/>
          <w:sz w:val="28"/>
          <w:szCs w:val="28"/>
        </w:rPr>
      </w:pPr>
    </w:p>
    <w:p w14:paraId="00B57070" w14:textId="6618260B" w:rsidR="00EE477C" w:rsidRDefault="00EE477C" w:rsidP="00E65F3C">
      <w:pPr>
        <w:pStyle w:val="Default"/>
        <w:jc w:val="center"/>
        <w:rPr>
          <w:b/>
          <w:bCs/>
          <w:sz w:val="28"/>
          <w:szCs w:val="28"/>
        </w:rPr>
      </w:pPr>
    </w:p>
    <w:p w14:paraId="612B2BA0" w14:textId="477858B3" w:rsidR="0038422B" w:rsidRPr="008467C0" w:rsidRDefault="0075580F" w:rsidP="0075580F">
      <w:pPr>
        <w:pStyle w:val="Default"/>
        <w:tabs>
          <w:tab w:val="center" w:pos="4513"/>
          <w:tab w:val="left" w:pos="7550"/>
        </w:tabs>
        <w:rPr>
          <w:sz w:val="28"/>
          <w:szCs w:val="28"/>
        </w:rPr>
      </w:pPr>
      <w:r w:rsidRPr="00EA798A">
        <w:rPr>
          <w:noProof/>
          <w:lang w:eastAsia="en-GB"/>
        </w:rPr>
        <mc:AlternateContent>
          <mc:Choice Requires="wps">
            <w:drawing>
              <wp:anchor distT="0" distB="0" distL="114300" distR="114300" simplePos="0" relativeHeight="251659264" behindDoc="0" locked="0" layoutInCell="1" allowOverlap="1" wp14:anchorId="14305371" wp14:editId="2D6D9770">
                <wp:simplePos x="0" y="0"/>
                <wp:positionH relativeFrom="column">
                  <wp:posOffset>4730750</wp:posOffset>
                </wp:positionH>
                <wp:positionV relativeFrom="paragraph">
                  <wp:posOffset>5715</wp:posOffset>
                </wp:positionV>
                <wp:extent cx="1616454" cy="5048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454" cy="504825"/>
                        </a:xfrm>
                        <a:prstGeom prst="rect">
                          <a:avLst/>
                        </a:prstGeom>
                        <a:solidFill>
                          <a:srgbClr val="FFFFFF"/>
                        </a:solidFill>
                        <a:ln w="9525">
                          <a:solidFill>
                            <a:srgbClr val="000000"/>
                          </a:solidFill>
                          <a:miter lim="800000"/>
                          <a:headEnd/>
                          <a:tailEnd/>
                        </a:ln>
                      </wps:spPr>
                      <wps:txbx>
                        <w:txbxContent>
                          <w:p w14:paraId="6D84F9AD" w14:textId="32AFA34C" w:rsidR="0075580F" w:rsidRDefault="0075580F" w:rsidP="0075580F">
                            <w:pPr>
                              <w:spacing w:after="0"/>
                              <w:rPr>
                                <w:rFonts w:ascii="Segoe UI" w:hAnsi="Segoe UI" w:cs="Segoe UI"/>
                              </w:rPr>
                            </w:pPr>
                            <w:r>
                              <w:rPr>
                                <w:rFonts w:ascii="Segoe UI" w:hAnsi="Segoe UI" w:cs="Segoe UI"/>
                                <w:b/>
                              </w:rPr>
                              <w:t>RR/App 1</w:t>
                            </w:r>
                            <w:r w:rsidR="00484A78">
                              <w:rPr>
                                <w:rFonts w:ascii="Segoe UI" w:hAnsi="Segoe UI" w:cs="Segoe UI"/>
                                <w:b/>
                              </w:rPr>
                              <w:t>6</w:t>
                            </w:r>
                            <w:r>
                              <w:rPr>
                                <w:rFonts w:ascii="Segoe UI" w:hAnsi="Segoe UI" w:cs="Segoe UI"/>
                                <w:b/>
                              </w:rPr>
                              <w:t>(iv)/2022</w:t>
                            </w:r>
                          </w:p>
                          <w:p w14:paraId="216B468E" w14:textId="31C3C27D" w:rsidR="0075580F" w:rsidRPr="0020754F" w:rsidRDefault="0075580F" w:rsidP="0075580F">
                            <w:pPr>
                              <w:rPr>
                                <w:rFonts w:ascii="Segoe UI" w:hAnsi="Segoe UI" w:cs="Segoe UI"/>
                              </w:rPr>
                            </w:pPr>
                            <w:r>
                              <w:rPr>
                                <w:rFonts w:ascii="Segoe UI" w:hAnsi="Segoe UI" w:cs="Segoe UI"/>
                              </w:rPr>
                              <w:t>(Agenda item: 2</w:t>
                            </w:r>
                            <w:r w:rsidR="000F1298">
                              <w:rPr>
                                <w:rFonts w:ascii="Segoe UI" w:hAnsi="Segoe UI" w:cs="Segoe UI"/>
                              </w:rPr>
                              <w:t>2</w:t>
                            </w:r>
                            <w:r>
                              <w:rPr>
                                <w:rFonts w:ascii="Segoe UI" w:hAnsi="Segoe UI" w:cs="Segoe UI"/>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05371" id="_x0000_t202" coordsize="21600,21600" o:spt="202" path="m,l,21600r21600,l21600,xe">
                <v:stroke joinstyle="miter"/>
                <v:path gradientshapeok="t" o:connecttype="rect"/>
              </v:shapetype>
              <v:shape id="Text Box 2" o:spid="_x0000_s1026" type="#_x0000_t202" style="position:absolute;margin-left:372.5pt;margin-top:.45pt;width:127.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">
                <v:textbox>
                  <w:txbxContent>
                    <w:p w14:paraId="6D84F9AD" w14:textId="32AFA34C" w:rsidR="0075580F" w:rsidRDefault="0075580F" w:rsidP="0075580F">
                      <w:pPr>
                        <w:spacing w:after="0"/>
                        <w:rPr>
                          <w:rFonts w:ascii="Segoe UI" w:hAnsi="Segoe UI" w:cs="Segoe UI"/>
                        </w:rPr>
                      </w:pPr>
                      <w:r>
                        <w:rPr>
                          <w:rFonts w:ascii="Segoe UI" w:hAnsi="Segoe UI" w:cs="Segoe UI"/>
                          <w:b/>
                        </w:rPr>
                        <w:t>RR/App 1</w:t>
                      </w:r>
                      <w:r w:rsidR="00484A78">
                        <w:rPr>
                          <w:rFonts w:ascii="Segoe UI" w:hAnsi="Segoe UI" w:cs="Segoe UI"/>
                          <w:b/>
                        </w:rPr>
                        <w:t>6</w:t>
                      </w:r>
                      <w:r>
                        <w:rPr>
                          <w:rFonts w:ascii="Segoe UI" w:hAnsi="Segoe UI" w:cs="Segoe UI"/>
                          <w:b/>
                        </w:rPr>
                        <w:t>(iv)/2022</w:t>
                      </w:r>
                    </w:p>
                    <w:p w14:paraId="216B468E" w14:textId="31C3C27D" w:rsidR="0075580F" w:rsidRPr="0020754F" w:rsidRDefault="0075580F" w:rsidP="0075580F">
                      <w:pPr>
                        <w:rPr>
                          <w:rFonts w:ascii="Segoe UI" w:hAnsi="Segoe UI" w:cs="Segoe UI"/>
                        </w:rPr>
                      </w:pPr>
                      <w:r>
                        <w:rPr>
                          <w:rFonts w:ascii="Segoe UI" w:hAnsi="Segoe UI" w:cs="Segoe UI"/>
                        </w:rPr>
                        <w:t>(Agenda item: 2</w:t>
                      </w:r>
                      <w:r w:rsidR="000F1298">
                        <w:rPr>
                          <w:rFonts w:ascii="Segoe UI" w:hAnsi="Segoe UI" w:cs="Segoe UI"/>
                        </w:rPr>
                        <w:t>2</w:t>
                      </w:r>
                      <w:r>
                        <w:rPr>
                          <w:rFonts w:ascii="Segoe UI" w:hAnsi="Segoe UI" w:cs="Segoe UI"/>
                        </w:rPr>
                        <w:t>(e))</w:t>
                      </w:r>
                    </w:p>
                  </w:txbxContent>
                </v:textbox>
              </v:shape>
            </w:pict>
          </mc:Fallback>
        </mc:AlternateContent>
      </w:r>
      <w:r>
        <w:rPr>
          <w:b/>
          <w:bCs/>
          <w:sz w:val="28"/>
          <w:szCs w:val="28"/>
        </w:rPr>
        <w:tab/>
      </w:r>
      <w:r w:rsidR="00E65F3C">
        <w:rPr>
          <w:b/>
          <w:bCs/>
          <w:sz w:val="28"/>
          <w:szCs w:val="28"/>
        </w:rPr>
        <w:t xml:space="preserve">Mental </w:t>
      </w:r>
      <w:r w:rsidR="0038422B" w:rsidRPr="008467C0">
        <w:rPr>
          <w:b/>
          <w:bCs/>
          <w:sz w:val="28"/>
          <w:szCs w:val="28"/>
        </w:rPr>
        <w:t>Health</w:t>
      </w:r>
      <w:r w:rsidR="00E65F3C">
        <w:rPr>
          <w:b/>
          <w:bCs/>
          <w:sz w:val="28"/>
          <w:szCs w:val="28"/>
        </w:rPr>
        <w:t xml:space="preserve"> &amp; Law </w:t>
      </w:r>
      <w:r w:rsidR="0038422B" w:rsidRPr="008467C0">
        <w:rPr>
          <w:b/>
          <w:bCs/>
          <w:sz w:val="28"/>
          <w:szCs w:val="28"/>
        </w:rPr>
        <w:t>Committee</w:t>
      </w:r>
      <w:r>
        <w:rPr>
          <w:b/>
          <w:bCs/>
          <w:sz w:val="28"/>
          <w:szCs w:val="28"/>
        </w:rPr>
        <w:tab/>
      </w:r>
    </w:p>
    <w:p w14:paraId="4BAC5107" w14:textId="7592C0D2" w:rsidR="009543D4" w:rsidRDefault="00470E28" w:rsidP="00E65F3C">
      <w:pPr>
        <w:autoSpaceDE w:val="0"/>
        <w:autoSpaceDN w:val="0"/>
        <w:adjustRightInd w:val="0"/>
        <w:spacing w:after="0" w:line="240" w:lineRule="auto"/>
        <w:jc w:val="center"/>
        <w:rPr>
          <w:rFonts w:ascii="Arial" w:hAnsi="Arial" w:cs="Arial"/>
          <w:b/>
          <w:bCs/>
          <w:sz w:val="28"/>
          <w:szCs w:val="28"/>
        </w:rPr>
      </w:pPr>
      <w:r w:rsidRPr="008467C0">
        <w:rPr>
          <w:rFonts w:ascii="Arial" w:hAnsi="Arial" w:cs="Arial"/>
          <w:b/>
          <w:bCs/>
          <w:sz w:val="28"/>
          <w:szCs w:val="28"/>
        </w:rPr>
        <w:t>Terms of Reference</w:t>
      </w:r>
    </w:p>
    <w:p w14:paraId="6F270B0B" w14:textId="68364ED7" w:rsidR="00470E28" w:rsidRPr="008467C0" w:rsidRDefault="008467C0" w:rsidP="00E65F3C">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V</w:t>
      </w:r>
      <w:r w:rsidR="00EE477C">
        <w:rPr>
          <w:rFonts w:ascii="Arial" w:hAnsi="Arial" w:cs="Arial"/>
          <w:b/>
          <w:bCs/>
          <w:sz w:val="28"/>
          <w:szCs w:val="28"/>
        </w:rPr>
        <w:t>3</w:t>
      </w:r>
      <w:r>
        <w:rPr>
          <w:rFonts w:ascii="Arial" w:hAnsi="Arial" w:cs="Arial"/>
          <w:b/>
          <w:bCs/>
          <w:sz w:val="28"/>
          <w:szCs w:val="28"/>
        </w:rPr>
        <w:t>. Draft</w:t>
      </w:r>
    </w:p>
    <w:p w14:paraId="60F4F7B1" w14:textId="10BC7C05" w:rsidR="0078666B" w:rsidRDefault="0078666B" w:rsidP="0078666B">
      <w:pPr>
        <w:pStyle w:val="Default"/>
      </w:pPr>
    </w:p>
    <w:p w14:paraId="30CF391D" w14:textId="77777777" w:rsidR="0078666B" w:rsidRDefault="0078666B" w:rsidP="009C533A">
      <w:pPr>
        <w:pStyle w:val="Default"/>
      </w:pPr>
      <w:r>
        <w:t xml:space="preserve"> </w:t>
      </w:r>
    </w:p>
    <w:p w14:paraId="38BB0719" w14:textId="17468B04" w:rsidR="00790297" w:rsidRPr="009C533A" w:rsidRDefault="0078666B" w:rsidP="009C533A">
      <w:pPr>
        <w:pStyle w:val="Default"/>
        <w:rPr>
          <w:b/>
          <w:bCs/>
        </w:rPr>
      </w:pPr>
      <w:r w:rsidRPr="009C533A">
        <w:rPr>
          <w:b/>
          <w:bCs/>
        </w:rPr>
        <w:t xml:space="preserve">1. Constitution </w:t>
      </w:r>
    </w:p>
    <w:p w14:paraId="084FC3D7" w14:textId="77777777" w:rsidR="009C533A" w:rsidRPr="009C533A" w:rsidRDefault="009C533A" w:rsidP="009C533A">
      <w:pPr>
        <w:pStyle w:val="Default"/>
        <w:rPr>
          <w:b/>
          <w:bCs/>
        </w:rPr>
      </w:pPr>
    </w:p>
    <w:p w14:paraId="18CED206" w14:textId="10717963" w:rsidR="0078666B" w:rsidRPr="009C533A" w:rsidRDefault="0078666B" w:rsidP="009C533A">
      <w:pPr>
        <w:pStyle w:val="Default"/>
        <w:rPr>
          <w:color w:val="FF0000"/>
        </w:rPr>
      </w:pPr>
      <w:r w:rsidRPr="009C533A">
        <w:t>1.</w:t>
      </w:r>
      <w:r w:rsidR="009C533A">
        <w:t xml:space="preserve">1 </w:t>
      </w:r>
      <w:r w:rsidRPr="009C533A">
        <w:t xml:space="preserve">The Board hereby resolves to establish a </w:t>
      </w:r>
      <w:r w:rsidR="009C533A">
        <w:t>C</w:t>
      </w:r>
      <w:r w:rsidRPr="009C533A">
        <w:t xml:space="preserve">ommittee of the </w:t>
      </w:r>
      <w:r w:rsidR="009C533A">
        <w:t>B</w:t>
      </w:r>
      <w:r w:rsidRPr="009C533A">
        <w:t xml:space="preserve">oard to be known as the </w:t>
      </w:r>
      <w:r w:rsidR="009C533A" w:rsidRPr="009C533A">
        <w:t>Mental Health &amp; Law Committee (</w:t>
      </w:r>
      <w:r w:rsidRPr="009C533A">
        <w:t>the Committee)</w:t>
      </w:r>
      <w:r w:rsidR="00790297" w:rsidRPr="009C533A">
        <w:t>,</w:t>
      </w:r>
      <w:r w:rsidR="00C85B8F" w:rsidRPr="009C533A">
        <w:t xml:space="preserve"> p</w:t>
      </w:r>
      <w:r w:rsidR="00790297" w:rsidRPr="009C533A">
        <w:t xml:space="preserve">reviously </w:t>
      </w:r>
      <w:r w:rsidR="00511DEE" w:rsidRPr="009C533A">
        <w:t xml:space="preserve">known as </w:t>
      </w:r>
      <w:r w:rsidR="00790297" w:rsidRPr="009C533A">
        <w:t>the M</w:t>
      </w:r>
      <w:r w:rsidR="009C533A" w:rsidRPr="009C533A">
        <w:t xml:space="preserve">ental </w:t>
      </w:r>
      <w:r w:rsidR="00790297" w:rsidRPr="009C533A">
        <w:t>H</w:t>
      </w:r>
      <w:r w:rsidR="009C533A" w:rsidRPr="009C533A">
        <w:t xml:space="preserve">ealth </w:t>
      </w:r>
      <w:r w:rsidR="00790297" w:rsidRPr="009C533A">
        <w:t>A</w:t>
      </w:r>
      <w:r w:rsidR="009C533A" w:rsidRPr="009C533A">
        <w:t>ct C</w:t>
      </w:r>
      <w:r w:rsidR="00790297" w:rsidRPr="009C533A">
        <w:t>ommittee.</w:t>
      </w:r>
      <w:r w:rsidRPr="009C533A">
        <w:t xml:space="preserve"> The Committee is a committee of the board and has no executive powers, other than those specifically delegated in these terms of reference.</w:t>
      </w:r>
      <w:r w:rsidR="00E65F3C" w:rsidRPr="009C533A">
        <w:t xml:space="preserve"> </w:t>
      </w:r>
    </w:p>
    <w:p w14:paraId="4D563469" w14:textId="6B3F5C07" w:rsidR="0078666B" w:rsidRPr="009C533A" w:rsidRDefault="0078666B" w:rsidP="009C533A">
      <w:pPr>
        <w:pStyle w:val="Default"/>
      </w:pPr>
    </w:p>
    <w:p w14:paraId="615DE1AD" w14:textId="1A9D4D2A" w:rsidR="00665B9A" w:rsidRDefault="00665B9A" w:rsidP="009C533A">
      <w:pPr>
        <w:pStyle w:val="Default"/>
        <w:rPr>
          <w:b/>
          <w:bCs/>
        </w:rPr>
      </w:pPr>
      <w:r w:rsidRPr="009C533A">
        <w:rPr>
          <w:b/>
          <w:bCs/>
        </w:rPr>
        <w:t xml:space="preserve">2. Authority </w:t>
      </w:r>
    </w:p>
    <w:p w14:paraId="1FA5FFAE" w14:textId="77777777" w:rsidR="009C533A" w:rsidRPr="009C533A" w:rsidRDefault="009C533A" w:rsidP="009C533A">
      <w:pPr>
        <w:pStyle w:val="Default"/>
        <w:rPr>
          <w:color w:val="FF0000"/>
        </w:rPr>
      </w:pPr>
    </w:p>
    <w:p w14:paraId="67D9C2FB" w14:textId="5DC2ACF1" w:rsidR="009C533A" w:rsidRDefault="00665B9A" w:rsidP="009C533A">
      <w:pPr>
        <w:pStyle w:val="Default"/>
      </w:pPr>
      <w:r w:rsidRPr="009C533A">
        <w:t>2.1</w:t>
      </w:r>
      <w:r w:rsidR="009C533A">
        <w:t xml:space="preserve"> </w:t>
      </w:r>
      <w:r w:rsidRPr="009C533A">
        <w:t xml:space="preserve">The Committee is authorised by the </w:t>
      </w:r>
      <w:r w:rsidR="009C533A">
        <w:t>B</w:t>
      </w:r>
      <w:r w:rsidRPr="009C533A">
        <w:t xml:space="preserve">oard to </w:t>
      </w:r>
      <w:r w:rsidR="009C533A">
        <w:t>investigate</w:t>
      </w:r>
      <w:r w:rsidRPr="009C533A">
        <w:t xml:space="preserve"> any activity within its terms of reference. It is authorised to seek any information it requires from any employee and all employees are directed to co-operate with any request made by the Committee.</w:t>
      </w:r>
    </w:p>
    <w:p w14:paraId="69A78D93" w14:textId="6B5CF2C1" w:rsidR="00665B9A" w:rsidRPr="009C533A" w:rsidRDefault="00665B9A" w:rsidP="009C533A">
      <w:pPr>
        <w:pStyle w:val="Default"/>
      </w:pPr>
      <w:r w:rsidRPr="009C533A">
        <w:t xml:space="preserve"> </w:t>
      </w:r>
    </w:p>
    <w:p w14:paraId="5BEF3789" w14:textId="3D115A51" w:rsidR="00665B9A" w:rsidRPr="009C533A" w:rsidRDefault="009C533A" w:rsidP="009C533A">
      <w:pPr>
        <w:pStyle w:val="Default"/>
      </w:pPr>
      <w:r>
        <w:t>2.2</w:t>
      </w:r>
      <w:r w:rsidR="00665B9A" w:rsidRPr="009C533A">
        <w:t xml:space="preserve"> The Committee is authorised by the </w:t>
      </w:r>
      <w:r>
        <w:t>B</w:t>
      </w:r>
      <w:r w:rsidR="00665B9A" w:rsidRPr="009C533A">
        <w:t xml:space="preserve">oard to obtain outside legal or other independent professional advice and to secure the attendance of outsiders with relevant experience and expertise if it considers this necessary. </w:t>
      </w:r>
    </w:p>
    <w:p w14:paraId="78BA5706" w14:textId="77777777" w:rsidR="00665B9A" w:rsidRPr="009C533A" w:rsidRDefault="00665B9A" w:rsidP="009C533A">
      <w:pPr>
        <w:pStyle w:val="Default"/>
      </w:pPr>
    </w:p>
    <w:p w14:paraId="038E26BC" w14:textId="3AC44815" w:rsidR="004B42A2" w:rsidRDefault="00665B9A" w:rsidP="009C533A">
      <w:pPr>
        <w:pStyle w:val="Default"/>
        <w:rPr>
          <w:b/>
          <w:bCs/>
        </w:rPr>
      </w:pPr>
      <w:r w:rsidRPr="009C533A">
        <w:rPr>
          <w:b/>
          <w:bCs/>
        </w:rPr>
        <w:t>3.</w:t>
      </w:r>
      <w:r w:rsidR="0078666B" w:rsidRPr="009C533A">
        <w:rPr>
          <w:b/>
          <w:bCs/>
        </w:rPr>
        <w:t xml:space="preserve"> Purpose</w:t>
      </w:r>
      <w:r w:rsidR="00E65F3C" w:rsidRPr="009C533A">
        <w:rPr>
          <w:b/>
          <w:bCs/>
        </w:rPr>
        <w:t xml:space="preserve">s </w:t>
      </w:r>
    </w:p>
    <w:p w14:paraId="170E2F6A" w14:textId="77777777" w:rsidR="009C533A" w:rsidRPr="009C533A" w:rsidRDefault="009C533A" w:rsidP="009C533A">
      <w:pPr>
        <w:pStyle w:val="Default"/>
        <w:rPr>
          <w:b/>
          <w:bCs/>
          <w:color w:val="FF0000"/>
        </w:rPr>
      </w:pPr>
    </w:p>
    <w:p w14:paraId="7F2576AF" w14:textId="2139AF93" w:rsidR="0078666B" w:rsidRPr="009C533A" w:rsidRDefault="00665B9A" w:rsidP="009C533A">
      <w:pPr>
        <w:pStyle w:val="Default"/>
      </w:pPr>
      <w:r w:rsidRPr="009C533A">
        <w:t>3</w:t>
      </w:r>
      <w:r w:rsidR="0078666B" w:rsidRPr="009C533A">
        <w:t>.1 The purpose</w:t>
      </w:r>
      <w:r w:rsidR="00E65F3C" w:rsidRPr="009C533A">
        <w:t>s</w:t>
      </w:r>
      <w:r w:rsidR="0078666B" w:rsidRPr="009C533A">
        <w:t xml:space="preserve"> of the Committee</w:t>
      </w:r>
      <w:r w:rsidR="00E65F3C" w:rsidRPr="009C533A">
        <w:t xml:space="preserve"> are </w:t>
      </w:r>
      <w:r w:rsidR="0078666B" w:rsidRPr="009C533A">
        <w:t xml:space="preserve">to: </w:t>
      </w:r>
    </w:p>
    <w:p w14:paraId="503A2CB1" w14:textId="4E5CFCC8" w:rsidR="0078666B" w:rsidRPr="009C533A" w:rsidRDefault="0078666B" w:rsidP="009C533A">
      <w:pPr>
        <w:pStyle w:val="Default"/>
        <w:numPr>
          <w:ilvl w:val="0"/>
          <w:numId w:val="7"/>
        </w:numPr>
        <w:jc w:val="both"/>
      </w:pPr>
      <w:r w:rsidRPr="009C533A">
        <w:t>Provide assurance to the Board over the Trust’s ethical and lawful application of</w:t>
      </w:r>
      <w:r w:rsidR="00C431D4" w:rsidRPr="009C533A">
        <w:t xml:space="preserve"> </w:t>
      </w:r>
      <w:r w:rsidRPr="009C533A">
        <w:t>all legislation governing the care provided to its service users and engagement with carers, friends</w:t>
      </w:r>
      <w:r w:rsidR="009C533A">
        <w:t>,</w:t>
      </w:r>
      <w:r w:rsidRPr="009C533A">
        <w:t xml:space="preserve"> and family</w:t>
      </w:r>
      <w:r w:rsidR="009C533A">
        <w:t>;</w:t>
      </w:r>
    </w:p>
    <w:p w14:paraId="704C0B6C" w14:textId="537C5BEE" w:rsidR="00130B82" w:rsidRPr="009C533A" w:rsidRDefault="0078666B" w:rsidP="009C533A">
      <w:pPr>
        <w:pStyle w:val="Default"/>
        <w:numPr>
          <w:ilvl w:val="0"/>
          <w:numId w:val="7"/>
        </w:numPr>
        <w:jc w:val="both"/>
      </w:pPr>
      <w:r w:rsidRPr="009C533A">
        <w:t xml:space="preserve">Provide a forum for </w:t>
      </w:r>
      <w:r w:rsidR="00E65F3C" w:rsidRPr="009C533A">
        <w:t xml:space="preserve">consideration </w:t>
      </w:r>
      <w:r w:rsidRPr="009C533A">
        <w:t xml:space="preserve">of matters with a wide ethical and social impact (separate from clinical ethics) such as: </w:t>
      </w:r>
    </w:p>
    <w:p w14:paraId="6E1ED10D" w14:textId="77777777" w:rsidR="00361ABC" w:rsidRPr="009C533A" w:rsidRDefault="0078666B" w:rsidP="00645716">
      <w:pPr>
        <w:pStyle w:val="Default"/>
        <w:numPr>
          <w:ilvl w:val="1"/>
          <w:numId w:val="7"/>
        </w:numPr>
        <w:ind w:hanging="306"/>
        <w:jc w:val="both"/>
      </w:pPr>
      <w:r w:rsidRPr="009C533A">
        <w:t>Population Health</w:t>
      </w:r>
      <w:r w:rsidR="008F4746" w:rsidRPr="009C533A">
        <w:t xml:space="preserve">; </w:t>
      </w:r>
    </w:p>
    <w:p w14:paraId="4B96899A" w14:textId="24C50C1A" w:rsidR="00361ABC" w:rsidRPr="009C533A" w:rsidRDefault="0078666B" w:rsidP="00645716">
      <w:pPr>
        <w:pStyle w:val="Default"/>
        <w:numPr>
          <w:ilvl w:val="1"/>
          <w:numId w:val="7"/>
        </w:numPr>
        <w:ind w:hanging="306"/>
        <w:jc w:val="both"/>
      </w:pPr>
      <w:r w:rsidRPr="009C533A">
        <w:t>Health and Social care</w:t>
      </w:r>
      <w:r w:rsidR="008F4746" w:rsidRPr="009C533A">
        <w:t xml:space="preserve">; </w:t>
      </w:r>
      <w:r w:rsidR="009C533A">
        <w:t>and</w:t>
      </w:r>
    </w:p>
    <w:p w14:paraId="72E5FD42" w14:textId="4831DC22" w:rsidR="00B6533C" w:rsidRPr="009C533A" w:rsidRDefault="0078666B" w:rsidP="00645716">
      <w:pPr>
        <w:pStyle w:val="Default"/>
        <w:numPr>
          <w:ilvl w:val="1"/>
          <w:numId w:val="7"/>
        </w:numPr>
        <w:ind w:hanging="306"/>
        <w:jc w:val="both"/>
      </w:pPr>
      <w:r w:rsidRPr="009C533A">
        <w:t xml:space="preserve">Research and Development. </w:t>
      </w:r>
    </w:p>
    <w:p w14:paraId="7B3AAB0E" w14:textId="2AAE98BB" w:rsidR="00130B82" w:rsidRPr="009C533A" w:rsidRDefault="00E65F3C" w:rsidP="009C533A">
      <w:pPr>
        <w:pStyle w:val="Default"/>
        <w:numPr>
          <w:ilvl w:val="0"/>
          <w:numId w:val="8"/>
        </w:numPr>
        <w:jc w:val="both"/>
      </w:pPr>
      <w:r w:rsidRPr="009C533A">
        <w:t>Monitor, review</w:t>
      </w:r>
      <w:r w:rsidR="00E46DEA" w:rsidRPr="009C533A">
        <w:t xml:space="preserve">, and report to the Board </w:t>
      </w:r>
      <w:r w:rsidR="0078666B" w:rsidRPr="009C533A">
        <w:t xml:space="preserve">the Trust practice </w:t>
      </w:r>
      <w:r w:rsidR="00E46DEA" w:rsidRPr="009C533A">
        <w:t>in relation to:</w:t>
      </w:r>
    </w:p>
    <w:p w14:paraId="4AF12B2D" w14:textId="77777777" w:rsidR="009C533A" w:rsidRDefault="0078666B" w:rsidP="009C533A">
      <w:pPr>
        <w:pStyle w:val="Default"/>
        <w:numPr>
          <w:ilvl w:val="0"/>
          <w:numId w:val="12"/>
        </w:numPr>
        <w:ind w:left="1418" w:hanging="284"/>
        <w:jc w:val="both"/>
      </w:pPr>
      <w:r w:rsidRPr="009C533A">
        <w:t>European Convention on Human Rights (Human Rights Act 2008)</w:t>
      </w:r>
    </w:p>
    <w:p w14:paraId="19B48622" w14:textId="2F3F0E77" w:rsidR="009C533A" w:rsidRDefault="0078666B" w:rsidP="009C533A">
      <w:pPr>
        <w:pStyle w:val="Default"/>
        <w:numPr>
          <w:ilvl w:val="0"/>
          <w:numId w:val="12"/>
        </w:numPr>
        <w:ind w:left="1418" w:hanging="284"/>
        <w:jc w:val="both"/>
      </w:pPr>
      <w:r w:rsidRPr="009C533A">
        <w:t>Mental Health Act 1983</w:t>
      </w:r>
      <w:r w:rsidR="009C533A">
        <w:t>;</w:t>
      </w:r>
    </w:p>
    <w:p w14:paraId="51D3332C" w14:textId="211AABE5" w:rsidR="009C533A" w:rsidRDefault="0078666B" w:rsidP="009C533A">
      <w:pPr>
        <w:pStyle w:val="Default"/>
        <w:numPr>
          <w:ilvl w:val="0"/>
          <w:numId w:val="12"/>
        </w:numPr>
        <w:ind w:left="1418" w:hanging="284"/>
        <w:jc w:val="both"/>
      </w:pPr>
      <w:r w:rsidRPr="009C533A">
        <w:t>Mental Capacity Act 2005</w:t>
      </w:r>
      <w:r w:rsidR="009C533A">
        <w:t>;</w:t>
      </w:r>
      <w:r w:rsidRPr="009C533A">
        <w:t xml:space="preserve"> </w:t>
      </w:r>
    </w:p>
    <w:p w14:paraId="2D342205" w14:textId="174140AB" w:rsidR="009C533A" w:rsidRDefault="0078666B" w:rsidP="009C533A">
      <w:pPr>
        <w:pStyle w:val="Default"/>
        <w:numPr>
          <w:ilvl w:val="0"/>
          <w:numId w:val="12"/>
        </w:numPr>
        <w:ind w:left="1418" w:hanging="284"/>
        <w:jc w:val="both"/>
      </w:pPr>
      <w:r w:rsidRPr="009C533A">
        <w:t>Deprivation of Liberty Safeguards</w:t>
      </w:r>
      <w:r w:rsidR="009C533A">
        <w:t>;</w:t>
      </w:r>
      <w:r w:rsidRPr="009C533A">
        <w:t xml:space="preserve"> </w:t>
      </w:r>
    </w:p>
    <w:p w14:paraId="3EC16FC6" w14:textId="56ACB31B" w:rsidR="009C533A" w:rsidRDefault="0078666B" w:rsidP="009C533A">
      <w:pPr>
        <w:pStyle w:val="Default"/>
        <w:numPr>
          <w:ilvl w:val="0"/>
          <w:numId w:val="12"/>
        </w:numPr>
        <w:ind w:left="1418" w:hanging="284"/>
        <w:jc w:val="both"/>
      </w:pPr>
      <w:r w:rsidRPr="009C533A">
        <w:t>Care Act 2014</w:t>
      </w:r>
      <w:r w:rsidR="009C533A">
        <w:t>; and</w:t>
      </w:r>
    </w:p>
    <w:p w14:paraId="06218E97" w14:textId="21290C16" w:rsidR="0078666B" w:rsidRPr="009C533A" w:rsidRDefault="0078666B" w:rsidP="009C533A">
      <w:pPr>
        <w:pStyle w:val="Default"/>
        <w:numPr>
          <w:ilvl w:val="0"/>
          <w:numId w:val="12"/>
        </w:numPr>
        <w:ind w:left="1418" w:hanging="284"/>
        <w:jc w:val="both"/>
      </w:pPr>
      <w:r w:rsidRPr="009C533A">
        <w:t>other related legislation, case law and practice</w:t>
      </w:r>
    </w:p>
    <w:p w14:paraId="6C2DE4A9" w14:textId="22692661" w:rsidR="00356464" w:rsidRPr="009C533A" w:rsidRDefault="00356464" w:rsidP="009C533A">
      <w:pPr>
        <w:pStyle w:val="Default"/>
        <w:ind w:left="2160" w:hanging="360"/>
        <w:jc w:val="both"/>
        <w:rPr>
          <w:color w:val="FF0000"/>
        </w:rPr>
      </w:pPr>
    </w:p>
    <w:p w14:paraId="3D97DB62" w14:textId="3A5FEFB8" w:rsidR="00F04A62" w:rsidRDefault="00665B9A" w:rsidP="009C533A">
      <w:pPr>
        <w:pStyle w:val="Default"/>
        <w:rPr>
          <w:b/>
          <w:bCs/>
        </w:rPr>
      </w:pPr>
      <w:r w:rsidRPr="009C533A">
        <w:rPr>
          <w:b/>
          <w:bCs/>
        </w:rPr>
        <w:t>4</w:t>
      </w:r>
      <w:r w:rsidR="0078666B" w:rsidRPr="009C533A">
        <w:rPr>
          <w:b/>
          <w:bCs/>
        </w:rPr>
        <w:t>. Membership (Including Quorum)</w:t>
      </w:r>
    </w:p>
    <w:p w14:paraId="0D7C48AD" w14:textId="77777777" w:rsidR="009C533A" w:rsidRPr="009C533A" w:rsidRDefault="009C533A" w:rsidP="009C533A">
      <w:pPr>
        <w:pStyle w:val="Default"/>
        <w:rPr>
          <w:b/>
          <w:bCs/>
        </w:rPr>
      </w:pPr>
    </w:p>
    <w:p w14:paraId="3D8A1112" w14:textId="5DD3CBAE" w:rsidR="0078666B" w:rsidRPr="009C533A" w:rsidRDefault="009C533A" w:rsidP="009C533A">
      <w:pPr>
        <w:pStyle w:val="Default"/>
      </w:pPr>
      <w:r>
        <w:t>4</w:t>
      </w:r>
      <w:r w:rsidR="0078666B" w:rsidRPr="009C533A">
        <w:t xml:space="preserve">.1 The Committee will be appointed by the </w:t>
      </w:r>
      <w:r>
        <w:t>B</w:t>
      </w:r>
      <w:r w:rsidR="0078666B" w:rsidRPr="009C533A">
        <w:t xml:space="preserve">oard from amongst the </w:t>
      </w:r>
      <w:r>
        <w:t>N</w:t>
      </w:r>
      <w:r w:rsidR="0078666B" w:rsidRPr="009C533A">
        <w:t>on-</w:t>
      </w:r>
      <w:r>
        <w:t>E</w:t>
      </w:r>
      <w:r w:rsidR="0078666B" w:rsidRPr="009C533A">
        <w:t xml:space="preserve">xecutive and </w:t>
      </w:r>
      <w:r>
        <w:t>E</w:t>
      </w:r>
      <w:r w:rsidR="0078666B" w:rsidRPr="009C533A">
        <w:t xml:space="preserve">xecutive </w:t>
      </w:r>
      <w:r>
        <w:t>D</w:t>
      </w:r>
      <w:r w:rsidR="0078666B" w:rsidRPr="009C533A">
        <w:t>irectors of the Trust</w:t>
      </w:r>
      <w:r w:rsidR="00EC564B" w:rsidRPr="009C533A">
        <w:t xml:space="preserve">, and experts </w:t>
      </w:r>
      <w:r w:rsidR="007A104F" w:rsidRPr="009C533A">
        <w:t>related to topics covered.</w:t>
      </w:r>
    </w:p>
    <w:p w14:paraId="3B85BFA3" w14:textId="791998CB" w:rsidR="00645716" w:rsidRDefault="00645716" w:rsidP="009C533A">
      <w:pPr>
        <w:pStyle w:val="Default"/>
      </w:pPr>
    </w:p>
    <w:p w14:paraId="6607A7FE" w14:textId="77777777" w:rsidR="00645716" w:rsidRDefault="00645716" w:rsidP="009C533A">
      <w:pPr>
        <w:pStyle w:val="Default"/>
      </w:pPr>
    </w:p>
    <w:p w14:paraId="78440E1F" w14:textId="77777777" w:rsidR="00645716" w:rsidRDefault="00645716" w:rsidP="009C533A">
      <w:pPr>
        <w:pStyle w:val="Default"/>
      </w:pPr>
    </w:p>
    <w:p w14:paraId="74BDA30C" w14:textId="57B1DF63" w:rsidR="0078666B" w:rsidRDefault="00645716" w:rsidP="009C533A">
      <w:pPr>
        <w:pStyle w:val="Default"/>
      </w:pPr>
      <w:r>
        <w:t>4</w:t>
      </w:r>
      <w:r w:rsidR="0078666B" w:rsidRPr="009C533A">
        <w:t xml:space="preserve">.2 One of the </w:t>
      </w:r>
      <w:r>
        <w:t>N</w:t>
      </w:r>
      <w:r w:rsidR="0078666B" w:rsidRPr="009C533A">
        <w:t>on-</w:t>
      </w:r>
      <w:r>
        <w:t>E</w:t>
      </w:r>
      <w:r w:rsidR="0078666B" w:rsidRPr="009C533A">
        <w:t>xecutive members will be appointed Chair of</w:t>
      </w:r>
      <w:r>
        <w:t xml:space="preserve"> t</w:t>
      </w:r>
      <w:r w:rsidR="0078666B" w:rsidRPr="009C533A">
        <w:t>he Committee by the Board. In the absence of the Committee Chair</w:t>
      </w:r>
      <w:r w:rsidR="0020432C" w:rsidRPr="009C533A">
        <w:t xml:space="preserve">man </w:t>
      </w:r>
      <w:r w:rsidR="0078666B" w:rsidRPr="009C533A">
        <w:t xml:space="preserve">and/or an appointed deputy, the remaining members present shall elect one of the other </w:t>
      </w:r>
      <w:r>
        <w:t>N</w:t>
      </w:r>
      <w:r w:rsidR="0078666B" w:rsidRPr="009C533A">
        <w:t>on-</w:t>
      </w:r>
      <w:r>
        <w:t>E</w:t>
      </w:r>
      <w:r w:rsidR="0078666B" w:rsidRPr="009C533A">
        <w:t xml:space="preserve">xecutive </w:t>
      </w:r>
      <w:r>
        <w:t>D</w:t>
      </w:r>
      <w:r w:rsidR="0078666B" w:rsidRPr="009C533A">
        <w:t xml:space="preserve">irectors present to chair the meeting. </w:t>
      </w:r>
    </w:p>
    <w:p w14:paraId="3FE94A22" w14:textId="77777777" w:rsidR="00645716" w:rsidRPr="009C533A" w:rsidRDefault="00645716" w:rsidP="009C533A">
      <w:pPr>
        <w:pStyle w:val="Default"/>
      </w:pPr>
    </w:p>
    <w:p w14:paraId="2A24F673" w14:textId="570436A9" w:rsidR="0078666B" w:rsidRPr="009C533A" w:rsidRDefault="00645716" w:rsidP="009C533A">
      <w:pPr>
        <w:pStyle w:val="Default"/>
      </w:pPr>
      <w:r>
        <w:t>4</w:t>
      </w:r>
      <w:r w:rsidR="0078666B" w:rsidRPr="009C533A">
        <w:t>.3 The membership of the Committee will be comprised as follows,</w:t>
      </w:r>
      <w:r w:rsidR="009C4B76" w:rsidRPr="009C533A">
        <w:t xml:space="preserve"> </w:t>
      </w:r>
      <w:r w:rsidR="0078666B" w:rsidRPr="009C533A">
        <w:t xml:space="preserve">or those with equivalent titles: </w:t>
      </w:r>
    </w:p>
    <w:p w14:paraId="6909ED2D" w14:textId="77777777" w:rsidR="00645716" w:rsidRDefault="0078666B" w:rsidP="00645716">
      <w:pPr>
        <w:pStyle w:val="Default"/>
        <w:numPr>
          <w:ilvl w:val="0"/>
          <w:numId w:val="13"/>
        </w:numPr>
        <w:ind w:left="1418" w:hanging="284"/>
        <w:jc w:val="both"/>
        <w:rPr>
          <w:color w:val="FF0000"/>
        </w:rPr>
      </w:pPr>
      <w:r w:rsidRPr="009C533A">
        <w:t>T</w:t>
      </w:r>
      <w:r w:rsidR="00E46DEA" w:rsidRPr="009C533A">
        <w:t>wo</w:t>
      </w:r>
      <w:r w:rsidRPr="009C533A">
        <w:t xml:space="preserve"> Non-Executive Directors, one who</w:t>
      </w:r>
      <w:r w:rsidR="00621755" w:rsidRPr="009C533A">
        <w:t xml:space="preserve"> chairs </w:t>
      </w:r>
      <w:r w:rsidRPr="009C533A">
        <w:t>the</w:t>
      </w:r>
      <w:r w:rsidR="00E46DEA" w:rsidRPr="009C533A">
        <w:t xml:space="preserve"> </w:t>
      </w:r>
      <w:r w:rsidRPr="009C533A">
        <w:t>Committee;</w:t>
      </w:r>
    </w:p>
    <w:p w14:paraId="3EDD69FD" w14:textId="77777777" w:rsidR="00645716" w:rsidRDefault="00206F99" w:rsidP="00645716">
      <w:pPr>
        <w:pStyle w:val="Default"/>
        <w:numPr>
          <w:ilvl w:val="0"/>
          <w:numId w:val="13"/>
        </w:numPr>
        <w:ind w:left="1418" w:hanging="284"/>
        <w:jc w:val="both"/>
        <w:rPr>
          <w:color w:val="FF0000"/>
        </w:rPr>
      </w:pPr>
      <w:r w:rsidRPr="009C533A">
        <w:t>Chief Medical Officer</w:t>
      </w:r>
      <w:r w:rsidR="00645716">
        <w:t xml:space="preserve"> </w:t>
      </w:r>
      <w:r w:rsidR="00E46DEA" w:rsidRPr="009C533A">
        <w:t>or a nominated Deputy</w:t>
      </w:r>
      <w:r w:rsidR="00645716">
        <w:t>;</w:t>
      </w:r>
    </w:p>
    <w:p w14:paraId="49016C3C" w14:textId="77777777" w:rsidR="00645716" w:rsidRDefault="00B528F7" w:rsidP="00645716">
      <w:pPr>
        <w:pStyle w:val="Default"/>
        <w:numPr>
          <w:ilvl w:val="0"/>
          <w:numId w:val="13"/>
        </w:numPr>
        <w:ind w:left="1418" w:hanging="284"/>
        <w:jc w:val="both"/>
        <w:rPr>
          <w:color w:val="FF0000"/>
        </w:rPr>
      </w:pPr>
      <w:r w:rsidRPr="009C533A">
        <w:t xml:space="preserve">Chief </w:t>
      </w:r>
      <w:r w:rsidR="00645716">
        <w:t xml:space="preserve">Nurse </w:t>
      </w:r>
      <w:r w:rsidR="00E46DEA" w:rsidRPr="009C533A">
        <w:t>or a nominated Deputy</w:t>
      </w:r>
      <w:r w:rsidR="00645716">
        <w:t>;</w:t>
      </w:r>
    </w:p>
    <w:p w14:paraId="0252C49D" w14:textId="77777777" w:rsidR="00645716" w:rsidRDefault="000D5ADB" w:rsidP="009C533A">
      <w:pPr>
        <w:pStyle w:val="Default"/>
        <w:numPr>
          <w:ilvl w:val="0"/>
          <w:numId w:val="13"/>
        </w:numPr>
        <w:ind w:left="1418" w:hanging="284"/>
        <w:jc w:val="both"/>
        <w:rPr>
          <w:color w:val="FF0000"/>
        </w:rPr>
      </w:pPr>
      <w:r w:rsidRPr="009C533A">
        <w:t>Company Secr</w:t>
      </w:r>
      <w:r w:rsidR="00742776" w:rsidRPr="009C533A">
        <w:t>etary</w:t>
      </w:r>
      <w:r w:rsidR="00645716">
        <w:t>;</w:t>
      </w:r>
      <w:r w:rsidR="00742776" w:rsidRPr="009C533A">
        <w:t xml:space="preserve"> </w:t>
      </w:r>
    </w:p>
    <w:p w14:paraId="0340107C" w14:textId="77777777" w:rsidR="00645716" w:rsidRPr="00645716" w:rsidRDefault="0078666B" w:rsidP="00645716">
      <w:pPr>
        <w:pStyle w:val="Default"/>
        <w:numPr>
          <w:ilvl w:val="0"/>
          <w:numId w:val="13"/>
        </w:numPr>
        <w:ind w:left="1418" w:hanging="284"/>
        <w:jc w:val="both"/>
        <w:rPr>
          <w:color w:val="FF0000"/>
        </w:rPr>
      </w:pPr>
      <w:r w:rsidRPr="009C533A">
        <w:t xml:space="preserve">Mental Health </w:t>
      </w:r>
      <w:r w:rsidR="00CA24AC" w:rsidRPr="009C533A">
        <w:t>Act/</w:t>
      </w:r>
      <w:r w:rsidR="00274D3D" w:rsidRPr="009C533A">
        <w:t>Legislation</w:t>
      </w:r>
      <w:r w:rsidRPr="009C533A">
        <w:t xml:space="preserve"> Manager</w:t>
      </w:r>
      <w:r w:rsidR="00645716">
        <w:t>; and</w:t>
      </w:r>
    </w:p>
    <w:p w14:paraId="04A42DD0" w14:textId="4BC51E84" w:rsidR="00B528DB" w:rsidRPr="00645716" w:rsidRDefault="003B614A" w:rsidP="00645716">
      <w:pPr>
        <w:pStyle w:val="Default"/>
        <w:numPr>
          <w:ilvl w:val="0"/>
          <w:numId w:val="13"/>
        </w:numPr>
        <w:ind w:left="1418" w:hanging="284"/>
        <w:jc w:val="both"/>
        <w:rPr>
          <w:color w:val="FF0000"/>
        </w:rPr>
      </w:pPr>
      <w:r w:rsidRPr="009C533A">
        <w:t xml:space="preserve">Associate </w:t>
      </w:r>
      <w:r w:rsidR="0078666B" w:rsidRPr="009C533A">
        <w:t xml:space="preserve">Director of </w:t>
      </w:r>
      <w:r w:rsidRPr="009C533A">
        <w:t>Social Care</w:t>
      </w:r>
    </w:p>
    <w:p w14:paraId="64309402" w14:textId="77777777" w:rsidR="00645716" w:rsidRPr="00645716" w:rsidRDefault="00645716" w:rsidP="00645716">
      <w:pPr>
        <w:pStyle w:val="Default"/>
        <w:ind w:left="1418"/>
        <w:jc w:val="both"/>
        <w:rPr>
          <w:color w:val="FF0000"/>
        </w:rPr>
      </w:pPr>
    </w:p>
    <w:p w14:paraId="10C1F90B" w14:textId="055CDFD9" w:rsidR="0078666B" w:rsidRDefault="00645716" w:rsidP="009C533A">
      <w:pPr>
        <w:pStyle w:val="Default"/>
        <w:jc w:val="both"/>
      </w:pPr>
      <w:r>
        <w:t>4</w:t>
      </w:r>
      <w:r w:rsidR="0078666B" w:rsidRPr="009C533A">
        <w:t xml:space="preserve">.4 </w:t>
      </w:r>
      <w:r w:rsidR="0020432C" w:rsidRPr="009C533A">
        <w:t>Q</w:t>
      </w:r>
      <w:r w:rsidR="0078666B" w:rsidRPr="009C533A">
        <w:t xml:space="preserve">uorum will be </w:t>
      </w:r>
      <w:r w:rsidR="00E46DEA" w:rsidRPr="009C533A">
        <w:t xml:space="preserve">4 </w:t>
      </w:r>
      <w:r w:rsidR="0078666B" w:rsidRPr="009C533A">
        <w:t xml:space="preserve">of the membership, to include at least one </w:t>
      </w:r>
      <w:r>
        <w:t>N</w:t>
      </w:r>
      <w:r w:rsidR="0078666B" w:rsidRPr="009C533A">
        <w:t>on-</w:t>
      </w:r>
      <w:r>
        <w:t>E</w:t>
      </w:r>
      <w:r w:rsidR="0078666B" w:rsidRPr="009C533A">
        <w:t xml:space="preserve">xecutive </w:t>
      </w:r>
      <w:r>
        <w:t>D</w:t>
      </w:r>
      <w:r w:rsidR="0078666B" w:rsidRPr="009C533A">
        <w:t>irector</w:t>
      </w:r>
      <w:r w:rsidR="00E46DEA" w:rsidRPr="009C533A">
        <w:t xml:space="preserve">, and at least one </w:t>
      </w:r>
      <w:r>
        <w:t>E</w:t>
      </w:r>
      <w:r w:rsidR="00E46DEA" w:rsidRPr="009C533A">
        <w:t>xecutive</w:t>
      </w:r>
      <w:r>
        <w:t>.</w:t>
      </w:r>
    </w:p>
    <w:p w14:paraId="066327D4" w14:textId="77777777" w:rsidR="00645716" w:rsidRPr="009C533A" w:rsidRDefault="00645716" w:rsidP="009C533A">
      <w:pPr>
        <w:pStyle w:val="Default"/>
        <w:jc w:val="both"/>
        <w:rPr>
          <w:color w:val="FF0000"/>
        </w:rPr>
      </w:pPr>
    </w:p>
    <w:p w14:paraId="7C7BDF41" w14:textId="6258D7D5" w:rsidR="0078666B" w:rsidRPr="009C533A" w:rsidRDefault="00645716" w:rsidP="009C533A">
      <w:pPr>
        <w:pStyle w:val="Default"/>
        <w:jc w:val="both"/>
      </w:pPr>
      <w:r>
        <w:t>4</w:t>
      </w:r>
      <w:r w:rsidR="0078666B" w:rsidRPr="009C533A">
        <w:t>.5 Governors are invited to observe at all meetings of the Committee</w:t>
      </w:r>
      <w:r w:rsidR="00E46DEA" w:rsidRPr="009C533A">
        <w:t xml:space="preserve">, at the discretion of the chairman. </w:t>
      </w:r>
    </w:p>
    <w:p w14:paraId="14E37429" w14:textId="77777777" w:rsidR="00356464" w:rsidRPr="009C533A" w:rsidRDefault="00356464" w:rsidP="009C533A">
      <w:pPr>
        <w:pStyle w:val="Default"/>
      </w:pPr>
    </w:p>
    <w:p w14:paraId="2D03D00C" w14:textId="15583191" w:rsidR="00893AB7" w:rsidRDefault="0078666B" w:rsidP="009C533A">
      <w:pPr>
        <w:pStyle w:val="Default"/>
        <w:rPr>
          <w:b/>
          <w:bCs/>
        </w:rPr>
      </w:pPr>
      <w:r w:rsidRPr="009C533A">
        <w:rPr>
          <w:b/>
          <w:bCs/>
        </w:rPr>
        <w:t xml:space="preserve">5. Frequency </w:t>
      </w:r>
    </w:p>
    <w:p w14:paraId="73724F9B" w14:textId="77777777" w:rsidR="00645716" w:rsidRPr="009C533A" w:rsidRDefault="00645716" w:rsidP="009C533A">
      <w:pPr>
        <w:pStyle w:val="Default"/>
        <w:rPr>
          <w:b/>
          <w:bCs/>
        </w:rPr>
      </w:pPr>
    </w:p>
    <w:p w14:paraId="1F00CCB1" w14:textId="4E0E2E9C" w:rsidR="0078666B" w:rsidRPr="009C533A" w:rsidRDefault="00893AB7" w:rsidP="009C533A">
      <w:pPr>
        <w:pStyle w:val="Default"/>
      </w:pPr>
      <w:r w:rsidRPr="009C533A">
        <w:t>5</w:t>
      </w:r>
      <w:r w:rsidR="0078666B" w:rsidRPr="009C533A">
        <w:t>.</w:t>
      </w:r>
      <w:r w:rsidR="00BA0718">
        <w:t>1</w:t>
      </w:r>
      <w:r w:rsidR="0078666B" w:rsidRPr="009C533A">
        <w:t xml:space="preserve"> The Committee will meet at least four times per year. Additional meetings may be scheduled where necessary. </w:t>
      </w:r>
    </w:p>
    <w:p w14:paraId="7CB960A3" w14:textId="74EC092E" w:rsidR="0078666B" w:rsidRPr="009C533A" w:rsidRDefault="0078666B" w:rsidP="009C533A">
      <w:pPr>
        <w:pStyle w:val="Default"/>
      </w:pPr>
    </w:p>
    <w:p w14:paraId="6F284296" w14:textId="77777777" w:rsidR="00645716" w:rsidRDefault="00665B9A" w:rsidP="009C533A">
      <w:pPr>
        <w:pStyle w:val="Default"/>
        <w:rPr>
          <w:b/>
          <w:bCs/>
        </w:rPr>
      </w:pPr>
      <w:r w:rsidRPr="009C533A">
        <w:rPr>
          <w:b/>
          <w:bCs/>
        </w:rPr>
        <w:t>6</w:t>
      </w:r>
      <w:r w:rsidR="0078666B" w:rsidRPr="009C533A">
        <w:rPr>
          <w:b/>
          <w:bCs/>
        </w:rPr>
        <w:t xml:space="preserve">. Duties </w:t>
      </w:r>
    </w:p>
    <w:p w14:paraId="2EC76018" w14:textId="4766682D" w:rsidR="001B7B27" w:rsidRPr="009C533A" w:rsidRDefault="001B7B27" w:rsidP="009C533A">
      <w:pPr>
        <w:pStyle w:val="Default"/>
        <w:rPr>
          <w:b/>
          <w:bCs/>
        </w:rPr>
      </w:pPr>
    </w:p>
    <w:p w14:paraId="5B4F0755" w14:textId="498C9DC5" w:rsidR="0078666B" w:rsidRDefault="00645716" w:rsidP="001706FC">
      <w:pPr>
        <w:pStyle w:val="Default"/>
        <w:ind w:left="720"/>
      </w:pPr>
      <w:r>
        <w:t>6</w:t>
      </w:r>
      <w:r w:rsidR="004F6CEF" w:rsidRPr="009C533A">
        <w:t>.</w:t>
      </w:r>
      <w:r>
        <w:t>1</w:t>
      </w:r>
      <w:r w:rsidR="004F6CEF" w:rsidRPr="009C533A">
        <w:t xml:space="preserve"> </w:t>
      </w:r>
      <w:r w:rsidR="0078666B" w:rsidRPr="009C533A">
        <w:t xml:space="preserve">The Committee is responsible for providing assurance to the </w:t>
      </w:r>
      <w:r>
        <w:t>B</w:t>
      </w:r>
      <w:r w:rsidR="0078666B" w:rsidRPr="009C533A">
        <w:t xml:space="preserve">oard of </w:t>
      </w:r>
      <w:r>
        <w:t>D</w:t>
      </w:r>
      <w:r w:rsidR="0078666B" w:rsidRPr="009C533A">
        <w:t>irectors of the Trust’s compliance with relevant legislation and case law</w:t>
      </w:r>
      <w:r w:rsidR="004F6CEF" w:rsidRPr="009C533A">
        <w:t xml:space="preserve"> relating to clinical care</w:t>
      </w:r>
      <w:r w:rsidR="0078666B" w:rsidRPr="009C533A">
        <w:t xml:space="preserve">; </w:t>
      </w:r>
    </w:p>
    <w:p w14:paraId="328D6975" w14:textId="77777777" w:rsidR="007B3426" w:rsidRPr="009C533A" w:rsidRDefault="007B3426" w:rsidP="009C533A">
      <w:pPr>
        <w:pStyle w:val="Default"/>
      </w:pPr>
    </w:p>
    <w:p w14:paraId="01D93581" w14:textId="76136DA4" w:rsidR="0078666B" w:rsidRDefault="00645716" w:rsidP="001706FC">
      <w:pPr>
        <w:pStyle w:val="Default"/>
        <w:ind w:left="720"/>
      </w:pPr>
      <w:r>
        <w:t>6</w:t>
      </w:r>
      <w:r w:rsidR="004F6CEF" w:rsidRPr="009C533A">
        <w:t xml:space="preserve">.2 </w:t>
      </w:r>
      <w:r w:rsidR="0078666B" w:rsidRPr="009C533A">
        <w:t>The Committee will</w:t>
      </w:r>
      <w:r w:rsidR="00665B9A" w:rsidRPr="009C533A">
        <w:t xml:space="preserve"> monitor</w:t>
      </w:r>
      <w:r w:rsidR="0078666B" w:rsidRPr="009C533A">
        <w:t xml:space="preserve"> the Trust</w:t>
      </w:r>
      <w:r>
        <w:t>’s</w:t>
      </w:r>
      <w:r w:rsidR="0078666B" w:rsidRPr="009C533A">
        <w:t xml:space="preserve"> provi</w:t>
      </w:r>
      <w:r>
        <w:t>sion of</w:t>
      </w:r>
      <w:r w:rsidR="0078666B" w:rsidRPr="009C533A">
        <w:t xml:space="preserve"> patient care and carer engagement in an ethical manner; </w:t>
      </w:r>
    </w:p>
    <w:p w14:paraId="626218FF" w14:textId="77777777" w:rsidR="007B3426" w:rsidRPr="009C533A" w:rsidRDefault="007B3426" w:rsidP="009C533A">
      <w:pPr>
        <w:pStyle w:val="Default"/>
      </w:pPr>
    </w:p>
    <w:p w14:paraId="04E63F61" w14:textId="6865E88B" w:rsidR="0078666B" w:rsidRDefault="00645716" w:rsidP="001706FC">
      <w:pPr>
        <w:pStyle w:val="Default"/>
        <w:ind w:left="720"/>
      </w:pPr>
      <w:r>
        <w:t>6</w:t>
      </w:r>
      <w:r w:rsidR="004F6CEF" w:rsidRPr="009C533A">
        <w:t xml:space="preserve">.3 </w:t>
      </w:r>
      <w:r w:rsidR="0078666B" w:rsidRPr="009C533A">
        <w:t xml:space="preserve">The Committee will promote Trust-wide education on human rights, ethics and legal matters; </w:t>
      </w:r>
    </w:p>
    <w:p w14:paraId="28970AA4" w14:textId="77777777" w:rsidR="007B3426" w:rsidRPr="009C533A" w:rsidRDefault="007B3426" w:rsidP="009C533A">
      <w:pPr>
        <w:pStyle w:val="Default"/>
      </w:pPr>
    </w:p>
    <w:p w14:paraId="101A117C" w14:textId="45800FDE" w:rsidR="0078666B" w:rsidRDefault="00645716" w:rsidP="001706FC">
      <w:pPr>
        <w:pStyle w:val="Default"/>
        <w:ind w:left="720"/>
      </w:pPr>
      <w:r>
        <w:t>6</w:t>
      </w:r>
      <w:r w:rsidR="004F6CEF" w:rsidRPr="009C533A">
        <w:t xml:space="preserve">.4 </w:t>
      </w:r>
      <w:r w:rsidR="0078666B" w:rsidRPr="009C533A">
        <w:t xml:space="preserve">The Committee will </w:t>
      </w:r>
      <w:r>
        <w:t>monitor</w:t>
      </w:r>
      <w:r w:rsidR="0078666B" w:rsidRPr="009C533A">
        <w:t xml:space="preserve"> coherent internal and external communication around Trust values, ethics and human rights</w:t>
      </w:r>
      <w:r>
        <w:t>;</w:t>
      </w:r>
      <w:r w:rsidR="0078666B" w:rsidRPr="009C533A">
        <w:t xml:space="preserve"> </w:t>
      </w:r>
    </w:p>
    <w:p w14:paraId="5CED8CC4" w14:textId="77777777" w:rsidR="007B3426" w:rsidRPr="009C533A" w:rsidRDefault="007B3426" w:rsidP="009C533A">
      <w:pPr>
        <w:pStyle w:val="Default"/>
      </w:pPr>
    </w:p>
    <w:p w14:paraId="2259C121" w14:textId="2B58FAD6" w:rsidR="00645716" w:rsidRPr="009C533A" w:rsidRDefault="00645716" w:rsidP="00F0357C">
      <w:pPr>
        <w:pStyle w:val="Default"/>
        <w:ind w:left="720"/>
      </w:pPr>
      <w:r>
        <w:t>6</w:t>
      </w:r>
      <w:r w:rsidR="004F6CEF" w:rsidRPr="009C533A">
        <w:t xml:space="preserve">.5 </w:t>
      </w:r>
      <w:r w:rsidR="0078666B" w:rsidRPr="009C533A">
        <w:t>The Committee will receive reports</w:t>
      </w:r>
      <w:r w:rsidR="00F0357C">
        <w:t xml:space="preserve"> from the MHA/MCA Legislation Group</w:t>
      </w:r>
      <w:r w:rsidR="0078666B" w:rsidRPr="009C533A">
        <w:t xml:space="preserve"> </w:t>
      </w:r>
    </w:p>
    <w:p w14:paraId="1C061C2A" w14:textId="77777777" w:rsidR="001706FC" w:rsidRDefault="001706FC" w:rsidP="001706FC">
      <w:pPr>
        <w:pStyle w:val="Default"/>
        <w:ind w:left="360"/>
        <w:rPr>
          <w:lang w:val="en-US"/>
        </w:rPr>
      </w:pPr>
    </w:p>
    <w:p w14:paraId="50294CBA" w14:textId="7233A46F" w:rsidR="00645716" w:rsidRPr="00645716" w:rsidRDefault="001706FC" w:rsidP="001706FC">
      <w:pPr>
        <w:pStyle w:val="Default"/>
        <w:ind w:left="720"/>
        <w:rPr>
          <w:lang w:val="en-US"/>
        </w:rPr>
      </w:pPr>
      <w:r>
        <w:rPr>
          <w:lang w:val="en-US"/>
        </w:rPr>
        <w:t xml:space="preserve">6.6 </w:t>
      </w:r>
      <w:r w:rsidR="00645716" w:rsidRPr="00645716">
        <w:rPr>
          <w:lang w:val="en-US"/>
        </w:rPr>
        <w:t>Monitor, review and report to the Board of Directors the Trust’s implementation</w:t>
      </w:r>
      <w:r>
        <w:rPr>
          <w:lang w:val="en-US"/>
        </w:rPr>
        <w:t xml:space="preserve"> </w:t>
      </w:r>
      <w:r w:rsidR="00645716" w:rsidRPr="00645716">
        <w:rPr>
          <w:lang w:val="en-US"/>
        </w:rPr>
        <w:t>of, and compliance with, current mental health legislation and proposed changes to such legislation, in particular the Mental Health Act 1983 and the Mental Capacity Act 2005, taking into account best practice. This will include the implementation of the Liberty Protection Safeguards</w:t>
      </w:r>
      <w:r w:rsidR="00645716">
        <w:rPr>
          <w:lang w:val="en-US"/>
        </w:rPr>
        <w:t>;</w:t>
      </w:r>
    </w:p>
    <w:p w14:paraId="7FFB7088" w14:textId="77777777" w:rsidR="00645716" w:rsidRDefault="00645716" w:rsidP="007B3426">
      <w:pPr>
        <w:pStyle w:val="Default"/>
        <w:rPr>
          <w:lang w:val="en-US"/>
        </w:rPr>
      </w:pPr>
    </w:p>
    <w:p w14:paraId="5B715E66" w14:textId="16BC6D2B" w:rsidR="00645716" w:rsidRDefault="00F0357C" w:rsidP="001706FC">
      <w:pPr>
        <w:pStyle w:val="Default"/>
        <w:numPr>
          <w:ilvl w:val="1"/>
          <w:numId w:val="20"/>
        </w:numPr>
        <w:rPr>
          <w:lang w:val="en-US"/>
        </w:rPr>
      </w:pPr>
      <w:r>
        <w:rPr>
          <w:lang w:val="en-US"/>
        </w:rPr>
        <w:t xml:space="preserve"> </w:t>
      </w:r>
      <w:r w:rsidR="00645716" w:rsidRPr="00645716">
        <w:rPr>
          <w:lang w:val="en-US"/>
        </w:rPr>
        <w:t>Keep under review the work of Associate Hospital Managers</w:t>
      </w:r>
      <w:r w:rsidR="007B3426">
        <w:rPr>
          <w:lang w:val="en-US"/>
        </w:rPr>
        <w:t>;</w:t>
      </w:r>
    </w:p>
    <w:p w14:paraId="62BF6614" w14:textId="77777777" w:rsidR="00F0357C" w:rsidRDefault="00F0357C" w:rsidP="001706FC">
      <w:pPr>
        <w:pStyle w:val="Default"/>
        <w:ind w:left="720"/>
        <w:rPr>
          <w:lang w:val="en-US"/>
        </w:rPr>
      </w:pPr>
    </w:p>
    <w:p w14:paraId="4537C432" w14:textId="3C7AF303" w:rsidR="00645716" w:rsidRDefault="007B3426" w:rsidP="001706FC">
      <w:pPr>
        <w:pStyle w:val="Default"/>
        <w:ind w:left="720"/>
        <w:rPr>
          <w:lang w:val="en-US"/>
        </w:rPr>
      </w:pPr>
      <w:r>
        <w:rPr>
          <w:lang w:val="en-US"/>
        </w:rPr>
        <w:t>6.</w:t>
      </w:r>
      <w:r w:rsidR="00F0357C">
        <w:rPr>
          <w:lang w:val="en-US"/>
        </w:rPr>
        <w:t>8</w:t>
      </w:r>
      <w:r>
        <w:rPr>
          <w:lang w:val="en-US"/>
        </w:rPr>
        <w:t xml:space="preserve"> </w:t>
      </w:r>
      <w:r w:rsidR="00645716" w:rsidRPr="00645716">
        <w:rPr>
          <w:lang w:val="en-US"/>
        </w:rPr>
        <w:t>Monitor trends in the application of the Mental Health Act 1983 (and any new Mental Health Acts or revisions to the existing Act) within the Trust and make recommendations where necessary.  Consider the implication of any changes to legislation and regulations within a local context</w:t>
      </w:r>
      <w:r>
        <w:rPr>
          <w:lang w:val="en-US"/>
        </w:rPr>
        <w:t>;</w:t>
      </w:r>
    </w:p>
    <w:p w14:paraId="4B347427" w14:textId="77777777" w:rsidR="007B3426" w:rsidRPr="00645716" w:rsidRDefault="007B3426" w:rsidP="007B3426">
      <w:pPr>
        <w:pStyle w:val="Default"/>
        <w:rPr>
          <w:lang w:val="en-US"/>
        </w:rPr>
      </w:pPr>
    </w:p>
    <w:p w14:paraId="076E86FD" w14:textId="6BE37FFE" w:rsidR="00645716" w:rsidRDefault="007B3426" w:rsidP="001706FC">
      <w:pPr>
        <w:pStyle w:val="Default"/>
        <w:ind w:left="720"/>
        <w:rPr>
          <w:lang w:val="en-US"/>
        </w:rPr>
      </w:pPr>
      <w:r>
        <w:rPr>
          <w:lang w:val="en-US"/>
        </w:rPr>
        <w:t>6.</w:t>
      </w:r>
      <w:r w:rsidR="00F0357C">
        <w:rPr>
          <w:lang w:val="en-US"/>
        </w:rPr>
        <w:t>9</w:t>
      </w:r>
      <w:r>
        <w:rPr>
          <w:lang w:val="en-US"/>
        </w:rPr>
        <w:t xml:space="preserve"> </w:t>
      </w:r>
      <w:r w:rsidR="00645716" w:rsidRPr="00645716">
        <w:rPr>
          <w:lang w:val="en-US"/>
        </w:rPr>
        <w:t>Oversee the Trust’s response to recommendations from CQC Mental Health Act visits, to ensure progress on action plans and to provide strategic thinking around recurrent themes and areas for improvement</w:t>
      </w:r>
      <w:r>
        <w:rPr>
          <w:lang w:val="en-US"/>
        </w:rPr>
        <w:t>;</w:t>
      </w:r>
    </w:p>
    <w:p w14:paraId="0997236B" w14:textId="77777777" w:rsidR="007B3426" w:rsidRPr="00645716" w:rsidRDefault="007B3426" w:rsidP="007B3426">
      <w:pPr>
        <w:pStyle w:val="Default"/>
        <w:rPr>
          <w:lang w:val="en-US"/>
        </w:rPr>
      </w:pPr>
    </w:p>
    <w:p w14:paraId="363D3CB3" w14:textId="79710377" w:rsidR="00645716" w:rsidRDefault="007B3426" w:rsidP="001706FC">
      <w:pPr>
        <w:pStyle w:val="Default"/>
        <w:ind w:left="720"/>
        <w:rPr>
          <w:lang w:val="en-US"/>
        </w:rPr>
      </w:pPr>
      <w:r>
        <w:rPr>
          <w:lang w:val="en-US"/>
        </w:rPr>
        <w:t>6.1</w:t>
      </w:r>
      <w:r w:rsidR="00F0357C">
        <w:rPr>
          <w:lang w:val="en-US"/>
        </w:rPr>
        <w:t>0</w:t>
      </w:r>
      <w:r>
        <w:rPr>
          <w:lang w:val="en-US"/>
        </w:rPr>
        <w:t xml:space="preserve"> </w:t>
      </w:r>
      <w:r w:rsidR="00645716" w:rsidRPr="00645716">
        <w:rPr>
          <w:lang w:val="en-US"/>
        </w:rPr>
        <w:t>Scrutinise delivery against the Trust’s action plan developed as a result of the Care Quality Commission’s Annual Report as instructed by the Board of Directors</w:t>
      </w:r>
      <w:r>
        <w:rPr>
          <w:lang w:val="en-US"/>
        </w:rPr>
        <w:t>;</w:t>
      </w:r>
    </w:p>
    <w:p w14:paraId="0EA0A843" w14:textId="77777777" w:rsidR="007B3426" w:rsidRPr="00645716" w:rsidRDefault="007B3426" w:rsidP="007B3426">
      <w:pPr>
        <w:pStyle w:val="Default"/>
        <w:rPr>
          <w:lang w:val="en-US"/>
        </w:rPr>
      </w:pPr>
    </w:p>
    <w:p w14:paraId="6C90C208" w14:textId="01F2F36E" w:rsidR="00645716" w:rsidRDefault="007B3426" w:rsidP="001706FC">
      <w:pPr>
        <w:pStyle w:val="Default"/>
        <w:ind w:left="720"/>
        <w:rPr>
          <w:lang w:val="en-US"/>
        </w:rPr>
      </w:pPr>
      <w:r>
        <w:rPr>
          <w:lang w:val="en-US"/>
        </w:rPr>
        <w:t>6.1</w:t>
      </w:r>
      <w:r w:rsidR="00F0357C">
        <w:rPr>
          <w:lang w:val="en-US"/>
        </w:rPr>
        <w:t>1</w:t>
      </w:r>
      <w:r>
        <w:rPr>
          <w:lang w:val="en-US"/>
        </w:rPr>
        <w:t xml:space="preserve"> </w:t>
      </w:r>
      <w:r w:rsidR="00645716" w:rsidRPr="00645716">
        <w:rPr>
          <w:lang w:val="en-US"/>
        </w:rPr>
        <w:t>Monitor the provision of adequate guidance, information, education and training on mental health legislation to staff, service users, carers and other stakeholders</w:t>
      </w:r>
      <w:r>
        <w:rPr>
          <w:lang w:val="en-US"/>
        </w:rPr>
        <w:t>;</w:t>
      </w:r>
    </w:p>
    <w:p w14:paraId="00862904" w14:textId="77777777" w:rsidR="007B3426" w:rsidRPr="00645716" w:rsidRDefault="007B3426" w:rsidP="007B3426">
      <w:pPr>
        <w:pStyle w:val="Default"/>
        <w:rPr>
          <w:lang w:val="en-US"/>
        </w:rPr>
      </w:pPr>
    </w:p>
    <w:p w14:paraId="646ECB32" w14:textId="798C32DF" w:rsidR="00645716" w:rsidRPr="00645716" w:rsidRDefault="007B3426" w:rsidP="001706FC">
      <w:pPr>
        <w:pStyle w:val="Default"/>
        <w:ind w:left="720"/>
        <w:rPr>
          <w:lang w:val="en-US"/>
        </w:rPr>
      </w:pPr>
      <w:r>
        <w:rPr>
          <w:lang w:val="en-US"/>
        </w:rPr>
        <w:t>6.1</w:t>
      </w:r>
      <w:r w:rsidR="00F0357C">
        <w:rPr>
          <w:lang w:val="en-US"/>
        </w:rPr>
        <w:t>2</w:t>
      </w:r>
      <w:r>
        <w:rPr>
          <w:lang w:val="en-US"/>
        </w:rPr>
        <w:t xml:space="preserve"> </w:t>
      </w:r>
      <w:r w:rsidR="00645716" w:rsidRPr="00645716">
        <w:rPr>
          <w:lang w:val="en-US"/>
        </w:rPr>
        <w:t>Monitor the application of Human Rights principles and frameworks across the Trust and draw attention to any shortcomings. In particular:</w:t>
      </w:r>
    </w:p>
    <w:p w14:paraId="179BB6A5" w14:textId="53E3C695" w:rsidR="00645716" w:rsidRPr="00645716" w:rsidRDefault="00645716" w:rsidP="001706FC">
      <w:pPr>
        <w:pStyle w:val="Default"/>
        <w:ind w:left="1440"/>
        <w:rPr>
          <w:lang w:val="en-US"/>
        </w:rPr>
      </w:pPr>
      <w:r w:rsidRPr="00645716">
        <w:rPr>
          <w:lang w:val="en-US"/>
        </w:rPr>
        <w:t>a. Checking that patients receive information regarding their rights, especially at key points such as prior to a MHA Hearing or Tribunal. This includes checking that patients have access to papers prior to hearings and tribunals and are offered the support of an Independent Mental Health Advocate (IMHA).</w:t>
      </w:r>
    </w:p>
    <w:p w14:paraId="4D7DC550" w14:textId="720644BB" w:rsidR="00645716" w:rsidRPr="00645716" w:rsidRDefault="00645716" w:rsidP="001706FC">
      <w:pPr>
        <w:pStyle w:val="Default"/>
        <w:ind w:left="1440"/>
        <w:rPr>
          <w:lang w:val="en-US"/>
        </w:rPr>
      </w:pPr>
      <w:r w:rsidRPr="00645716">
        <w:rPr>
          <w:lang w:val="en-US"/>
        </w:rPr>
        <w:t>b. Checking that patients are given the opportunity to be involved in planning their care.</w:t>
      </w:r>
    </w:p>
    <w:p w14:paraId="5938AEC8" w14:textId="7B65A0B8" w:rsidR="001706FC" w:rsidRDefault="00645716" w:rsidP="001706FC">
      <w:pPr>
        <w:pStyle w:val="Default"/>
        <w:ind w:left="1440"/>
        <w:rPr>
          <w:lang w:val="en-US"/>
        </w:rPr>
      </w:pPr>
      <w:r w:rsidRPr="00645716">
        <w:rPr>
          <w:lang w:val="en-US"/>
        </w:rPr>
        <w:t>c. Ensuring assurance that the application of the Mental Health Act and the Mental Capacity Act within the Trust does not disproportionately affect or disadvantage any groups as set out in the Equalities Act.</w:t>
      </w:r>
    </w:p>
    <w:p w14:paraId="3ECCE27D" w14:textId="21D29C4C" w:rsidR="00645716" w:rsidRPr="00645716" w:rsidRDefault="00645716" w:rsidP="00041DE8">
      <w:pPr>
        <w:pStyle w:val="Default"/>
        <w:ind w:left="1440"/>
        <w:rPr>
          <w:lang w:val="en-US"/>
        </w:rPr>
      </w:pPr>
      <w:r w:rsidRPr="00645716">
        <w:rPr>
          <w:lang w:val="en-US"/>
        </w:rPr>
        <w:t>d. Checking that, especially as regards the use of segregation and restraint, the principle of the application of the least restrictive option is always followed.</w:t>
      </w:r>
    </w:p>
    <w:p w14:paraId="0550D6DF" w14:textId="77777777" w:rsidR="0078666B" w:rsidRPr="009C533A" w:rsidRDefault="0078666B" w:rsidP="009C533A">
      <w:pPr>
        <w:pStyle w:val="Default"/>
      </w:pPr>
    </w:p>
    <w:p w14:paraId="7B2D7267" w14:textId="1B992945" w:rsidR="004F6CEF" w:rsidRDefault="00665B9A" w:rsidP="009C533A">
      <w:pPr>
        <w:pStyle w:val="Default"/>
        <w:rPr>
          <w:b/>
          <w:bCs/>
        </w:rPr>
      </w:pPr>
      <w:r w:rsidRPr="009C533A">
        <w:rPr>
          <w:b/>
          <w:bCs/>
        </w:rPr>
        <w:t>7</w:t>
      </w:r>
      <w:r w:rsidR="0078666B" w:rsidRPr="009C533A">
        <w:rPr>
          <w:b/>
          <w:bCs/>
        </w:rPr>
        <w:t xml:space="preserve">. Reporting </w:t>
      </w:r>
    </w:p>
    <w:p w14:paraId="5DD0EDAB" w14:textId="77777777" w:rsidR="00077586" w:rsidRPr="009C533A" w:rsidRDefault="00077586" w:rsidP="009C533A">
      <w:pPr>
        <w:pStyle w:val="Default"/>
        <w:rPr>
          <w:b/>
          <w:bCs/>
        </w:rPr>
      </w:pPr>
    </w:p>
    <w:p w14:paraId="094FDD64" w14:textId="5AC4FE39" w:rsidR="0078666B" w:rsidRDefault="00077586" w:rsidP="009C533A">
      <w:pPr>
        <w:pStyle w:val="Default"/>
      </w:pPr>
      <w:r>
        <w:t>7</w:t>
      </w:r>
      <w:r w:rsidR="004F6CEF" w:rsidRPr="009C533A">
        <w:t xml:space="preserve">.1 </w:t>
      </w:r>
      <w:r w:rsidR="0078666B" w:rsidRPr="009C533A">
        <w:t xml:space="preserve">The minutes of the committee meetings shall be formally submitted to the Board. The Chair of the Committee shall draw to the attention of the </w:t>
      </w:r>
      <w:r>
        <w:t>B</w:t>
      </w:r>
      <w:r w:rsidR="0078666B" w:rsidRPr="009C533A">
        <w:t xml:space="preserve">oard any issues that require disclosure, or </w:t>
      </w:r>
      <w:r>
        <w:t>E</w:t>
      </w:r>
      <w:r w:rsidR="0078666B" w:rsidRPr="009C533A">
        <w:t xml:space="preserve">xecutive action. </w:t>
      </w:r>
    </w:p>
    <w:p w14:paraId="3630B8C5" w14:textId="77777777" w:rsidR="00077586" w:rsidRPr="009C533A" w:rsidRDefault="00077586" w:rsidP="009C533A">
      <w:pPr>
        <w:pStyle w:val="Default"/>
      </w:pPr>
    </w:p>
    <w:p w14:paraId="57ECF787" w14:textId="56692ABB" w:rsidR="0078666B" w:rsidRPr="009C533A" w:rsidRDefault="00077586" w:rsidP="009C533A">
      <w:pPr>
        <w:pStyle w:val="Default"/>
      </w:pPr>
      <w:r>
        <w:t>7</w:t>
      </w:r>
      <w:r w:rsidR="00647F1D" w:rsidRPr="009C533A">
        <w:t xml:space="preserve">.2 </w:t>
      </w:r>
      <w:r w:rsidR="0078666B" w:rsidRPr="009C533A">
        <w:t xml:space="preserve">The Chair, on behalf of the Committee, will report annually to the </w:t>
      </w:r>
      <w:r>
        <w:t>B</w:t>
      </w:r>
      <w:r w:rsidR="0078666B" w:rsidRPr="009C533A">
        <w:t xml:space="preserve">oard of </w:t>
      </w:r>
      <w:r>
        <w:t>D</w:t>
      </w:r>
      <w:r w:rsidR="0078666B" w:rsidRPr="009C533A">
        <w:t xml:space="preserve">irectors in respect of fulfilment of its functions as set out in these terms of reference. </w:t>
      </w:r>
    </w:p>
    <w:p w14:paraId="54D288E7" w14:textId="77777777" w:rsidR="00665B9A" w:rsidRPr="009C533A" w:rsidRDefault="00665B9A" w:rsidP="009C533A">
      <w:pPr>
        <w:pStyle w:val="Default"/>
        <w:rPr>
          <w:b/>
          <w:bCs/>
        </w:rPr>
      </w:pPr>
    </w:p>
    <w:p w14:paraId="1BA7FD8C" w14:textId="333A9C67" w:rsidR="00665B9A" w:rsidRDefault="00665B9A" w:rsidP="009C533A">
      <w:pPr>
        <w:pStyle w:val="Default"/>
        <w:rPr>
          <w:b/>
          <w:bCs/>
        </w:rPr>
      </w:pPr>
      <w:r w:rsidRPr="009C533A">
        <w:rPr>
          <w:b/>
          <w:bCs/>
        </w:rPr>
        <w:t xml:space="preserve">8. Attendance </w:t>
      </w:r>
    </w:p>
    <w:p w14:paraId="6A8EE8BE" w14:textId="77777777" w:rsidR="00077586" w:rsidRPr="009C533A" w:rsidRDefault="00077586" w:rsidP="009C533A">
      <w:pPr>
        <w:pStyle w:val="Default"/>
        <w:rPr>
          <w:b/>
          <w:bCs/>
        </w:rPr>
      </w:pPr>
    </w:p>
    <w:p w14:paraId="16B69910" w14:textId="0CE85A94" w:rsidR="00665B9A" w:rsidRDefault="00077586" w:rsidP="009C533A">
      <w:pPr>
        <w:pStyle w:val="Default"/>
      </w:pPr>
      <w:r>
        <w:t>8</w:t>
      </w:r>
      <w:r w:rsidR="00665B9A" w:rsidRPr="009C533A">
        <w:t>.1 The C</w:t>
      </w:r>
      <w:r w:rsidR="0043212C">
        <w:t>hief Medical Officer</w:t>
      </w:r>
      <w:r w:rsidR="00665B9A" w:rsidRPr="009C533A">
        <w:t xml:space="preserve"> will act as </w:t>
      </w:r>
      <w:r w:rsidR="0043212C">
        <w:t>L</w:t>
      </w:r>
      <w:r w:rsidR="00665B9A" w:rsidRPr="009C533A">
        <w:t xml:space="preserve">ead </w:t>
      </w:r>
      <w:r w:rsidR="0043212C">
        <w:t>E</w:t>
      </w:r>
      <w:r w:rsidR="00665B9A" w:rsidRPr="009C533A">
        <w:t xml:space="preserve">xecutive </w:t>
      </w:r>
      <w:r w:rsidR="0043212C">
        <w:t>D</w:t>
      </w:r>
      <w:r w:rsidR="00665B9A" w:rsidRPr="009C533A">
        <w:t xml:space="preserve">irector for the Committee. </w:t>
      </w:r>
    </w:p>
    <w:p w14:paraId="6E3ACAC4" w14:textId="77777777" w:rsidR="00077586" w:rsidRPr="009C533A" w:rsidRDefault="00077586" w:rsidP="009C533A">
      <w:pPr>
        <w:pStyle w:val="Default"/>
      </w:pPr>
    </w:p>
    <w:p w14:paraId="761AACF0" w14:textId="772541E6" w:rsidR="00665B9A" w:rsidRDefault="00077586" w:rsidP="009C533A">
      <w:pPr>
        <w:pStyle w:val="Default"/>
      </w:pPr>
      <w:r>
        <w:t>8</w:t>
      </w:r>
      <w:r w:rsidR="00665B9A" w:rsidRPr="009C533A">
        <w:t xml:space="preserve">.2 Executive </w:t>
      </w:r>
      <w:r w:rsidR="0043212C">
        <w:t>D</w:t>
      </w:r>
      <w:r w:rsidR="00665B9A" w:rsidRPr="009C533A">
        <w:t xml:space="preserve">irectors and senior managers shall be invited to attend, particularly when the Committee is discussing areas of risk or operation that are within their remit of responsibility. </w:t>
      </w:r>
    </w:p>
    <w:p w14:paraId="6D0DC2B7" w14:textId="77777777" w:rsidR="00077586" w:rsidRPr="009C533A" w:rsidRDefault="00077586" w:rsidP="009C533A">
      <w:pPr>
        <w:pStyle w:val="Default"/>
      </w:pPr>
    </w:p>
    <w:p w14:paraId="786960E1" w14:textId="7CFA0F5B" w:rsidR="00665B9A" w:rsidRPr="009C533A" w:rsidRDefault="00077586" w:rsidP="009C533A">
      <w:pPr>
        <w:pStyle w:val="Default"/>
      </w:pPr>
      <w:r>
        <w:t>8</w:t>
      </w:r>
      <w:r w:rsidR="00665B9A" w:rsidRPr="009C533A">
        <w:t xml:space="preserve">.3. Appropriate secretarial and administrative support will be provided to the Committee by the Corporate Governance team; this will include, but is not limited to: </w:t>
      </w:r>
    </w:p>
    <w:p w14:paraId="6F537DBC" w14:textId="77777777" w:rsidR="00077586" w:rsidRDefault="00665B9A" w:rsidP="00077586">
      <w:pPr>
        <w:pStyle w:val="Default"/>
        <w:numPr>
          <w:ilvl w:val="0"/>
          <w:numId w:val="16"/>
        </w:numPr>
        <w:ind w:left="1418" w:hanging="284"/>
      </w:pPr>
      <w:r w:rsidRPr="009C533A">
        <w:t xml:space="preserve">Agreement of the annual agenda framework with the Committee, ensuring that this is regularly reviewed and updated and circulated to all members periodically throughout the year; </w:t>
      </w:r>
    </w:p>
    <w:p w14:paraId="58A68758" w14:textId="50E94C4C" w:rsidR="00077586" w:rsidRDefault="00665B9A" w:rsidP="00077586">
      <w:pPr>
        <w:pStyle w:val="Default"/>
        <w:numPr>
          <w:ilvl w:val="0"/>
          <w:numId w:val="16"/>
        </w:numPr>
        <w:ind w:left="1418" w:hanging="284"/>
      </w:pPr>
      <w:r w:rsidRPr="009C533A">
        <w:t xml:space="preserve">Finalisation of each meeting’s agenda with the Chair of the Committee, in conjunction with the </w:t>
      </w:r>
      <w:r w:rsidR="0043212C">
        <w:t>L</w:t>
      </w:r>
      <w:r w:rsidRPr="009C533A">
        <w:t xml:space="preserve">ead </w:t>
      </w:r>
      <w:r w:rsidR="0043212C">
        <w:t>E</w:t>
      </w:r>
      <w:r w:rsidRPr="009C533A">
        <w:t xml:space="preserve">xecutive </w:t>
      </w:r>
      <w:r w:rsidR="0043212C">
        <w:t>D</w:t>
      </w:r>
      <w:r w:rsidRPr="009C533A">
        <w:t xml:space="preserve">irector; </w:t>
      </w:r>
    </w:p>
    <w:p w14:paraId="27F824C2" w14:textId="7814DC52" w:rsidR="00077586" w:rsidRDefault="00665B9A" w:rsidP="00077586">
      <w:pPr>
        <w:pStyle w:val="Default"/>
        <w:numPr>
          <w:ilvl w:val="0"/>
          <w:numId w:val="16"/>
        </w:numPr>
        <w:ind w:left="1418" w:hanging="284"/>
      </w:pPr>
      <w:r w:rsidRPr="009C533A">
        <w:t xml:space="preserve">Circulating a request for papers no later than </w:t>
      </w:r>
      <w:r w:rsidR="0043212C">
        <w:t>ten</w:t>
      </w:r>
      <w:r w:rsidRPr="009C533A">
        <w:t xml:space="preserve"> working days prior to the submission deadline, and collating papers; </w:t>
      </w:r>
    </w:p>
    <w:p w14:paraId="0598D13B" w14:textId="77777777" w:rsidR="00077586" w:rsidRDefault="00665B9A" w:rsidP="00077586">
      <w:pPr>
        <w:pStyle w:val="Default"/>
        <w:numPr>
          <w:ilvl w:val="0"/>
          <w:numId w:val="16"/>
        </w:numPr>
        <w:ind w:left="1418" w:hanging="284"/>
      </w:pPr>
      <w:r w:rsidRPr="009C533A">
        <w:t xml:space="preserve">Ensuring that the agenda and papers are distributed no less than five working days in advance of the meeting; </w:t>
      </w:r>
    </w:p>
    <w:p w14:paraId="1C17925B" w14:textId="77777777" w:rsidR="00077586" w:rsidRDefault="00665B9A" w:rsidP="00077586">
      <w:pPr>
        <w:pStyle w:val="Default"/>
        <w:numPr>
          <w:ilvl w:val="0"/>
          <w:numId w:val="16"/>
        </w:numPr>
        <w:ind w:left="1418" w:hanging="284"/>
      </w:pPr>
      <w:r w:rsidRPr="009C533A">
        <w:t xml:space="preserve">Ensuring that minutes of the meeting are taken, including a record of decisions taken, matters arising and that issues to be carried forward are kept in a rolling log; </w:t>
      </w:r>
    </w:p>
    <w:p w14:paraId="1D7140A8" w14:textId="77777777" w:rsidR="00077586" w:rsidRDefault="00665B9A" w:rsidP="00077586">
      <w:pPr>
        <w:pStyle w:val="Default"/>
        <w:numPr>
          <w:ilvl w:val="0"/>
          <w:numId w:val="16"/>
        </w:numPr>
        <w:ind w:left="1418" w:hanging="284"/>
      </w:pPr>
      <w:r w:rsidRPr="009C533A">
        <w:t>Ensuring that draft minutes are circulated within 10 working days of the meeting to all members;</w:t>
      </w:r>
    </w:p>
    <w:p w14:paraId="4C2087DD" w14:textId="6A3903DD" w:rsidR="00077586" w:rsidRDefault="00665B9A" w:rsidP="00077586">
      <w:pPr>
        <w:pStyle w:val="Default"/>
        <w:numPr>
          <w:ilvl w:val="0"/>
          <w:numId w:val="16"/>
        </w:numPr>
        <w:ind w:left="1418" w:hanging="284"/>
      </w:pPr>
      <w:r w:rsidRPr="009C533A">
        <w:t xml:space="preserve">Advising the Committee as appropriate; </w:t>
      </w:r>
      <w:r w:rsidR="00077586">
        <w:t>and</w:t>
      </w:r>
    </w:p>
    <w:p w14:paraId="1D560151" w14:textId="5CDE02DC" w:rsidR="00665B9A" w:rsidRDefault="00665B9A" w:rsidP="00077586">
      <w:pPr>
        <w:pStyle w:val="Default"/>
        <w:numPr>
          <w:ilvl w:val="0"/>
          <w:numId w:val="16"/>
        </w:numPr>
        <w:ind w:left="1418" w:hanging="284"/>
      </w:pPr>
      <w:r w:rsidRPr="009C533A">
        <w:t xml:space="preserve">Supporting the Committee to conduct the annual review of the Committee’s effectiveness against the terms of reference. </w:t>
      </w:r>
    </w:p>
    <w:p w14:paraId="586CE27E" w14:textId="77777777" w:rsidR="00077586" w:rsidRPr="009C533A" w:rsidRDefault="00077586" w:rsidP="009C533A">
      <w:pPr>
        <w:pStyle w:val="Default"/>
        <w:ind w:left="708" w:firstLine="11"/>
      </w:pPr>
    </w:p>
    <w:p w14:paraId="68AD3D0E" w14:textId="16BA0555" w:rsidR="00665B9A" w:rsidRPr="009C533A" w:rsidRDefault="00077586" w:rsidP="009C533A">
      <w:pPr>
        <w:pStyle w:val="Default"/>
      </w:pPr>
      <w:r>
        <w:t>8</w:t>
      </w:r>
      <w:r w:rsidR="00665B9A" w:rsidRPr="009C533A">
        <w:t xml:space="preserve">.4 </w:t>
      </w:r>
      <w:r w:rsidR="00665B9A" w:rsidRPr="009C533A">
        <w:rPr>
          <w:color w:val="auto"/>
        </w:rPr>
        <w:t xml:space="preserve">The Chair of the Committee may, at his/her discretion, invite other observers. </w:t>
      </w:r>
    </w:p>
    <w:p w14:paraId="59492D11" w14:textId="22482854" w:rsidR="00647F1D" w:rsidRPr="009C533A" w:rsidRDefault="00647F1D" w:rsidP="009C533A">
      <w:pPr>
        <w:pStyle w:val="Default"/>
      </w:pPr>
    </w:p>
    <w:p w14:paraId="6C3D50B6" w14:textId="53554114" w:rsidR="00647F1D" w:rsidRDefault="0078666B" w:rsidP="009C533A">
      <w:pPr>
        <w:pStyle w:val="Default"/>
        <w:rPr>
          <w:b/>
          <w:bCs/>
        </w:rPr>
      </w:pPr>
      <w:r w:rsidRPr="009C533A">
        <w:rPr>
          <w:b/>
          <w:bCs/>
        </w:rPr>
        <w:t xml:space="preserve">9. Review </w:t>
      </w:r>
    </w:p>
    <w:p w14:paraId="08AE8FE2" w14:textId="77777777" w:rsidR="0043212C" w:rsidRPr="009C533A" w:rsidRDefault="0043212C" w:rsidP="009C533A">
      <w:pPr>
        <w:pStyle w:val="Default"/>
        <w:rPr>
          <w:b/>
          <w:bCs/>
        </w:rPr>
      </w:pPr>
    </w:p>
    <w:p w14:paraId="31E7B42D" w14:textId="47C48176" w:rsidR="0078666B" w:rsidRPr="009C533A" w:rsidRDefault="00647F1D" w:rsidP="009C533A">
      <w:pPr>
        <w:pStyle w:val="Default"/>
      </w:pPr>
      <w:r w:rsidRPr="009C533A">
        <w:t>9.1</w:t>
      </w:r>
      <w:r w:rsidRPr="009C533A">
        <w:rPr>
          <w:b/>
          <w:bCs/>
        </w:rPr>
        <w:t xml:space="preserve"> </w:t>
      </w:r>
      <w:r w:rsidR="0078666B" w:rsidRPr="009C533A">
        <w:t>An annual review of effectiveness will be undertaken by the Committee and a report provided to the Board</w:t>
      </w:r>
      <w:r w:rsidR="0043212C">
        <w:t>.</w:t>
      </w:r>
      <w:r w:rsidR="0078666B" w:rsidRPr="009C533A">
        <w:t xml:space="preserve"> </w:t>
      </w:r>
    </w:p>
    <w:p w14:paraId="28A47DBB" w14:textId="77777777" w:rsidR="0043212C" w:rsidRDefault="0043212C" w:rsidP="009C533A">
      <w:pPr>
        <w:pStyle w:val="Default"/>
      </w:pPr>
    </w:p>
    <w:p w14:paraId="20F8039B" w14:textId="4978354A" w:rsidR="0078666B" w:rsidRDefault="00EC1B4B" w:rsidP="009C533A">
      <w:pPr>
        <w:pStyle w:val="Default"/>
      </w:pPr>
      <w:r w:rsidRPr="009C533A">
        <w:t xml:space="preserve">9.2 </w:t>
      </w:r>
      <w:r w:rsidR="0078666B" w:rsidRPr="009C533A">
        <w:t xml:space="preserve">The Terms of Reference of the Committee shall be reviewed at least annually and updated to take account of any feedback from the committee effectiveness review. </w:t>
      </w:r>
    </w:p>
    <w:p w14:paraId="23A1473A" w14:textId="77777777" w:rsidR="0043212C" w:rsidRPr="009C533A" w:rsidRDefault="0043212C" w:rsidP="009C533A">
      <w:pPr>
        <w:pStyle w:val="Default"/>
      </w:pPr>
    </w:p>
    <w:p w14:paraId="4A0FFFC0" w14:textId="6211BD1B" w:rsidR="0043212C" w:rsidRDefault="0043212C" w:rsidP="0043212C">
      <w:pPr>
        <w:pStyle w:val="Default"/>
      </w:pPr>
      <w:r>
        <w:t xml:space="preserve">9.3 </w:t>
      </w:r>
      <w:r w:rsidR="0078666B" w:rsidRPr="009C533A">
        <w:t>During this review the Committee will be assessed to ensure it</w:t>
      </w:r>
      <w:r w:rsidR="00EC1B4B" w:rsidRPr="009C533A">
        <w:t xml:space="preserve"> </w:t>
      </w:r>
      <w:r w:rsidR="0078666B" w:rsidRPr="009C533A">
        <w:t>has performed in</w:t>
      </w:r>
      <w:r>
        <w:t xml:space="preserve"> </w:t>
      </w:r>
      <w:r w:rsidR="0078666B" w:rsidRPr="009C533A">
        <w:t xml:space="preserve">accordance with these terms of reference, specifically that: </w:t>
      </w:r>
    </w:p>
    <w:p w14:paraId="4CA20227" w14:textId="77777777" w:rsidR="0043212C" w:rsidRDefault="0078666B" w:rsidP="0043212C">
      <w:pPr>
        <w:pStyle w:val="Default"/>
        <w:numPr>
          <w:ilvl w:val="0"/>
          <w:numId w:val="18"/>
        </w:numPr>
        <w:ind w:left="1418" w:hanging="284"/>
      </w:pPr>
      <w:r w:rsidRPr="009C533A">
        <w:t xml:space="preserve">The Committee has carried out the duties required; </w:t>
      </w:r>
    </w:p>
    <w:p w14:paraId="05FB73E4" w14:textId="77777777" w:rsidR="0043212C" w:rsidRDefault="0078666B" w:rsidP="0043212C">
      <w:pPr>
        <w:pStyle w:val="Default"/>
        <w:numPr>
          <w:ilvl w:val="0"/>
          <w:numId w:val="18"/>
        </w:numPr>
        <w:ind w:left="1418" w:hanging="284"/>
      </w:pPr>
      <w:r w:rsidRPr="009C533A">
        <w:t xml:space="preserve">The Committee has reported to the board and other committees as required; </w:t>
      </w:r>
    </w:p>
    <w:p w14:paraId="32584CFB" w14:textId="5D2E6BBA" w:rsidR="0043212C" w:rsidRDefault="0078666B" w:rsidP="0043212C">
      <w:pPr>
        <w:pStyle w:val="Default"/>
        <w:numPr>
          <w:ilvl w:val="0"/>
          <w:numId w:val="18"/>
        </w:numPr>
        <w:ind w:left="1418" w:hanging="284"/>
      </w:pPr>
      <w:r w:rsidRPr="009C533A">
        <w:t xml:space="preserve">Membership, frequency of meetings and attendance has been as stated; </w:t>
      </w:r>
      <w:r w:rsidR="0043212C">
        <w:t>and</w:t>
      </w:r>
    </w:p>
    <w:p w14:paraId="7F73CB6A" w14:textId="656016D1" w:rsidR="0078666B" w:rsidRPr="009C533A" w:rsidRDefault="0078666B" w:rsidP="0043212C">
      <w:pPr>
        <w:pStyle w:val="Default"/>
        <w:numPr>
          <w:ilvl w:val="0"/>
          <w:numId w:val="18"/>
        </w:numPr>
        <w:ind w:left="1418" w:hanging="284"/>
      </w:pPr>
      <w:r w:rsidRPr="009C533A">
        <w:t xml:space="preserve">The Committee has been quorate each time it has met. </w:t>
      </w:r>
    </w:p>
    <w:p w14:paraId="184F8D2F" w14:textId="77777777" w:rsidR="0078666B" w:rsidRPr="009C533A" w:rsidRDefault="0078666B" w:rsidP="009C533A">
      <w:pPr>
        <w:pStyle w:val="Default"/>
        <w:ind w:left="708"/>
      </w:pPr>
    </w:p>
    <w:p w14:paraId="3EE7F84D" w14:textId="77777777" w:rsidR="0078666B" w:rsidRPr="009C533A" w:rsidRDefault="0078666B" w:rsidP="009C533A">
      <w:pPr>
        <w:pStyle w:val="Default"/>
        <w:ind w:left="708"/>
      </w:pPr>
    </w:p>
    <w:sectPr w:rsidR="0078666B" w:rsidRPr="009C53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FCC6" w14:textId="77777777" w:rsidR="001E2A0D" w:rsidRDefault="001E2A0D" w:rsidP="00470E28">
      <w:pPr>
        <w:spacing w:after="0" w:line="240" w:lineRule="auto"/>
      </w:pPr>
      <w:r>
        <w:separator/>
      </w:r>
    </w:p>
  </w:endnote>
  <w:endnote w:type="continuationSeparator" w:id="0">
    <w:p w14:paraId="7CDDEF15" w14:textId="77777777" w:rsidR="001E2A0D" w:rsidRDefault="001E2A0D" w:rsidP="0047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D0B0" w14:textId="56860419" w:rsidR="00945547" w:rsidRDefault="009C533A" w:rsidP="00945547">
    <w:pPr>
      <w:pStyle w:val="Footer"/>
      <w:rPr>
        <w:rFonts w:ascii="Arial" w:hAnsi="Arial" w:cs="Arial"/>
        <w:sz w:val="20"/>
        <w:szCs w:val="20"/>
      </w:rPr>
    </w:pPr>
    <w:r>
      <w:rPr>
        <w:rFonts w:ascii="Arial" w:hAnsi="Arial" w:cs="Arial"/>
        <w:sz w:val="20"/>
        <w:szCs w:val="20"/>
      </w:rPr>
      <w:t>Mental Health &amp; Law</w:t>
    </w:r>
    <w:r w:rsidR="00206F99">
      <w:rPr>
        <w:rFonts w:ascii="Arial" w:hAnsi="Arial" w:cs="Arial"/>
        <w:sz w:val="20"/>
        <w:szCs w:val="20"/>
      </w:rPr>
      <w:t xml:space="preserve"> Committee </w:t>
    </w:r>
    <w:r w:rsidR="00945547">
      <w:rPr>
        <w:rFonts w:ascii="Arial" w:hAnsi="Arial" w:cs="Arial"/>
        <w:sz w:val="20"/>
        <w:szCs w:val="20"/>
      </w:rPr>
      <w:t>Terms of Reference</w:t>
    </w:r>
  </w:p>
  <w:p w14:paraId="69AACD85" w14:textId="47DE477E" w:rsidR="00470E28" w:rsidRDefault="009C533A" w:rsidP="00945547">
    <w:pPr>
      <w:pStyle w:val="Footer"/>
    </w:pPr>
    <w:r>
      <w:rPr>
        <w:rFonts w:ascii="Arial" w:hAnsi="Arial" w:cs="Arial"/>
        <w:sz w:val="20"/>
        <w:szCs w:val="20"/>
      </w:rPr>
      <w:t>Feb 2022</w:t>
    </w:r>
    <w:r w:rsidR="00206F99">
      <w:rPr>
        <w:rFonts w:ascii="Arial" w:hAnsi="Arial" w:cs="Arial"/>
        <w:sz w:val="20"/>
        <w:szCs w:val="20"/>
      </w:rPr>
      <w:t xml:space="preserve"> </w:t>
    </w:r>
    <w:r w:rsidR="007A0A12">
      <w:tab/>
    </w:r>
    <w:r w:rsidR="007A0A12">
      <w:tab/>
    </w:r>
    <w:r w:rsidR="00470E28" w:rsidRPr="00FD1170">
      <w:rPr>
        <w:rFonts w:ascii="Arial" w:hAnsi="Arial" w:cs="Arial"/>
        <w:sz w:val="20"/>
        <w:szCs w:val="20"/>
      </w:rPr>
      <w:t xml:space="preserve">Page </w:t>
    </w:r>
    <w:r w:rsidR="00470E28" w:rsidRPr="00FD1170">
      <w:rPr>
        <w:rFonts w:ascii="Arial" w:hAnsi="Arial" w:cs="Arial"/>
        <w:b/>
        <w:bCs/>
        <w:sz w:val="20"/>
        <w:szCs w:val="20"/>
      </w:rPr>
      <w:fldChar w:fldCharType="begin"/>
    </w:r>
    <w:r w:rsidR="00470E28" w:rsidRPr="00FD1170">
      <w:rPr>
        <w:rFonts w:ascii="Arial" w:hAnsi="Arial" w:cs="Arial"/>
        <w:b/>
        <w:bCs/>
        <w:sz w:val="20"/>
        <w:szCs w:val="20"/>
      </w:rPr>
      <w:instrText xml:space="preserve"> PAGE </w:instrText>
    </w:r>
    <w:r w:rsidR="00470E28" w:rsidRPr="00FD1170">
      <w:rPr>
        <w:rFonts w:ascii="Arial" w:hAnsi="Arial" w:cs="Arial"/>
        <w:b/>
        <w:bCs/>
        <w:sz w:val="20"/>
        <w:szCs w:val="20"/>
      </w:rPr>
      <w:fldChar w:fldCharType="separate"/>
    </w:r>
    <w:r w:rsidR="007F7AEB">
      <w:rPr>
        <w:rFonts w:ascii="Arial" w:hAnsi="Arial" w:cs="Arial"/>
        <w:b/>
        <w:bCs/>
        <w:noProof/>
        <w:sz w:val="20"/>
        <w:szCs w:val="20"/>
      </w:rPr>
      <w:t>1</w:t>
    </w:r>
    <w:r w:rsidR="00470E28" w:rsidRPr="00FD1170">
      <w:rPr>
        <w:rFonts w:ascii="Arial" w:hAnsi="Arial" w:cs="Arial"/>
        <w:b/>
        <w:bCs/>
        <w:sz w:val="20"/>
        <w:szCs w:val="20"/>
      </w:rPr>
      <w:fldChar w:fldCharType="end"/>
    </w:r>
    <w:r w:rsidR="00470E28" w:rsidRPr="00FD1170">
      <w:rPr>
        <w:rFonts w:ascii="Arial" w:hAnsi="Arial" w:cs="Arial"/>
        <w:sz w:val="20"/>
        <w:szCs w:val="20"/>
      </w:rPr>
      <w:t xml:space="preserve"> of </w:t>
    </w:r>
    <w:r w:rsidR="00470E28" w:rsidRPr="00FD1170">
      <w:rPr>
        <w:rFonts w:ascii="Arial" w:hAnsi="Arial" w:cs="Arial"/>
        <w:b/>
        <w:bCs/>
        <w:sz w:val="20"/>
        <w:szCs w:val="20"/>
      </w:rPr>
      <w:fldChar w:fldCharType="begin"/>
    </w:r>
    <w:r w:rsidR="00470E28" w:rsidRPr="00FD1170">
      <w:rPr>
        <w:rFonts w:ascii="Arial" w:hAnsi="Arial" w:cs="Arial"/>
        <w:b/>
        <w:bCs/>
        <w:sz w:val="20"/>
        <w:szCs w:val="20"/>
      </w:rPr>
      <w:instrText xml:space="preserve"> NUMPAGES  </w:instrText>
    </w:r>
    <w:r w:rsidR="00470E28" w:rsidRPr="00FD1170">
      <w:rPr>
        <w:rFonts w:ascii="Arial" w:hAnsi="Arial" w:cs="Arial"/>
        <w:b/>
        <w:bCs/>
        <w:sz w:val="20"/>
        <w:szCs w:val="20"/>
      </w:rPr>
      <w:fldChar w:fldCharType="separate"/>
    </w:r>
    <w:r w:rsidR="007F7AEB">
      <w:rPr>
        <w:rFonts w:ascii="Arial" w:hAnsi="Arial" w:cs="Arial"/>
        <w:b/>
        <w:bCs/>
        <w:noProof/>
        <w:sz w:val="20"/>
        <w:szCs w:val="20"/>
      </w:rPr>
      <w:t>5</w:t>
    </w:r>
    <w:r w:rsidR="00470E28" w:rsidRPr="00FD1170">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0E42" w14:textId="77777777" w:rsidR="001E2A0D" w:rsidRDefault="001E2A0D" w:rsidP="00470E28">
      <w:pPr>
        <w:spacing w:after="0" w:line="240" w:lineRule="auto"/>
      </w:pPr>
      <w:r>
        <w:separator/>
      </w:r>
    </w:p>
  </w:footnote>
  <w:footnote w:type="continuationSeparator" w:id="0">
    <w:p w14:paraId="4173AF20" w14:textId="77777777" w:rsidR="001E2A0D" w:rsidRDefault="001E2A0D" w:rsidP="0047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4FF" w14:textId="4F4C6EC7" w:rsidR="00470E28" w:rsidRDefault="00484A78" w:rsidP="00470E28">
    <w:pPr>
      <w:pStyle w:val="Header"/>
      <w:spacing w:after="360"/>
      <w:jc w:val="right"/>
    </w:pPr>
    <w:sdt>
      <w:sdtPr>
        <w:id w:val="-2071715221"/>
        <w:docPartObj>
          <w:docPartGallery w:val="Watermarks"/>
          <w:docPartUnique/>
        </w:docPartObj>
      </w:sdtPr>
      <w:sdtEndPr/>
      <w:sdtContent>
        <w:r>
          <w:rPr>
            <w:noProof/>
          </w:rPr>
          <w:pict w14:anchorId="1B2A4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B65FF">
      <w:rPr>
        <w:rFonts w:ascii="Segoe UI" w:hAnsi="Segoe UI" w:cs="Segoe UI"/>
        <w:b/>
        <w:noProof/>
        <w:sz w:val="18"/>
        <w:szCs w:val="18"/>
        <w:lang w:eastAsia="en-GB"/>
      </w:rPr>
      <w:drawing>
        <wp:anchor distT="0" distB="0" distL="114300" distR="114300" simplePos="0" relativeHeight="251657216" behindDoc="1" locked="0" layoutInCell="1" allowOverlap="1" wp14:anchorId="1725C89B" wp14:editId="700FE4F9">
          <wp:simplePos x="0" y="0"/>
          <wp:positionH relativeFrom="column">
            <wp:posOffset>4619625</wp:posOffset>
          </wp:positionH>
          <wp:positionV relativeFrom="paragraph">
            <wp:posOffset>-305435</wp:posOffset>
          </wp:positionV>
          <wp:extent cx="1922145" cy="1162050"/>
          <wp:effectExtent l="0" t="0" r="1905" b="0"/>
          <wp:wrapTight wrapText="bothSides">
            <wp:wrapPolygon edited="0">
              <wp:start x="0" y="0"/>
              <wp:lineTo x="0" y="21246"/>
              <wp:lineTo x="21407" y="21246"/>
              <wp:lineTo x="21407" y="0"/>
              <wp:lineTo x="0" y="0"/>
            </wp:wrapPolygon>
          </wp:wrapTight>
          <wp:docPr id="1" name="Picture 1" descr="\\obmh.nhs.uk\home\MHOx-Home2\carmel.parker\My Documents\2017\new leaflet templates\A4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mh.nhs.uk\home\MHOx-Home2\carmel.parker\My Documents\2017\new leaflet templates\A4 logo 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14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4A4"/>
    <w:multiLevelType w:val="hybridMultilevel"/>
    <w:tmpl w:val="871A88F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146946"/>
    <w:multiLevelType w:val="hybridMultilevel"/>
    <w:tmpl w:val="E498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239FC"/>
    <w:multiLevelType w:val="multilevel"/>
    <w:tmpl w:val="6D92182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C31CCA"/>
    <w:multiLevelType w:val="hybridMultilevel"/>
    <w:tmpl w:val="786A008E"/>
    <w:lvl w:ilvl="0" w:tplc="9B0A45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45C80"/>
    <w:multiLevelType w:val="hybridMultilevel"/>
    <w:tmpl w:val="EA26548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338536B6"/>
    <w:multiLevelType w:val="hybridMultilevel"/>
    <w:tmpl w:val="286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23246"/>
    <w:multiLevelType w:val="hybridMultilevel"/>
    <w:tmpl w:val="550AD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D03EF6"/>
    <w:multiLevelType w:val="multilevel"/>
    <w:tmpl w:val="46D4B46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74BCE"/>
    <w:multiLevelType w:val="hybridMultilevel"/>
    <w:tmpl w:val="D722E1A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4904621E"/>
    <w:multiLevelType w:val="hybridMultilevel"/>
    <w:tmpl w:val="A844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8383F"/>
    <w:multiLevelType w:val="multilevel"/>
    <w:tmpl w:val="06B2137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D5742E"/>
    <w:multiLevelType w:val="hybridMultilevel"/>
    <w:tmpl w:val="CF906346"/>
    <w:lvl w:ilvl="0" w:tplc="0D0847FC">
      <w:start w:val="1"/>
      <w:numFmt w:val="bullet"/>
      <w:lvlText w:val=""/>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 w15:restartNumberingAfterBreak="0">
    <w:nsid w:val="5C9D2B1D"/>
    <w:multiLevelType w:val="hybridMultilevel"/>
    <w:tmpl w:val="445496E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FEC22F3"/>
    <w:multiLevelType w:val="hybridMultilevel"/>
    <w:tmpl w:val="E12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D0F63"/>
    <w:multiLevelType w:val="hybridMultilevel"/>
    <w:tmpl w:val="8BDABC3C"/>
    <w:lvl w:ilvl="0" w:tplc="C342311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B69B6"/>
    <w:multiLevelType w:val="hybridMultilevel"/>
    <w:tmpl w:val="69B23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485935"/>
    <w:multiLevelType w:val="hybridMultilevel"/>
    <w:tmpl w:val="60BC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428D0"/>
    <w:multiLevelType w:val="hybridMultilevel"/>
    <w:tmpl w:val="FC108F02"/>
    <w:lvl w:ilvl="0" w:tplc="08090003">
      <w:start w:val="1"/>
      <w:numFmt w:val="bullet"/>
      <w:lvlText w:val="o"/>
      <w:lvlJc w:val="left"/>
      <w:pPr>
        <w:ind w:left="1712" w:hanging="360"/>
      </w:pPr>
      <w:rPr>
        <w:rFonts w:ascii="Courier New" w:hAnsi="Courier New" w:cs="Courier New"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8" w15:restartNumberingAfterBreak="0">
    <w:nsid w:val="7A6847A5"/>
    <w:multiLevelType w:val="hybridMultilevel"/>
    <w:tmpl w:val="81C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66C90"/>
    <w:multiLevelType w:val="multilevel"/>
    <w:tmpl w:val="3EA22F5E"/>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8"/>
  </w:num>
  <w:num w:numId="3">
    <w:abstractNumId w:val="5"/>
  </w:num>
  <w:num w:numId="4">
    <w:abstractNumId w:val="1"/>
  </w:num>
  <w:num w:numId="5">
    <w:abstractNumId w:val="4"/>
  </w:num>
  <w:num w:numId="6">
    <w:abstractNumId w:val="8"/>
  </w:num>
  <w:num w:numId="7">
    <w:abstractNumId w:val="16"/>
  </w:num>
  <w:num w:numId="8">
    <w:abstractNumId w:val="3"/>
  </w:num>
  <w:num w:numId="9">
    <w:abstractNumId w:val="17"/>
  </w:num>
  <w:num w:numId="10">
    <w:abstractNumId w:val="6"/>
  </w:num>
  <w:num w:numId="11">
    <w:abstractNumId w:val="12"/>
  </w:num>
  <w:num w:numId="12">
    <w:abstractNumId w:val="0"/>
  </w:num>
  <w:num w:numId="13">
    <w:abstractNumId w:val="11"/>
  </w:num>
  <w:num w:numId="14">
    <w:abstractNumId w:val="14"/>
  </w:num>
  <w:num w:numId="15">
    <w:abstractNumId w:val="7"/>
  </w:num>
  <w:num w:numId="16">
    <w:abstractNumId w:val="13"/>
  </w:num>
  <w:num w:numId="17">
    <w:abstractNumId w:val="2"/>
  </w:num>
  <w:num w:numId="18">
    <w:abstractNumId w:val="15"/>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82"/>
    <w:rsid w:val="00011F5C"/>
    <w:rsid w:val="00023361"/>
    <w:rsid w:val="0003654C"/>
    <w:rsid w:val="0003770C"/>
    <w:rsid w:val="00041DE8"/>
    <w:rsid w:val="00077586"/>
    <w:rsid w:val="000D5ADB"/>
    <w:rsid w:val="000E184F"/>
    <w:rsid w:val="000F1298"/>
    <w:rsid w:val="00130B82"/>
    <w:rsid w:val="0015277D"/>
    <w:rsid w:val="001706FC"/>
    <w:rsid w:val="0017748A"/>
    <w:rsid w:val="00185396"/>
    <w:rsid w:val="00194FB3"/>
    <w:rsid w:val="001956B0"/>
    <w:rsid w:val="001B7B27"/>
    <w:rsid w:val="001D131E"/>
    <w:rsid w:val="001E02CC"/>
    <w:rsid w:val="001E2A0D"/>
    <w:rsid w:val="0020432C"/>
    <w:rsid w:val="00206F99"/>
    <w:rsid w:val="00274D3D"/>
    <w:rsid w:val="00291AB8"/>
    <w:rsid w:val="002F74CC"/>
    <w:rsid w:val="00356464"/>
    <w:rsid w:val="00361ABC"/>
    <w:rsid w:val="003660BB"/>
    <w:rsid w:val="0038422B"/>
    <w:rsid w:val="00387766"/>
    <w:rsid w:val="003B614A"/>
    <w:rsid w:val="003C7472"/>
    <w:rsid w:val="003D1607"/>
    <w:rsid w:val="003D62F4"/>
    <w:rsid w:val="003F0AAB"/>
    <w:rsid w:val="00405038"/>
    <w:rsid w:val="0043212C"/>
    <w:rsid w:val="00465675"/>
    <w:rsid w:val="00470E28"/>
    <w:rsid w:val="0047358C"/>
    <w:rsid w:val="00484A78"/>
    <w:rsid w:val="00492CE9"/>
    <w:rsid w:val="004A085C"/>
    <w:rsid w:val="004A0E64"/>
    <w:rsid w:val="004A382D"/>
    <w:rsid w:val="004B1DD5"/>
    <w:rsid w:val="004B42A2"/>
    <w:rsid w:val="004C75BF"/>
    <w:rsid w:val="004E0627"/>
    <w:rsid w:val="004F6CEF"/>
    <w:rsid w:val="00511DEE"/>
    <w:rsid w:val="00553EF4"/>
    <w:rsid w:val="00565E18"/>
    <w:rsid w:val="005E5E60"/>
    <w:rsid w:val="00617DBC"/>
    <w:rsid w:val="00621755"/>
    <w:rsid w:val="00642642"/>
    <w:rsid w:val="006451CD"/>
    <w:rsid w:val="00645716"/>
    <w:rsid w:val="00647F1D"/>
    <w:rsid w:val="00656A41"/>
    <w:rsid w:val="00665B9A"/>
    <w:rsid w:val="006A2123"/>
    <w:rsid w:val="006C6D44"/>
    <w:rsid w:val="006D36B3"/>
    <w:rsid w:val="006E09B5"/>
    <w:rsid w:val="006F463E"/>
    <w:rsid w:val="00742776"/>
    <w:rsid w:val="00747A26"/>
    <w:rsid w:val="0075580F"/>
    <w:rsid w:val="00776682"/>
    <w:rsid w:val="0078666B"/>
    <w:rsid w:val="00786EED"/>
    <w:rsid w:val="00790297"/>
    <w:rsid w:val="007A0A12"/>
    <w:rsid w:val="007A104F"/>
    <w:rsid w:val="007A4190"/>
    <w:rsid w:val="007B3426"/>
    <w:rsid w:val="007F4534"/>
    <w:rsid w:val="007F7AEB"/>
    <w:rsid w:val="008234F9"/>
    <w:rsid w:val="008467C0"/>
    <w:rsid w:val="00863971"/>
    <w:rsid w:val="00893AB7"/>
    <w:rsid w:val="008A3AD7"/>
    <w:rsid w:val="008C0BA4"/>
    <w:rsid w:val="008C4585"/>
    <w:rsid w:val="008D16AC"/>
    <w:rsid w:val="008E3A0C"/>
    <w:rsid w:val="008F4746"/>
    <w:rsid w:val="008F6037"/>
    <w:rsid w:val="00911252"/>
    <w:rsid w:val="00917524"/>
    <w:rsid w:val="00945547"/>
    <w:rsid w:val="009543D4"/>
    <w:rsid w:val="009912BC"/>
    <w:rsid w:val="009C4B76"/>
    <w:rsid w:val="009C533A"/>
    <w:rsid w:val="009D4D31"/>
    <w:rsid w:val="00A10228"/>
    <w:rsid w:val="00A12763"/>
    <w:rsid w:val="00A2352E"/>
    <w:rsid w:val="00B2226F"/>
    <w:rsid w:val="00B26C19"/>
    <w:rsid w:val="00B30430"/>
    <w:rsid w:val="00B312EF"/>
    <w:rsid w:val="00B528DB"/>
    <w:rsid w:val="00B528F7"/>
    <w:rsid w:val="00B6533C"/>
    <w:rsid w:val="00BA0718"/>
    <w:rsid w:val="00BC572B"/>
    <w:rsid w:val="00BE363E"/>
    <w:rsid w:val="00C139A3"/>
    <w:rsid w:val="00C210E3"/>
    <w:rsid w:val="00C431D4"/>
    <w:rsid w:val="00C854F6"/>
    <w:rsid w:val="00C85B8F"/>
    <w:rsid w:val="00C91BF3"/>
    <w:rsid w:val="00CA24AC"/>
    <w:rsid w:val="00CA5A75"/>
    <w:rsid w:val="00CB466D"/>
    <w:rsid w:val="00D51A21"/>
    <w:rsid w:val="00D70E46"/>
    <w:rsid w:val="00D83F94"/>
    <w:rsid w:val="00DC0978"/>
    <w:rsid w:val="00E245BF"/>
    <w:rsid w:val="00E30658"/>
    <w:rsid w:val="00E46DEA"/>
    <w:rsid w:val="00E5162A"/>
    <w:rsid w:val="00E63191"/>
    <w:rsid w:val="00E65F3C"/>
    <w:rsid w:val="00EB3863"/>
    <w:rsid w:val="00EB65FF"/>
    <w:rsid w:val="00EC1B4B"/>
    <w:rsid w:val="00EC564B"/>
    <w:rsid w:val="00EE477C"/>
    <w:rsid w:val="00EF7D82"/>
    <w:rsid w:val="00F0357C"/>
    <w:rsid w:val="00F04A62"/>
    <w:rsid w:val="00F10B3F"/>
    <w:rsid w:val="00F510F8"/>
    <w:rsid w:val="00F667EC"/>
    <w:rsid w:val="00FA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E28"/>
  </w:style>
  <w:style w:type="paragraph" w:styleId="Footer">
    <w:name w:val="footer"/>
    <w:basedOn w:val="Normal"/>
    <w:link w:val="FooterChar"/>
    <w:uiPriority w:val="99"/>
    <w:unhideWhenUsed/>
    <w:rsid w:val="00470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E28"/>
  </w:style>
  <w:style w:type="paragraph" w:styleId="BalloonText">
    <w:name w:val="Balloon Text"/>
    <w:basedOn w:val="Normal"/>
    <w:link w:val="BalloonTextChar"/>
    <w:uiPriority w:val="99"/>
    <w:semiHidden/>
    <w:unhideWhenUsed/>
    <w:rsid w:val="0047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E28"/>
    <w:rPr>
      <w:rFonts w:ascii="Tahoma" w:hAnsi="Tahoma" w:cs="Tahoma"/>
      <w:sz w:val="16"/>
      <w:szCs w:val="16"/>
    </w:rPr>
  </w:style>
  <w:style w:type="paragraph" w:styleId="ListParagraph">
    <w:name w:val="List Paragraph"/>
    <w:basedOn w:val="Normal"/>
    <w:uiPriority w:val="34"/>
    <w:qFormat/>
    <w:rsid w:val="00470E28"/>
    <w:pPr>
      <w:ind w:left="720"/>
      <w:contextualSpacing/>
    </w:pPr>
  </w:style>
  <w:style w:type="character" w:styleId="CommentReference">
    <w:name w:val="annotation reference"/>
    <w:basedOn w:val="DefaultParagraphFont"/>
    <w:uiPriority w:val="99"/>
    <w:semiHidden/>
    <w:unhideWhenUsed/>
    <w:rsid w:val="008C4585"/>
    <w:rPr>
      <w:sz w:val="16"/>
      <w:szCs w:val="16"/>
    </w:rPr>
  </w:style>
  <w:style w:type="paragraph" w:styleId="CommentText">
    <w:name w:val="annotation text"/>
    <w:basedOn w:val="Normal"/>
    <w:link w:val="CommentTextChar"/>
    <w:uiPriority w:val="99"/>
    <w:semiHidden/>
    <w:unhideWhenUsed/>
    <w:rsid w:val="008C4585"/>
    <w:pPr>
      <w:spacing w:line="240" w:lineRule="auto"/>
    </w:pPr>
    <w:rPr>
      <w:sz w:val="20"/>
      <w:szCs w:val="20"/>
    </w:rPr>
  </w:style>
  <w:style w:type="character" w:customStyle="1" w:styleId="CommentTextChar">
    <w:name w:val="Comment Text Char"/>
    <w:basedOn w:val="DefaultParagraphFont"/>
    <w:link w:val="CommentText"/>
    <w:uiPriority w:val="99"/>
    <w:semiHidden/>
    <w:rsid w:val="008C4585"/>
    <w:rPr>
      <w:sz w:val="20"/>
      <w:szCs w:val="20"/>
    </w:rPr>
  </w:style>
  <w:style w:type="paragraph" w:styleId="CommentSubject">
    <w:name w:val="annotation subject"/>
    <w:basedOn w:val="CommentText"/>
    <w:next w:val="CommentText"/>
    <w:link w:val="CommentSubjectChar"/>
    <w:uiPriority w:val="99"/>
    <w:semiHidden/>
    <w:unhideWhenUsed/>
    <w:rsid w:val="008C4585"/>
    <w:rPr>
      <w:b/>
      <w:bCs/>
    </w:rPr>
  </w:style>
  <w:style w:type="character" w:customStyle="1" w:styleId="CommentSubjectChar">
    <w:name w:val="Comment Subject Char"/>
    <w:basedOn w:val="CommentTextChar"/>
    <w:link w:val="CommentSubject"/>
    <w:uiPriority w:val="99"/>
    <w:semiHidden/>
    <w:rsid w:val="008C4585"/>
    <w:rPr>
      <w:b/>
      <w:bCs/>
      <w:sz w:val="20"/>
      <w:szCs w:val="20"/>
    </w:rPr>
  </w:style>
  <w:style w:type="paragraph" w:customStyle="1" w:styleId="Default">
    <w:name w:val="Default"/>
    <w:rsid w:val="003842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2022-02-14T15:27:00Z</dcterms:created>
  <dcterms:modified xsi:type="dcterms:W3CDTF">2022-03-24T17:57:00Z</dcterms:modified>
</cp:coreProperties>
</file>