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356A" w14:textId="77777777" w:rsidR="005D3499" w:rsidRPr="00A6321D" w:rsidRDefault="001058A7" w:rsidP="0086436B">
      <w:pPr>
        <w:ind w:right="-900"/>
        <w:jc w:val="right"/>
        <w:rPr>
          <w:rFonts w:ascii="Segoe UI" w:hAnsi="Segoe UI" w:cs="Segoe UI"/>
          <w:color w:val="FF0000"/>
          <w:lang w:val="en-GB"/>
        </w:rPr>
      </w:pPr>
      <w:r w:rsidRPr="00A6321D">
        <w:rPr>
          <w:rFonts w:ascii="Segoe UI" w:hAnsi="Segoe UI" w:cs="Segoe UI"/>
          <w:noProof/>
          <w:color w:val="FF0000"/>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A6321D" w:rsidRDefault="005D3499">
      <w:pPr>
        <w:pStyle w:val="Heading1"/>
        <w:jc w:val="center"/>
        <w:rPr>
          <w:rFonts w:ascii="Segoe UI" w:hAnsi="Segoe UI" w:cs="Segoe UI"/>
          <w:sz w:val="28"/>
          <w:u w:val="none"/>
        </w:rPr>
      </w:pPr>
      <w:r w:rsidRPr="00A6321D">
        <w:rPr>
          <w:rFonts w:ascii="Segoe UI" w:hAnsi="Segoe UI" w:cs="Segoe UI"/>
          <w:sz w:val="28"/>
          <w:u w:val="none"/>
        </w:rPr>
        <w:t xml:space="preserve">Report to the Meeting </w:t>
      </w:r>
      <w:r w:rsidR="00B50D5E" w:rsidRPr="00A6321D">
        <w:rPr>
          <w:rFonts w:ascii="Segoe UI" w:hAnsi="Segoe UI" w:cs="Segoe UI"/>
          <w:sz w:val="28"/>
          <w:u w:val="none"/>
        </w:rPr>
        <w:t xml:space="preserve">of the </w:t>
      </w:r>
    </w:p>
    <w:p w14:paraId="69A42FFC" w14:textId="77777777" w:rsidR="002821F8" w:rsidRPr="00A6321D" w:rsidRDefault="00B50D5E">
      <w:pPr>
        <w:pStyle w:val="Heading1"/>
        <w:jc w:val="center"/>
        <w:rPr>
          <w:rFonts w:ascii="Segoe UI" w:hAnsi="Segoe UI" w:cs="Segoe UI"/>
          <w:sz w:val="28"/>
          <w:u w:val="none"/>
        </w:rPr>
      </w:pPr>
      <w:r w:rsidRPr="00A6321D">
        <w:rPr>
          <w:rFonts w:ascii="Segoe UI" w:hAnsi="Segoe UI" w:cs="Segoe UI"/>
          <w:sz w:val="28"/>
          <w:u w:val="none"/>
        </w:rPr>
        <w:t xml:space="preserve">Oxford Health NHS </w:t>
      </w:r>
      <w:r w:rsidR="002821F8" w:rsidRPr="00A6321D">
        <w:rPr>
          <w:rFonts w:ascii="Segoe UI" w:hAnsi="Segoe UI" w:cs="Segoe UI"/>
          <w:sz w:val="28"/>
          <w:u w:val="none"/>
        </w:rPr>
        <w:t xml:space="preserve">Foundation Trust </w:t>
      </w:r>
    </w:p>
    <w:p w14:paraId="5AD1BC00" w14:textId="77777777" w:rsidR="00FA3993" w:rsidRPr="00A6321D" w:rsidRDefault="00C90F33" w:rsidP="00EF1914">
      <w:pPr>
        <w:pStyle w:val="Heading1"/>
        <w:tabs>
          <w:tab w:val="left" w:pos="1425"/>
          <w:tab w:val="center" w:pos="4323"/>
        </w:tabs>
        <w:rPr>
          <w:rFonts w:ascii="Segoe UI" w:hAnsi="Segoe UI" w:cs="Segoe UI"/>
          <w:sz w:val="28"/>
          <w:u w:val="none"/>
        </w:rPr>
      </w:pPr>
      <w:r w:rsidRPr="00A6321D">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014B226E">
                <wp:simplePos x="0" y="0"/>
                <wp:positionH relativeFrom="column">
                  <wp:posOffset>4059555</wp:posOffset>
                </wp:positionH>
                <wp:positionV relativeFrom="paragraph">
                  <wp:posOffset>146049</wp:posOffset>
                </wp:positionV>
                <wp:extent cx="1623060" cy="676275"/>
                <wp:effectExtent l="0" t="0" r="1524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76275"/>
                        </a:xfrm>
                        <a:prstGeom prst="rect">
                          <a:avLst/>
                        </a:prstGeom>
                        <a:solidFill>
                          <a:srgbClr val="FFFFFF"/>
                        </a:solidFill>
                        <a:ln w="9525">
                          <a:solidFill>
                            <a:srgbClr val="000000"/>
                          </a:solidFill>
                          <a:miter lim="800000"/>
                          <a:headEnd/>
                          <a:tailEnd/>
                        </a:ln>
                      </wps:spPr>
                      <wps:txbx>
                        <w:txbxContent>
                          <w:p w14:paraId="05D07CB2" w14:textId="77777777" w:rsidR="005C259A" w:rsidRDefault="005C259A" w:rsidP="00315570">
                            <w:pPr>
                              <w:jc w:val="center"/>
                              <w:rPr>
                                <w:rFonts w:ascii="Segoe UI" w:hAnsi="Segoe UI" w:cs="Segoe UI"/>
                                <w:b/>
                                <w:highlight w:val="yellow"/>
                              </w:rPr>
                            </w:pPr>
                          </w:p>
                          <w:p w14:paraId="6F266232" w14:textId="390A6C05" w:rsidR="004515E5" w:rsidRPr="0020754F" w:rsidRDefault="004515E5" w:rsidP="00315570">
                            <w:pPr>
                              <w:jc w:val="center"/>
                              <w:rPr>
                                <w:rFonts w:ascii="Segoe UI" w:hAnsi="Segoe UI" w:cs="Segoe UI"/>
                              </w:rPr>
                            </w:pPr>
                            <w:r w:rsidRPr="008A1AA3">
                              <w:rPr>
                                <w:rFonts w:ascii="Segoe UI" w:hAnsi="Segoe UI" w:cs="Segoe UI"/>
                                <w:b/>
                              </w:rPr>
                              <w:t>RR/App</w:t>
                            </w:r>
                            <w:r w:rsidR="00D838C1" w:rsidRPr="008A1AA3">
                              <w:rPr>
                                <w:rFonts w:ascii="Segoe UI" w:hAnsi="Segoe UI" w:cs="Segoe UI"/>
                                <w:b/>
                              </w:rPr>
                              <w:t>_</w:t>
                            </w:r>
                            <w:r w:rsidR="008A1AA3" w:rsidRPr="008A1AA3">
                              <w:rPr>
                                <w:rFonts w:ascii="Segoe UI" w:hAnsi="Segoe UI" w:cs="Segoe UI"/>
                                <w:b/>
                              </w:rPr>
                              <w:t>66(</w:t>
                            </w:r>
                            <w:proofErr w:type="spellStart"/>
                            <w:r w:rsidR="008A1AA3" w:rsidRPr="008A1AA3">
                              <w:rPr>
                                <w:rFonts w:ascii="Segoe UI" w:hAnsi="Segoe UI" w:cs="Segoe UI"/>
                                <w:b/>
                              </w:rPr>
                              <w:t>i</w:t>
                            </w:r>
                            <w:proofErr w:type="spellEnd"/>
                            <w:r w:rsidR="008A1AA3" w:rsidRPr="008A1AA3">
                              <w:rPr>
                                <w:rFonts w:ascii="Segoe UI" w:hAnsi="Segoe UI" w:cs="Segoe UI"/>
                                <w:b/>
                              </w:rPr>
                              <w:t>)/2022</w:t>
                            </w:r>
                            <w:r w:rsidRPr="00395B65">
                              <w:rPr>
                                <w:rFonts w:ascii="Segoe UI" w:hAnsi="Segoe UI" w:cs="Segoe UI"/>
                                <w:b/>
                                <w:highlight w:val="yellow"/>
                              </w:rPr>
                              <w:t xml:space="preserve"> </w:t>
                            </w:r>
                          </w:p>
                          <w:p w14:paraId="40C29011" w14:textId="74710CE9" w:rsidR="00440ED6" w:rsidRPr="00FA3993" w:rsidRDefault="00440ED6">
                            <w:pPr>
                              <w:jc w:val="center"/>
                              <w:rPr>
                                <w:rFonts w:ascii="Segoe UI" w:hAnsi="Segoe UI" w:cs="Segoe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65pt;margin-top:11.5pt;width:127.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">
                <v:textbox inset="0,0,0,0">
                  <w:txbxContent>
                    <w:p w14:paraId="05D07CB2" w14:textId="77777777" w:rsidR="005C259A" w:rsidRDefault="005C259A" w:rsidP="00315570">
                      <w:pPr>
                        <w:jc w:val="center"/>
                        <w:rPr>
                          <w:rFonts w:ascii="Segoe UI" w:hAnsi="Segoe UI" w:cs="Segoe UI"/>
                          <w:b/>
                          <w:highlight w:val="yellow"/>
                        </w:rPr>
                      </w:pPr>
                    </w:p>
                    <w:p w14:paraId="6F266232" w14:textId="390A6C05" w:rsidR="004515E5" w:rsidRPr="0020754F" w:rsidRDefault="004515E5" w:rsidP="00315570">
                      <w:pPr>
                        <w:jc w:val="center"/>
                        <w:rPr>
                          <w:rFonts w:ascii="Segoe UI" w:hAnsi="Segoe UI" w:cs="Segoe UI"/>
                        </w:rPr>
                      </w:pPr>
                      <w:r w:rsidRPr="008A1AA3">
                        <w:rPr>
                          <w:rFonts w:ascii="Segoe UI" w:hAnsi="Segoe UI" w:cs="Segoe UI"/>
                          <w:b/>
                        </w:rPr>
                        <w:t>RR/App</w:t>
                      </w:r>
                      <w:r w:rsidR="00D838C1" w:rsidRPr="008A1AA3">
                        <w:rPr>
                          <w:rFonts w:ascii="Segoe UI" w:hAnsi="Segoe UI" w:cs="Segoe UI"/>
                          <w:b/>
                        </w:rPr>
                        <w:t>_</w:t>
                      </w:r>
                      <w:r w:rsidR="008A1AA3" w:rsidRPr="008A1AA3">
                        <w:rPr>
                          <w:rFonts w:ascii="Segoe UI" w:hAnsi="Segoe UI" w:cs="Segoe UI"/>
                          <w:b/>
                        </w:rPr>
                        <w:t>66(</w:t>
                      </w:r>
                      <w:proofErr w:type="spellStart"/>
                      <w:r w:rsidR="008A1AA3" w:rsidRPr="008A1AA3">
                        <w:rPr>
                          <w:rFonts w:ascii="Segoe UI" w:hAnsi="Segoe UI" w:cs="Segoe UI"/>
                          <w:b/>
                        </w:rPr>
                        <w:t>i</w:t>
                      </w:r>
                      <w:proofErr w:type="spellEnd"/>
                      <w:r w:rsidR="008A1AA3" w:rsidRPr="008A1AA3">
                        <w:rPr>
                          <w:rFonts w:ascii="Segoe UI" w:hAnsi="Segoe UI" w:cs="Segoe UI"/>
                          <w:b/>
                        </w:rPr>
                        <w:t>)/2022</w:t>
                      </w:r>
                      <w:r w:rsidRPr="00395B65">
                        <w:rPr>
                          <w:rFonts w:ascii="Segoe UI" w:hAnsi="Segoe UI" w:cs="Segoe UI"/>
                          <w:b/>
                          <w:highlight w:val="yellow"/>
                        </w:rPr>
                        <w:t xml:space="preserve"> </w:t>
                      </w:r>
                    </w:p>
                    <w:p w14:paraId="40C29011" w14:textId="74710CE9" w:rsidR="00440ED6" w:rsidRPr="00FA3993" w:rsidRDefault="00440ED6">
                      <w:pPr>
                        <w:jc w:val="center"/>
                        <w:rPr>
                          <w:rFonts w:ascii="Segoe UI" w:hAnsi="Segoe UI" w:cs="Segoe UI"/>
                          <w:sz w:val="22"/>
                          <w:szCs w:val="22"/>
                        </w:rPr>
                      </w:pPr>
                    </w:p>
                  </w:txbxContent>
                </v:textbox>
              </v:rect>
            </w:pict>
          </mc:Fallback>
        </mc:AlternateContent>
      </w:r>
      <w:r w:rsidR="00EF1914" w:rsidRPr="00A6321D">
        <w:rPr>
          <w:rFonts w:ascii="Segoe UI" w:hAnsi="Segoe UI" w:cs="Segoe UI"/>
          <w:sz w:val="28"/>
          <w:u w:val="none"/>
        </w:rPr>
        <w:tab/>
      </w:r>
      <w:r w:rsidR="00EF1914" w:rsidRPr="00A6321D">
        <w:rPr>
          <w:rFonts w:ascii="Segoe UI" w:hAnsi="Segoe UI" w:cs="Segoe UI"/>
          <w:sz w:val="28"/>
          <w:u w:val="none"/>
        </w:rPr>
        <w:tab/>
      </w:r>
    </w:p>
    <w:p w14:paraId="3B262397" w14:textId="77777777" w:rsidR="005D3499" w:rsidRPr="00A6321D" w:rsidRDefault="005D3499">
      <w:pPr>
        <w:pStyle w:val="Heading1"/>
        <w:jc w:val="center"/>
        <w:rPr>
          <w:rFonts w:ascii="Segoe UI" w:hAnsi="Segoe UI" w:cs="Segoe UI"/>
          <w:sz w:val="28"/>
          <w:u w:val="none"/>
        </w:rPr>
      </w:pPr>
      <w:r w:rsidRPr="00A6321D">
        <w:rPr>
          <w:rFonts w:ascii="Segoe UI" w:hAnsi="Segoe UI" w:cs="Segoe UI"/>
          <w:sz w:val="28"/>
          <w:u w:val="none"/>
        </w:rPr>
        <w:t>Board</w:t>
      </w:r>
      <w:r w:rsidR="002821F8" w:rsidRPr="00A6321D">
        <w:rPr>
          <w:rFonts w:ascii="Segoe UI" w:hAnsi="Segoe UI" w:cs="Segoe UI"/>
          <w:sz w:val="28"/>
          <w:u w:val="none"/>
        </w:rPr>
        <w:t xml:space="preserve"> of Directors</w:t>
      </w:r>
    </w:p>
    <w:p w14:paraId="41303EA8" w14:textId="77777777" w:rsidR="005D3499" w:rsidRPr="00A6321D" w:rsidRDefault="005D3499" w:rsidP="00A85311">
      <w:pPr>
        <w:rPr>
          <w:rFonts w:ascii="Segoe UI" w:hAnsi="Segoe UI" w:cs="Segoe UI"/>
          <w:b/>
        </w:rPr>
      </w:pPr>
    </w:p>
    <w:p w14:paraId="2CBF8AB8" w14:textId="550E6C08" w:rsidR="005D3499" w:rsidRDefault="00315570" w:rsidP="00F51D6E">
      <w:pPr>
        <w:jc w:val="center"/>
        <w:rPr>
          <w:rFonts w:ascii="Segoe UI" w:hAnsi="Segoe UI" w:cs="Segoe UI"/>
          <w:b/>
        </w:rPr>
      </w:pPr>
      <w:r>
        <w:rPr>
          <w:rFonts w:ascii="Segoe UI" w:hAnsi="Segoe UI" w:cs="Segoe UI"/>
          <w:b/>
        </w:rPr>
        <w:t>30</w:t>
      </w:r>
      <w:r w:rsidRPr="00315570">
        <w:rPr>
          <w:rFonts w:ascii="Segoe UI" w:hAnsi="Segoe UI" w:cs="Segoe UI"/>
          <w:b/>
          <w:vertAlign w:val="superscript"/>
        </w:rPr>
        <w:t>th</w:t>
      </w:r>
      <w:r>
        <w:rPr>
          <w:rFonts w:ascii="Segoe UI" w:hAnsi="Segoe UI" w:cs="Segoe UI"/>
          <w:b/>
        </w:rPr>
        <w:t xml:space="preserve"> November 2022</w:t>
      </w:r>
    </w:p>
    <w:p w14:paraId="255342C1" w14:textId="77777777" w:rsidR="009A7BEE" w:rsidRPr="00A6321D" w:rsidRDefault="009A7BEE" w:rsidP="00F51D6E">
      <w:pPr>
        <w:jc w:val="center"/>
        <w:rPr>
          <w:rFonts w:ascii="Segoe UI" w:hAnsi="Segoe UI" w:cs="Segoe UI"/>
          <w:b/>
        </w:rPr>
      </w:pPr>
    </w:p>
    <w:p w14:paraId="648532B0" w14:textId="0F9C79B2" w:rsidR="00ED6F61" w:rsidRPr="00A6321D" w:rsidRDefault="000C1E87" w:rsidP="00F51D6E">
      <w:pPr>
        <w:jc w:val="center"/>
        <w:rPr>
          <w:rFonts w:ascii="Segoe UI" w:hAnsi="Segoe UI" w:cs="Segoe UI"/>
          <w:b/>
          <w:i/>
          <w:sz w:val="22"/>
          <w:szCs w:val="22"/>
        </w:rPr>
      </w:pPr>
      <w:r w:rsidRPr="00A6321D">
        <w:rPr>
          <w:rFonts w:ascii="Segoe UI" w:hAnsi="Segoe UI" w:cs="Segoe UI"/>
          <w:b/>
          <w:i/>
          <w:sz w:val="22"/>
          <w:szCs w:val="22"/>
        </w:rPr>
        <w:t>READING ROOM</w:t>
      </w:r>
      <w:r w:rsidR="00ED6F61" w:rsidRPr="00A6321D">
        <w:rPr>
          <w:rFonts w:ascii="Segoe UI" w:hAnsi="Segoe UI" w:cs="Segoe UI"/>
          <w:b/>
          <w:i/>
          <w:sz w:val="22"/>
          <w:szCs w:val="22"/>
        </w:rPr>
        <w:t xml:space="preserve"> PAPER</w:t>
      </w:r>
    </w:p>
    <w:p w14:paraId="20A8A110" w14:textId="77777777" w:rsidR="00B80276" w:rsidRPr="00A6321D" w:rsidRDefault="00B80276" w:rsidP="00F51D6E">
      <w:pPr>
        <w:ind w:left="720"/>
        <w:jc w:val="center"/>
        <w:rPr>
          <w:rFonts w:ascii="Segoe UI" w:hAnsi="Segoe UI" w:cs="Segoe UI"/>
          <w:b/>
          <w:i/>
          <w:sz w:val="22"/>
          <w:szCs w:val="22"/>
        </w:rPr>
      </w:pPr>
    </w:p>
    <w:p w14:paraId="2C6D9696" w14:textId="0C1C07BC" w:rsidR="009A7BEE" w:rsidRDefault="009A7BEE" w:rsidP="00F51D6E">
      <w:pPr>
        <w:jc w:val="center"/>
        <w:rPr>
          <w:rFonts w:ascii="Segoe UI" w:hAnsi="Segoe UI" w:cs="Segoe UI"/>
          <w:b/>
          <w:i/>
          <w:sz w:val="22"/>
          <w:szCs w:val="22"/>
        </w:rPr>
      </w:pPr>
      <w:r>
        <w:rPr>
          <w:rFonts w:ascii="Segoe UI" w:hAnsi="Segoe UI" w:cs="Segoe UI"/>
          <w:b/>
          <w:i/>
          <w:sz w:val="22"/>
          <w:szCs w:val="22"/>
        </w:rPr>
        <w:t>Corporate Affairs Reporting</w:t>
      </w:r>
    </w:p>
    <w:p w14:paraId="3E9E8AD3" w14:textId="0634A369" w:rsidR="003F7366" w:rsidRPr="00A6321D" w:rsidRDefault="008622DB" w:rsidP="00F51D6E">
      <w:pPr>
        <w:jc w:val="center"/>
        <w:rPr>
          <w:rFonts w:ascii="Segoe UI" w:hAnsi="Segoe UI" w:cs="Segoe UI"/>
          <w:i/>
          <w:sz w:val="22"/>
          <w:szCs w:val="22"/>
        </w:rPr>
      </w:pPr>
      <w:r w:rsidRPr="00A6321D">
        <w:rPr>
          <w:rFonts w:ascii="Segoe UI" w:hAnsi="Segoe UI" w:cs="Segoe UI"/>
          <w:b/>
          <w:i/>
          <w:sz w:val="22"/>
          <w:szCs w:val="22"/>
        </w:rPr>
        <w:t>LEGAL, REGULATORY AND POLICY UPDATE</w:t>
      </w:r>
    </w:p>
    <w:p w14:paraId="63409F23" w14:textId="77777777" w:rsidR="00030247" w:rsidRPr="00A6321D" w:rsidRDefault="00030247" w:rsidP="0073522A">
      <w:pPr>
        <w:jc w:val="both"/>
        <w:rPr>
          <w:rFonts w:ascii="Segoe UI" w:hAnsi="Segoe UI" w:cs="Segoe UI"/>
          <w:sz w:val="22"/>
          <w:szCs w:val="22"/>
        </w:rPr>
      </w:pPr>
    </w:p>
    <w:p w14:paraId="4125DD6D" w14:textId="0BCDEB87" w:rsidR="00030247" w:rsidRDefault="00D870AD" w:rsidP="0073522A">
      <w:pPr>
        <w:jc w:val="both"/>
        <w:rPr>
          <w:rFonts w:ascii="Segoe UI" w:hAnsi="Segoe UI" w:cs="Segoe UI"/>
          <w:b/>
          <w:sz w:val="22"/>
          <w:szCs w:val="22"/>
        </w:rPr>
      </w:pPr>
      <w:r w:rsidRPr="009C58CC">
        <w:rPr>
          <w:rFonts w:ascii="Segoe UI" w:hAnsi="Segoe UI" w:cs="Segoe UI"/>
          <w:b/>
          <w:sz w:val="22"/>
          <w:szCs w:val="22"/>
        </w:rPr>
        <w:t>SITUATION</w:t>
      </w:r>
    </w:p>
    <w:p w14:paraId="75D1480C" w14:textId="77777777" w:rsidR="00EA6EDB" w:rsidRPr="009C58CC" w:rsidRDefault="00EA6EDB" w:rsidP="0073522A">
      <w:pPr>
        <w:jc w:val="both"/>
        <w:rPr>
          <w:rFonts w:ascii="Segoe UI" w:hAnsi="Segoe UI" w:cs="Segoe UI"/>
          <w:sz w:val="22"/>
          <w:szCs w:val="22"/>
        </w:rPr>
      </w:pPr>
    </w:p>
    <w:p w14:paraId="64AC8506" w14:textId="13F35EDC" w:rsidR="008622DB" w:rsidRPr="009C58CC" w:rsidRDefault="008622DB" w:rsidP="00C90FDB">
      <w:pPr>
        <w:jc w:val="both"/>
        <w:rPr>
          <w:rFonts w:ascii="Segoe UI" w:hAnsi="Segoe UI" w:cs="Segoe UI"/>
          <w:sz w:val="22"/>
          <w:szCs w:val="22"/>
        </w:rPr>
      </w:pPr>
      <w:r w:rsidRPr="009C58CC">
        <w:rPr>
          <w:rFonts w:ascii="Segoe UI" w:hAnsi="Segoe UI" w:cs="Segoe UI"/>
          <w:sz w:val="22"/>
          <w:szCs w:val="22"/>
        </w:rPr>
        <w:t>This report provides an update to inform the Board of Directors on recent regulation and compliance guidance issued by such as</w:t>
      </w:r>
      <w:r w:rsidR="0058236D">
        <w:rPr>
          <w:rFonts w:ascii="Segoe UI" w:hAnsi="Segoe UI" w:cs="Segoe UI"/>
          <w:sz w:val="22"/>
          <w:szCs w:val="22"/>
        </w:rPr>
        <w:t xml:space="preserve"> </w:t>
      </w:r>
      <w:r w:rsidRPr="009C58CC">
        <w:rPr>
          <w:rFonts w:ascii="Segoe UI" w:hAnsi="Segoe UI" w:cs="Segoe UI"/>
          <w:sz w:val="22"/>
          <w:szCs w:val="22"/>
        </w:rPr>
        <w:t>NHS England, the Care Quality Commission and other relevant bodies where their action</w:t>
      </w:r>
      <w:r w:rsidR="001B1494" w:rsidRPr="009C58CC">
        <w:rPr>
          <w:rFonts w:ascii="Segoe UI" w:hAnsi="Segoe UI" w:cs="Segoe UI"/>
          <w:sz w:val="22"/>
          <w:szCs w:val="22"/>
        </w:rPr>
        <w:t>/publications</w:t>
      </w:r>
      <w:r w:rsidRPr="009C58CC">
        <w:rPr>
          <w:rFonts w:ascii="Segoe UI" w:hAnsi="Segoe UI" w:cs="Segoe UI"/>
          <w:sz w:val="22"/>
          <w:szCs w:val="22"/>
        </w:rPr>
        <w:t xml:space="preserve"> have a consequential impact on the </w:t>
      </w:r>
      <w:r w:rsidR="00CF0F98" w:rsidRPr="009C58CC">
        <w:rPr>
          <w:rFonts w:ascii="Segoe UI" w:hAnsi="Segoe UI" w:cs="Segoe UI"/>
          <w:sz w:val="22"/>
          <w:szCs w:val="22"/>
        </w:rPr>
        <w:t>Trust,</w:t>
      </w:r>
      <w:r w:rsidRPr="009C58CC">
        <w:rPr>
          <w:rFonts w:ascii="Segoe UI" w:hAnsi="Segoe UI" w:cs="Segoe UI"/>
          <w:sz w:val="22"/>
          <w:szCs w:val="22"/>
        </w:rPr>
        <w:t xml:space="preserve"> or an awareness of the change/impending change is relevant to the Board of Directors.</w:t>
      </w:r>
      <w:r w:rsidR="0006217B" w:rsidRPr="009C58CC">
        <w:rPr>
          <w:rFonts w:ascii="Segoe UI" w:hAnsi="Segoe UI" w:cs="Segoe UI"/>
          <w:sz w:val="22"/>
          <w:szCs w:val="22"/>
        </w:rPr>
        <w:t xml:space="preserve">  A section</w:t>
      </w:r>
      <w:r w:rsidR="0075434A" w:rsidRPr="009C58CC">
        <w:rPr>
          <w:rFonts w:ascii="Segoe UI" w:hAnsi="Segoe UI" w:cs="Segoe UI"/>
          <w:sz w:val="22"/>
          <w:szCs w:val="22"/>
        </w:rPr>
        <w:t xml:space="preserve"> in the </w:t>
      </w:r>
      <w:r w:rsidR="00DE149B" w:rsidRPr="009C58CC">
        <w:rPr>
          <w:rFonts w:ascii="Segoe UI" w:hAnsi="Segoe UI" w:cs="Segoe UI"/>
          <w:sz w:val="22"/>
          <w:szCs w:val="22"/>
        </w:rPr>
        <w:t>Addendum</w:t>
      </w:r>
      <w:r w:rsidR="0006217B" w:rsidRPr="009C58CC">
        <w:rPr>
          <w:rFonts w:ascii="Segoe UI" w:hAnsi="Segoe UI" w:cs="Segoe UI"/>
          <w:sz w:val="22"/>
          <w:szCs w:val="22"/>
        </w:rPr>
        <w:t xml:space="preserve"> to pick up learning or </w:t>
      </w:r>
      <w:r w:rsidR="00B85371" w:rsidRPr="009C58CC">
        <w:rPr>
          <w:rFonts w:ascii="Segoe UI" w:hAnsi="Segoe UI" w:cs="Segoe UI"/>
          <w:sz w:val="22"/>
          <w:szCs w:val="22"/>
        </w:rPr>
        <w:t>consider</w:t>
      </w:r>
      <w:r w:rsidR="00DE149B" w:rsidRPr="009C58CC">
        <w:rPr>
          <w:rFonts w:ascii="Segoe UI" w:hAnsi="Segoe UI" w:cs="Segoe UI"/>
          <w:sz w:val="22"/>
          <w:szCs w:val="22"/>
        </w:rPr>
        <w:t xml:space="preserve"> a</w:t>
      </w:r>
      <w:r w:rsidR="0006217B" w:rsidRPr="009C58CC">
        <w:rPr>
          <w:rFonts w:ascii="Segoe UI" w:hAnsi="Segoe UI" w:cs="Segoe UI"/>
          <w:sz w:val="22"/>
          <w:szCs w:val="22"/>
        </w:rPr>
        <w:t xml:space="preserve"> ‘True for Us’ </w:t>
      </w:r>
      <w:r w:rsidR="00DE149B" w:rsidRPr="009C58CC">
        <w:rPr>
          <w:rFonts w:ascii="Segoe UI" w:hAnsi="Segoe UI" w:cs="Segoe UI"/>
          <w:sz w:val="22"/>
          <w:szCs w:val="22"/>
        </w:rPr>
        <w:t xml:space="preserve">position </w:t>
      </w:r>
      <w:r w:rsidR="0006217B" w:rsidRPr="009C58CC">
        <w:rPr>
          <w:rFonts w:ascii="Segoe UI" w:hAnsi="Segoe UI" w:cs="Segoe UI"/>
          <w:sz w:val="22"/>
          <w:szCs w:val="22"/>
        </w:rPr>
        <w:t>is also included</w:t>
      </w:r>
      <w:r w:rsidR="00771CC0" w:rsidRPr="009C58CC">
        <w:rPr>
          <w:rFonts w:ascii="Segoe UI" w:hAnsi="Segoe UI" w:cs="Segoe UI"/>
          <w:sz w:val="22"/>
          <w:szCs w:val="22"/>
        </w:rPr>
        <w:t xml:space="preserve"> to support </w:t>
      </w:r>
      <w:r w:rsidR="00692019" w:rsidRPr="009C58CC">
        <w:rPr>
          <w:rFonts w:ascii="Segoe UI" w:hAnsi="Segoe UI" w:cs="Segoe UI"/>
          <w:sz w:val="22"/>
          <w:szCs w:val="22"/>
        </w:rPr>
        <w:t>development/</w:t>
      </w:r>
      <w:r w:rsidR="00771CC0" w:rsidRPr="009C58CC">
        <w:rPr>
          <w:rFonts w:ascii="Segoe UI" w:hAnsi="Segoe UI" w:cs="Segoe UI"/>
          <w:sz w:val="22"/>
          <w:szCs w:val="22"/>
        </w:rPr>
        <w:t>improvement activity and</w:t>
      </w:r>
      <w:r w:rsidR="003C452C">
        <w:rPr>
          <w:rFonts w:ascii="Segoe UI" w:hAnsi="Segoe UI" w:cs="Segoe UI"/>
          <w:sz w:val="22"/>
          <w:szCs w:val="22"/>
        </w:rPr>
        <w:t xml:space="preserve"> any necessary</w:t>
      </w:r>
      <w:r w:rsidR="00771CC0" w:rsidRPr="009C58CC">
        <w:rPr>
          <w:rFonts w:ascii="Segoe UI" w:hAnsi="Segoe UI" w:cs="Segoe UI"/>
          <w:sz w:val="22"/>
          <w:szCs w:val="22"/>
        </w:rPr>
        <w:t xml:space="preserve"> focus</w:t>
      </w:r>
      <w:r w:rsidR="00BC3D69" w:rsidRPr="009C58CC">
        <w:rPr>
          <w:rFonts w:ascii="Segoe UI" w:hAnsi="Segoe UI" w:cs="Segoe UI"/>
          <w:sz w:val="22"/>
          <w:szCs w:val="22"/>
        </w:rPr>
        <w:t xml:space="preserve"> of the Board and its committees</w:t>
      </w:r>
      <w:r w:rsidR="0006217B" w:rsidRPr="009C58CC">
        <w:rPr>
          <w:rFonts w:ascii="Segoe UI" w:hAnsi="Segoe UI" w:cs="Segoe UI"/>
          <w:sz w:val="22"/>
          <w:szCs w:val="22"/>
        </w:rPr>
        <w:t>.</w:t>
      </w:r>
    </w:p>
    <w:p w14:paraId="49781CA2" w14:textId="5FD775CF" w:rsidR="008622DB" w:rsidRPr="009C58CC" w:rsidRDefault="00FB03BC" w:rsidP="00C90FDB">
      <w:pPr>
        <w:ind w:left="720"/>
        <w:jc w:val="both"/>
        <w:rPr>
          <w:rFonts w:ascii="Segoe UI" w:hAnsi="Segoe UI" w:cs="Segoe UI"/>
          <w:sz w:val="22"/>
          <w:szCs w:val="22"/>
        </w:rPr>
      </w:pPr>
      <w:r w:rsidRPr="009C58CC">
        <w:rPr>
          <w:rFonts w:ascii="Segoe UI" w:hAnsi="Segoe UI" w:cs="Segoe UI"/>
          <w:sz w:val="22"/>
          <w:szCs w:val="22"/>
        </w:rPr>
        <w:t xml:space="preserve"> </w:t>
      </w:r>
    </w:p>
    <w:p w14:paraId="1FEF4A72" w14:textId="14EDFF80" w:rsidR="008622DB" w:rsidRDefault="008622DB" w:rsidP="00C90FDB">
      <w:pPr>
        <w:jc w:val="both"/>
        <w:rPr>
          <w:rFonts w:ascii="Segoe UI" w:hAnsi="Segoe UI" w:cs="Segoe UI"/>
          <w:sz w:val="22"/>
          <w:szCs w:val="22"/>
        </w:rPr>
      </w:pPr>
      <w:r w:rsidRPr="009C58CC">
        <w:rPr>
          <w:rFonts w:ascii="Segoe UI" w:hAnsi="Segoe UI" w:cs="Segoe UI"/>
          <w:sz w:val="22"/>
          <w:szCs w:val="22"/>
        </w:rPr>
        <w:t>Proposals regarding any matters arising out of the regular Lega</w:t>
      </w:r>
      <w:r w:rsidR="00FD7593" w:rsidRPr="009C58CC">
        <w:rPr>
          <w:rFonts w:ascii="Segoe UI" w:hAnsi="Segoe UI" w:cs="Segoe UI"/>
          <w:sz w:val="22"/>
          <w:szCs w:val="22"/>
        </w:rPr>
        <w:t xml:space="preserve">l, </w:t>
      </w:r>
      <w:r w:rsidRPr="009C58CC">
        <w:rPr>
          <w:rFonts w:ascii="Segoe UI" w:hAnsi="Segoe UI" w:cs="Segoe UI"/>
          <w:sz w:val="22"/>
          <w:szCs w:val="22"/>
        </w:rPr>
        <w:t>Regulatory</w:t>
      </w:r>
      <w:r w:rsidR="00FD7593" w:rsidRPr="009C58CC">
        <w:rPr>
          <w:rFonts w:ascii="Segoe UI" w:hAnsi="Segoe UI" w:cs="Segoe UI"/>
          <w:sz w:val="22"/>
          <w:szCs w:val="22"/>
        </w:rPr>
        <w:t xml:space="preserve"> &amp; Policy</w:t>
      </w:r>
      <w:r w:rsidRPr="009C58CC">
        <w:rPr>
          <w:rFonts w:ascii="Segoe UI" w:hAnsi="Segoe UI" w:cs="Segoe UI"/>
          <w:sz w:val="22"/>
          <w:szCs w:val="22"/>
        </w:rPr>
        <w:t xml:space="preserve"> Update report will where necessary be received by the Executive Team to ensure timely updates, to enable the Trust to respond as necessary or </w:t>
      </w:r>
      <w:r w:rsidR="00B85371" w:rsidRPr="009C58CC">
        <w:rPr>
          <w:rFonts w:ascii="Segoe UI" w:hAnsi="Segoe UI" w:cs="Segoe UI"/>
          <w:sz w:val="22"/>
          <w:szCs w:val="22"/>
        </w:rPr>
        <w:t xml:space="preserve">where </w:t>
      </w:r>
      <w:r w:rsidRPr="009C58CC">
        <w:rPr>
          <w:rFonts w:ascii="Segoe UI" w:hAnsi="Segoe UI" w:cs="Segoe UI"/>
          <w:sz w:val="22"/>
          <w:szCs w:val="22"/>
        </w:rPr>
        <w:t xml:space="preserve">helpful to consultations and to ensure preparedness for the implications of, and compliance with changes in mandatory </w:t>
      </w:r>
      <w:r w:rsidR="00106E7C" w:rsidRPr="009C58CC">
        <w:rPr>
          <w:rFonts w:ascii="Segoe UI" w:hAnsi="Segoe UI" w:cs="Segoe UI"/>
          <w:sz w:val="22"/>
          <w:szCs w:val="22"/>
        </w:rPr>
        <w:t xml:space="preserve">and best practice </w:t>
      </w:r>
      <w:r w:rsidRPr="009C58CC">
        <w:rPr>
          <w:rFonts w:ascii="Segoe UI" w:hAnsi="Segoe UI" w:cs="Segoe UI"/>
          <w:sz w:val="22"/>
          <w:szCs w:val="22"/>
        </w:rPr>
        <w:t xml:space="preserve">frameworks.  </w:t>
      </w:r>
    </w:p>
    <w:p w14:paraId="096F879A" w14:textId="16B1D7F8" w:rsidR="00BA5A39" w:rsidRDefault="00BA5A39" w:rsidP="00C90FDB">
      <w:pPr>
        <w:jc w:val="both"/>
        <w:rPr>
          <w:rFonts w:ascii="Segoe UI" w:hAnsi="Segoe UI" w:cs="Segoe UI"/>
          <w:sz w:val="22"/>
          <w:szCs w:val="22"/>
        </w:rPr>
      </w:pPr>
    </w:p>
    <w:p w14:paraId="3FB70156" w14:textId="71FDBED4" w:rsidR="00BA5A39" w:rsidRPr="009C58CC" w:rsidRDefault="00BA5A39" w:rsidP="00C90FDB">
      <w:pPr>
        <w:jc w:val="both"/>
        <w:rPr>
          <w:rFonts w:ascii="Segoe UI" w:hAnsi="Segoe UI" w:cs="Segoe UI"/>
          <w:sz w:val="22"/>
          <w:szCs w:val="22"/>
        </w:rPr>
      </w:pPr>
      <w:r w:rsidRPr="00BA5A39">
        <w:rPr>
          <w:rFonts w:ascii="Segoe UI" w:hAnsi="Segoe UI" w:cs="Segoe UI"/>
          <w:sz w:val="22"/>
          <w:szCs w:val="22"/>
        </w:rPr>
        <w:t>The principal Committee meetings</w:t>
      </w:r>
      <w:r>
        <w:rPr>
          <w:rFonts w:ascii="Segoe UI" w:hAnsi="Segoe UI" w:cs="Segoe UI"/>
          <w:sz w:val="22"/>
          <w:szCs w:val="22"/>
        </w:rPr>
        <w:t xml:space="preserve"> of the Board</w:t>
      </w:r>
      <w:r w:rsidRPr="00BA5A39">
        <w:rPr>
          <w:rFonts w:ascii="Segoe UI" w:hAnsi="Segoe UI" w:cs="Segoe UI"/>
          <w:sz w:val="22"/>
          <w:szCs w:val="22"/>
        </w:rPr>
        <w:t xml:space="preserve"> are aligned to the cadence of the Board calendar, with the Chair of each Committee providing the Board with their latest updates and recommendations for approval.</w:t>
      </w:r>
      <w:r>
        <w:rPr>
          <w:rFonts w:ascii="Segoe UI" w:hAnsi="Segoe UI" w:cs="Segoe UI"/>
          <w:sz w:val="22"/>
          <w:szCs w:val="22"/>
        </w:rPr>
        <w:t xml:space="preserve">  Following the interim findings of the Good Governance Institute as part of the </w:t>
      </w:r>
      <w:r w:rsidR="00C66C28">
        <w:rPr>
          <w:rFonts w:ascii="Segoe UI" w:hAnsi="Segoe UI" w:cs="Segoe UI"/>
          <w:sz w:val="22"/>
          <w:szCs w:val="22"/>
        </w:rPr>
        <w:t xml:space="preserve">external review </w:t>
      </w:r>
      <w:r w:rsidR="00122849">
        <w:rPr>
          <w:rFonts w:ascii="Segoe UI" w:hAnsi="Segoe UI" w:cs="Segoe UI"/>
          <w:sz w:val="22"/>
          <w:szCs w:val="22"/>
        </w:rPr>
        <w:t>against the</w:t>
      </w:r>
      <w:r w:rsidR="00C66C28">
        <w:rPr>
          <w:rFonts w:ascii="Segoe UI" w:hAnsi="Segoe UI" w:cs="Segoe UI"/>
          <w:sz w:val="22"/>
          <w:szCs w:val="22"/>
        </w:rPr>
        <w:t xml:space="preserve"> Well Led </w:t>
      </w:r>
      <w:r w:rsidR="00743025">
        <w:rPr>
          <w:rFonts w:ascii="Segoe UI" w:hAnsi="Segoe UI" w:cs="Segoe UI"/>
          <w:sz w:val="22"/>
          <w:szCs w:val="22"/>
        </w:rPr>
        <w:t>framework</w:t>
      </w:r>
      <w:r w:rsidR="00C66C28">
        <w:rPr>
          <w:rFonts w:ascii="Segoe UI" w:hAnsi="Segoe UI" w:cs="Segoe UI"/>
          <w:sz w:val="22"/>
          <w:szCs w:val="22"/>
        </w:rPr>
        <w:t xml:space="preserve"> into quality governance, the </w:t>
      </w:r>
      <w:r w:rsidR="005E2AC5">
        <w:rPr>
          <w:rFonts w:ascii="Segoe UI" w:hAnsi="Segoe UI" w:cs="Segoe UI"/>
          <w:sz w:val="22"/>
          <w:szCs w:val="22"/>
        </w:rPr>
        <w:t xml:space="preserve">Chair of each Committee will from November adopt a ‘Three A’s’ approach to </w:t>
      </w:r>
      <w:r w:rsidR="00CC0A67">
        <w:rPr>
          <w:rFonts w:ascii="Segoe UI" w:hAnsi="Segoe UI" w:cs="Segoe UI"/>
          <w:sz w:val="22"/>
          <w:szCs w:val="22"/>
        </w:rPr>
        <w:t xml:space="preserve">upward </w:t>
      </w:r>
      <w:r w:rsidR="005E2AC5">
        <w:rPr>
          <w:rFonts w:ascii="Segoe UI" w:hAnsi="Segoe UI" w:cs="Segoe UI"/>
          <w:sz w:val="22"/>
          <w:szCs w:val="22"/>
        </w:rPr>
        <w:t>reporting to Board (Advice, A</w:t>
      </w:r>
      <w:r w:rsidR="006220E6">
        <w:rPr>
          <w:rFonts w:ascii="Segoe UI" w:hAnsi="Segoe UI" w:cs="Segoe UI"/>
          <w:sz w:val="22"/>
          <w:szCs w:val="22"/>
        </w:rPr>
        <w:t>lert, Assurance).</w:t>
      </w:r>
      <w:r w:rsidR="009168DE">
        <w:rPr>
          <w:rFonts w:ascii="Segoe UI" w:hAnsi="Segoe UI" w:cs="Segoe UI"/>
          <w:sz w:val="22"/>
          <w:szCs w:val="22"/>
        </w:rPr>
        <w:t xml:space="preserve">  </w:t>
      </w:r>
      <w:r w:rsidR="00895C88">
        <w:rPr>
          <w:rFonts w:ascii="Segoe UI" w:hAnsi="Segoe UI" w:cs="Segoe UI"/>
          <w:sz w:val="22"/>
          <w:szCs w:val="22"/>
        </w:rPr>
        <w:t xml:space="preserve">In addition to the matters in this report, </w:t>
      </w:r>
      <w:r w:rsidR="008E3079">
        <w:rPr>
          <w:rFonts w:ascii="Segoe UI" w:hAnsi="Segoe UI" w:cs="Segoe UI"/>
          <w:sz w:val="22"/>
          <w:szCs w:val="22"/>
        </w:rPr>
        <w:t xml:space="preserve">and </w:t>
      </w:r>
      <w:r w:rsidR="003670C6">
        <w:rPr>
          <w:rFonts w:ascii="Segoe UI" w:hAnsi="Segoe UI" w:cs="Segoe UI"/>
          <w:sz w:val="22"/>
          <w:szCs w:val="22"/>
        </w:rPr>
        <w:t xml:space="preserve">other Board reporting, </w:t>
      </w:r>
      <w:r w:rsidR="00895C88">
        <w:rPr>
          <w:rFonts w:ascii="Segoe UI" w:hAnsi="Segoe UI" w:cs="Segoe UI"/>
          <w:sz w:val="22"/>
          <w:szCs w:val="22"/>
        </w:rPr>
        <w:t>t</w:t>
      </w:r>
      <w:r w:rsidR="00983119">
        <w:rPr>
          <w:rFonts w:ascii="Segoe UI" w:hAnsi="Segoe UI" w:cs="Segoe UI"/>
          <w:sz w:val="22"/>
          <w:szCs w:val="22"/>
        </w:rPr>
        <w:t>he Board will need to use th</w:t>
      </w:r>
      <w:r w:rsidR="00895C88">
        <w:rPr>
          <w:rFonts w:ascii="Segoe UI" w:hAnsi="Segoe UI" w:cs="Segoe UI"/>
          <w:sz w:val="22"/>
          <w:szCs w:val="22"/>
        </w:rPr>
        <w:t>e Committee Chair’s</w:t>
      </w:r>
      <w:r w:rsidR="00983119">
        <w:rPr>
          <w:rFonts w:ascii="Segoe UI" w:hAnsi="Segoe UI" w:cs="Segoe UI"/>
          <w:sz w:val="22"/>
          <w:szCs w:val="22"/>
        </w:rPr>
        <w:t xml:space="preserve"> updates to also</w:t>
      </w:r>
      <w:r w:rsidR="00895C88">
        <w:rPr>
          <w:rFonts w:ascii="Segoe UI" w:hAnsi="Segoe UI" w:cs="Segoe UI"/>
          <w:sz w:val="22"/>
          <w:szCs w:val="22"/>
        </w:rPr>
        <w:t xml:space="preserve"> influence it</w:t>
      </w:r>
      <w:r w:rsidR="001B6EF1">
        <w:rPr>
          <w:rFonts w:ascii="Segoe UI" w:hAnsi="Segoe UI" w:cs="Segoe UI"/>
          <w:sz w:val="22"/>
          <w:szCs w:val="22"/>
        </w:rPr>
        <w:t xml:space="preserve">s identification and assessment of </w:t>
      </w:r>
      <w:r w:rsidR="00776DF1">
        <w:rPr>
          <w:rFonts w:ascii="Segoe UI" w:hAnsi="Segoe UI" w:cs="Segoe UI"/>
          <w:sz w:val="22"/>
          <w:szCs w:val="22"/>
        </w:rPr>
        <w:t>new/emerging risk</w:t>
      </w:r>
      <w:r w:rsidR="00E464A7">
        <w:rPr>
          <w:rFonts w:ascii="Segoe UI" w:hAnsi="Segoe UI" w:cs="Segoe UI"/>
          <w:sz w:val="22"/>
          <w:szCs w:val="22"/>
        </w:rPr>
        <w:t>.</w:t>
      </w:r>
    </w:p>
    <w:p w14:paraId="3A07B7DA" w14:textId="77777777" w:rsidR="00D870AD" w:rsidRPr="009C58CC" w:rsidRDefault="00D870AD" w:rsidP="00C90FDB">
      <w:pPr>
        <w:pStyle w:val="ListParagraph"/>
        <w:ind w:left="1446"/>
        <w:jc w:val="both"/>
        <w:rPr>
          <w:rFonts w:ascii="Segoe UI" w:hAnsi="Segoe UI" w:cs="Segoe UI"/>
          <w:i/>
          <w:color w:val="FF0000"/>
          <w:sz w:val="22"/>
          <w:szCs w:val="22"/>
        </w:rPr>
      </w:pPr>
    </w:p>
    <w:p w14:paraId="55250820" w14:textId="06013154" w:rsidR="003F7366" w:rsidRPr="009C58CC" w:rsidRDefault="00D870AD" w:rsidP="00C90FDB">
      <w:pPr>
        <w:jc w:val="both"/>
        <w:rPr>
          <w:rFonts w:ascii="Segoe UI" w:hAnsi="Segoe UI" w:cs="Segoe UI"/>
          <w:b/>
          <w:sz w:val="22"/>
          <w:szCs w:val="22"/>
        </w:rPr>
      </w:pPr>
      <w:r w:rsidRPr="009C58CC">
        <w:rPr>
          <w:rFonts w:ascii="Segoe UI" w:hAnsi="Segoe UI" w:cs="Segoe UI"/>
          <w:b/>
          <w:sz w:val="22"/>
          <w:szCs w:val="22"/>
        </w:rPr>
        <w:t>BACKGROUND</w:t>
      </w:r>
    </w:p>
    <w:p w14:paraId="76CE04DB" w14:textId="2777E05E" w:rsidR="005A61BB" w:rsidRPr="009C58CC" w:rsidRDefault="005A61BB" w:rsidP="00C90FDB">
      <w:pPr>
        <w:jc w:val="both"/>
        <w:rPr>
          <w:rFonts w:ascii="Segoe UI" w:hAnsi="Segoe UI" w:cs="Segoe UI"/>
          <w:b/>
          <w:sz w:val="22"/>
          <w:szCs w:val="22"/>
        </w:rPr>
      </w:pPr>
    </w:p>
    <w:p w14:paraId="0F9451D2" w14:textId="72F84E0A" w:rsidR="00E658AF" w:rsidRDefault="00E658AF" w:rsidP="004C21C7">
      <w:pPr>
        <w:pStyle w:val="ListParagraph"/>
        <w:numPr>
          <w:ilvl w:val="0"/>
          <w:numId w:val="1"/>
        </w:numPr>
        <w:spacing w:before="160"/>
        <w:rPr>
          <w:rFonts w:ascii="Segoe UI" w:eastAsiaTheme="majorEastAsia" w:hAnsi="Segoe UI" w:cs="Segoe UI"/>
          <w:b/>
          <w:bCs/>
          <w:sz w:val="22"/>
          <w:szCs w:val="22"/>
        </w:rPr>
      </w:pPr>
      <w:bookmarkStart w:id="0" w:name="_Hlk528581436"/>
      <w:r>
        <w:rPr>
          <w:rFonts w:ascii="Segoe UI" w:eastAsiaTheme="majorEastAsia" w:hAnsi="Segoe UI" w:cs="Segoe UI"/>
          <w:b/>
          <w:bCs/>
          <w:sz w:val="22"/>
          <w:szCs w:val="22"/>
        </w:rPr>
        <w:t>Autumn Statement – NHSP Briefing</w:t>
      </w:r>
    </w:p>
    <w:p w14:paraId="3AD6CA12" w14:textId="600D8CA8" w:rsidR="00E658AF" w:rsidRPr="001D5038" w:rsidRDefault="001D5038" w:rsidP="00AD55EB">
      <w:pPr>
        <w:spacing w:before="160"/>
        <w:jc w:val="both"/>
        <w:rPr>
          <w:rFonts w:ascii="Segoe UI" w:eastAsiaTheme="majorEastAsia" w:hAnsi="Segoe UI" w:cs="Segoe UI"/>
          <w:sz w:val="22"/>
          <w:szCs w:val="22"/>
        </w:rPr>
      </w:pPr>
      <w:r w:rsidRPr="001D5038">
        <w:rPr>
          <w:rFonts w:ascii="Segoe UI" w:eastAsiaTheme="majorEastAsia" w:hAnsi="Segoe UI" w:cs="Segoe UI"/>
          <w:sz w:val="22"/>
          <w:szCs w:val="22"/>
        </w:rPr>
        <w:t xml:space="preserve">This briefing outlines the key fiscal measures from the statement and </w:t>
      </w:r>
      <w:r w:rsidR="00086875">
        <w:rPr>
          <w:rFonts w:ascii="Segoe UI" w:eastAsiaTheme="majorEastAsia" w:hAnsi="Segoe UI" w:cs="Segoe UI"/>
          <w:sz w:val="22"/>
          <w:szCs w:val="22"/>
        </w:rPr>
        <w:t>NHSP’s</w:t>
      </w:r>
      <w:r w:rsidRPr="001D5038">
        <w:rPr>
          <w:rFonts w:ascii="Segoe UI" w:eastAsiaTheme="majorEastAsia" w:hAnsi="Segoe UI" w:cs="Segoe UI"/>
          <w:sz w:val="22"/>
          <w:szCs w:val="22"/>
        </w:rPr>
        <w:t xml:space="preserve"> analysis of the implications for the health and care sector. </w:t>
      </w:r>
      <w:r w:rsidR="00232936">
        <w:rPr>
          <w:rFonts w:ascii="Segoe UI" w:eastAsiaTheme="majorEastAsia" w:hAnsi="Segoe UI" w:cs="Segoe UI"/>
          <w:sz w:val="22"/>
          <w:szCs w:val="22"/>
        </w:rPr>
        <w:t>They</w:t>
      </w:r>
      <w:r w:rsidRPr="001D5038">
        <w:rPr>
          <w:rFonts w:ascii="Segoe UI" w:eastAsiaTheme="majorEastAsia" w:hAnsi="Segoe UI" w:cs="Segoe UI"/>
          <w:sz w:val="22"/>
          <w:szCs w:val="22"/>
        </w:rPr>
        <w:t xml:space="preserve"> have also included a brief overview of the </w:t>
      </w:r>
      <w:r w:rsidR="00EB3BFF">
        <w:rPr>
          <w:rFonts w:ascii="Segoe UI" w:eastAsiaTheme="majorEastAsia" w:hAnsi="Segoe UI" w:cs="Segoe UI"/>
          <w:sz w:val="22"/>
          <w:szCs w:val="22"/>
        </w:rPr>
        <w:t>Office for Budget Responsibility’s (</w:t>
      </w:r>
      <w:r w:rsidRPr="001D5038">
        <w:rPr>
          <w:rFonts w:ascii="Segoe UI" w:eastAsiaTheme="majorEastAsia" w:hAnsi="Segoe UI" w:cs="Segoe UI"/>
          <w:sz w:val="22"/>
          <w:szCs w:val="22"/>
        </w:rPr>
        <w:t>OBR</w:t>
      </w:r>
      <w:r w:rsidR="00EB3BFF">
        <w:rPr>
          <w:rFonts w:ascii="Segoe UI" w:eastAsiaTheme="majorEastAsia" w:hAnsi="Segoe UI" w:cs="Segoe UI"/>
          <w:sz w:val="22"/>
          <w:szCs w:val="22"/>
        </w:rPr>
        <w:t>)</w:t>
      </w:r>
      <w:r w:rsidRPr="001D5038">
        <w:rPr>
          <w:rFonts w:ascii="Segoe UI" w:eastAsiaTheme="majorEastAsia" w:hAnsi="Segoe UI" w:cs="Segoe UI"/>
          <w:sz w:val="22"/>
          <w:szCs w:val="22"/>
        </w:rPr>
        <w:t xml:space="preserve"> economic and fiscal outlook.</w:t>
      </w:r>
    </w:p>
    <w:p w14:paraId="1819357F" w14:textId="1ADAF559" w:rsidR="00E658AF" w:rsidRPr="00E658AF" w:rsidRDefault="008A1AA3" w:rsidP="00AD55EB">
      <w:pPr>
        <w:spacing w:before="160"/>
        <w:jc w:val="both"/>
        <w:rPr>
          <w:rFonts w:ascii="Segoe UI" w:eastAsiaTheme="majorEastAsia" w:hAnsi="Segoe UI" w:cs="Segoe UI"/>
          <w:b/>
          <w:bCs/>
          <w:sz w:val="22"/>
          <w:szCs w:val="22"/>
        </w:rPr>
      </w:pPr>
      <w:hyperlink r:id="rId12" w:history="1">
        <w:r w:rsidR="00E658AF" w:rsidRPr="00E658AF">
          <w:rPr>
            <w:rStyle w:val="Hyperlink"/>
            <w:rFonts w:ascii="Segoe UI" w:eastAsiaTheme="majorEastAsia" w:hAnsi="Segoe UI" w:cs="Segoe UI"/>
            <w:b/>
            <w:bCs/>
            <w:sz w:val="22"/>
            <w:szCs w:val="22"/>
          </w:rPr>
          <w:t>autumn-2022-otdb.pdf (nhsproviders.org)</w:t>
        </w:r>
      </w:hyperlink>
    </w:p>
    <w:p w14:paraId="2F6604F0" w14:textId="72A8E542" w:rsidR="007302BE" w:rsidRPr="007302BE" w:rsidRDefault="007302BE" w:rsidP="004C21C7">
      <w:pPr>
        <w:pStyle w:val="ListParagraph"/>
        <w:numPr>
          <w:ilvl w:val="0"/>
          <w:numId w:val="1"/>
        </w:numPr>
        <w:spacing w:before="160"/>
        <w:rPr>
          <w:rFonts w:ascii="Segoe UI" w:eastAsiaTheme="majorEastAsia" w:hAnsi="Segoe UI" w:cs="Segoe UI"/>
          <w:b/>
          <w:bCs/>
          <w:sz w:val="22"/>
          <w:szCs w:val="22"/>
        </w:rPr>
      </w:pPr>
      <w:r w:rsidRPr="007302BE">
        <w:rPr>
          <w:rFonts w:ascii="Segoe UI" w:hAnsi="Segoe UI" w:cs="Segoe UI"/>
          <w:b/>
          <w:bCs/>
          <w:sz w:val="22"/>
          <w:szCs w:val="22"/>
        </w:rPr>
        <w:t>NHS England’s new operating framework</w:t>
      </w:r>
    </w:p>
    <w:p w14:paraId="77D84805" w14:textId="77777777" w:rsidR="007302BE" w:rsidRPr="009F6884" w:rsidRDefault="007302BE" w:rsidP="007302BE">
      <w:pPr>
        <w:pStyle w:val="NormalWeb"/>
        <w:spacing w:before="0" w:beforeAutospacing="0" w:after="0" w:afterAutospacing="0" w:line="330" w:lineRule="atLeast"/>
        <w:rPr>
          <w:rFonts w:ascii="Segoe UI" w:hAnsi="Segoe UI" w:cs="Segoe UI"/>
          <w:sz w:val="22"/>
          <w:szCs w:val="22"/>
        </w:rPr>
      </w:pPr>
    </w:p>
    <w:p w14:paraId="77D27625" w14:textId="4A6AAC13" w:rsidR="007302BE" w:rsidRPr="009F6884" w:rsidRDefault="007302BE" w:rsidP="008A1147">
      <w:pPr>
        <w:pStyle w:val="NormalWeb"/>
        <w:spacing w:before="0" w:beforeAutospacing="0" w:after="0" w:afterAutospacing="0" w:line="0" w:lineRule="atLeast"/>
        <w:jc w:val="both"/>
        <w:rPr>
          <w:rFonts w:ascii="Segoe UI" w:hAnsi="Segoe UI" w:cs="Segoe UI"/>
          <w:sz w:val="22"/>
          <w:szCs w:val="22"/>
        </w:rPr>
      </w:pPr>
      <w:r w:rsidRPr="009F6884">
        <w:rPr>
          <w:rFonts w:ascii="Segoe UI" w:hAnsi="Segoe UI" w:cs="Segoe UI"/>
          <w:sz w:val="22"/>
          <w:szCs w:val="22"/>
        </w:rPr>
        <w:t>The document sets out how NHS England (NHSE), integrated care boards (ICBs), and providers will work together in the new statutory framework created by the Health and Care Act 2022.</w:t>
      </w:r>
      <w:r w:rsidR="008A1147">
        <w:rPr>
          <w:rFonts w:ascii="Segoe UI" w:hAnsi="Segoe UI" w:cs="Segoe UI"/>
          <w:sz w:val="22"/>
          <w:szCs w:val="22"/>
        </w:rPr>
        <w:t xml:space="preserve">  </w:t>
      </w:r>
      <w:r w:rsidRPr="009F6884">
        <w:rPr>
          <w:rFonts w:ascii="Segoe UI" w:hAnsi="Segoe UI" w:cs="Segoe UI"/>
          <w:sz w:val="22"/>
          <w:szCs w:val="22"/>
        </w:rPr>
        <w:t>This framework (previously referred to as an ‘operating model’) has four core foundations, which define NHSE’s:</w:t>
      </w:r>
    </w:p>
    <w:p w14:paraId="600B5496" w14:textId="77777777" w:rsidR="007302BE" w:rsidRPr="009F6884" w:rsidRDefault="007302BE" w:rsidP="00122124">
      <w:pPr>
        <w:pStyle w:val="NormalWeb"/>
        <w:spacing w:before="0" w:beforeAutospacing="0" w:after="0" w:afterAutospacing="0" w:line="330" w:lineRule="atLeast"/>
        <w:ind w:left="360"/>
        <w:jc w:val="both"/>
        <w:rPr>
          <w:rFonts w:ascii="Segoe UI" w:hAnsi="Segoe UI" w:cs="Segoe UI"/>
          <w:sz w:val="22"/>
          <w:szCs w:val="22"/>
        </w:rPr>
      </w:pPr>
      <w:r w:rsidRPr="009F6884">
        <w:rPr>
          <w:rFonts w:ascii="Segoe UI" w:hAnsi="Segoe UI" w:cs="Segoe UI"/>
          <w:sz w:val="22"/>
          <w:szCs w:val="22"/>
        </w:rPr>
        <w:t>• Purpose</w:t>
      </w:r>
    </w:p>
    <w:p w14:paraId="2DB8F51B" w14:textId="77777777" w:rsidR="007302BE" w:rsidRPr="009F6884" w:rsidRDefault="007302BE" w:rsidP="00122124">
      <w:pPr>
        <w:pStyle w:val="NormalWeb"/>
        <w:spacing w:before="0" w:beforeAutospacing="0" w:after="0" w:afterAutospacing="0" w:line="330" w:lineRule="atLeast"/>
        <w:ind w:left="360"/>
        <w:jc w:val="both"/>
        <w:rPr>
          <w:rFonts w:ascii="Segoe UI" w:hAnsi="Segoe UI" w:cs="Segoe UI"/>
          <w:sz w:val="22"/>
          <w:szCs w:val="22"/>
        </w:rPr>
      </w:pPr>
      <w:r w:rsidRPr="009F6884">
        <w:rPr>
          <w:rFonts w:ascii="Segoe UI" w:hAnsi="Segoe UI" w:cs="Segoe UI"/>
          <w:sz w:val="22"/>
          <w:szCs w:val="22"/>
        </w:rPr>
        <w:t>• Areas of value</w:t>
      </w:r>
    </w:p>
    <w:p w14:paraId="2B9FD4E4" w14:textId="77777777" w:rsidR="007302BE" w:rsidRPr="009F6884" w:rsidRDefault="007302BE" w:rsidP="00122124">
      <w:pPr>
        <w:pStyle w:val="NormalWeb"/>
        <w:spacing w:before="0" w:beforeAutospacing="0" w:after="0" w:afterAutospacing="0" w:line="330" w:lineRule="atLeast"/>
        <w:ind w:left="360"/>
        <w:jc w:val="both"/>
        <w:rPr>
          <w:rFonts w:ascii="Segoe UI" w:hAnsi="Segoe UI" w:cs="Segoe UI"/>
          <w:sz w:val="22"/>
          <w:szCs w:val="22"/>
        </w:rPr>
      </w:pPr>
      <w:r w:rsidRPr="009F6884">
        <w:rPr>
          <w:rFonts w:ascii="Segoe UI" w:hAnsi="Segoe UI" w:cs="Segoe UI"/>
          <w:sz w:val="22"/>
          <w:szCs w:val="22"/>
        </w:rPr>
        <w:t>• Leadership behaviours and accountabilities</w:t>
      </w:r>
    </w:p>
    <w:p w14:paraId="2DB6FEA1" w14:textId="77777777" w:rsidR="007302BE" w:rsidRPr="009F6884" w:rsidRDefault="007302BE" w:rsidP="00122124">
      <w:pPr>
        <w:pStyle w:val="NormalWeb"/>
        <w:spacing w:before="0" w:beforeAutospacing="0" w:after="0" w:afterAutospacing="0" w:line="330" w:lineRule="atLeast"/>
        <w:ind w:left="360"/>
        <w:jc w:val="both"/>
        <w:rPr>
          <w:rFonts w:ascii="Segoe UI" w:hAnsi="Segoe UI" w:cs="Segoe UI"/>
          <w:sz w:val="22"/>
          <w:szCs w:val="22"/>
        </w:rPr>
      </w:pPr>
      <w:r w:rsidRPr="009F6884">
        <w:rPr>
          <w:rFonts w:ascii="Segoe UI" w:hAnsi="Segoe UI" w:cs="Segoe UI"/>
          <w:sz w:val="22"/>
          <w:szCs w:val="22"/>
        </w:rPr>
        <w:t>• Medium-term priorities and long-term aims</w:t>
      </w:r>
    </w:p>
    <w:p w14:paraId="04D79EAF" w14:textId="77777777" w:rsidR="00B31582" w:rsidRDefault="00B31582" w:rsidP="00122124">
      <w:pPr>
        <w:pStyle w:val="NormalWeb"/>
        <w:spacing w:before="0" w:beforeAutospacing="0" w:after="0" w:afterAutospacing="0" w:line="330" w:lineRule="atLeast"/>
        <w:jc w:val="both"/>
        <w:rPr>
          <w:rFonts w:ascii="Segoe UI" w:hAnsi="Segoe UI" w:cs="Segoe UI"/>
          <w:sz w:val="22"/>
          <w:szCs w:val="22"/>
        </w:rPr>
      </w:pPr>
    </w:p>
    <w:p w14:paraId="71AA2CC9" w14:textId="69C72403" w:rsidR="007302BE" w:rsidRDefault="007302BE" w:rsidP="00B31582">
      <w:pPr>
        <w:pStyle w:val="NormalWeb"/>
        <w:spacing w:before="0" w:beforeAutospacing="0" w:after="0" w:afterAutospacing="0" w:line="330" w:lineRule="atLeast"/>
        <w:jc w:val="both"/>
        <w:rPr>
          <w:rFonts w:ascii="Segoe UI" w:hAnsi="Segoe UI" w:cs="Segoe UI"/>
          <w:sz w:val="22"/>
          <w:szCs w:val="22"/>
        </w:rPr>
      </w:pPr>
      <w:r w:rsidRPr="009F6884">
        <w:rPr>
          <w:rFonts w:ascii="Segoe UI" w:hAnsi="Segoe UI" w:cs="Segoe UI"/>
          <w:sz w:val="22"/>
          <w:szCs w:val="22"/>
        </w:rPr>
        <w:t xml:space="preserve">NHSE’s new framework helpfully clarifies the respective roles and accountabilities of providers, ICBs, and NHSE’s national and regional teams. This long-awaited new operating framework signals a clear shift in mindset and approach for NHSE. It makes a defined commitment to cultural and behavioural shift, which </w:t>
      </w:r>
      <w:r w:rsidR="00774A93">
        <w:rPr>
          <w:rFonts w:ascii="Segoe UI" w:hAnsi="Segoe UI" w:cs="Segoe UI"/>
          <w:sz w:val="22"/>
          <w:szCs w:val="22"/>
        </w:rPr>
        <w:t>sh</w:t>
      </w:r>
      <w:r w:rsidRPr="009F6884">
        <w:rPr>
          <w:rFonts w:ascii="Segoe UI" w:hAnsi="Segoe UI" w:cs="Segoe UI"/>
          <w:sz w:val="22"/>
          <w:szCs w:val="22"/>
        </w:rPr>
        <w:t xml:space="preserve">ould contribute to a constructive relationship with the provider sector. </w:t>
      </w:r>
    </w:p>
    <w:p w14:paraId="09A75C54" w14:textId="77777777" w:rsidR="00B31582" w:rsidRDefault="00B31582" w:rsidP="00B31582">
      <w:pPr>
        <w:pStyle w:val="NormalWeb"/>
        <w:spacing w:before="0" w:beforeAutospacing="0" w:after="0" w:afterAutospacing="0" w:line="330" w:lineRule="atLeast"/>
        <w:jc w:val="both"/>
        <w:rPr>
          <w:rFonts w:ascii="Segoe UI" w:hAnsi="Segoe UI" w:cs="Segoe UI"/>
          <w:b/>
          <w:bCs/>
          <w:sz w:val="22"/>
          <w:szCs w:val="22"/>
        </w:rPr>
      </w:pPr>
    </w:p>
    <w:p w14:paraId="5215A695" w14:textId="3EC05A0F" w:rsidR="007C46DA" w:rsidRDefault="008A1AA3" w:rsidP="00122124">
      <w:pPr>
        <w:jc w:val="both"/>
        <w:rPr>
          <w:rStyle w:val="Hyperlink"/>
          <w:rFonts w:ascii="Segoe UI" w:hAnsi="Segoe UI" w:cs="Segoe UI"/>
          <w:b/>
          <w:bCs/>
          <w:sz w:val="22"/>
          <w:szCs w:val="22"/>
        </w:rPr>
      </w:pPr>
      <w:hyperlink r:id="rId13" w:history="1">
        <w:r w:rsidR="00BE4BD1" w:rsidRPr="00BE4BD1">
          <w:rPr>
            <w:rStyle w:val="Hyperlink"/>
            <w:rFonts w:ascii="Segoe UI" w:hAnsi="Segoe UI" w:cs="Segoe UI"/>
            <w:b/>
            <w:bCs/>
            <w:sz w:val="22"/>
            <w:szCs w:val="22"/>
          </w:rPr>
          <w:t>On the day briefing: NHS England's new operating framework - NHS Providers</w:t>
        </w:r>
      </w:hyperlink>
    </w:p>
    <w:p w14:paraId="26437006" w14:textId="77777777" w:rsidR="007C46DA" w:rsidRPr="009F6884" w:rsidRDefault="007C46DA" w:rsidP="00122124">
      <w:pPr>
        <w:jc w:val="both"/>
        <w:rPr>
          <w:rFonts w:ascii="Segoe UI" w:hAnsi="Segoe UI" w:cs="Segoe UI"/>
          <w:b/>
          <w:bCs/>
          <w:sz w:val="22"/>
          <w:szCs w:val="22"/>
        </w:rPr>
      </w:pPr>
    </w:p>
    <w:p w14:paraId="03E54998" w14:textId="325FE25F" w:rsidR="007302BE" w:rsidRDefault="007302BE" w:rsidP="00374D93">
      <w:pPr>
        <w:jc w:val="both"/>
        <w:rPr>
          <w:rFonts w:ascii="Segoe UI" w:hAnsi="Segoe UI" w:cs="Segoe UI"/>
          <w:b/>
          <w:bCs/>
          <w:sz w:val="22"/>
          <w:szCs w:val="22"/>
        </w:rPr>
      </w:pPr>
      <w:r w:rsidRPr="009F6884">
        <w:rPr>
          <w:rFonts w:ascii="Segoe UI" w:hAnsi="Segoe UI" w:cs="Segoe UI"/>
          <w:b/>
          <w:bCs/>
          <w:sz w:val="22"/>
          <w:szCs w:val="22"/>
        </w:rPr>
        <w:t xml:space="preserve">Trust Position: </w:t>
      </w:r>
      <w:r w:rsidR="007C728C" w:rsidRPr="007C728C">
        <w:rPr>
          <w:rFonts w:ascii="Segoe UI" w:hAnsi="Segoe UI" w:cs="Segoe UI"/>
          <w:b/>
          <w:bCs/>
          <w:sz w:val="22"/>
          <w:szCs w:val="22"/>
        </w:rPr>
        <w:t xml:space="preserve">While many of the formal powers and accountabilities that NHSE has held historically will remain broadly the same, </w:t>
      </w:r>
      <w:r w:rsidR="00F5291C" w:rsidRPr="00F5291C">
        <w:rPr>
          <w:rFonts w:ascii="Segoe UI" w:hAnsi="Segoe UI" w:cs="Segoe UI"/>
          <w:b/>
          <w:bCs/>
          <w:sz w:val="22"/>
          <w:szCs w:val="22"/>
        </w:rPr>
        <w:t xml:space="preserve">NHSE has committed to </w:t>
      </w:r>
      <w:proofErr w:type="gramStart"/>
      <w:r w:rsidR="00F5291C">
        <w:rPr>
          <w:rFonts w:ascii="Segoe UI" w:hAnsi="Segoe UI" w:cs="Segoe UI"/>
          <w:b/>
          <w:bCs/>
          <w:sz w:val="22"/>
          <w:szCs w:val="22"/>
        </w:rPr>
        <w:t>a number of</w:t>
      </w:r>
      <w:proofErr w:type="gramEnd"/>
      <w:r w:rsidR="00F5291C">
        <w:rPr>
          <w:rFonts w:ascii="Segoe UI" w:hAnsi="Segoe UI" w:cs="Segoe UI"/>
          <w:b/>
          <w:bCs/>
          <w:sz w:val="22"/>
          <w:szCs w:val="22"/>
        </w:rPr>
        <w:t xml:space="preserve"> things which include a </w:t>
      </w:r>
      <w:r w:rsidR="008F5401">
        <w:rPr>
          <w:rFonts w:ascii="Segoe UI" w:hAnsi="Segoe UI" w:cs="Segoe UI"/>
          <w:b/>
          <w:bCs/>
          <w:sz w:val="22"/>
          <w:szCs w:val="22"/>
        </w:rPr>
        <w:t>p</w:t>
      </w:r>
      <w:r w:rsidR="00F5291C" w:rsidRPr="00F5291C">
        <w:rPr>
          <w:rFonts w:ascii="Segoe UI" w:hAnsi="Segoe UI" w:cs="Segoe UI"/>
          <w:b/>
          <w:bCs/>
          <w:sz w:val="22"/>
          <w:szCs w:val="22"/>
        </w:rPr>
        <w:t>roportionate and streamlined approach to oversight and performance management between integrated care boards (ICBs) and NHS England, using the System Oversight Framework to avoid duplication and reduce unnecessary bureaucracy</w:t>
      </w:r>
      <w:r w:rsidR="008F5401">
        <w:rPr>
          <w:rFonts w:ascii="Segoe UI" w:hAnsi="Segoe UI" w:cs="Segoe UI"/>
          <w:b/>
          <w:bCs/>
          <w:sz w:val="22"/>
          <w:szCs w:val="22"/>
        </w:rPr>
        <w:t>.</w:t>
      </w:r>
    </w:p>
    <w:p w14:paraId="6B79BB69" w14:textId="77777777" w:rsidR="002A02D6" w:rsidRDefault="002A02D6" w:rsidP="007302BE">
      <w:pPr>
        <w:rPr>
          <w:rFonts w:ascii="Segoe UI" w:hAnsi="Segoe UI" w:cs="Segoe UI"/>
          <w:b/>
          <w:bCs/>
          <w:sz w:val="22"/>
          <w:szCs w:val="22"/>
        </w:rPr>
      </w:pPr>
    </w:p>
    <w:p w14:paraId="3DD62F0F" w14:textId="64B7570F" w:rsidR="00786EA7" w:rsidRPr="00B870B5" w:rsidRDefault="002A02D6" w:rsidP="00AB4E91">
      <w:pPr>
        <w:jc w:val="both"/>
        <w:rPr>
          <w:rFonts w:ascii="Segoe UI" w:hAnsi="Segoe UI" w:cs="Segoe UI"/>
          <w:b/>
          <w:bCs/>
          <w:sz w:val="22"/>
          <w:szCs w:val="22"/>
        </w:rPr>
      </w:pPr>
      <w:proofErr w:type="gramStart"/>
      <w:r>
        <w:rPr>
          <w:rFonts w:ascii="Segoe UI" w:hAnsi="Segoe UI" w:cs="Segoe UI"/>
          <w:b/>
          <w:bCs/>
          <w:sz w:val="22"/>
          <w:szCs w:val="22"/>
        </w:rPr>
        <w:t>It is clear that we</w:t>
      </w:r>
      <w:proofErr w:type="gramEnd"/>
      <w:r>
        <w:rPr>
          <w:rFonts w:ascii="Segoe UI" w:hAnsi="Segoe UI" w:cs="Segoe UI"/>
          <w:b/>
          <w:bCs/>
          <w:sz w:val="22"/>
          <w:szCs w:val="22"/>
        </w:rPr>
        <w:t xml:space="preserve"> will </w:t>
      </w:r>
      <w:r w:rsidRPr="002A02D6">
        <w:rPr>
          <w:rFonts w:ascii="Segoe UI" w:hAnsi="Segoe UI" w:cs="Segoe UI"/>
          <w:b/>
          <w:bCs/>
          <w:sz w:val="22"/>
          <w:szCs w:val="22"/>
        </w:rPr>
        <w:t xml:space="preserve">retain </w:t>
      </w:r>
      <w:r>
        <w:rPr>
          <w:rFonts w:ascii="Segoe UI" w:hAnsi="Segoe UI" w:cs="Segoe UI"/>
          <w:b/>
          <w:bCs/>
          <w:sz w:val="22"/>
          <w:szCs w:val="22"/>
        </w:rPr>
        <w:t xml:space="preserve">our </w:t>
      </w:r>
      <w:r w:rsidRPr="002A02D6">
        <w:rPr>
          <w:rFonts w:ascii="Segoe UI" w:hAnsi="Segoe UI" w:cs="Segoe UI"/>
          <w:b/>
          <w:bCs/>
          <w:sz w:val="22"/>
          <w:szCs w:val="22"/>
        </w:rPr>
        <w:t xml:space="preserve">statutory responsibilities for the delivery of safe, effective, efficient, high-quality services </w:t>
      </w:r>
      <w:r>
        <w:rPr>
          <w:rFonts w:ascii="Segoe UI" w:hAnsi="Segoe UI" w:cs="Segoe UI"/>
          <w:b/>
          <w:bCs/>
          <w:sz w:val="22"/>
          <w:szCs w:val="22"/>
        </w:rPr>
        <w:t>and will be required to</w:t>
      </w:r>
      <w:r w:rsidRPr="002A02D6">
        <w:rPr>
          <w:rFonts w:ascii="Segoe UI" w:hAnsi="Segoe UI" w:cs="Segoe UI"/>
          <w:b/>
          <w:bCs/>
          <w:sz w:val="22"/>
          <w:szCs w:val="22"/>
        </w:rPr>
        <w:t xml:space="preserve"> continue to comply with the provider </w:t>
      </w:r>
      <w:proofErr w:type="spellStart"/>
      <w:r w:rsidRPr="002A02D6">
        <w:rPr>
          <w:rFonts w:ascii="Segoe UI" w:hAnsi="Segoe UI" w:cs="Segoe UI"/>
          <w:b/>
          <w:bCs/>
          <w:sz w:val="22"/>
          <w:szCs w:val="22"/>
        </w:rPr>
        <w:t>licence</w:t>
      </w:r>
      <w:proofErr w:type="spellEnd"/>
      <w:r>
        <w:rPr>
          <w:rFonts w:ascii="Segoe UI" w:hAnsi="Segoe UI" w:cs="Segoe UI"/>
          <w:b/>
          <w:bCs/>
          <w:sz w:val="22"/>
          <w:szCs w:val="22"/>
        </w:rPr>
        <w:t xml:space="preserve"> which we assert </w:t>
      </w:r>
      <w:r w:rsidR="0053211B">
        <w:rPr>
          <w:rFonts w:ascii="Segoe UI" w:hAnsi="Segoe UI" w:cs="Segoe UI"/>
          <w:b/>
          <w:bCs/>
          <w:sz w:val="22"/>
          <w:szCs w:val="22"/>
        </w:rPr>
        <w:t xml:space="preserve">compliance with </w:t>
      </w:r>
      <w:r>
        <w:rPr>
          <w:rFonts w:ascii="Segoe UI" w:hAnsi="Segoe UI" w:cs="Segoe UI"/>
          <w:b/>
          <w:bCs/>
          <w:sz w:val="22"/>
          <w:szCs w:val="22"/>
        </w:rPr>
        <w:t xml:space="preserve">annually.  We will </w:t>
      </w:r>
      <w:r w:rsidR="000C05E1">
        <w:rPr>
          <w:rFonts w:ascii="Segoe UI" w:hAnsi="Segoe UI" w:cs="Segoe UI"/>
          <w:b/>
          <w:bCs/>
          <w:sz w:val="22"/>
          <w:szCs w:val="22"/>
        </w:rPr>
        <w:t>be required as a provide</w:t>
      </w:r>
      <w:r w:rsidR="0053211B">
        <w:rPr>
          <w:rFonts w:ascii="Segoe UI" w:hAnsi="Segoe UI" w:cs="Segoe UI"/>
          <w:b/>
          <w:bCs/>
          <w:sz w:val="22"/>
          <w:szCs w:val="22"/>
        </w:rPr>
        <w:t>r</w:t>
      </w:r>
      <w:r w:rsidR="000C05E1">
        <w:rPr>
          <w:rFonts w:ascii="Segoe UI" w:hAnsi="Segoe UI" w:cs="Segoe UI"/>
          <w:b/>
          <w:bCs/>
          <w:sz w:val="22"/>
          <w:szCs w:val="22"/>
        </w:rPr>
        <w:t xml:space="preserve"> to comply with </w:t>
      </w:r>
      <w:r w:rsidRPr="002A02D6">
        <w:rPr>
          <w:rFonts w:ascii="Segoe UI" w:hAnsi="Segoe UI" w:cs="Segoe UI"/>
          <w:b/>
          <w:bCs/>
          <w:sz w:val="22"/>
          <w:szCs w:val="22"/>
        </w:rPr>
        <w:t>Care Quality Commission (CQC) standards and NHS planning guidance requirements</w:t>
      </w:r>
      <w:r w:rsidR="000C05E1">
        <w:rPr>
          <w:rFonts w:ascii="Segoe UI" w:hAnsi="Segoe UI" w:cs="Segoe UI"/>
          <w:b/>
          <w:bCs/>
          <w:sz w:val="22"/>
          <w:szCs w:val="22"/>
        </w:rPr>
        <w:t xml:space="preserve">, and to </w:t>
      </w:r>
      <w:r w:rsidRPr="002A02D6">
        <w:rPr>
          <w:rFonts w:ascii="Segoe UI" w:hAnsi="Segoe UI" w:cs="Segoe UI"/>
          <w:b/>
          <w:bCs/>
          <w:sz w:val="22"/>
          <w:szCs w:val="22"/>
        </w:rPr>
        <w:t>contribute to effective system working via ICS strategies and plans</w:t>
      </w:r>
      <w:r w:rsidR="000C05E1">
        <w:rPr>
          <w:rFonts w:ascii="Segoe UI" w:hAnsi="Segoe UI" w:cs="Segoe UI"/>
          <w:b/>
          <w:bCs/>
          <w:sz w:val="22"/>
          <w:szCs w:val="22"/>
        </w:rPr>
        <w:t xml:space="preserve">.  We </w:t>
      </w:r>
      <w:r w:rsidRPr="002A02D6">
        <w:rPr>
          <w:rFonts w:ascii="Segoe UI" w:hAnsi="Segoe UI" w:cs="Segoe UI"/>
          <w:b/>
          <w:bCs/>
          <w:sz w:val="22"/>
          <w:szCs w:val="22"/>
        </w:rPr>
        <w:t xml:space="preserve">remain accountable to people, communities, services users, </w:t>
      </w:r>
      <w:r w:rsidR="000C05E1">
        <w:rPr>
          <w:rFonts w:ascii="Segoe UI" w:hAnsi="Segoe UI" w:cs="Segoe UI"/>
          <w:b/>
          <w:bCs/>
          <w:sz w:val="22"/>
          <w:szCs w:val="22"/>
        </w:rPr>
        <w:t>Council</w:t>
      </w:r>
      <w:r w:rsidR="008642C5">
        <w:rPr>
          <w:rFonts w:ascii="Segoe UI" w:hAnsi="Segoe UI" w:cs="Segoe UI"/>
          <w:b/>
          <w:bCs/>
          <w:sz w:val="22"/>
          <w:szCs w:val="22"/>
        </w:rPr>
        <w:t>s</w:t>
      </w:r>
      <w:r w:rsidR="000C05E1">
        <w:rPr>
          <w:rFonts w:ascii="Segoe UI" w:hAnsi="Segoe UI" w:cs="Segoe UI"/>
          <w:b/>
          <w:bCs/>
          <w:sz w:val="22"/>
          <w:szCs w:val="22"/>
        </w:rPr>
        <w:t xml:space="preserve"> </w:t>
      </w:r>
      <w:r w:rsidRPr="002A02D6">
        <w:rPr>
          <w:rFonts w:ascii="Segoe UI" w:hAnsi="Segoe UI" w:cs="Segoe UI"/>
          <w:b/>
          <w:bCs/>
          <w:sz w:val="22"/>
          <w:szCs w:val="22"/>
        </w:rPr>
        <w:t xml:space="preserve">of </w:t>
      </w:r>
      <w:r w:rsidR="000C05E1">
        <w:rPr>
          <w:rFonts w:ascii="Segoe UI" w:hAnsi="Segoe UI" w:cs="Segoe UI"/>
          <w:b/>
          <w:bCs/>
          <w:sz w:val="22"/>
          <w:szCs w:val="22"/>
        </w:rPr>
        <w:t>G</w:t>
      </w:r>
      <w:r w:rsidRPr="002A02D6">
        <w:rPr>
          <w:rFonts w:ascii="Segoe UI" w:hAnsi="Segoe UI" w:cs="Segoe UI"/>
          <w:b/>
          <w:bCs/>
          <w:sz w:val="22"/>
          <w:szCs w:val="22"/>
        </w:rPr>
        <w:t>overnors and ICS partners</w:t>
      </w:r>
      <w:r w:rsidR="002D3AFB">
        <w:rPr>
          <w:rFonts w:ascii="Segoe UI" w:hAnsi="Segoe UI" w:cs="Segoe UI"/>
          <w:b/>
          <w:bCs/>
          <w:sz w:val="22"/>
          <w:szCs w:val="22"/>
        </w:rPr>
        <w:t>.</w:t>
      </w:r>
      <w:r w:rsidR="00151DF4">
        <w:rPr>
          <w:rFonts w:ascii="Segoe UI" w:hAnsi="Segoe UI" w:cs="Segoe UI"/>
          <w:b/>
          <w:bCs/>
          <w:sz w:val="22"/>
          <w:szCs w:val="22"/>
        </w:rPr>
        <w:t xml:space="preserve"> We are</w:t>
      </w:r>
      <w:r w:rsidRPr="002A02D6">
        <w:rPr>
          <w:rFonts w:ascii="Segoe UI" w:hAnsi="Segoe UI" w:cs="Segoe UI"/>
          <w:b/>
          <w:bCs/>
          <w:sz w:val="22"/>
          <w:szCs w:val="22"/>
        </w:rPr>
        <w:t xml:space="preserve"> accountable to ICBs </w:t>
      </w:r>
      <w:r w:rsidRPr="002A02D6">
        <w:rPr>
          <w:rFonts w:ascii="Segoe UI" w:hAnsi="Segoe UI" w:cs="Segoe UI"/>
          <w:b/>
          <w:bCs/>
          <w:sz w:val="22"/>
          <w:szCs w:val="22"/>
        </w:rPr>
        <w:lastRenderedPageBreak/>
        <w:t>for ‘business as usual’ delivery of services and performance</w:t>
      </w:r>
      <w:r w:rsidR="00151DF4">
        <w:rPr>
          <w:rFonts w:ascii="Segoe UI" w:hAnsi="Segoe UI" w:cs="Segoe UI"/>
          <w:b/>
          <w:bCs/>
          <w:sz w:val="22"/>
          <w:szCs w:val="22"/>
        </w:rPr>
        <w:t xml:space="preserve"> </w:t>
      </w:r>
      <w:r w:rsidR="00140078">
        <w:rPr>
          <w:rFonts w:ascii="Segoe UI" w:hAnsi="Segoe UI" w:cs="Segoe UI"/>
          <w:b/>
          <w:bCs/>
          <w:sz w:val="22"/>
          <w:szCs w:val="22"/>
        </w:rPr>
        <w:t xml:space="preserve">and are </w:t>
      </w:r>
      <w:r w:rsidRPr="002A02D6">
        <w:rPr>
          <w:rFonts w:ascii="Segoe UI" w:hAnsi="Segoe UI" w:cs="Segoe UI"/>
          <w:b/>
          <w:bCs/>
          <w:sz w:val="22"/>
          <w:szCs w:val="22"/>
        </w:rPr>
        <w:t>accountable to NHSE as regulator by escalation/ exception or agreement with ICB</w:t>
      </w:r>
      <w:r w:rsidR="002D3AFB">
        <w:rPr>
          <w:rFonts w:ascii="Segoe UI" w:hAnsi="Segoe UI" w:cs="Segoe UI"/>
          <w:b/>
          <w:bCs/>
          <w:sz w:val="22"/>
          <w:szCs w:val="22"/>
        </w:rPr>
        <w:t>.</w:t>
      </w:r>
      <w:r w:rsidR="00934B43">
        <w:rPr>
          <w:rFonts w:ascii="Segoe UI" w:hAnsi="Segoe UI" w:cs="Segoe UI"/>
          <w:b/>
          <w:bCs/>
          <w:sz w:val="22"/>
          <w:szCs w:val="22"/>
        </w:rPr>
        <w:t xml:space="preserve">  The Trust is currently in segment 2</w:t>
      </w:r>
      <w:r w:rsidR="000C789D">
        <w:rPr>
          <w:rFonts w:ascii="Segoe UI" w:hAnsi="Segoe UI" w:cs="Segoe UI"/>
          <w:b/>
          <w:bCs/>
          <w:sz w:val="22"/>
          <w:szCs w:val="22"/>
        </w:rPr>
        <w:t xml:space="preserve">, and NHSE provides support for organisations in segments </w:t>
      </w:r>
      <w:r w:rsidR="00095DEF">
        <w:rPr>
          <w:rFonts w:ascii="Segoe UI" w:hAnsi="Segoe UI" w:cs="Segoe UI"/>
          <w:b/>
          <w:bCs/>
          <w:sz w:val="22"/>
          <w:szCs w:val="22"/>
        </w:rPr>
        <w:t>3 and 4.</w:t>
      </w:r>
    </w:p>
    <w:p w14:paraId="7AA80B1A" w14:textId="77777777" w:rsidR="00B870B5" w:rsidRPr="000242B4" w:rsidRDefault="00B870B5" w:rsidP="00B870B5">
      <w:pPr>
        <w:rPr>
          <w:rFonts w:ascii="Segoe UI" w:hAnsi="Segoe UI" w:cs="Segoe UI"/>
          <w:b/>
          <w:bCs/>
          <w:sz w:val="22"/>
          <w:szCs w:val="22"/>
        </w:rPr>
      </w:pPr>
    </w:p>
    <w:p w14:paraId="1BBEEEB1" w14:textId="6B91401B" w:rsidR="00B870B5" w:rsidRPr="000242B4" w:rsidRDefault="00B870B5" w:rsidP="00DC0A3A">
      <w:pPr>
        <w:pStyle w:val="NormalWeb"/>
        <w:spacing w:before="0" w:beforeAutospacing="0" w:after="0" w:afterAutospacing="0" w:line="294" w:lineRule="atLeast"/>
        <w:jc w:val="both"/>
        <w:rPr>
          <w:rFonts w:ascii="Segoe UI" w:hAnsi="Segoe UI" w:cs="Segoe UI"/>
          <w:sz w:val="22"/>
          <w:szCs w:val="22"/>
        </w:rPr>
      </w:pPr>
      <w:r w:rsidRPr="000242B4">
        <w:rPr>
          <w:rFonts w:ascii="Segoe UI" w:hAnsi="Segoe UI" w:cs="Segoe UI"/>
          <w:sz w:val="22"/>
          <w:szCs w:val="22"/>
        </w:rPr>
        <w:t xml:space="preserve">NHS England (NHSE) </w:t>
      </w:r>
      <w:r w:rsidR="00086867">
        <w:rPr>
          <w:rFonts w:ascii="Segoe UI" w:hAnsi="Segoe UI" w:cs="Segoe UI"/>
          <w:sz w:val="22"/>
          <w:szCs w:val="22"/>
        </w:rPr>
        <w:t xml:space="preserve">has </w:t>
      </w:r>
      <w:r w:rsidRPr="000242B4">
        <w:rPr>
          <w:rFonts w:ascii="Segoe UI" w:hAnsi="Segoe UI" w:cs="Segoe UI"/>
          <w:sz w:val="22"/>
          <w:szCs w:val="22"/>
        </w:rPr>
        <w:t>published three sets of documents</w:t>
      </w:r>
      <w:r w:rsidR="00B6792D">
        <w:rPr>
          <w:rFonts w:ascii="Segoe UI" w:hAnsi="Segoe UI" w:cs="Segoe UI"/>
          <w:sz w:val="22"/>
          <w:szCs w:val="22"/>
        </w:rPr>
        <w:t xml:space="preserve"> that were consulted </w:t>
      </w:r>
      <w:r w:rsidR="00506318">
        <w:rPr>
          <w:rFonts w:ascii="Segoe UI" w:hAnsi="Segoe UI" w:cs="Segoe UI"/>
          <w:sz w:val="22"/>
          <w:szCs w:val="22"/>
        </w:rPr>
        <w:t>on earlier this year</w:t>
      </w:r>
      <w:r w:rsidRPr="000242B4">
        <w:rPr>
          <w:rFonts w:ascii="Segoe UI" w:hAnsi="Segoe UI" w:cs="Segoe UI"/>
          <w:sz w:val="22"/>
          <w:szCs w:val="22"/>
        </w:rPr>
        <w:t xml:space="preserve">: </w:t>
      </w:r>
    </w:p>
    <w:p w14:paraId="06D7B4BA" w14:textId="367D6DA1" w:rsidR="00B870B5" w:rsidRPr="000242B4" w:rsidRDefault="00B870B5" w:rsidP="004C21C7">
      <w:pPr>
        <w:numPr>
          <w:ilvl w:val="0"/>
          <w:numId w:val="2"/>
        </w:numPr>
        <w:spacing w:line="294" w:lineRule="atLeast"/>
        <w:jc w:val="both"/>
        <w:rPr>
          <w:rFonts w:ascii="Segoe UI" w:hAnsi="Segoe UI" w:cs="Segoe UI"/>
          <w:sz w:val="22"/>
          <w:szCs w:val="22"/>
        </w:rPr>
      </w:pPr>
      <w:r w:rsidRPr="000242B4">
        <w:rPr>
          <w:rFonts w:ascii="Segoe UI" w:hAnsi="Segoe UI" w:cs="Segoe UI"/>
          <w:sz w:val="22"/>
          <w:szCs w:val="22"/>
        </w:rPr>
        <w:t xml:space="preserve">A consultation on changes to the NHS provider </w:t>
      </w:r>
      <w:proofErr w:type="spellStart"/>
      <w:r w:rsidRPr="000242B4">
        <w:rPr>
          <w:rFonts w:ascii="Segoe UI" w:hAnsi="Segoe UI" w:cs="Segoe UI"/>
          <w:sz w:val="22"/>
          <w:szCs w:val="22"/>
        </w:rPr>
        <w:t>licence</w:t>
      </w:r>
      <w:proofErr w:type="spellEnd"/>
      <w:r w:rsidRPr="000242B4">
        <w:rPr>
          <w:rFonts w:ascii="Segoe UI" w:hAnsi="Segoe UI" w:cs="Segoe UI"/>
          <w:sz w:val="22"/>
          <w:szCs w:val="22"/>
        </w:rPr>
        <w:t xml:space="preserve">. The consultation will run for six weeks, closing on 9 December 2022. </w:t>
      </w:r>
    </w:p>
    <w:p w14:paraId="1C3CEE6F" w14:textId="6A40C1A2" w:rsidR="00B870B5" w:rsidRPr="000242B4" w:rsidRDefault="00B870B5" w:rsidP="004C21C7">
      <w:pPr>
        <w:numPr>
          <w:ilvl w:val="0"/>
          <w:numId w:val="2"/>
        </w:numPr>
        <w:spacing w:line="294" w:lineRule="atLeast"/>
        <w:jc w:val="both"/>
        <w:rPr>
          <w:rFonts w:ascii="Segoe UI" w:hAnsi="Segoe UI" w:cs="Segoe UI"/>
          <w:sz w:val="22"/>
          <w:szCs w:val="22"/>
        </w:rPr>
      </w:pPr>
      <w:r w:rsidRPr="000242B4">
        <w:rPr>
          <w:rFonts w:ascii="Segoe UI" w:hAnsi="Segoe UI" w:cs="Segoe UI"/>
          <w:sz w:val="22"/>
          <w:szCs w:val="22"/>
        </w:rPr>
        <w:t xml:space="preserve">A new code of governance for trusts, addendum to </w:t>
      </w:r>
      <w:r w:rsidR="00086867">
        <w:rPr>
          <w:rFonts w:ascii="Segoe UI" w:hAnsi="Segoe UI" w:cs="Segoe UI"/>
          <w:sz w:val="22"/>
          <w:szCs w:val="22"/>
        </w:rPr>
        <w:t>‘</w:t>
      </w:r>
      <w:r w:rsidRPr="000242B4">
        <w:rPr>
          <w:rFonts w:ascii="Segoe UI" w:hAnsi="Segoe UI" w:cs="Segoe UI"/>
          <w:sz w:val="22"/>
          <w:szCs w:val="22"/>
        </w:rPr>
        <w:t>your statutory duties</w:t>
      </w:r>
      <w:r w:rsidR="00086867">
        <w:rPr>
          <w:rFonts w:ascii="Segoe UI" w:hAnsi="Segoe UI" w:cs="Segoe UI"/>
          <w:sz w:val="22"/>
          <w:szCs w:val="22"/>
        </w:rPr>
        <w:t>’</w:t>
      </w:r>
      <w:r w:rsidRPr="000242B4">
        <w:rPr>
          <w:rFonts w:ascii="Segoe UI" w:hAnsi="Segoe UI" w:cs="Segoe UI"/>
          <w:sz w:val="22"/>
          <w:szCs w:val="22"/>
        </w:rPr>
        <w:t>, and guidance on good governance and collaboration.</w:t>
      </w:r>
    </w:p>
    <w:p w14:paraId="6893C7E7" w14:textId="7939D4FD" w:rsidR="00B870B5" w:rsidRDefault="00B870B5" w:rsidP="004C21C7">
      <w:pPr>
        <w:numPr>
          <w:ilvl w:val="0"/>
          <w:numId w:val="2"/>
        </w:numPr>
        <w:spacing w:line="294" w:lineRule="atLeast"/>
        <w:jc w:val="both"/>
        <w:rPr>
          <w:rFonts w:ascii="Segoe UI" w:hAnsi="Segoe UI" w:cs="Segoe UI"/>
          <w:sz w:val="22"/>
          <w:szCs w:val="22"/>
        </w:rPr>
      </w:pPr>
      <w:r w:rsidRPr="000242B4">
        <w:rPr>
          <w:rFonts w:ascii="Segoe UI" w:hAnsi="Segoe UI" w:cs="Segoe UI"/>
          <w:sz w:val="22"/>
          <w:szCs w:val="22"/>
        </w:rPr>
        <w:t xml:space="preserve">A separate consultation on changes to the NHS enforcement guidance, setting out how NHSE intends to deal with breaches of the provider </w:t>
      </w:r>
      <w:proofErr w:type="spellStart"/>
      <w:r w:rsidRPr="000242B4">
        <w:rPr>
          <w:rFonts w:ascii="Segoe UI" w:hAnsi="Segoe UI" w:cs="Segoe UI"/>
          <w:sz w:val="22"/>
          <w:szCs w:val="22"/>
        </w:rPr>
        <w:t>licence</w:t>
      </w:r>
      <w:proofErr w:type="spellEnd"/>
      <w:r w:rsidRPr="000242B4">
        <w:rPr>
          <w:rFonts w:ascii="Segoe UI" w:hAnsi="Segoe UI" w:cs="Segoe UI"/>
          <w:sz w:val="22"/>
          <w:szCs w:val="22"/>
        </w:rPr>
        <w:t>. This consultation also closes on 9 December. </w:t>
      </w:r>
    </w:p>
    <w:p w14:paraId="3AACE3A0" w14:textId="77777777" w:rsidR="00D872E5" w:rsidRPr="000242B4" w:rsidRDefault="00D872E5" w:rsidP="00DC0A3A">
      <w:pPr>
        <w:spacing w:line="294" w:lineRule="atLeast"/>
        <w:ind w:left="720"/>
        <w:jc w:val="both"/>
        <w:rPr>
          <w:rFonts w:ascii="Segoe UI" w:hAnsi="Segoe UI" w:cs="Segoe UI"/>
          <w:sz w:val="22"/>
          <w:szCs w:val="22"/>
        </w:rPr>
      </w:pPr>
    </w:p>
    <w:p w14:paraId="0868CFE0" w14:textId="0E573090" w:rsidR="00B870B5" w:rsidRDefault="00B870B5" w:rsidP="00DC0A3A">
      <w:pPr>
        <w:pStyle w:val="NormalWeb"/>
        <w:spacing w:before="0" w:beforeAutospacing="0" w:after="0" w:afterAutospacing="0" w:line="294" w:lineRule="atLeast"/>
        <w:jc w:val="both"/>
        <w:rPr>
          <w:rFonts w:ascii="Segoe UI" w:hAnsi="Segoe UI" w:cs="Segoe UI"/>
          <w:sz w:val="22"/>
          <w:szCs w:val="22"/>
        </w:rPr>
      </w:pPr>
      <w:r w:rsidRPr="000242B4">
        <w:rPr>
          <w:rFonts w:ascii="Segoe UI" w:hAnsi="Segoe UI" w:cs="Segoe UI"/>
          <w:sz w:val="22"/>
          <w:szCs w:val="22"/>
        </w:rPr>
        <w:t>The need to change the licence has arisen from changes to the statutory and operating environment, including a shift of emphasis from economic regulation and competition to system working and collaboration. The proposed changes will bring the licence up to date, reflecting the new legislation and supporting providers to work effectively as part of integrated care systems (ICSs).</w:t>
      </w:r>
    </w:p>
    <w:p w14:paraId="41EEC341" w14:textId="77777777" w:rsidR="002B012E" w:rsidRPr="000242B4" w:rsidRDefault="002B012E" w:rsidP="00DC0A3A">
      <w:pPr>
        <w:pStyle w:val="NormalWeb"/>
        <w:spacing w:before="0" w:beforeAutospacing="0" w:after="0" w:afterAutospacing="0" w:line="294" w:lineRule="atLeast"/>
        <w:jc w:val="both"/>
        <w:rPr>
          <w:rFonts w:ascii="Segoe UI" w:hAnsi="Segoe UI" w:cs="Segoe UI"/>
          <w:sz w:val="22"/>
          <w:szCs w:val="22"/>
        </w:rPr>
      </w:pPr>
    </w:p>
    <w:p w14:paraId="37FB6784" w14:textId="3F5F7F1E" w:rsidR="00B870B5" w:rsidRPr="000242B4" w:rsidRDefault="00B870B5" w:rsidP="00DC0A3A">
      <w:pPr>
        <w:pStyle w:val="NormalWeb"/>
        <w:spacing w:before="0" w:beforeAutospacing="0" w:after="0" w:afterAutospacing="0" w:line="294" w:lineRule="atLeast"/>
        <w:jc w:val="both"/>
        <w:rPr>
          <w:rFonts w:ascii="Segoe UI" w:hAnsi="Segoe UI" w:cs="Segoe UI"/>
          <w:sz w:val="22"/>
          <w:szCs w:val="22"/>
        </w:rPr>
      </w:pPr>
      <w:r w:rsidRPr="000242B4">
        <w:rPr>
          <w:rFonts w:ascii="Segoe UI" w:hAnsi="Segoe UI" w:cs="Segoe UI"/>
          <w:sz w:val="22"/>
          <w:szCs w:val="22"/>
        </w:rPr>
        <w:t xml:space="preserve">The three guidance documents underpinning the provider licence were consulted on earlier this year and </w:t>
      </w:r>
      <w:r w:rsidR="009C7B1C">
        <w:rPr>
          <w:rFonts w:ascii="Segoe UI" w:hAnsi="Segoe UI" w:cs="Segoe UI"/>
          <w:sz w:val="22"/>
          <w:szCs w:val="22"/>
        </w:rPr>
        <w:t>have been</w:t>
      </w:r>
      <w:r w:rsidRPr="000242B4">
        <w:rPr>
          <w:rFonts w:ascii="Segoe UI" w:hAnsi="Segoe UI" w:cs="Segoe UI"/>
          <w:sz w:val="22"/>
          <w:szCs w:val="22"/>
        </w:rPr>
        <w:t xml:space="preserve"> published alongside NHSE’s response to that consultation. </w:t>
      </w:r>
    </w:p>
    <w:p w14:paraId="42BF140F" w14:textId="5DEDBCED" w:rsidR="00B870B5" w:rsidRDefault="00B870B5" w:rsidP="00DC0A3A">
      <w:pPr>
        <w:pStyle w:val="NormalWeb"/>
        <w:spacing w:before="0" w:beforeAutospacing="0" w:after="0" w:afterAutospacing="0" w:line="294" w:lineRule="atLeast"/>
        <w:jc w:val="both"/>
        <w:rPr>
          <w:rFonts w:ascii="Segoe UI" w:hAnsi="Segoe UI" w:cs="Segoe UI"/>
          <w:sz w:val="22"/>
          <w:szCs w:val="22"/>
        </w:rPr>
      </w:pPr>
      <w:r w:rsidRPr="000242B4">
        <w:rPr>
          <w:rFonts w:ascii="Segoe UI" w:hAnsi="Segoe UI" w:cs="Segoe UI"/>
          <w:sz w:val="22"/>
          <w:szCs w:val="22"/>
        </w:rPr>
        <w:t xml:space="preserve">The revised enforcement guidance describes NHS England’s intended approach to using its enforcement powers in relation to </w:t>
      </w:r>
      <w:proofErr w:type="gramStart"/>
      <w:r w:rsidRPr="000242B4">
        <w:rPr>
          <w:rFonts w:ascii="Segoe UI" w:hAnsi="Segoe UI" w:cs="Segoe UI"/>
          <w:sz w:val="22"/>
          <w:szCs w:val="22"/>
        </w:rPr>
        <w:t>integrated</w:t>
      </w:r>
      <w:proofErr w:type="gramEnd"/>
      <w:r w:rsidRPr="000242B4">
        <w:rPr>
          <w:rFonts w:ascii="Segoe UI" w:hAnsi="Segoe UI" w:cs="Segoe UI"/>
          <w:sz w:val="22"/>
          <w:szCs w:val="22"/>
        </w:rPr>
        <w:t xml:space="preserve"> care boards (ICBs), NHS foundation trusts and trusts, licensed independent providers of NHS services, and licensed NHS controlled providers. It explains the regulatory and statutory processes in the event of enforcement action and subsequent rights of appeal.</w:t>
      </w:r>
      <w:r w:rsidR="00116358">
        <w:rPr>
          <w:rFonts w:ascii="Segoe UI" w:hAnsi="Segoe UI" w:cs="Segoe UI"/>
          <w:sz w:val="22"/>
          <w:szCs w:val="22"/>
        </w:rPr>
        <w:t xml:space="preserve">  See the next two items for the detail of the enforcement guidance and governance consultations. </w:t>
      </w:r>
    </w:p>
    <w:p w14:paraId="37716CE0" w14:textId="77777777" w:rsidR="00B870B5" w:rsidRDefault="00B870B5" w:rsidP="00B870B5">
      <w:pPr>
        <w:pStyle w:val="NormalWeb"/>
        <w:spacing w:before="0" w:beforeAutospacing="0" w:after="0" w:afterAutospacing="0" w:line="294" w:lineRule="atLeast"/>
        <w:rPr>
          <w:rFonts w:ascii="Segoe UI" w:hAnsi="Segoe UI" w:cs="Segoe UI"/>
          <w:sz w:val="22"/>
          <w:szCs w:val="22"/>
        </w:rPr>
      </w:pPr>
    </w:p>
    <w:p w14:paraId="156A96A8" w14:textId="77777777" w:rsidR="00B870B5" w:rsidRPr="00011EB6" w:rsidRDefault="008A1AA3" w:rsidP="00B870B5">
      <w:pPr>
        <w:pStyle w:val="NormalWeb"/>
        <w:spacing w:before="0" w:beforeAutospacing="0" w:after="0" w:afterAutospacing="0" w:line="294" w:lineRule="atLeast"/>
        <w:rPr>
          <w:rFonts w:ascii="Segoe UI" w:hAnsi="Segoe UI" w:cs="Segoe UI"/>
          <w:b/>
          <w:bCs/>
          <w:sz w:val="22"/>
          <w:szCs w:val="22"/>
        </w:rPr>
      </w:pPr>
      <w:hyperlink r:id="rId14" w:history="1">
        <w:r w:rsidR="00B870B5" w:rsidRPr="00011EB6">
          <w:rPr>
            <w:rStyle w:val="Hyperlink"/>
            <w:rFonts w:ascii="Segoe UI" w:hAnsi="Segoe UI" w:cs="Segoe UI"/>
            <w:b/>
            <w:bCs/>
            <w:sz w:val="22"/>
            <w:szCs w:val="22"/>
          </w:rPr>
          <w:t>2022-10-28-next-day-briefing-provider-licence-etc.pdf (nhsproviders.org)</w:t>
        </w:r>
      </w:hyperlink>
    </w:p>
    <w:p w14:paraId="3522773C" w14:textId="77777777" w:rsidR="00B870B5" w:rsidRPr="00011EB6" w:rsidRDefault="00B870B5" w:rsidP="00B870B5">
      <w:pPr>
        <w:pStyle w:val="NormalWeb"/>
        <w:spacing w:before="0" w:beforeAutospacing="0" w:after="0" w:afterAutospacing="0" w:line="294" w:lineRule="atLeast"/>
        <w:rPr>
          <w:rFonts w:ascii="Segoe UI" w:hAnsi="Segoe UI" w:cs="Segoe UI"/>
          <w:b/>
          <w:bCs/>
          <w:sz w:val="22"/>
          <w:szCs w:val="22"/>
        </w:rPr>
      </w:pPr>
    </w:p>
    <w:p w14:paraId="0645083A" w14:textId="77777777" w:rsidR="00B870B5" w:rsidRPr="00011EB6" w:rsidRDefault="008A1AA3" w:rsidP="00B870B5">
      <w:pPr>
        <w:pStyle w:val="NormalWeb"/>
        <w:spacing w:before="0" w:beforeAutospacing="0" w:after="0" w:afterAutospacing="0" w:line="294" w:lineRule="atLeast"/>
        <w:rPr>
          <w:rFonts w:ascii="Segoe UI" w:hAnsi="Segoe UI" w:cs="Segoe UI"/>
          <w:b/>
          <w:bCs/>
          <w:color w:val="000000"/>
          <w:sz w:val="22"/>
          <w:szCs w:val="22"/>
        </w:rPr>
      </w:pPr>
      <w:hyperlink r:id="rId15" w:history="1">
        <w:r w:rsidR="00B870B5" w:rsidRPr="00011EB6">
          <w:rPr>
            <w:rStyle w:val="Hyperlink"/>
            <w:rFonts w:ascii="Segoe UI" w:hAnsi="Segoe UI" w:cs="Segoe UI"/>
            <w:b/>
            <w:bCs/>
            <w:sz w:val="22"/>
            <w:szCs w:val="22"/>
          </w:rPr>
          <w:t>Consultation for changes to the NHS provider licence - NHS England - Citizen Space</w:t>
        </w:r>
      </w:hyperlink>
    </w:p>
    <w:p w14:paraId="21593ADD" w14:textId="77777777" w:rsidR="00B870B5" w:rsidRPr="00011EB6" w:rsidRDefault="00B870B5" w:rsidP="00C85D2B">
      <w:pPr>
        <w:jc w:val="both"/>
        <w:rPr>
          <w:rFonts w:ascii="Segoe UI" w:hAnsi="Segoe UI" w:cs="Segoe UI"/>
          <w:b/>
          <w:bCs/>
          <w:sz w:val="22"/>
          <w:szCs w:val="22"/>
        </w:rPr>
      </w:pPr>
    </w:p>
    <w:p w14:paraId="14675E96" w14:textId="5D99AD15" w:rsidR="00B870B5" w:rsidRDefault="00B870B5" w:rsidP="00C85D2B">
      <w:pPr>
        <w:jc w:val="both"/>
        <w:rPr>
          <w:rFonts w:ascii="Segoe UI" w:hAnsi="Segoe UI" w:cs="Segoe UI"/>
          <w:b/>
          <w:bCs/>
          <w:sz w:val="22"/>
          <w:szCs w:val="22"/>
        </w:rPr>
      </w:pPr>
      <w:r>
        <w:rPr>
          <w:rFonts w:ascii="Segoe UI" w:hAnsi="Segoe UI" w:cs="Segoe UI"/>
          <w:b/>
          <w:bCs/>
          <w:sz w:val="22"/>
          <w:szCs w:val="22"/>
        </w:rPr>
        <w:t>Trust Position:</w:t>
      </w:r>
      <w:r w:rsidR="005F3FE5">
        <w:rPr>
          <w:rFonts w:ascii="Segoe UI" w:hAnsi="Segoe UI" w:cs="Segoe UI"/>
          <w:b/>
          <w:bCs/>
          <w:sz w:val="22"/>
          <w:szCs w:val="22"/>
        </w:rPr>
        <w:t xml:space="preserve"> </w:t>
      </w:r>
      <w:r w:rsidR="005F3FE5" w:rsidRPr="005F3FE5">
        <w:rPr>
          <w:rFonts w:ascii="Segoe UI" w:hAnsi="Segoe UI" w:cs="Segoe UI"/>
          <w:b/>
          <w:bCs/>
          <w:sz w:val="22"/>
          <w:szCs w:val="22"/>
        </w:rPr>
        <w:t xml:space="preserve">The provider </w:t>
      </w:r>
      <w:proofErr w:type="spellStart"/>
      <w:r w:rsidR="005F3FE5" w:rsidRPr="005F3FE5">
        <w:rPr>
          <w:rFonts w:ascii="Segoe UI" w:hAnsi="Segoe UI" w:cs="Segoe UI"/>
          <w:b/>
          <w:bCs/>
          <w:sz w:val="22"/>
          <w:szCs w:val="22"/>
        </w:rPr>
        <w:t>licence</w:t>
      </w:r>
      <w:proofErr w:type="spellEnd"/>
      <w:r w:rsidR="005F3FE5" w:rsidRPr="005F3FE5">
        <w:rPr>
          <w:rFonts w:ascii="Segoe UI" w:hAnsi="Segoe UI" w:cs="Segoe UI"/>
          <w:b/>
          <w:bCs/>
          <w:sz w:val="22"/>
          <w:szCs w:val="22"/>
        </w:rPr>
        <w:t xml:space="preserve"> consultation document should be read in conjunction with the current Risk Assessment Framework and reporting manual for independent sector providers of NHS services (which will be updated and consulted on later this fiscal year)</w:t>
      </w:r>
      <w:r w:rsidR="00ED44C9">
        <w:rPr>
          <w:rFonts w:ascii="Segoe UI" w:hAnsi="Segoe UI" w:cs="Segoe UI"/>
          <w:b/>
          <w:bCs/>
          <w:sz w:val="22"/>
          <w:szCs w:val="22"/>
        </w:rPr>
        <w:t xml:space="preserve">.  </w:t>
      </w:r>
      <w:r w:rsidR="00020EA4">
        <w:rPr>
          <w:rFonts w:ascii="Segoe UI" w:hAnsi="Segoe UI" w:cs="Segoe UI"/>
          <w:b/>
          <w:bCs/>
          <w:sz w:val="22"/>
          <w:szCs w:val="22"/>
        </w:rPr>
        <w:t xml:space="preserve">The </w:t>
      </w:r>
      <w:r w:rsidR="002A71E8">
        <w:rPr>
          <w:rFonts w:ascii="Segoe UI" w:hAnsi="Segoe UI" w:cs="Segoe UI"/>
          <w:b/>
          <w:bCs/>
          <w:sz w:val="22"/>
          <w:szCs w:val="22"/>
        </w:rPr>
        <w:t xml:space="preserve">new condition regarding expectations of working together across the ICS to deliver on core system objectives </w:t>
      </w:r>
      <w:r w:rsidR="009B0D88">
        <w:rPr>
          <w:rFonts w:ascii="Segoe UI" w:hAnsi="Segoe UI" w:cs="Segoe UI"/>
          <w:b/>
          <w:bCs/>
          <w:sz w:val="22"/>
          <w:szCs w:val="22"/>
        </w:rPr>
        <w:t xml:space="preserve">includes planning, service </w:t>
      </w:r>
      <w:r w:rsidR="00ED769F">
        <w:rPr>
          <w:rFonts w:ascii="Segoe UI" w:hAnsi="Segoe UI" w:cs="Segoe UI"/>
          <w:b/>
          <w:bCs/>
          <w:sz w:val="22"/>
          <w:szCs w:val="22"/>
        </w:rPr>
        <w:t>improvement</w:t>
      </w:r>
      <w:r w:rsidR="009B0D88">
        <w:rPr>
          <w:rFonts w:ascii="Segoe UI" w:hAnsi="Segoe UI" w:cs="Segoe UI"/>
          <w:b/>
          <w:bCs/>
          <w:sz w:val="22"/>
          <w:szCs w:val="22"/>
        </w:rPr>
        <w:t xml:space="preserve"> </w:t>
      </w:r>
      <w:r w:rsidR="00ED769F">
        <w:rPr>
          <w:rFonts w:ascii="Segoe UI" w:hAnsi="Segoe UI" w:cs="Segoe UI"/>
          <w:b/>
          <w:bCs/>
          <w:sz w:val="22"/>
          <w:szCs w:val="22"/>
        </w:rPr>
        <w:t>a</w:t>
      </w:r>
      <w:r w:rsidR="009B0D88">
        <w:rPr>
          <w:rFonts w:ascii="Segoe UI" w:hAnsi="Segoe UI" w:cs="Segoe UI"/>
          <w:b/>
          <w:bCs/>
          <w:sz w:val="22"/>
          <w:szCs w:val="22"/>
        </w:rPr>
        <w:t xml:space="preserve">nd delivery, to include delivery of </w:t>
      </w:r>
      <w:r w:rsidR="00ED769F">
        <w:rPr>
          <w:rFonts w:ascii="Segoe UI" w:hAnsi="Segoe UI" w:cs="Segoe UI"/>
          <w:b/>
          <w:bCs/>
          <w:sz w:val="22"/>
          <w:szCs w:val="22"/>
        </w:rPr>
        <w:t>financial</w:t>
      </w:r>
      <w:r w:rsidR="009B0D88">
        <w:rPr>
          <w:rFonts w:ascii="Segoe UI" w:hAnsi="Segoe UI" w:cs="Segoe UI"/>
          <w:b/>
          <w:bCs/>
          <w:sz w:val="22"/>
          <w:szCs w:val="22"/>
        </w:rPr>
        <w:t xml:space="preserve"> </w:t>
      </w:r>
      <w:r w:rsidR="005E4F2A">
        <w:rPr>
          <w:rFonts w:ascii="Segoe UI" w:hAnsi="Segoe UI" w:cs="Segoe UI"/>
          <w:b/>
          <w:bCs/>
          <w:sz w:val="22"/>
          <w:szCs w:val="22"/>
        </w:rPr>
        <w:t>objectives</w:t>
      </w:r>
      <w:r w:rsidR="009B0D88">
        <w:rPr>
          <w:rFonts w:ascii="Segoe UI" w:hAnsi="Segoe UI" w:cs="Segoe UI"/>
          <w:b/>
          <w:bCs/>
          <w:sz w:val="22"/>
          <w:szCs w:val="22"/>
        </w:rPr>
        <w:t xml:space="preserve"> and system workforce plans.  </w:t>
      </w:r>
    </w:p>
    <w:p w14:paraId="3C4A9569" w14:textId="1452B9FC" w:rsidR="00E72E66" w:rsidRDefault="00E72E66" w:rsidP="00C85D2B">
      <w:pPr>
        <w:jc w:val="both"/>
        <w:rPr>
          <w:rFonts w:ascii="Segoe UI" w:hAnsi="Segoe UI" w:cs="Segoe UI"/>
          <w:b/>
          <w:bCs/>
          <w:sz w:val="22"/>
          <w:szCs w:val="22"/>
        </w:rPr>
      </w:pPr>
    </w:p>
    <w:p w14:paraId="44B5AE0C" w14:textId="404EFF97" w:rsidR="00E72E66" w:rsidRDefault="00E72E66" w:rsidP="00C85D2B">
      <w:pPr>
        <w:jc w:val="both"/>
        <w:rPr>
          <w:rFonts w:ascii="Segoe UI" w:hAnsi="Segoe UI" w:cs="Segoe UI"/>
          <w:b/>
          <w:bCs/>
          <w:sz w:val="22"/>
          <w:szCs w:val="22"/>
        </w:rPr>
      </w:pPr>
      <w:r>
        <w:rPr>
          <w:rFonts w:ascii="Segoe UI" w:hAnsi="Segoe UI" w:cs="Segoe UI"/>
          <w:b/>
          <w:bCs/>
          <w:sz w:val="22"/>
          <w:szCs w:val="22"/>
        </w:rPr>
        <w:lastRenderedPageBreak/>
        <w:t xml:space="preserve">The cost of complying with </w:t>
      </w:r>
      <w:r w:rsidR="00E85EB8">
        <w:rPr>
          <w:rFonts w:ascii="Segoe UI" w:hAnsi="Segoe UI" w:cs="Segoe UI"/>
          <w:b/>
          <w:bCs/>
          <w:sz w:val="22"/>
          <w:szCs w:val="22"/>
        </w:rPr>
        <w:t>digital obligations is likely to be challenging</w:t>
      </w:r>
      <w:r w:rsidR="00CB0812">
        <w:rPr>
          <w:rFonts w:ascii="Segoe UI" w:hAnsi="Segoe UI" w:cs="Segoe UI"/>
          <w:b/>
          <w:bCs/>
          <w:sz w:val="22"/>
          <w:szCs w:val="22"/>
        </w:rPr>
        <w:t xml:space="preserve"> but we will need to understand the risks to this</w:t>
      </w:r>
      <w:r w:rsidR="003425B9">
        <w:rPr>
          <w:rFonts w:ascii="Segoe UI" w:hAnsi="Segoe UI" w:cs="Segoe UI"/>
          <w:b/>
          <w:bCs/>
          <w:sz w:val="22"/>
          <w:szCs w:val="22"/>
        </w:rPr>
        <w:t xml:space="preserve"> if these suggested changes s</w:t>
      </w:r>
      <w:r w:rsidR="00C94807">
        <w:rPr>
          <w:rFonts w:ascii="Segoe UI" w:hAnsi="Segoe UI" w:cs="Segoe UI"/>
          <w:b/>
          <w:bCs/>
          <w:sz w:val="22"/>
          <w:szCs w:val="22"/>
        </w:rPr>
        <w:t xml:space="preserve">urvive the consultation.  </w:t>
      </w:r>
    </w:p>
    <w:p w14:paraId="03BDE0DE" w14:textId="5E99BE0B" w:rsidR="00440101" w:rsidRPr="009C58CC" w:rsidRDefault="00440101">
      <w:pPr>
        <w:rPr>
          <w:rFonts w:ascii="Segoe UI" w:hAnsi="Segoe UI" w:cs="Segoe UI"/>
          <w:b/>
          <w:bCs/>
          <w:sz w:val="22"/>
          <w:szCs w:val="22"/>
        </w:rPr>
      </w:pPr>
    </w:p>
    <w:p w14:paraId="70ABFF53" w14:textId="53EF6A21" w:rsidR="00232760" w:rsidRPr="00232760" w:rsidRDefault="00232760" w:rsidP="004C21C7">
      <w:pPr>
        <w:pStyle w:val="ListParagraph"/>
        <w:numPr>
          <w:ilvl w:val="0"/>
          <w:numId w:val="1"/>
        </w:numPr>
        <w:spacing w:before="160"/>
        <w:rPr>
          <w:rFonts w:ascii="Segoe UI" w:eastAsiaTheme="majorEastAsia" w:hAnsi="Segoe UI" w:cs="Segoe UI"/>
          <w:b/>
          <w:bCs/>
          <w:sz w:val="22"/>
          <w:szCs w:val="22"/>
        </w:rPr>
      </w:pPr>
      <w:r w:rsidRPr="00232760">
        <w:rPr>
          <w:rFonts w:ascii="Segoe UI" w:eastAsiaTheme="majorEastAsia" w:hAnsi="Segoe UI" w:cs="Segoe UI"/>
          <w:b/>
          <w:bCs/>
          <w:sz w:val="22"/>
          <w:szCs w:val="22"/>
          <w:lang w:val="en-GB"/>
        </w:rPr>
        <w:t>NHS enforcement guidance</w:t>
      </w:r>
    </w:p>
    <w:p w14:paraId="116F18D4" w14:textId="77777777" w:rsidR="00232760" w:rsidRPr="00232760" w:rsidRDefault="00232760" w:rsidP="00232760">
      <w:pPr>
        <w:spacing w:before="160"/>
        <w:rPr>
          <w:rFonts w:ascii="Segoe UI" w:eastAsiaTheme="majorEastAsia" w:hAnsi="Segoe UI" w:cs="Segoe UI"/>
          <w:i/>
          <w:iCs/>
          <w:sz w:val="22"/>
          <w:szCs w:val="22"/>
          <w:lang w:val="en-GB"/>
        </w:rPr>
      </w:pPr>
      <w:r w:rsidRPr="00232760">
        <w:rPr>
          <w:rFonts w:ascii="Segoe UI" w:eastAsiaTheme="majorEastAsia" w:hAnsi="Segoe UI" w:cs="Segoe UI"/>
          <w:i/>
          <w:iCs/>
          <w:sz w:val="22"/>
          <w:szCs w:val="22"/>
          <w:lang w:val="en-GB"/>
        </w:rPr>
        <w:t>NHS England, 27 Oct 2022</w:t>
      </w:r>
    </w:p>
    <w:p w14:paraId="6E18324A" w14:textId="4C959F82" w:rsidR="00232760" w:rsidRPr="00232760" w:rsidRDefault="00232760" w:rsidP="00C50BB3">
      <w:pPr>
        <w:spacing w:before="160"/>
        <w:jc w:val="both"/>
        <w:rPr>
          <w:rFonts w:ascii="Segoe UI" w:eastAsiaTheme="majorEastAsia" w:hAnsi="Segoe UI" w:cs="Segoe UI"/>
          <w:sz w:val="22"/>
          <w:szCs w:val="22"/>
          <w:lang w:val="en-GB"/>
        </w:rPr>
      </w:pPr>
      <w:r w:rsidRPr="00232760">
        <w:rPr>
          <w:rFonts w:ascii="Segoe UI" w:eastAsiaTheme="majorEastAsia" w:hAnsi="Segoe UI" w:cs="Segoe UI"/>
          <w:sz w:val="22"/>
          <w:szCs w:val="22"/>
          <w:lang w:val="en-GB"/>
        </w:rPr>
        <w:t>NHS England has updated its Enforcement guidance to reflect the Health and Care Act, 2022 and current practice. The revised guidance sets out NHS England’s approach to enforcement of integrated care boards and providers. NHS England has a statutory duty to consult on the proposed changes to the Enforcement guidance.</w:t>
      </w:r>
      <w:r w:rsidR="006E22D6" w:rsidRPr="006E22D6">
        <w:rPr>
          <w:rFonts w:ascii="Segoe UI" w:hAnsi="Segoe UI" w:cs="Segoe UI"/>
          <w:sz w:val="22"/>
          <w:szCs w:val="22"/>
        </w:rPr>
        <w:t xml:space="preserve"> </w:t>
      </w:r>
      <w:r w:rsidR="006E22D6" w:rsidRPr="006E22D6">
        <w:rPr>
          <w:rFonts w:ascii="Segoe UI" w:eastAsiaTheme="majorEastAsia" w:hAnsi="Segoe UI" w:cs="Segoe UI"/>
          <w:sz w:val="22"/>
          <w:szCs w:val="22"/>
        </w:rPr>
        <w:t>It explains the regulatory and statutory processes in the event of enforcement action and subsequent rights of appeal.</w:t>
      </w:r>
    </w:p>
    <w:p w14:paraId="314E2058" w14:textId="77777777" w:rsidR="00232760" w:rsidRPr="00232760" w:rsidRDefault="00232760" w:rsidP="00232760">
      <w:pPr>
        <w:spacing w:before="160"/>
        <w:rPr>
          <w:rFonts w:ascii="Segoe UI" w:eastAsiaTheme="majorEastAsia" w:hAnsi="Segoe UI" w:cs="Segoe UI"/>
          <w:b/>
          <w:bCs/>
          <w:sz w:val="22"/>
          <w:szCs w:val="22"/>
          <w:lang w:val="fr-FR"/>
        </w:rPr>
      </w:pPr>
      <w:proofErr w:type="gramStart"/>
      <w:r w:rsidRPr="00232760">
        <w:rPr>
          <w:rFonts w:ascii="Segoe UI" w:eastAsiaTheme="majorEastAsia" w:hAnsi="Segoe UI" w:cs="Segoe UI"/>
          <w:b/>
          <w:bCs/>
          <w:sz w:val="22"/>
          <w:szCs w:val="22"/>
          <w:lang w:val="fr-FR"/>
        </w:rPr>
        <w:t>Consultation:</w:t>
      </w:r>
      <w:proofErr w:type="gramEnd"/>
      <w:r w:rsidRPr="00232760">
        <w:rPr>
          <w:rFonts w:ascii="Segoe UI" w:eastAsiaTheme="majorEastAsia" w:hAnsi="Segoe UI" w:cs="Segoe UI"/>
          <w:b/>
          <w:bCs/>
          <w:sz w:val="22"/>
          <w:szCs w:val="22"/>
          <w:lang w:val="fr-FR"/>
        </w:rPr>
        <w:t xml:space="preserve"> </w:t>
      </w:r>
      <w:hyperlink r:id="rId16" w:history="1">
        <w:r w:rsidRPr="00232760">
          <w:rPr>
            <w:rStyle w:val="Hyperlink"/>
            <w:rFonts w:ascii="Segoe UI" w:eastAsiaTheme="majorEastAsia" w:hAnsi="Segoe UI" w:cs="Segoe UI"/>
            <w:b/>
            <w:bCs/>
            <w:sz w:val="22"/>
            <w:szCs w:val="22"/>
            <w:lang w:val="fr-FR"/>
          </w:rPr>
          <w:t>https://www.england.nhs.uk/publication/consultation-on-the-revised-nhs-enforcement-guidance/</w:t>
        </w:r>
      </w:hyperlink>
      <w:r w:rsidRPr="00232760">
        <w:rPr>
          <w:rFonts w:ascii="Segoe UI" w:eastAsiaTheme="majorEastAsia" w:hAnsi="Segoe UI" w:cs="Segoe UI"/>
          <w:b/>
          <w:bCs/>
          <w:sz w:val="22"/>
          <w:szCs w:val="22"/>
          <w:lang w:val="fr-FR"/>
        </w:rPr>
        <w:t xml:space="preserve"> </w:t>
      </w:r>
    </w:p>
    <w:p w14:paraId="1D3B9355" w14:textId="77777777" w:rsidR="00232760" w:rsidRPr="00232760" w:rsidRDefault="00232760" w:rsidP="00232760">
      <w:pPr>
        <w:spacing w:before="160"/>
        <w:rPr>
          <w:rFonts w:ascii="Segoe UI" w:eastAsiaTheme="majorEastAsia" w:hAnsi="Segoe UI" w:cs="Segoe UI"/>
          <w:b/>
          <w:bCs/>
          <w:sz w:val="22"/>
          <w:szCs w:val="22"/>
          <w:lang w:val="en-GB"/>
        </w:rPr>
      </w:pPr>
      <w:r w:rsidRPr="00232760">
        <w:rPr>
          <w:rFonts w:ascii="Segoe UI" w:eastAsiaTheme="majorEastAsia" w:hAnsi="Segoe UI" w:cs="Segoe UI"/>
          <w:b/>
          <w:bCs/>
          <w:sz w:val="22"/>
          <w:szCs w:val="22"/>
          <w:lang w:val="en-GB"/>
        </w:rPr>
        <w:t xml:space="preserve">Draft guidance: </w:t>
      </w:r>
      <w:hyperlink r:id="rId17" w:history="1">
        <w:r w:rsidRPr="00232760">
          <w:rPr>
            <w:rStyle w:val="Hyperlink"/>
            <w:rFonts w:ascii="Segoe UI" w:eastAsiaTheme="majorEastAsia" w:hAnsi="Segoe UI" w:cs="Segoe UI"/>
            <w:b/>
            <w:bCs/>
            <w:sz w:val="22"/>
            <w:szCs w:val="22"/>
            <w:lang w:val="en-GB"/>
          </w:rPr>
          <w:t>https://www.england.nhs.uk/publication/nhs-enforcement-guidance-draft/</w:t>
        </w:r>
      </w:hyperlink>
      <w:r w:rsidRPr="00232760">
        <w:rPr>
          <w:rFonts w:ascii="Segoe UI" w:eastAsiaTheme="majorEastAsia" w:hAnsi="Segoe UI" w:cs="Segoe UI"/>
          <w:b/>
          <w:bCs/>
          <w:sz w:val="22"/>
          <w:szCs w:val="22"/>
          <w:lang w:val="en-GB"/>
        </w:rPr>
        <w:t xml:space="preserve"> </w:t>
      </w:r>
    </w:p>
    <w:p w14:paraId="1FD588D4" w14:textId="4F53145D" w:rsidR="00F77958" w:rsidRPr="00F77958" w:rsidRDefault="00F77958" w:rsidP="00C85D2B">
      <w:pPr>
        <w:spacing w:before="160"/>
        <w:jc w:val="both"/>
        <w:rPr>
          <w:rFonts w:ascii="Segoe UI" w:eastAsiaTheme="majorEastAsia" w:hAnsi="Segoe UI" w:cs="Segoe UI"/>
          <w:b/>
          <w:bCs/>
          <w:sz w:val="22"/>
          <w:szCs w:val="22"/>
        </w:rPr>
      </w:pPr>
      <w:r w:rsidRPr="00F77958">
        <w:rPr>
          <w:rFonts w:ascii="Segoe UI" w:eastAsiaTheme="majorEastAsia" w:hAnsi="Segoe UI" w:cs="Segoe UI"/>
          <w:b/>
          <w:bCs/>
          <w:sz w:val="22"/>
          <w:szCs w:val="22"/>
        </w:rPr>
        <w:t xml:space="preserve">Trust Position: </w:t>
      </w:r>
      <w:r w:rsidR="00082CA0">
        <w:rPr>
          <w:rFonts w:ascii="Segoe UI" w:eastAsiaTheme="majorEastAsia" w:hAnsi="Segoe UI" w:cs="Segoe UI"/>
          <w:b/>
          <w:bCs/>
          <w:sz w:val="22"/>
          <w:szCs w:val="22"/>
        </w:rPr>
        <w:t>NHS Providers</w:t>
      </w:r>
      <w:r w:rsidR="000F0753">
        <w:rPr>
          <w:rFonts w:ascii="Segoe UI" w:eastAsiaTheme="majorEastAsia" w:hAnsi="Segoe UI" w:cs="Segoe UI"/>
          <w:b/>
          <w:bCs/>
          <w:sz w:val="22"/>
          <w:szCs w:val="22"/>
        </w:rPr>
        <w:t xml:space="preserve"> will collate a response to the consultation on behalf of </w:t>
      </w:r>
      <w:r w:rsidR="00C50BB3">
        <w:rPr>
          <w:rFonts w:ascii="Segoe UI" w:eastAsiaTheme="majorEastAsia" w:hAnsi="Segoe UI" w:cs="Segoe UI"/>
          <w:b/>
          <w:bCs/>
          <w:sz w:val="22"/>
          <w:szCs w:val="22"/>
        </w:rPr>
        <w:t>all p</w:t>
      </w:r>
      <w:r w:rsidR="000F0753">
        <w:rPr>
          <w:rFonts w:ascii="Segoe UI" w:eastAsiaTheme="majorEastAsia" w:hAnsi="Segoe UI" w:cs="Segoe UI"/>
          <w:b/>
          <w:bCs/>
          <w:sz w:val="22"/>
          <w:szCs w:val="22"/>
        </w:rPr>
        <w:t xml:space="preserve">roviders.  </w:t>
      </w:r>
      <w:r w:rsidR="000F0753" w:rsidRPr="000F0753">
        <w:rPr>
          <w:rFonts w:ascii="Segoe UI" w:eastAsiaTheme="majorEastAsia" w:hAnsi="Segoe UI" w:cs="Segoe UI"/>
          <w:b/>
          <w:bCs/>
          <w:sz w:val="22"/>
          <w:szCs w:val="22"/>
        </w:rPr>
        <w:t xml:space="preserve">While the enforcement guidance is clear on the steps NHSE would take in the event of a suspected breach of </w:t>
      </w:r>
      <w:proofErr w:type="spellStart"/>
      <w:r w:rsidR="000F0753" w:rsidRPr="000F0753">
        <w:rPr>
          <w:rFonts w:ascii="Segoe UI" w:eastAsiaTheme="majorEastAsia" w:hAnsi="Segoe UI" w:cs="Segoe UI"/>
          <w:b/>
          <w:bCs/>
          <w:sz w:val="22"/>
          <w:szCs w:val="22"/>
        </w:rPr>
        <w:t>licence</w:t>
      </w:r>
      <w:proofErr w:type="spellEnd"/>
      <w:r w:rsidR="000F0753" w:rsidRPr="000F0753">
        <w:rPr>
          <w:rFonts w:ascii="Segoe UI" w:eastAsiaTheme="majorEastAsia" w:hAnsi="Segoe UI" w:cs="Segoe UI"/>
          <w:b/>
          <w:bCs/>
          <w:sz w:val="22"/>
          <w:szCs w:val="22"/>
        </w:rPr>
        <w:t xml:space="preserve"> by a provider, or a failure by an ICB to discharge its duties, it is less clear how a breach of a </w:t>
      </w:r>
      <w:proofErr w:type="spellStart"/>
      <w:r w:rsidR="000F0753" w:rsidRPr="000F0753">
        <w:rPr>
          <w:rFonts w:ascii="Segoe UI" w:eastAsiaTheme="majorEastAsia" w:hAnsi="Segoe UI" w:cs="Segoe UI"/>
          <w:b/>
          <w:bCs/>
          <w:sz w:val="22"/>
          <w:szCs w:val="22"/>
        </w:rPr>
        <w:t>licence</w:t>
      </w:r>
      <w:proofErr w:type="spellEnd"/>
      <w:r w:rsidR="000F0753" w:rsidRPr="000F0753">
        <w:rPr>
          <w:rFonts w:ascii="Segoe UI" w:eastAsiaTheme="majorEastAsia" w:hAnsi="Segoe UI" w:cs="Segoe UI"/>
          <w:b/>
          <w:bCs/>
          <w:sz w:val="22"/>
          <w:szCs w:val="22"/>
        </w:rPr>
        <w:t xml:space="preserve"> condition would be determined. This is particularly pertinent when it comes to breaches of conditions which would be more challenging to enforce, such as the new cooperation condition. There may also be further areas still to clarify, for example, with regards to decision-making responsibilities where providers (such as ambulance trusts) span multiple ICBs.</w:t>
      </w:r>
    </w:p>
    <w:p w14:paraId="578130DB" w14:textId="2C9F4515" w:rsidR="007C3ABA" w:rsidRPr="00F61EAA" w:rsidRDefault="007C3ABA" w:rsidP="004C21C7">
      <w:pPr>
        <w:pStyle w:val="ListParagraph"/>
        <w:numPr>
          <w:ilvl w:val="0"/>
          <w:numId w:val="1"/>
        </w:numPr>
        <w:spacing w:before="160"/>
        <w:rPr>
          <w:rFonts w:ascii="Segoe UI" w:eastAsiaTheme="majorEastAsia" w:hAnsi="Segoe UI" w:cs="Segoe UI"/>
          <w:b/>
          <w:bCs/>
          <w:sz w:val="22"/>
          <w:szCs w:val="22"/>
        </w:rPr>
      </w:pPr>
      <w:r w:rsidRPr="00F61EAA">
        <w:rPr>
          <w:rFonts w:ascii="Segoe UI" w:eastAsiaTheme="majorEastAsia" w:hAnsi="Segoe UI" w:cs="Segoe UI"/>
          <w:b/>
          <w:bCs/>
          <w:sz w:val="22"/>
          <w:szCs w:val="22"/>
          <w:lang w:val="en-GB"/>
        </w:rPr>
        <w:t>NHS England governance consultations</w:t>
      </w:r>
    </w:p>
    <w:p w14:paraId="55BE3990" w14:textId="77777777" w:rsidR="008D7E12" w:rsidRDefault="00424885" w:rsidP="00302A41">
      <w:pPr>
        <w:spacing w:before="160"/>
        <w:jc w:val="both"/>
        <w:rPr>
          <w:rFonts w:ascii="Segoe UI" w:eastAsiaTheme="majorEastAsia" w:hAnsi="Segoe UI" w:cs="Segoe UI"/>
          <w:sz w:val="22"/>
          <w:szCs w:val="22"/>
          <w:lang w:val="en-GB"/>
        </w:rPr>
      </w:pPr>
      <w:r>
        <w:rPr>
          <w:rFonts w:ascii="Segoe UI" w:eastAsiaTheme="majorEastAsia" w:hAnsi="Segoe UI" w:cs="Segoe UI"/>
          <w:sz w:val="22"/>
          <w:szCs w:val="22"/>
          <w:lang w:val="en-GB"/>
        </w:rPr>
        <w:t xml:space="preserve">In </w:t>
      </w:r>
      <w:r w:rsidR="008C50ED">
        <w:rPr>
          <w:rFonts w:ascii="Segoe UI" w:eastAsiaTheme="majorEastAsia" w:hAnsi="Segoe UI" w:cs="Segoe UI"/>
          <w:sz w:val="22"/>
          <w:szCs w:val="22"/>
          <w:lang w:val="en-GB"/>
        </w:rPr>
        <w:t>the Legal and Regulatory update to Board in the summer</w:t>
      </w:r>
      <w:r w:rsidR="00F61EAA">
        <w:rPr>
          <w:rFonts w:ascii="Segoe UI" w:eastAsiaTheme="majorEastAsia" w:hAnsi="Segoe UI" w:cs="Segoe UI"/>
          <w:sz w:val="22"/>
          <w:szCs w:val="22"/>
          <w:lang w:val="en-GB"/>
        </w:rPr>
        <w:t xml:space="preserve"> various governance consultations were </w:t>
      </w:r>
      <w:r w:rsidR="00712CB4">
        <w:rPr>
          <w:rFonts w:ascii="Segoe UI" w:eastAsiaTheme="majorEastAsia" w:hAnsi="Segoe UI" w:cs="Segoe UI"/>
          <w:sz w:val="22"/>
          <w:szCs w:val="22"/>
          <w:lang w:val="en-GB"/>
        </w:rPr>
        <w:t xml:space="preserve">highlighted.   Following the periods of consultation final versions have now been published. </w:t>
      </w:r>
    </w:p>
    <w:p w14:paraId="2D7104EA" w14:textId="3B58765F" w:rsidR="00424885" w:rsidRPr="007C3ABA" w:rsidRDefault="008D7E12" w:rsidP="00302A41">
      <w:pPr>
        <w:spacing w:before="160"/>
        <w:jc w:val="both"/>
        <w:rPr>
          <w:rFonts w:ascii="Segoe UI" w:eastAsiaTheme="majorEastAsia" w:hAnsi="Segoe UI" w:cs="Segoe UI"/>
          <w:sz w:val="22"/>
          <w:szCs w:val="22"/>
          <w:lang w:val="en-GB"/>
        </w:rPr>
      </w:pPr>
      <w:r>
        <w:rPr>
          <w:rFonts w:ascii="Segoe UI" w:eastAsiaTheme="majorEastAsia" w:hAnsi="Segoe UI" w:cs="Segoe UI"/>
          <w:sz w:val="22"/>
          <w:szCs w:val="22"/>
        </w:rPr>
        <w:t xml:space="preserve">NHSE </w:t>
      </w:r>
      <w:r w:rsidRPr="008D7E12">
        <w:rPr>
          <w:rFonts w:ascii="Segoe UI" w:eastAsiaTheme="majorEastAsia" w:hAnsi="Segoe UI" w:cs="Segoe UI"/>
          <w:sz w:val="22"/>
          <w:szCs w:val="22"/>
        </w:rPr>
        <w:t xml:space="preserve">anticipate that over the coming months there will be a period of ‘bedding in’ and adjustment to the new approaches to working that the reforms have introduced. Based on the feedback </w:t>
      </w:r>
      <w:r>
        <w:rPr>
          <w:rFonts w:ascii="Segoe UI" w:eastAsiaTheme="majorEastAsia" w:hAnsi="Segoe UI" w:cs="Segoe UI"/>
          <w:sz w:val="22"/>
          <w:szCs w:val="22"/>
        </w:rPr>
        <w:t>NHSE</w:t>
      </w:r>
      <w:r w:rsidRPr="008D7E12">
        <w:rPr>
          <w:rFonts w:ascii="Segoe UI" w:eastAsiaTheme="majorEastAsia" w:hAnsi="Segoe UI" w:cs="Segoe UI"/>
          <w:sz w:val="22"/>
          <w:szCs w:val="22"/>
        </w:rPr>
        <w:t xml:space="preserve"> will continue to work with trust and system leaders and other stakeholders to clarify key issues, identify any barriers and support trusts and governors to fulfil their roles and contribute to the objectives of ICSs. As part of this </w:t>
      </w:r>
      <w:r w:rsidR="00C174B4">
        <w:rPr>
          <w:rFonts w:ascii="Segoe UI" w:eastAsiaTheme="majorEastAsia" w:hAnsi="Segoe UI" w:cs="Segoe UI"/>
          <w:sz w:val="22"/>
          <w:szCs w:val="22"/>
        </w:rPr>
        <w:t>they</w:t>
      </w:r>
      <w:r w:rsidRPr="008D7E12">
        <w:rPr>
          <w:rFonts w:ascii="Segoe UI" w:eastAsiaTheme="majorEastAsia" w:hAnsi="Segoe UI" w:cs="Segoe UI"/>
          <w:sz w:val="22"/>
          <w:szCs w:val="22"/>
        </w:rPr>
        <w:t xml:space="preserve"> will also continue to review national policy frameworks to ensure clarity around collaboration and the alignment of incentives to help achieve it.</w:t>
      </w:r>
      <w:r w:rsidR="008C50ED">
        <w:rPr>
          <w:rFonts w:ascii="Segoe UI" w:eastAsiaTheme="majorEastAsia" w:hAnsi="Segoe UI" w:cs="Segoe UI"/>
          <w:sz w:val="22"/>
          <w:szCs w:val="22"/>
          <w:lang w:val="en-GB"/>
        </w:rPr>
        <w:t xml:space="preserve"> </w:t>
      </w:r>
    </w:p>
    <w:p w14:paraId="273606C1" w14:textId="51CF4A9A" w:rsidR="007C3ABA" w:rsidRPr="00DD1CA7" w:rsidRDefault="007C3ABA" w:rsidP="004C21C7">
      <w:pPr>
        <w:pStyle w:val="ListParagraph"/>
        <w:numPr>
          <w:ilvl w:val="0"/>
          <w:numId w:val="7"/>
        </w:numPr>
        <w:spacing w:before="160"/>
        <w:rPr>
          <w:rFonts w:ascii="Segoe UI" w:eastAsiaTheme="majorEastAsia" w:hAnsi="Segoe UI" w:cs="Segoe UI"/>
          <w:b/>
          <w:bCs/>
          <w:sz w:val="22"/>
          <w:szCs w:val="22"/>
          <w:lang w:val="en-GB"/>
        </w:rPr>
      </w:pPr>
      <w:r w:rsidRPr="00DD1CA7">
        <w:rPr>
          <w:rFonts w:ascii="Segoe UI" w:eastAsiaTheme="majorEastAsia" w:hAnsi="Segoe UI" w:cs="Segoe UI"/>
          <w:b/>
          <w:bCs/>
          <w:sz w:val="22"/>
          <w:szCs w:val="22"/>
          <w:lang w:val="en-GB"/>
        </w:rPr>
        <w:t xml:space="preserve">Guidance on good governance and collaboration: </w:t>
      </w:r>
      <w:hyperlink r:id="rId18" w:history="1">
        <w:r w:rsidR="00302A41" w:rsidRPr="00DD1CA7">
          <w:rPr>
            <w:rStyle w:val="Hyperlink"/>
            <w:rFonts w:ascii="Segoe UI" w:eastAsiaTheme="majorEastAsia" w:hAnsi="Segoe UI" w:cs="Segoe UI"/>
            <w:b/>
            <w:bCs/>
            <w:sz w:val="22"/>
            <w:szCs w:val="22"/>
            <w:lang w:val="en-GB"/>
          </w:rPr>
          <w:t>https://www.england.nhs.uk/publication/guidance-on-good-governance-and-collaboration/</w:t>
        </w:r>
      </w:hyperlink>
      <w:r w:rsidRPr="00DD1CA7">
        <w:rPr>
          <w:rFonts w:ascii="Segoe UI" w:eastAsiaTheme="majorEastAsia" w:hAnsi="Segoe UI" w:cs="Segoe UI"/>
          <w:b/>
          <w:bCs/>
          <w:sz w:val="22"/>
          <w:szCs w:val="22"/>
          <w:lang w:val="en-GB"/>
        </w:rPr>
        <w:t xml:space="preserve"> </w:t>
      </w:r>
    </w:p>
    <w:p w14:paraId="43D99882" w14:textId="77777777" w:rsidR="00305700" w:rsidRPr="00305700" w:rsidRDefault="00305700" w:rsidP="00DD1CA7">
      <w:pPr>
        <w:spacing w:before="160"/>
        <w:jc w:val="both"/>
        <w:rPr>
          <w:rFonts w:ascii="Segoe UI" w:eastAsiaTheme="majorEastAsia" w:hAnsi="Segoe UI" w:cs="Segoe UI"/>
          <w:b/>
          <w:bCs/>
          <w:sz w:val="22"/>
          <w:szCs w:val="22"/>
          <w:lang w:val="en-GB"/>
        </w:rPr>
      </w:pPr>
      <w:r w:rsidRPr="00305700">
        <w:rPr>
          <w:rFonts w:ascii="Segoe UI" w:eastAsiaTheme="majorEastAsia" w:hAnsi="Segoe UI" w:cs="Segoe UI"/>
          <w:b/>
          <w:bCs/>
          <w:sz w:val="22"/>
          <w:szCs w:val="22"/>
        </w:rPr>
        <w:lastRenderedPageBreak/>
        <w:t xml:space="preserve">Trust Position:  The Trust’s success will increasingly be judged against our contribution to the objectives of the ICS in addition to our existing duties to deliver safe, effective care and effective use of resources.  </w:t>
      </w:r>
      <w:r w:rsidRPr="00305700">
        <w:rPr>
          <w:rFonts w:ascii="Segoe UI" w:eastAsiaTheme="majorEastAsia" w:hAnsi="Segoe UI" w:cs="Segoe UI"/>
          <w:b/>
          <w:bCs/>
          <w:sz w:val="22"/>
          <w:szCs w:val="22"/>
          <w:lang w:val="en-GB"/>
        </w:rPr>
        <w:t>This guidance sets expectations of providers in terms of collaboration in respect of three key areas – engaging consistently in shared planning and decision-making, consistently take collective responsibility with partners for delivery of high quality and sustainable services across various footprints including system and place, and consistently taking responsibility for delivery of agreed system improvements and decisions.</w:t>
      </w:r>
    </w:p>
    <w:p w14:paraId="0DBC9B01" w14:textId="77777777" w:rsidR="00305700" w:rsidRPr="00305700" w:rsidRDefault="00305700" w:rsidP="00DD1CA7">
      <w:pPr>
        <w:spacing w:before="160"/>
        <w:jc w:val="both"/>
        <w:rPr>
          <w:rFonts w:ascii="Segoe UI" w:eastAsiaTheme="majorEastAsia" w:hAnsi="Segoe UI" w:cs="Segoe UI"/>
          <w:b/>
          <w:bCs/>
          <w:sz w:val="22"/>
          <w:szCs w:val="22"/>
          <w:lang w:val="en-GB"/>
        </w:rPr>
      </w:pPr>
      <w:r w:rsidRPr="00305700">
        <w:rPr>
          <w:rFonts w:ascii="Segoe UI" w:eastAsiaTheme="majorEastAsia" w:hAnsi="Segoe UI" w:cs="Segoe UI"/>
          <w:b/>
          <w:bCs/>
          <w:sz w:val="22"/>
          <w:szCs w:val="22"/>
          <w:lang w:val="en-GB"/>
        </w:rPr>
        <w:t>Five characteristics of governance arrangements that providers must have in place to support effective collaboration are detailed.</w:t>
      </w:r>
    </w:p>
    <w:p w14:paraId="5EADE172" w14:textId="78E1F4E7" w:rsidR="007C3ABA" w:rsidRPr="007A239E" w:rsidRDefault="007A239E" w:rsidP="004C21C7">
      <w:pPr>
        <w:pStyle w:val="ListParagraph"/>
        <w:numPr>
          <w:ilvl w:val="0"/>
          <w:numId w:val="6"/>
        </w:numPr>
        <w:spacing w:before="160"/>
        <w:rPr>
          <w:rFonts w:ascii="Segoe UI" w:eastAsiaTheme="majorEastAsia" w:hAnsi="Segoe UI" w:cs="Segoe UI"/>
          <w:b/>
          <w:bCs/>
          <w:sz w:val="22"/>
          <w:szCs w:val="22"/>
          <w:lang w:val="en-GB"/>
        </w:rPr>
      </w:pPr>
      <w:r w:rsidRPr="007A239E">
        <w:rPr>
          <w:rFonts w:ascii="Segoe UI" w:eastAsiaTheme="majorEastAsia" w:hAnsi="Segoe UI" w:cs="Segoe UI"/>
          <w:b/>
          <w:bCs/>
          <w:sz w:val="22"/>
          <w:szCs w:val="22"/>
          <w:lang w:val="en-GB"/>
        </w:rPr>
        <w:t>C</w:t>
      </w:r>
      <w:r w:rsidR="007C3ABA" w:rsidRPr="007A239E">
        <w:rPr>
          <w:rFonts w:ascii="Segoe UI" w:eastAsiaTheme="majorEastAsia" w:hAnsi="Segoe UI" w:cs="Segoe UI"/>
          <w:b/>
          <w:bCs/>
          <w:sz w:val="22"/>
          <w:szCs w:val="22"/>
          <w:lang w:val="en-GB"/>
        </w:rPr>
        <w:t xml:space="preserve">ode of governance for NHS provider trusts: </w:t>
      </w:r>
      <w:hyperlink r:id="rId19" w:history="1">
        <w:r w:rsidR="007C3ABA" w:rsidRPr="007A239E">
          <w:rPr>
            <w:rStyle w:val="Hyperlink"/>
            <w:rFonts w:ascii="Segoe UI" w:eastAsiaTheme="majorEastAsia" w:hAnsi="Segoe UI" w:cs="Segoe UI"/>
            <w:b/>
            <w:bCs/>
            <w:sz w:val="22"/>
            <w:szCs w:val="22"/>
            <w:lang w:val="en-GB"/>
          </w:rPr>
          <w:t>https://www.england.nhs.uk/publication/code-of-governance-for-nhs-provider-trusts/</w:t>
        </w:r>
      </w:hyperlink>
      <w:r w:rsidR="007C3ABA" w:rsidRPr="007A239E">
        <w:rPr>
          <w:rFonts w:ascii="Segoe UI" w:eastAsiaTheme="majorEastAsia" w:hAnsi="Segoe UI" w:cs="Segoe UI"/>
          <w:b/>
          <w:bCs/>
          <w:sz w:val="22"/>
          <w:szCs w:val="22"/>
          <w:lang w:val="en-GB"/>
        </w:rPr>
        <w:t xml:space="preserve"> </w:t>
      </w:r>
    </w:p>
    <w:p w14:paraId="11F5AC70" w14:textId="77777777" w:rsidR="008A40A9" w:rsidRPr="008A40A9" w:rsidRDefault="008A40A9" w:rsidP="008A40A9">
      <w:pPr>
        <w:spacing w:before="160"/>
        <w:rPr>
          <w:rFonts w:ascii="Segoe UI" w:eastAsiaTheme="majorEastAsia" w:hAnsi="Segoe UI" w:cs="Segoe UI"/>
          <w:sz w:val="22"/>
          <w:szCs w:val="22"/>
          <w:lang w:val="en-GB"/>
        </w:rPr>
      </w:pPr>
      <w:r w:rsidRPr="008A40A9">
        <w:rPr>
          <w:rFonts w:ascii="Segoe UI" w:eastAsiaTheme="majorEastAsia" w:hAnsi="Segoe UI" w:cs="Segoe UI"/>
          <w:sz w:val="22"/>
          <w:szCs w:val="22"/>
          <w:lang w:val="en-GB"/>
        </w:rPr>
        <w:t>An updated code of governance for NHS provider trusts which sets out an overarching framework for the corporate governance of trusts. The new code will cover both foundation trusts and NHS trusts.</w:t>
      </w:r>
    </w:p>
    <w:p w14:paraId="18E509ED" w14:textId="77777777" w:rsidR="008A40A9" w:rsidRPr="008A40A9" w:rsidRDefault="008A40A9" w:rsidP="008A40A9">
      <w:pPr>
        <w:spacing w:before="160"/>
        <w:rPr>
          <w:rFonts w:ascii="Segoe UI" w:eastAsiaTheme="majorEastAsia" w:hAnsi="Segoe UI" w:cs="Segoe UI"/>
          <w:b/>
          <w:bCs/>
          <w:sz w:val="22"/>
          <w:szCs w:val="22"/>
          <w:lang w:val="en-GB"/>
        </w:rPr>
      </w:pPr>
      <w:r w:rsidRPr="008A40A9">
        <w:rPr>
          <w:rFonts w:ascii="Segoe UI" w:eastAsiaTheme="majorEastAsia" w:hAnsi="Segoe UI" w:cs="Segoe UI"/>
          <w:sz w:val="22"/>
          <w:szCs w:val="22"/>
          <w:lang w:val="en-GB"/>
        </w:rPr>
        <w:t>The code will come into effect from 1 April 2023 and replace the</w:t>
      </w:r>
      <w:r w:rsidRPr="008A40A9">
        <w:rPr>
          <w:rFonts w:ascii="Segoe UI" w:eastAsiaTheme="majorEastAsia" w:hAnsi="Segoe UI" w:cs="Segoe UI"/>
          <w:b/>
          <w:bCs/>
          <w:sz w:val="22"/>
          <w:szCs w:val="22"/>
          <w:lang w:val="en-GB"/>
        </w:rPr>
        <w:t> </w:t>
      </w:r>
      <w:hyperlink r:id="rId20" w:history="1">
        <w:r w:rsidRPr="008A40A9">
          <w:rPr>
            <w:rStyle w:val="Hyperlink"/>
            <w:rFonts w:ascii="Segoe UI" w:eastAsiaTheme="majorEastAsia" w:hAnsi="Segoe UI" w:cs="Segoe UI"/>
            <w:b/>
            <w:bCs/>
            <w:sz w:val="22"/>
            <w:szCs w:val="22"/>
            <w:lang w:val="en-GB"/>
          </w:rPr>
          <w:t>2014 NHS foundation trust code of governance</w:t>
        </w:r>
      </w:hyperlink>
      <w:r w:rsidRPr="008A40A9">
        <w:rPr>
          <w:rFonts w:ascii="Segoe UI" w:eastAsiaTheme="majorEastAsia" w:hAnsi="Segoe UI" w:cs="Segoe UI"/>
          <w:b/>
          <w:bCs/>
          <w:sz w:val="22"/>
          <w:szCs w:val="22"/>
          <w:lang w:val="en-GB"/>
        </w:rPr>
        <w:t>.</w:t>
      </w:r>
    </w:p>
    <w:p w14:paraId="64A418A3" w14:textId="2619B763" w:rsidR="00EA1785" w:rsidRDefault="00496B8C" w:rsidP="009622D9">
      <w:pPr>
        <w:spacing w:before="160"/>
        <w:rPr>
          <w:rFonts w:ascii="Segoe UI" w:eastAsiaTheme="majorEastAsia" w:hAnsi="Segoe UI" w:cs="Segoe UI"/>
          <w:b/>
          <w:bCs/>
          <w:sz w:val="22"/>
          <w:szCs w:val="22"/>
          <w:lang w:val="en-GB"/>
        </w:rPr>
      </w:pPr>
      <w:r>
        <w:rPr>
          <w:rFonts w:ascii="Segoe UI" w:eastAsiaTheme="majorEastAsia" w:hAnsi="Segoe UI" w:cs="Segoe UI"/>
          <w:sz w:val="22"/>
          <w:szCs w:val="22"/>
          <w:lang w:val="en-GB"/>
        </w:rPr>
        <w:t>The Code of Governance helps Trust</w:t>
      </w:r>
      <w:r w:rsidR="00ED1474">
        <w:rPr>
          <w:rFonts w:ascii="Segoe UI" w:eastAsiaTheme="majorEastAsia" w:hAnsi="Segoe UI" w:cs="Segoe UI"/>
          <w:sz w:val="22"/>
          <w:szCs w:val="22"/>
          <w:lang w:val="en-GB"/>
        </w:rPr>
        <w:t>s</w:t>
      </w:r>
      <w:r>
        <w:rPr>
          <w:rFonts w:ascii="Segoe UI" w:eastAsiaTheme="majorEastAsia" w:hAnsi="Segoe UI" w:cs="Segoe UI"/>
          <w:sz w:val="22"/>
          <w:szCs w:val="22"/>
          <w:lang w:val="en-GB"/>
        </w:rPr>
        <w:t xml:space="preserve"> deliver effective corporate </w:t>
      </w:r>
      <w:proofErr w:type="gramStart"/>
      <w:r>
        <w:rPr>
          <w:rFonts w:ascii="Segoe UI" w:eastAsiaTheme="majorEastAsia" w:hAnsi="Segoe UI" w:cs="Segoe UI"/>
          <w:sz w:val="22"/>
          <w:szCs w:val="22"/>
          <w:lang w:val="en-GB"/>
        </w:rPr>
        <w:t>governan</w:t>
      </w:r>
      <w:r w:rsidR="00597DBC">
        <w:rPr>
          <w:rFonts w:ascii="Segoe UI" w:eastAsiaTheme="majorEastAsia" w:hAnsi="Segoe UI" w:cs="Segoe UI"/>
          <w:sz w:val="22"/>
          <w:szCs w:val="22"/>
          <w:lang w:val="en-GB"/>
        </w:rPr>
        <w:t>c</w:t>
      </w:r>
      <w:r>
        <w:rPr>
          <w:rFonts w:ascii="Segoe UI" w:eastAsiaTheme="majorEastAsia" w:hAnsi="Segoe UI" w:cs="Segoe UI"/>
          <w:sz w:val="22"/>
          <w:szCs w:val="22"/>
          <w:lang w:val="en-GB"/>
        </w:rPr>
        <w:t xml:space="preserve">e, </w:t>
      </w:r>
      <w:r w:rsidR="00597DBC">
        <w:rPr>
          <w:rFonts w:ascii="Segoe UI" w:eastAsiaTheme="majorEastAsia" w:hAnsi="Segoe UI" w:cs="Segoe UI"/>
          <w:sz w:val="22"/>
          <w:szCs w:val="22"/>
          <w:lang w:val="en-GB"/>
        </w:rPr>
        <w:t>and</w:t>
      </w:r>
      <w:proofErr w:type="gramEnd"/>
      <w:r w:rsidR="00597DBC">
        <w:rPr>
          <w:rFonts w:ascii="Segoe UI" w:eastAsiaTheme="majorEastAsia" w:hAnsi="Segoe UI" w:cs="Segoe UI"/>
          <w:sz w:val="22"/>
          <w:szCs w:val="22"/>
          <w:lang w:val="en-GB"/>
        </w:rPr>
        <w:t xml:space="preserve"> helps </w:t>
      </w:r>
      <w:r w:rsidR="00C3036A">
        <w:rPr>
          <w:rFonts w:ascii="Segoe UI" w:eastAsiaTheme="majorEastAsia" w:hAnsi="Segoe UI" w:cs="Segoe UI"/>
          <w:sz w:val="22"/>
          <w:szCs w:val="22"/>
          <w:lang w:val="en-GB"/>
        </w:rPr>
        <w:t>them</w:t>
      </w:r>
      <w:r w:rsidR="00597DBC">
        <w:rPr>
          <w:rFonts w:ascii="Segoe UI" w:eastAsiaTheme="majorEastAsia" w:hAnsi="Segoe UI" w:cs="Segoe UI"/>
          <w:sz w:val="22"/>
          <w:szCs w:val="22"/>
          <w:lang w:val="en-GB"/>
        </w:rPr>
        <w:t xml:space="preserve"> discharge their duties in the best interests of patients, service users and the public.</w:t>
      </w:r>
      <w:r w:rsidR="00CA3C5C">
        <w:rPr>
          <w:rFonts w:ascii="Segoe UI" w:eastAsiaTheme="majorEastAsia" w:hAnsi="Segoe UI" w:cs="Segoe UI"/>
          <w:sz w:val="22"/>
          <w:szCs w:val="22"/>
          <w:lang w:val="en-GB"/>
        </w:rPr>
        <w:t xml:space="preserve">  It sets out a common overarching framework for the corporate governance of trusts that </w:t>
      </w:r>
      <w:r w:rsidR="001759BF">
        <w:rPr>
          <w:rFonts w:ascii="Segoe UI" w:eastAsiaTheme="majorEastAsia" w:hAnsi="Segoe UI" w:cs="Segoe UI"/>
          <w:sz w:val="22"/>
          <w:szCs w:val="22"/>
          <w:lang w:val="en-GB"/>
        </w:rPr>
        <w:t>complements</w:t>
      </w:r>
      <w:r w:rsidR="00CA3C5C">
        <w:rPr>
          <w:rFonts w:ascii="Segoe UI" w:eastAsiaTheme="majorEastAsia" w:hAnsi="Segoe UI" w:cs="Segoe UI"/>
          <w:sz w:val="22"/>
          <w:szCs w:val="22"/>
          <w:lang w:val="en-GB"/>
        </w:rPr>
        <w:t xml:space="preserve"> the </w:t>
      </w:r>
      <w:r w:rsidR="001759BF">
        <w:rPr>
          <w:rFonts w:ascii="Segoe UI" w:eastAsiaTheme="majorEastAsia" w:hAnsi="Segoe UI" w:cs="Segoe UI"/>
          <w:sz w:val="22"/>
          <w:szCs w:val="22"/>
          <w:lang w:val="en-GB"/>
        </w:rPr>
        <w:t>statutory</w:t>
      </w:r>
      <w:r w:rsidR="00CA3C5C">
        <w:rPr>
          <w:rFonts w:ascii="Segoe UI" w:eastAsiaTheme="majorEastAsia" w:hAnsi="Segoe UI" w:cs="Segoe UI"/>
          <w:sz w:val="22"/>
          <w:szCs w:val="22"/>
          <w:lang w:val="en-GB"/>
        </w:rPr>
        <w:t xml:space="preserve"> and regulatory obligations they have.</w:t>
      </w:r>
      <w:r w:rsidR="00597DBC">
        <w:rPr>
          <w:rFonts w:ascii="Segoe UI" w:eastAsiaTheme="majorEastAsia" w:hAnsi="Segoe UI" w:cs="Segoe UI"/>
          <w:sz w:val="22"/>
          <w:szCs w:val="22"/>
          <w:lang w:val="en-GB"/>
        </w:rPr>
        <w:t xml:space="preserve">  </w:t>
      </w:r>
      <w:r w:rsidR="009622D9" w:rsidRPr="00EA1785">
        <w:rPr>
          <w:rFonts w:ascii="Segoe UI" w:eastAsiaTheme="majorEastAsia" w:hAnsi="Segoe UI" w:cs="Segoe UI"/>
          <w:sz w:val="22"/>
          <w:szCs w:val="22"/>
          <w:lang w:val="en-GB"/>
        </w:rPr>
        <w:t>Key points of the new Code are</w:t>
      </w:r>
      <w:r w:rsidR="009622D9">
        <w:rPr>
          <w:rFonts w:ascii="Segoe UI" w:eastAsiaTheme="majorEastAsia" w:hAnsi="Segoe UI" w:cs="Segoe UI"/>
          <w:b/>
          <w:bCs/>
          <w:sz w:val="22"/>
          <w:szCs w:val="22"/>
          <w:lang w:val="en-GB"/>
        </w:rPr>
        <w:t>:</w:t>
      </w:r>
    </w:p>
    <w:p w14:paraId="3E99C5CD" w14:textId="06520534" w:rsidR="009622D9" w:rsidRPr="00EA1785" w:rsidRDefault="00EA1785" w:rsidP="004C21C7">
      <w:pPr>
        <w:pStyle w:val="ListParagraph"/>
        <w:numPr>
          <w:ilvl w:val="0"/>
          <w:numId w:val="5"/>
        </w:numPr>
        <w:spacing w:before="160"/>
        <w:rPr>
          <w:rFonts w:ascii="Segoe UI" w:eastAsiaTheme="majorEastAsia" w:hAnsi="Segoe UI" w:cs="Segoe UI"/>
          <w:sz w:val="22"/>
          <w:szCs w:val="22"/>
          <w:lang w:val="en-GB"/>
        </w:rPr>
      </w:pPr>
      <w:r w:rsidRPr="00EA1785">
        <w:rPr>
          <w:rFonts w:ascii="Segoe UI" w:eastAsiaTheme="majorEastAsia" w:hAnsi="Segoe UI" w:cs="Segoe UI"/>
          <w:sz w:val="22"/>
          <w:szCs w:val="22"/>
          <w:lang w:val="en-GB"/>
        </w:rPr>
        <w:t>C</w:t>
      </w:r>
      <w:r w:rsidR="009622D9" w:rsidRPr="00EA1785">
        <w:rPr>
          <w:rFonts w:ascii="Segoe UI" w:eastAsiaTheme="majorEastAsia" w:hAnsi="Segoe UI" w:cs="Segoe UI"/>
          <w:sz w:val="22"/>
          <w:szCs w:val="22"/>
          <w:lang w:val="en-GB"/>
        </w:rPr>
        <w:t xml:space="preserve">orporate governance is the means by which boards lead and direct their organisations so that decision-making is effective, risk is </w:t>
      </w:r>
      <w:proofErr w:type="gramStart"/>
      <w:r w:rsidR="009622D9" w:rsidRPr="00EA1785">
        <w:rPr>
          <w:rFonts w:ascii="Segoe UI" w:eastAsiaTheme="majorEastAsia" w:hAnsi="Segoe UI" w:cs="Segoe UI"/>
          <w:sz w:val="22"/>
          <w:szCs w:val="22"/>
          <w:lang w:val="en-GB"/>
        </w:rPr>
        <w:t>managed</w:t>
      </w:r>
      <w:proofErr w:type="gramEnd"/>
      <w:r w:rsidR="009622D9" w:rsidRPr="00EA1785">
        <w:rPr>
          <w:rFonts w:ascii="Segoe UI" w:eastAsiaTheme="majorEastAsia" w:hAnsi="Segoe UI" w:cs="Segoe UI"/>
          <w:sz w:val="22"/>
          <w:szCs w:val="22"/>
          <w:lang w:val="en-GB"/>
        </w:rPr>
        <w:t xml:space="preserve"> and the right outcomes are delivered.</w:t>
      </w:r>
    </w:p>
    <w:p w14:paraId="2C4615AD" w14:textId="77777777" w:rsidR="009622D9" w:rsidRPr="009622D9" w:rsidRDefault="009622D9" w:rsidP="004C21C7">
      <w:pPr>
        <w:numPr>
          <w:ilvl w:val="0"/>
          <w:numId w:val="4"/>
        </w:numPr>
        <w:spacing w:before="160"/>
        <w:rPr>
          <w:rFonts w:ascii="Segoe UI" w:eastAsiaTheme="majorEastAsia" w:hAnsi="Segoe UI" w:cs="Segoe UI"/>
          <w:sz w:val="22"/>
          <w:szCs w:val="22"/>
          <w:lang w:val="en-GB"/>
        </w:rPr>
      </w:pPr>
      <w:r w:rsidRPr="009622D9">
        <w:rPr>
          <w:rFonts w:ascii="Segoe UI" w:eastAsiaTheme="majorEastAsia" w:hAnsi="Segoe UI" w:cs="Segoe UI"/>
          <w:sz w:val="22"/>
          <w:szCs w:val="22"/>
          <w:lang w:val="en-GB"/>
        </w:rPr>
        <w:t>In the NHS this means delivering high quality services in a caring and compassionate environment while collaborating through system and place-based partnerships and provider collaboratives to integrate care.</w:t>
      </w:r>
    </w:p>
    <w:p w14:paraId="17BA5D46" w14:textId="77777777" w:rsidR="009622D9" w:rsidRPr="009622D9" w:rsidRDefault="009622D9" w:rsidP="004C21C7">
      <w:pPr>
        <w:numPr>
          <w:ilvl w:val="0"/>
          <w:numId w:val="4"/>
        </w:numPr>
        <w:spacing w:before="160"/>
        <w:rPr>
          <w:rFonts w:ascii="Segoe UI" w:eastAsiaTheme="majorEastAsia" w:hAnsi="Segoe UI" w:cs="Segoe UI"/>
          <w:sz w:val="22"/>
          <w:szCs w:val="22"/>
          <w:lang w:val="en-GB"/>
        </w:rPr>
      </w:pPr>
      <w:r w:rsidRPr="009622D9">
        <w:rPr>
          <w:rFonts w:ascii="Segoe UI" w:eastAsiaTheme="majorEastAsia" w:hAnsi="Segoe UI" w:cs="Segoe UI"/>
          <w:sz w:val="22"/>
          <w:szCs w:val="22"/>
          <w:lang w:val="en-GB"/>
        </w:rPr>
        <w:t>Best practice is detailed in the following sections: board leadership and purpose, division of responsibilities, composition, succession and evaluation, audit, risk, internal control and remuneration.</w:t>
      </w:r>
    </w:p>
    <w:p w14:paraId="23767B2C" w14:textId="77777777" w:rsidR="002D3C74" w:rsidRPr="002D3C74" w:rsidRDefault="002248D0" w:rsidP="00DD1CA7">
      <w:pPr>
        <w:spacing w:before="160"/>
        <w:jc w:val="both"/>
        <w:rPr>
          <w:rFonts w:ascii="Segoe UI" w:eastAsiaTheme="majorEastAsia" w:hAnsi="Segoe UI" w:cs="Segoe UI"/>
          <w:b/>
          <w:bCs/>
          <w:sz w:val="22"/>
          <w:szCs w:val="22"/>
        </w:rPr>
      </w:pPr>
      <w:r>
        <w:rPr>
          <w:rFonts w:ascii="Segoe UI" w:eastAsiaTheme="majorEastAsia" w:hAnsi="Segoe UI" w:cs="Segoe UI"/>
          <w:b/>
          <w:bCs/>
          <w:sz w:val="22"/>
          <w:szCs w:val="22"/>
          <w:lang w:val="en-GB"/>
        </w:rPr>
        <w:t xml:space="preserve">Trust position:  The Trust is required to comply with each of the provisions of the code or, where appropriate, explain in each case </w:t>
      </w:r>
      <w:r w:rsidR="007F3708">
        <w:rPr>
          <w:rFonts w:ascii="Segoe UI" w:eastAsiaTheme="majorEastAsia" w:hAnsi="Segoe UI" w:cs="Segoe UI"/>
          <w:b/>
          <w:bCs/>
          <w:sz w:val="22"/>
          <w:szCs w:val="22"/>
          <w:lang w:val="en-GB"/>
        </w:rPr>
        <w:t>wh</w:t>
      </w:r>
      <w:r>
        <w:rPr>
          <w:rFonts w:ascii="Segoe UI" w:eastAsiaTheme="majorEastAsia" w:hAnsi="Segoe UI" w:cs="Segoe UI"/>
          <w:b/>
          <w:bCs/>
          <w:sz w:val="22"/>
          <w:szCs w:val="22"/>
          <w:lang w:val="en-GB"/>
        </w:rPr>
        <w:t xml:space="preserve">y the Trust has departed from the Code.  The Director of Corporate Affairs and Company Secretary </w:t>
      </w:r>
      <w:r w:rsidR="00EC480C">
        <w:rPr>
          <w:rFonts w:ascii="Segoe UI" w:eastAsiaTheme="majorEastAsia" w:hAnsi="Segoe UI" w:cs="Segoe UI"/>
          <w:b/>
          <w:bCs/>
          <w:sz w:val="22"/>
          <w:szCs w:val="22"/>
          <w:lang w:val="en-GB"/>
        </w:rPr>
        <w:t xml:space="preserve">ensures the principal of comply or explain is adopted annually as part of the Annual Report submission to Parliament. </w:t>
      </w:r>
      <w:r w:rsidR="002D3C74" w:rsidRPr="002D3C74">
        <w:rPr>
          <w:rFonts w:ascii="Segoe UI" w:eastAsiaTheme="majorEastAsia" w:hAnsi="Segoe UI" w:cs="Segoe UI"/>
          <w:b/>
          <w:bCs/>
          <w:sz w:val="22"/>
          <w:szCs w:val="22"/>
        </w:rPr>
        <w:t xml:space="preserve">To meet the requirements of ‘comply or explain’ each trust must comply with each of the provisions of the code (which in some cases will require a statement or information in the annual report, or provision of information </w:t>
      </w:r>
      <w:r w:rsidR="002D3C74" w:rsidRPr="002D3C74">
        <w:rPr>
          <w:rFonts w:ascii="Segoe UI" w:eastAsiaTheme="majorEastAsia" w:hAnsi="Segoe UI" w:cs="Segoe UI"/>
          <w:b/>
          <w:bCs/>
          <w:sz w:val="22"/>
          <w:szCs w:val="22"/>
        </w:rPr>
        <w:lastRenderedPageBreak/>
        <w:t>to the public or, for foundation trusts, governors or members) or, where appropriate, explain in each case why the trust has departed from the code.</w:t>
      </w:r>
    </w:p>
    <w:p w14:paraId="1360003C" w14:textId="2DD2FFD2" w:rsidR="002D3C74" w:rsidRPr="002D3C74" w:rsidRDefault="002D3C74" w:rsidP="00DD1CA7">
      <w:pPr>
        <w:spacing w:before="160"/>
        <w:jc w:val="both"/>
        <w:rPr>
          <w:rFonts w:ascii="Segoe UI" w:eastAsiaTheme="majorEastAsia" w:hAnsi="Segoe UI" w:cs="Segoe UI"/>
          <w:b/>
          <w:bCs/>
          <w:sz w:val="22"/>
          <w:szCs w:val="22"/>
          <w:lang w:val="en-GB"/>
        </w:rPr>
      </w:pPr>
      <w:r>
        <w:rPr>
          <w:rFonts w:ascii="Segoe UI" w:eastAsiaTheme="majorEastAsia" w:hAnsi="Segoe UI" w:cs="Segoe UI"/>
          <w:b/>
          <w:bCs/>
          <w:sz w:val="22"/>
          <w:szCs w:val="22"/>
          <w:lang w:val="en-GB"/>
        </w:rPr>
        <w:t>D</w:t>
      </w:r>
      <w:r w:rsidRPr="002D3C74">
        <w:rPr>
          <w:rFonts w:ascii="Segoe UI" w:eastAsiaTheme="majorEastAsia" w:hAnsi="Segoe UI" w:cs="Segoe UI"/>
          <w:b/>
          <w:bCs/>
          <w:sz w:val="22"/>
          <w:szCs w:val="22"/>
          <w:lang w:val="en-GB"/>
        </w:rPr>
        <w:t xml:space="preserve">eparture from the specific provisions of the code may be justified </w:t>
      </w:r>
      <w:proofErr w:type="gramStart"/>
      <w:r w:rsidRPr="002D3C74">
        <w:rPr>
          <w:rFonts w:ascii="Segoe UI" w:eastAsiaTheme="majorEastAsia" w:hAnsi="Segoe UI" w:cs="Segoe UI"/>
          <w:b/>
          <w:bCs/>
          <w:sz w:val="22"/>
          <w:szCs w:val="22"/>
          <w:lang w:val="en-GB"/>
        </w:rPr>
        <w:t>in particular circumstances</w:t>
      </w:r>
      <w:proofErr w:type="gramEnd"/>
      <w:r w:rsidRPr="002D3C74">
        <w:rPr>
          <w:rFonts w:ascii="Segoe UI" w:eastAsiaTheme="majorEastAsia" w:hAnsi="Segoe UI" w:cs="Segoe UI"/>
          <w:b/>
          <w:bCs/>
          <w:sz w:val="22"/>
          <w:szCs w:val="22"/>
          <w:lang w:val="en-GB"/>
        </w:rPr>
        <w:t>. Reasons for non-compliance with the code should be explained, with the trust illustrating how its actual practices are consistent with the principle to which the particular provision relates. </w:t>
      </w:r>
    </w:p>
    <w:p w14:paraId="29DA2BD2" w14:textId="77777777" w:rsidR="00635126" w:rsidRPr="00635126" w:rsidRDefault="007C3ABA" w:rsidP="004C21C7">
      <w:pPr>
        <w:pStyle w:val="ListParagraph"/>
        <w:numPr>
          <w:ilvl w:val="0"/>
          <w:numId w:val="6"/>
        </w:numPr>
        <w:spacing w:before="160"/>
        <w:jc w:val="both"/>
        <w:rPr>
          <w:rFonts w:ascii="Segoe UI" w:eastAsiaTheme="majorEastAsia" w:hAnsi="Segoe UI" w:cs="Segoe UI"/>
          <w:b/>
          <w:bCs/>
          <w:sz w:val="22"/>
          <w:szCs w:val="22"/>
        </w:rPr>
      </w:pPr>
      <w:r w:rsidRPr="007A239E">
        <w:rPr>
          <w:rFonts w:ascii="Segoe UI" w:eastAsiaTheme="majorEastAsia" w:hAnsi="Segoe UI" w:cs="Segoe UI"/>
          <w:b/>
          <w:bCs/>
          <w:sz w:val="22"/>
          <w:szCs w:val="22"/>
          <w:lang w:val="en-GB"/>
        </w:rPr>
        <w:t>Addendum to your statutory duties – reference guide for NHS foundation trust governors:</w:t>
      </w:r>
    </w:p>
    <w:p w14:paraId="42C943E2" w14:textId="6E4133B8" w:rsidR="00660B42" w:rsidRPr="00660B42" w:rsidRDefault="00660B42" w:rsidP="000529E7">
      <w:pPr>
        <w:spacing w:before="160"/>
        <w:ind w:left="60"/>
        <w:jc w:val="both"/>
        <w:rPr>
          <w:rFonts w:ascii="Segoe UI" w:eastAsiaTheme="majorEastAsia" w:hAnsi="Segoe UI" w:cs="Segoe UI"/>
          <w:sz w:val="22"/>
          <w:szCs w:val="22"/>
          <w:lang w:val="en-GB"/>
        </w:rPr>
      </w:pPr>
      <w:r>
        <w:rPr>
          <w:rFonts w:ascii="Segoe UI" w:eastAsiaTheme="majorEastAsia" w:hAnsi="Segoe UI" w:cs="Segoe UI"/>
          <w:sz w:val="22"/>
          <w:szCs w:val="22"/>
        </w:rPr>
        <w:t>As reported in the update report to Board in July 22,</w:t>
      </w:r>
      <w:r w:rsidRPr="00660B42">
        <w:rPr>
          <w:rFonts w:ascii="Segoe UI" w:hAnsi="Segoe UI" w:cs="Segoe UI"/>
          <w:sz w:val="22"/>
          <w:szCs w:val="22"/>
        </w:rPr>
        <w:t xml:space="preserve"> </w:t>
      </w:r>
      <w:r w:rsidR="000529E7" w:rsidRPr="00660B42">
        <w:rPr>
          <w:rFonts w:ascii="Segoe UI" w:eastAsiaTheme="majorEastAsia" w:hAnsi="Segoe UI" w:cs="Segoe UI"/>
          <w:sz w:val="22"/>
          <w:szCs w:val="22"/>
        </w:rPr>
        <w:t>this</w:t>
      </w:r>
      <w:r w:rsidRPr="00660B42">
        <w:rPr>
          <w:rFonts w:ascii="Segoe UI" w:eastAsiaTheme="majorEastAsia" w:hAnsi="Segoe UI" w:cs="Segoe UI"/>
          <w:sz w:val="22"/>
          <w:szCs w:val="22"/>
        </w:rPr>
        <w:t xml:space="preserve"> draft addendum to the present guidance for governors place</w:t>
      </w:r>
      <w:r w:rsidR="000529E7">
        <w:rPr>
          <w:rFonts w:ascii="Segoe UI" w:eastAsiaTheme="majorEastAsia" w:hAnsi="Segoe UI" w:cs="Segoe UI"/>
          <w:sz w:val="22"/>
          <w:szCs w:val="22"/>
        </w:rPr>
        <w:t>s</w:t>
      </w:r>
      <w:r w:rsidRPr="00660B42">
        <w:rPr>
          <w:rFonts w:ascii="Segoe UI" w:eastAsiaTheme="majorEastAsia" w:hAnsi="Segoe UI" w:cs="Segoe UI"/>
          <w:sz w:val="22"/>
          <w:szCs w:val="22"/>
        </w:rPr>
        <w:t xml:space="preserve"> the existing, legal duties of councils of governors (</w:t>
      </w:r>
      <w:r w:rsidRPr="00660B42">
        <w:rPr>
          <w:rFonts w:ascii="Segoe UI" w:eastAsiaTheme="majorEastAsia" w:hAnsi="Segoe UI" w:cs="Segoe UI"/>
          <w:b/>
          <w:bCs/>
          <w:sz w:val="22"/>
          <w:szCs w:val="22"/>
        </w:rPr>
        <w:t>unchanged by the 2022 Act</w:t>
      </w:r>
      <w:r w:rsidRPr="00660B42">
        <w:rPr>
          <w:rFonts w:ascii="Segoe UI" w:eastAsiaTheme="majorEastAsia" w:hAnsi="Segoe UI" w:cs="Segoe UI"/>
          <w:sz w:val="22"/>
          <w:szCs w:val="22"/>
        </w:rPr>
        <w:t>) into the context of system working.  It addresses holding the non-executive directors (NEDs) to account for the performance of the board, representing the interests of trust members and the public, and approving or not, significant transactions, mergers, acquisitions, separations or dissolutions. This addendum only applies to a council of governors’ role within its own foundation trust’s governance.</w:t>
      </w:r>
    </w:p>
    <w:p w14:paraId="28DADC30" w14:textId="5EFD68DD" w:rsidR="007C3ABA" w:rsidRPr="0085799A" w:rsidRDefault="008A1AA3" w:rsidP="0085799A">
      <w:pPr>
        <w:spacing w:before="160"/>
        <w:rPr>
          <w:rFonts w:ascii="Segoe UI" w:eastAsiaTheme="majorEastAsia" w:hAnsi="Segoe UI" w:cs="Segoe UI"/>
          <w:sz w:val="22"/>
          <w:szCs w:val="22"/>
        </w:rPr>
      </w:pPr>
      <w:hyperlink r:id="rId21" w:history="1">
        <w:r w:rsidR="0085799A" w:rsidRPr="00B030B8">
          <w:rPr>
            <w:rStyle w:val="Hyperlink"/>
            <w:rFonts w:ascii="Segoe UI" w:eastAsiaTheme="majorEastAsia" w:hAnsi="Segoe UI" w:cs="Segoe UI"/>
            <w:b/>
            <w:bCs/>
            <w:sz w:val="22"/>
            <w:szCs w:val="22"/>
            <w:lang w:val="en-GB"/>
          </w:rPr>
          <w:t>https://www.england.nhs.uk/publication/addendum-to-your-statutory-duties-reference-guide-for-nhs-foundation-trust-governors/</w:t>
        </w:r>
      </w:hyperlink>
    </w:p>
    <w:p w14:paraId="5EA28662" w14:textId="2C8E6AB4" w:rsidR="006779B9" w:rsidRDefault="006413AE" w:rsidP="004C21C7">
      <w:pPr>
        <w:pStyle w:val="ListParagraph"/>
        <w:numPr>
          <w:ilvl w:val="0"/>
          <w:numId w:val="1"/>
        </w:numPr>
        <w:spacing w:before="160"/>
        <w:rPr>
          <w:rFonts w:ascii="Segoe UI" w:eastAsiaTheme="majorEastAsia" w:hAnsi="Segoe UI" w:cs="Segoe UI"/>
          <w:b/>
          <w:bCs/>
          <w:sz w:val="22"/>
          <w:szCs w:val="22"/>
        </w:rPr>
      </w:pPr>
      <w:r>
        <w:rPr>
          <w:rFonts w:ascii="Segoe UI" w:eastAsiaTheme="majorEastAsia" w:hAnsi="Segoe UI" w:cs="Segoe UI"/>
          <w:b/>
          <w:bCs/>
          <w:sz w:val="22"/>
          <w:szCs w:val="22"/>
        </w:rPr>
        <w:t xml:space="preserve">Transactions Guidance - </w:t>
      </w:r>
      <w:r w:rsidR="006779B9">
        <w:rPr>
          <w:rFonts w:ascii="Segoe UI" w:eastAsiaTheme="majorEastAsia" w:hAnsi="Segoe UI" w:cs="Segoe UI"/>
          <w:b/>
          <w:bCs/>
          <w:sz w:val="22"/>
          <w:szCs w:val="22"/>
        </w:rPr>
        <w:t>Assuring and supporting complex change</w:t>
      </w:r>
    </w:p>
    <w:p w14:paraId="1C271283" w14:textId="4DE4D3F2" w:rsidR="008242A4" w:rsidRDefault="005C7DC5" w:rsidP="00656370">
      <w:pPr>
        <w:spacing w:before="160"/>
        <w:jc w:val="both"/>
        <w:rPr>
          <w:rFonts w:ascii="Segoe UI" w:eastAsiaTheme="majorEastAsia" w:hAnsi="Segoe UI" w:cs="Segoe UI"/>
          <w:sz w:val="22"/>
          <w:szCs w:val="22"/>
        </w:rPr>
      </w:pPr>
      <w:r w:rsidRPr="005C7DC5">
        <w:rPr>
          <w:rFonts w:ascii="Segoe UI" w:eastAsiaTheme="majorEastAsia" w:hAnsi="Segoe UI" w:cs="Segoe UI"/>
          <w:sz w:val="22"/>
          <w:szCs w:val="22"/>
        </w:rPr>
        <w:t>On 11 October NHS England (NHSE) published its updated transactions guidance, alongside ten appendices and its response to the consultation on the guidance.</w:t>
      </w:r>
      <w:r w:rsidR="00A6731F">
        <w:rPr>
          <w:rFonts w:ascii="Segoe UI" w:eastAsiaTheme="majorEastAsia" w:hAnsi="Segoe UI" w:cs="Segoe UI"/>
          <w:sz w:val="22"/>
          <w:szCs w:val="22"/>
        </w:rPr>
        <w:t xml:space="preserve"> </w:t>
      </w:r>
      <w:r w:rsidR="00226FC7" w:rsidRPr="00226FC7">
        <w:rPr>
          <w:rFonts w:ascii="Segoe UI" w:eastAsiaTheme="majorEastAsia" w:hAnsi="Segoe UI" w:cs="Segoe UI"/>
          <w:sz w:val="22"/>
          <w:szCs w:val="22"/>
        </w:rPr>
        <w:t>For the first time, the Guidance has been issued in separate parts under an overall heading of “Assuring and Supporting Complex Change” for each of the various types of NHS transactions which are subject to NHSE’s scrutiny</w:t>
      </w:r>
      <w:r w:rsidR="009313FF">
        <w:rPr>
          <w:rFonts w:ascii="Segoe UI" w:eastAsiaTheme="majorEastAsia" w:hAnsi="Segoe UI" w:cs="Segoe UI"/>
          <w:sz w:val="22"/>
          <w:szCs w:val="22"/>
        </w:rPr>
        <w:t>:</w:t>
      </w:r>
    </w:p>
    <w:p w14:paraId="1B4048A1" w14:textId="6C77A7EB" w:rsidR="00D1754F" w:rsidRPr="00A67112" w:rsidRDefault="00D1754F" w:rsidP="004C21C7">
      <w:pPr>
        <w:pStyle w:val="ListParagraph"/>
        <w:numPr>
          <w:ilvl w:val="0"/>
          <w:numId w:val="8"/>
        </w:numPr>
        <w:spacing w:before="160"/>
        <w:jc w:val="both"/>
        <w:rPr>
          <w:rFonts w:ascii="Segoe UI" w:eastAsiaTheme="majorEastAsia" w:hAnsi="Segoe UI" w:cs="Segoe UI"/>
          <w:sz w:val="22"/>
          <w:szCs w:val="22"/>
        </w:rPr>
      </w:pPr>
      <w:r w:rsidRPr="00A67112">
        <w:rPr>
          <w:rFonts w:ascii="Segoe UI" w:eastAsiaTheme="majorEastAsia" w:hAnsi="Segoe UI" w:cs="Segoe UI"/>
          <w:sz w:val="22"/>
          <w:szCs w:val="22"/>
        </w:rPr>
        <w:t>Statutory transactions - mergers, acquisitions, Foundation Trust dissolutions and separations.</w:t>
      </w:r>
    </w:p>
    <w:p w14:paraId="05C0B3A6" w14:textId="2072AEDE" w:rsidR="00D1754F" w:rsidRPr="00EB1404" w:rsidRDefault="00D1754F" w:rsidP="004C21C7">
      <w:pPr>
        <w:pStyle w:val="ListParagraph"/>
        <w:numPr>
          <w:ilvl w:val="0"/>
          <w:numId w:val="8"/>
        </w:numPr>
        <w:spacing w:before="160"/>
        <w:jc w:val="both"/>
        <w:rPr>
          <w:rFonts w:ascii="Segoe UI" w:eastAsiaTheme="majorEastAsia" w:hAnsi="Segoe UI" w:cs="Segoe UI"/>
          <w:sz w:val="22"/>
          <w:szCs w:val="22"/>
        </w:rPr>
      </w:pPr>
      <w:r w:rsidRPr="00EB1404">
        <w:rPr>
          <w:rFonts w:ascii="Segoe UI" w:eastAsiaTheme="majorEastAsia" w:hAnsi="Segoe UI" w:cs="Segoe UI"/>
          <w:sz w:val="22"/>
          <w:szCs w:val="22"/>
        </w:rPr>
        <w:t>Certain significant service contracts - contracts which expose a Trust or system to significant incremental risk, for</w:t>
      </w:r>
      <w:r w:rsidR="00EB1404" w:rsidRPr="00EB1404">
        <w:rPr>
          <w:rFonts w:ascii="Segoe UI" w:eastAsiaTheme="majorEastAsia" w:hAnsi="Segoe UI" w:cs="Segoe UI"/>
          <w:sz w:val="22"/>
          <w:szCs w:val="22"/>
        </w:rPr>
        <w:t xml:space="preserve"> </w:t>
      </w:r>
      <w:r w:rsidRPr="00EB1404">
        <w:rPr>
          <w:rFonts w:ascii="Segoe UI" w:eastAsiaTheme="majorEastAsia" w:hAnsi="Segoe UI" w:cs="Segoe UI"/>
          <w:sz w:val="22"/>
          <w:szCs w:val="22"/>
        </w:rPr>
        <w:t>instance, where there is material change to the scale or scope of the Trust’s activity.</w:t>
      </w:r>
    </w:p>
    <w:p w14:paraId="4CB8AD96" w14:textId="706AA1F4" w:rsidR="00D1754F" w:rsidRPr="00A67112" w:rsidRDefault="00D1754F" w:rsidP="004C21C7">
      <w:pPr>
        <w:pStyle w:val="ListParagraph"/>
        <w:numPr>
          <w:ilvl w:val="0"/>
          <w:numId w:val="8"/>
        </w:numPr>
        <w:spacing w:before="160"/>
        <w:jc w:val="both"/>
        <w:rPr>
          <w:rFonts w:ascii="Segoe UI" w:eastAsiaTheme="majorEastAsia" w:hAnsi="Segoe UI" w:cs="Segoe UI"/>
          <w:sz w:val="22"/>
          <w:szCs w:val="22"/>
        </w:rPr>
      </w:pPr>
      <w:r w:rsidRPr="00A67112">
        <w:rPr>
          <w:rFonts w:ascii="Segoe UI" w:eastAsiaTheme="majorEastAsia" w:hAnsi="Segoe UI" w:cs="Segoe UI"/>
          <w:sz w:val="22"/>
          <w:szCs w:val="22"/>
        </w:rPr>
        <w:t>Commercial transfers - material sale and purchase agreements short of a whole entity transfer.</w:t>
      </w:r>
    </w:p>
    <w:p w14:paraId="3D5F2467" w14:textId="05F31C82" w:rsidR="00D1754F" w:rsidRPr="00640292" w:rsidRDefault="00D1754F" w:rsidP="004C21C7">
      <w:pPr>
        <w:pStyle w:val="ListParagraph"/>
        <w:numPr>
          <w:ilvl w:val="0"/>
          <w:numId w:val="8"/>
        </w:numPr>
        <w:spacing w:before="160"/>
        <w:jc w:val="both"/>
        <w:rPr>
          <w:rFonts w:ascii="Segoe UI" w:eastAsiaTheme="majorEastAsia" w:hAnsi="Segoe UI" w:cs="Segoe UI"/>
          <w:sz w:val="22"/>
          <w:szCs w:val="22"/>
        </w:rPr>
      </w:pPr>
      <w:r w:rsidRPr="00640292">
        <w:rPr>
          <w:rFonts w:ascii="Segoe UI" w:eastAsiaTheme="majorEastAsia" w:hAnsi="Segoe UI" w:cs="Segoe UI"/>
          <w:sz w:val="22"/>
          <w:szCs w:val="22"/>
        </w:rPr>
        <w:t>Forming or changing a subsidiary - subsidiaries and corporate JVs being formed or materially changed. No changes were</w:t>
      </w:r>
      <w:r w:rsidR="00640292" w:rsidRPr="00640292">
        <w:rPr>
          <w:rFonts w:ascii="Segoe UI" w:eastAsiaTheme="majorEastAsia" w:hAnsi="Segoe UI" w:cs="Segoe UI"/>
          <w:sz w:val="22"/>
          <w:szCs w:val="22"/>
        </w:rPr>
        <w:t xml:space="preserve"> </w:t>
      </w:r>
      <w:r w:rsidRPr="00640292">
        <w:rPr>
          <w:rFonts w:ascii="Segoe UI" w:eastAsiaTheme="majorEastAsia" w:hAnsi="Segoe UI" w:cs="Segoe UI"/>
          <w:sz w:val="22"/>
          <w:szCs w:val="22"/>
        </w:rPr>
        <w:t>made to the existing 2018 guidance meaning that all such transactions remain reportable. This part of the Guidance will</w:t>
      </w:r>
      <w:r w:rsidR="00640292" w:rsidRPr="00640292">
        <w:rPr>
          <w:rFonts w:ascii="Segoe UI" w:eastAsiaTheme="majorEastAsia" w:hAnsi="Segoe UI" w:cs="Segoe UI"/>
          <w:sz w:val="22"/>
          <w:szCs w:val="22"/>
        </w:rPr>
        <w:t xml:space="preserve"> </w:t>
      </w:r>
      <w:r w:rsidRPr="00640292">
        <w:rPr>
          <w:rFonts w:ascii="Segoe UI" w:eastAsiaTheme="majorEastAsia" w:hAnsi="Segoe UI" w:cs="Segoe UI"/>
          <w:sz w:val="22"/>
          <w:szCs w:val="22"/>
        </w:rPr>
        <w:t>be updated later in 2022.</w:t>
      </w:r>
    </w:p>
    <w:p w14:paraId="4B176712" w14:textId="77777777" w:rsidR="00640292" w:rsidRDefault="00D1754F" w:rsidP="004C21C7">
      <w:pPr>
        <w:pStyle w:val="ListParagraph"/>
        <w:numPr>
          <w:ilvl w:val="0"/>
          <w:numId w:val="8"/>
        </w:numPr>
        <w:spacing w:before="160"/>
        <w:jc w:val="both"/>
        <w:rPr>
          <w:rFonts w:ascii="Segoe UI" w:eastAsiaTheme="majorEastAsia" w:hAnsi="Segoe UI" w:cs="Segoe UI"/>
          <w:sz w:val="22"/>
          <w:szCs w:val="22"/>
        </w:rPr>
      </w:pPr>
      <w:r w:rsidRPr="00A67112">
        <w:rPr>
          <w:rFonts w:ascii="Segoe UI" w:eastAsiaTheme="majorEastAsia" w:hAnsi="Segoe UI" w:cs="Segoe UI"/>
          <w:sz w:val="22"/>
          <w:szCs w:val="22"/>
        </w:rPr>
        <w:t xml:space="preserve">Novel, contentious and repercussive financial arrangements - all such arrangements are reportable. </w:t>
      </w:r>
    </w:p>
    <w:p w14:paraId="6E21B9AD" w14:textId="080280BF" w:rsidR="00D1754F" w:rsidRPr="00640292" w:rsidRDefault="00D1754F" w:rsidP="004C21C7">
      <w:pPr>
        <w:pStyle w:val="ListParagraph"/>
        <w:numPr>
          <w:ilvl w:val="0"/>
          <w:numId w:val="8"/>
        </w:numPr>
        <w:spacing w:before="160"/>
        <w:jc w:val="both"/>
        <w:rPr>
          <w:rFonts w:ascii="Segoe UI" w:eastAsiaTheme="majorEastAsia" w:hAnsi="Segoe UI" w:cs="Segoe UI"/>
          <w:sz w:val="22"/>
          <w:szCs w:val="22"/>
        </w:rPr>
      </w:pPr>
      <w:r w:rsidRPr="00640292">
        <w:rPr>
          <w:rFonts w:ascii="Segoe UI" w:eastAsiaTheme="majorEastAsia" w:hAnsi="Segoe UI" w:cs="Segoe UI"/>
          <w:sz w:val="22"/>
          <w:szCs w:val="22"/>
        </w:rPr>
        <w:t>Capital proposals are</w:t>
      </w:r>
      <w:r w:rsidR="00640292" w:rsidRPr="00640292">
        <w:rPr>
          <w:rFonts w:ascii="Segoe UI" w:eastAsiaTheme="majorEastAsia" w:hAnsi="Segoe UI" w:cs="Segoe UI"/>
          <w:sz w:val="22"/>
          <w:szCs w:val="22"/>
        </w:rPr>
        <w:t xml:space="preserve"> </w:t>
      </w:r>
      <w:r w:rsidRPr="00640292">
        <w:rPr>
          <w:rFonts w:ascii="Segoe UI" w:eastAsiaTheme="majorEastAsia" w:hAnsi="Segoe UI" w:cs="Segoe UI"/>
          <w:sz w:val="22"/>
          <w:szCs w:val="22"/>
        </w:rPr>
        <w:t>not within scope; they are assured under a separate approvals process.</w:t>
      </w:r>
    </w:p>
    <w:p w14:paraId="428A76B1" w14:textId="63F3FD16" w:rsidR="00B66A33" w:rsidRPr="00C20986" w:rsidRDefault="00D1754F" w:rsidP="004C21C7">
      <w:pPr>
        <w:pStyle w:val="ListParagraph"/>
        <w:numPr>
          <w:ilvl w:val="0"/>
          <w:numId w:val="8"/>
        </w:numPr>
        <w:spacing w:before="160"/>
        <w:jc w:val="both"/>
        <w:rPr>
          <w:rFonts w:ascii="Segoe UI" w:eastAsiaTheme="majorEastAsia" w:hAnsi="Segoe UI" w:cs="Segoe UI"/>
          <w:sz w:val="22"/>
          <w:szCs w:val="22"/>
        </w:rPr>
      </w:pPr>
      <w:r w:rsidRPr="00C20986">
        <w:rPr>
          <w:rFonts w:ascii="Segoe UI" w:eastAsiaTheme="majorEastAsia" w:hAnsi="Segoe UI" w:cs="Segoe UI"/>
          <w:sz w:val="22"/>
          <w:szCs w:val="22"/>
        </w:rPr>
        <w:lastRenderedPageBreak/>
        <w:t>Service reconfiguration - this part of the Guidance comprises the existing NHSE guidance titled “Planning, assuring and</w:t>
      </w:r>
      <w:r w:rsidR="00C20986" w:rsidRPr="00C20986">
        <w:rPr>
          <w:rFonts w:ascii="Segoe UI" w:eastAsiaTheme="majorEastAsia" w:hAnsi="Segoe UI" w:cs="Segoe UI"/>
          <w:sz w:val="22"/>
          <w:szCs w:val="22"/>
        </w:rPr>
        <w:t xml:space="preserve"> </w:t>
      </w:r>
      <w:r w:rsidRPr="00C20986">
        <w:rPr>
          <w:rFonts w:ascii="Segoe UI" w:eastAsiaTheme="majorEastAsia" w:hAnsi="Segoe UI" w:cs="Segoe UI"/>
          <w:sz w:val="22"/>
          <w:szCs w:val="22"/>
        </w:rPr>
        <w:t>delivering service change for patients”.</w:t>
      </w:r>
      <w:r w:rsidRPr="00C20986">
        <w:rPr>
          <w:rFonts w:ascii="Segoe UI" w:eastAsiaTheme="majorEastAsia" w:hAnsi="Segoe UI" w:cs="Segoe UI"/>
          <w:sz w:val="22"/>
          <w:szCs w:val="22"/>
        </w:rPr>
        <w:cr/>
      </w:r>
    </w:p>
    <w:p w14:paraId="3D53F9AB" w14:textId="36E4285E" w:rsidR="00B66A33" w:rsidRDefault="00B66A33" w:rsidP="00656370">
      <w:pPr>
        <w:spacing w:before="160"/>
        <w:jc w:val="both"/>
        <w:rPr>
          <w:rFonts w:ascii="Segoe UI" w:eastAsiaTheme="majorEastAsia" w:hAnsi="Segoe UI" w:cs="Segoe UI"/>
          <w:sz w:val="22"/>
          <w:szCs w:val="22"/>
        </w:rPr>
      </w:pPr>
      <w:r w:rsidRPr="00B66A33">
        <w:rPr>
          <w:rFonts w:ascii="Segoe UI" w:eastAsiaTheme="majorEastAsia" w:hAnsi="Segoe UI" w:cs="Segoe UI"/>
          <w:sz w:val="22"/>
          <w:szCs w:val="22"/>
        </w:rPr>
        <w:t xml:space="preserve">NHSE will now apply an overall test as to whether the deliverable benefits of a transaction materially outweigh the costs and risks. The benefits to patients and the population are defined widely in the Guidance and are broader than direct benefits to patient outcomes. For transactions classed as ‘significant’, benefits will be assessed at both stages of the review process, at strategic case and then at full business case </w:t>
      </w:r>
      <w:r w:rsidR="00FA3334" w:rsidRPr="00B66A33">
        <w:rPr>
          <w:rFonts w:ascii="Segoe UI" w:eastAsiaTheme="majorEastAsia" w:hAnsi="Segoe UI" w:cs="Segoe UI"/>
          <w:sz w:val="22"/>
          <w:szCs w:val="22"/>
        </w:rPr>
        <w:t>stage and</w:t>
      </w:r>
      <w:r w:rsidRPr="00B66A33">
        <w:rPr>
          <w:rFonts w:ascii="Segoe UI" w:eastAsiaTheme="majorEastAsia" w:hAnsi="Segoe UI" w:cs="Segoe UI"/>
          <w:sz w:val="22"/>
          <w:szCs w:val="22"/>
        </w:rPr>
        <w:t xml:space="preserve"> must be underpinned by detailed plans.</w:t>
      </w:r>
    </w:p>
    <w:p w14:paraId="2EB925CD" w14:textId="584C364A" w:rsidR="00150698" w:rsidRPr="00B66A33" w:rsidRDefault="00150698" w:rsidP="00656370">
      <w:pPr>
        <w:spacing w:before="160"/>
        <w:jc w:val="both"/>
        <w:rPr>
          <w:rFonts w:ascii="Segoe UI" w:eastAsiaTheme="majorEastAsia" w:hAnsi="Segoe UI" w:cs="Segoe UI"/>
          <w:sz w:val="22"/>
          <w:szCs w:val="22"/>
        </w:rPr>
      </w:pPr>
      <w:r w:rsidRPr="00150698">
        <w:rPr>
          <w:rFonts w:ascii="Segoe UI" w:eastAsiaTheme="majorEastAsia" w:hAnsi="Segoe UI" w:cs="Segoe UI"/>
          <w:sz w:val="22"/>
          <w:szCs w:val="22"/>
        </w:rPr>
        <w:t xml:space="preserve">In recognition of the role of ICBs and the wider system, the Guidance introduces an expectation that </w:t>
      </w:r>
      <w:proofErr w:type="gramStart"/>
      <w:r w:rsidRPr="00150698">
        <w:rPr>
          <w:rFonts w:ascii="Segoe UI" w:eastAsiaTheme="majorEastAsia" w:hAnsi="Segoe UI" w:cs="Segoe UI"/>
          <w:sz w:val="22"/>
          <w:szCs w:val="22"/>
        </w:rPr>
        <w:t>Trusts</w:t>
      </w:r>
      <w:proofErr w:type="gramEnd"/>
      <w:r w:rsidRPr="00150698">
        <w:rPr>
          <w:rFonts w:ascii="Segoe UI" w:eastAsiaTheme="majorEastAsia" w:hAnsi="Segoe UI" w:cs="Segoe UI"/>
          <w:sz w:val="22"/>
          <w:szCs w:val="22"/>
        </w:rPr>
        <w:t xml:space="preserve"> and system partners will work together constructively when developing transaction proposals. System support for a proposed transaction will be a key consideration in NHSE’s review process</w:t>
      </w:r>
    </w:p>
    <w:p w14:paraId="07E596DD" w14:textId="2F75F064" w:rsidR="008242A4" w:rsidRDefault="00AD0B49" w:rsidP="00787D75">
      <w:pPr>
        <w:spacing w:before="160"/>
        <w:jc w:val="both"/>
        <w:rPr>
          <w:rFonts w:ascii="Segoe UI" w:eastAsiaTheme="majorEastAsia" w:hAnsi="Segoe UI" w:cs="Segoe UI"/>
          <w:b/>
          <w:bCs/>
          <w:sz w:val="22"/>
          <w:szCs w:val="22"/>
        </w:rPr>
      </w:pPr>
      <w:r>
        <w:rPr>
          <w:rFonts w:ascii="Segoe UI" w:eastAsiaTheme="majorEastAsia" w:hAnsi="Segoe UI" w:cs="Segoe UI"/>
          <w:b/>
          <w:bCs/>
          <w:sz w:val="22"/>
          <w:szCs w:val="22"/>
        </w:rPr>
        <w:t>Trust Position:  The Trust will</w:t>
      </w:r>
      <w:r w:rsidR="00656370">
        <w:rPr>
          <w:rFonts w:ascii="Segoe UI" w:eastAsiaTheme="majorEastAsia" w:hAnsi="Segoe UI" w:cs="Segoe UI"/>
          <w:b/>
          <w:bCs/>
          <w:sz w:val="22"/>
          <w:szCs w:val="22"/>
        </w:rPr>
        <w:t xml:space="preserve"> be required to</w:t>
      </w:r>
      <w:r>
        <w:rPr>
          <w:rFonts w:ascii="Segoe UI" w:eastAsiaTheme="majorEastAsia" w:hAnsi="Segoe UI" w:cs="Segoe UI"/>
          <w:b/>
          <w:bCs/>
          <w:sz w:val="22"/>
          <w:szCs w:val="22"/>
        </w:rPr>
        <w:t xml:space="preserve"> incorporate the </w:t>
      </w:r>
      <w:r w:rsidR="00B764E7">
        <w:rPr>
          <w:rFonts w:ascii="Segoe UI" w:eastAsiaTheme="majorEastAsia" w:hAnsi="Segoe UI" w:cs="Segoe UI"/>
          <w:b/>
          <w:bCs/>
          <w:sz w:val="22"/>
          <w:szCs w:val="22"/>
        </w:rPr>
        <w:t>obligations within the transaction guidance in its development of strategic outline and final business cases for future proposals, including the Warneford Park Development cases</w:t>
      </w:r>
      <w:r w:rsidR="00787D75">
        <w:rPr>
          <w:rFonts w:ascii="Segoe UI" w:eastAsiaTheme="majorEastAsia" w:hAnsi="Segoe UI" w:cs="Segoe UI"/>
          <w:b/>
          <w:bCs/>
          <w:sz w:val="22"/>
          <w:szCs w:val="22"/>
        </w:rPr>
        <w:t xml:space="preserve"> currently in development.</w:t>
      </w:r>
      <w:r w:rsidR="00B764E7">
        <w:rPr>
          <w:rFonts w:ascii="Segoe UI" w:eastAsiaTheme="majorEastAsia" w:hAnsi="Segoe UI" w:cs="Segoe UI"/>
          <w:b/>
          <w:bCs/>
          <w:sz w:val="22"/>
          <w:szCs w:val="22"/>
        </w:rPr>
        <w:t xml:space="preserve"> </w:t>
      </w:r>
    </w:p>
    <w:p w14:paraId="62323BE7" w14:textId="72F6A8E2" w:rsidR="008242A4" w:rsidRPr="008242A4" w:rsidRDefault="008A1AA3" w:rsidP="008242A4">
      <w:pPr>
        <w:spacing w:before="160"/>
        <w:rPr>
          <w:rFonts w:ascii="Segoe UI" w:eastAsiaTheme="majorEastAsia" w:hAnsi="Segoe UI" w:cs="Segoe UI"/>
          <w:b/>
          <w:bCs/>
          <w:sz w:val="22"/>
          <w:szCs w:val="22"/>
        </w:rPr>
      </w:pPr>
      <w:hyperlink r:id="rId22" w:history="1">
        <w:r w:rsidR="008242A4" w:rsidRPr="008242A4">
          <w:rPr>
            <w:rStyle w:val="Hyperlink"/>
            <w:rFonts w:ascii="Segoe UI" w:eastAsiaTheme="majorEastAsia" w:hAnsi="Segoe UI" w:cs="Segoe UI"/>
            <w:b/>
            <w:bCs/>
            <w:sz w:val="22"/>
            <w:szCs w:val="22"/>
          </w:rPr>
          <w:t>NHS England » Assuring and supporting complex change</w:t>
        </w:r>
      </w:hyperlink>
    </w:p>
    <w:p w14:paraId="4D16F95E" w14:textId="02F3D0EB" w:rsidR="00E56B67" w:rsidRPr="00E56B67" w:rsidRDefault="00E56B67" w:rsidP="004C21C7">
      <w:pPr>
        <w:pStyle w:val="ListParagraph"/>
        <w:numPr>
          <w:ilvl w:val="0"/>
          <w:numId w:val="1"/>
        </w:numPr>
        <w:spacing w:before="160"/>
        <w:rPr>
          <w:rFonts w:ascii="Segoe UI" w:eastAsiaTheme="majorEastAsia" w:hAnsi="Segoe UI" w:cs="Segoe UI"/>
          <w:b/>
          <w:bCs/>
          <w:sz w:val="22"/>
          <w:szCs w:val="22"/>
        </w:rPr>
      </w:pPr>
      <w:r w:rsidRPr="00E56B67">
        <w:rPr>
          <w:rFonts w:ascii="Segoe UI" w:eastAsiaTheme="majorEastAsia" w:hAnsi="Segoe UI" w:cs="Segoe UI"/>
          <w:b/>
          <w:bCs/>
          <w:sz w:val="22"/>
          <w:szCs w:val="22"/>
          <w:lang w:val="en-GB"/>
        </w:rPr>
        <w:t>Guidance for delegation and joint working arrangements</w:t>
      </w:r>
    </w:p>
    <w:p w14:paraId="37D569C3" w14:textId="77777777" w:rsidR="00E56B67" w:rsidRPr="00E56B67" w:rsidRDefault="00E56B67" w:rsidP="00314422">
      <w:pPr>
        <w:spacing w:before="160"/>
        <w:jc w:val="both"/>
        <w:rPr>
          <w:rFonts w:ascii="Segoe UI" w:eastAsiaTheme="majorEastAsia" w:hAnsi="Segoe UI" w:cs="Segoe UI"/>
          <w:sz w:val="22"/>
          <w:szCs w:val="22"/>
          <w:lang w:val="en-GB"/>
        </w:rPr>
      </w:pPr>
      <w:r w:rsidRPr="00E56B67">
        <w:rPr>
          <w:rFonts w:ascii="Segoe UI" w:eastAsiaTheme="majorEastAsia" w:hAnsi="Segoe UI" w:cs="Segoe UI"/>
          <w:sz w:val="22"/>
          <w:szCs w:val="22"/>
          <w:lang w:val="en-GB"/>
        </w:rPr>
        <w:t>Statutory guidance outlining options for how NHS organisations – NHS England, integrated care boards, and NHS providers – can exercise some of their statutory functions via delegation or via joint working arrangements under the Health and Care Act 2022.</w:t>
      </w:r>
    </w:p>
    <w:p w14:paraId="454A8CCF" w14:textId="5D7664A2" w:rsidR="000B3466" w:rsidRDefault="00E56B67" w:rsidP="00314422">
      <w:pPr>
        <w:spacing w:before="160"/>
        <w:jc w:val="both"/>
        <w:rPr>
          <w:rFonts w:ascii="Segoe UI" w:eastAsiaTheme="majorEastAsia" w:hAnsi="Segoe UI" w:cs="Segoe UI"/>
          <w:b/>
          <w:bCs/>
          <w:sz w:val="22"/>
          <w:szCs w:val="22"/>
        </w:rPr>
      </w:pPr>
      <w:r w:rsidRPr="00E56B67">
        <w:rPr>
          <w:rFonts w:ascii="Segoe UI" w:eastAsiaTheme="majorEastAsia" w:hAnsi="Segoe UI" w:cs="Segoe UI"/>
          <w:b/>
          <w:bCs/>
          <w:sz w:val="22"/>
          <w:szCs w:val="22"/>
          <w:lang w:val="en-GB"/>
        </w:rPr>
        <w:t xml:space="preserve">NHS Providers briefing: </w:t>
      </w:r>
      <w:hyperlink r:id="rId23" w:history="1">
        <w:r w:rsidR="000B3466" w:rsidRPr="00E56B67">
          <w:rPr>
            <w:rStyle w:val="Hyperlink"/>
            <w:rFonts w:ascii="Segoe UI" w:eastAsiaTheme="majorEastAsia" w:hAnsi="Segoe UI" w:cs="Segoe UI"/>
            <w:b/>
            <w:bCs/>
            <w:sz w:val="22"/>
            <w:szCs w:val="22"/>
            <w:lang w:val="en-GB"/>
          </w:rPr>
          <w:t>https://nhsproviders.org/resources/briefings/on-the-day-briefing-guidance-for-delegation-and-joint-working-arrangement</w:t>
        </w:r>
        <w:r w:rsidR="000B3466" w:rsidRPr="003D3431">
          <w:rPr>
            <w:rStyle w:val="Hyperlink"/>
            <w:rFonts w:ascii="Segoe UI" w:eastAsiaTheme="majorEastAsia" w:hAnsi="Segoe UI" w:cs="Segoe UI"/>
            <w:b/>
            <w:bCs/>
            <w:sz w:val="22"/>
            <w:szCs w:val="22"/>
          </w:rPr>
          <w:t>s</w:t>
        </w:r>
      </w:hyperlink>
    </w:p>
    <w:p w14:paraId="736767DA" w14:textId="2743CDBF" w:rsidR="00E56B67" w:rsidRPr="00E56B67" w:rsidRDefault="00314422" w:rsidP="00314422">
      <w:pPr>
        <w:spacing w:before="160"/>
        <w:jc w:val="both"/>
        <w:rPr>
          <w:rFonts w:ascii="Segoe UI" w:eastAsiaTheme="majorEastAsia" w:hAnsi="Segoe UI" w:cs="Segoe UI"/>
          <w:b/>
          <w:bCs/>
          <w:sz w:val="22"/>
          <w:szCs w:val="22"/>
          <w:lang w:val="en-GB"/>
        </w:rPr>
      </w:pPr>
      <w:r>
        <w:rPr>
          <w:rFonts w:ascii="Segoe UI" w:eastAsiaTheme="majorEastAsia" w:hAnsi="Segoe UI" w:cs="Segoe UI"/>
          <w:b/>
          <w:bCs/>
          <w:sz w:val="22"/>
          <w:szCs w:val="22"/>
          <w:lang w:val="en-GB"/>
        </w:rPr>
        <w:t xml:space="preserve">Trust Position: </w:t>
      </w:r>
      <w:r w:rsidRPr="00314422">
        <w:rPr>
          <w:rFonts w:ascii="Segoe UI" w:eastAsiaTheme="majorEastAsia" w:hAnsi="Segoe UI" w:cs="Segoe UI"/>
          <w:b/>
          <w:bCs/>
          <w:sz w:val="22"/>
          <w:szCs w:val="22"/>
        </w:rPr>
        <w:t>There are risks associated with moves to delegate or jointly exercise statutory functions: for example, around how best to embed high-quality governance. It is for local trusts and partners to fully assess the opportunities and risks these collaborative mechanisms present in their contexts. T</w:t>
      </w:r>
      <w:r w:rsidR="00576D82">
        <w:rPr>
          <w:rFonts w:ascii="Segoe UI" w:eastAsiaTheme="majorEastAsia" w:hAnsi="Segoe UI" w:cs="Segoe UI"/>
          <w:b/>
          <w:bCs/>
          <w:sz w:val="22"/>
          <w:szCs w:val="22"/>
        </w:rPr>
        <w:t>he Board</w:t>
      </w:r>
      <w:r w:rsidRPr="00314422">
        <w:rPr>
          <w:rFonts w:ascii="Segoe UI" w:eastAsiaTheme="majorEastAsia" w:hAnsi="Segoe UI" w:cs="Segoe UI"/>
          <w:b/>
          <w:bCs/>
          <w:sz w:val="22"/>
          <w:szCs w:val="22"/>
        </w:rPr>
        <w:t xml:space="preserve"> will need to be fully engaged in discussions and ensure robust oversight of any delegated or jointly exercised functions on an ongoing basis</w:t>
      </w:r>
      <w:r w:rsidR="002D327A">
        <w:rPr>
          <w:rFonts w:ascii="Segoe UI" w:eastAsiaTheme="majorEastAsia" w:hAnsi="Segoe UI" w:cs="Segoe UI"/>
          <w:b/>
          <w:bCs/>
          <w:sz w:val="22"/>
          <w:szCs w:val="22"/>
        </w:rPr>
        <w:t xml:space="preserve">.  </w:t>
      </w:r>
      <w:r w:rsidR="002D327A" w:rsidRPr="002D327A">
        <w:rPr>
          <w:rFonts w:ascii="Segoe UI" w:eastAsiaTheme="majorEastAsia" w:hAnsi="Segoe UI" w:cs="Segoe UI"/>
          <w:b/>
          <w:bCs/>
          <w:sz w:val="22"/>
          <w:szCs w:val="22"/>
        </w:rPr>
        <w:t xml:space="preserve">NHSE plans to undertake further engagement work in the second half of 2022/23 focused on implementation of delegation or joint exercise approaches between ICBs and trust(s). </w:t>
      </w:r>
    </w:p>
    <w:p w14:paraId="22FE1A12" w14:textId="3E4D46B4" w:rsidR="002074A6" w:rsidRPr="002074A6" w:rsidRDefault="002074A6" w:rsidP="004C21C7">
      <w:pPr>
        <w:pStyle w:val="ListParagraph"/>
        <w:numPr>
          <w:ilvl w:val="0"/>
          <w:numId w:val="1"/>
        </w:numPr>
        <w:spacing w:before="160"/>
        <w:rPr>
          <w:rFonts w:ascii="Segoe UI" w:eastAsiaTheme="majorEastAsia" w:hAnsi="Segoe UI" w:cs="Segoe UI"/>
          <w:b/>
          <w:bCs/>
          <w:sz w:val="22"/>
          <w:szCs w:val="22"/>
        </w:rPr>
      </w:pPr>
      <w:r w:rsidRPr="002074A6">
        <w:rPr>
          <w:rFonts w:ascii="Segoe UI" w:hAnsi="Segoe UI" w:cs="Segoe UI"/>
          <w:b/>
          <w:bCs/>
          <w:sz w:val="22"/>
          <w:szCs w:val="22"/>
        </w:rPr>
        <w:t>The State of Care report: what you need to know</w:t>
      </w:r>
    </w:p>
    <w:p w14:paraId="093ADCAA" w14:textId="77777777" w:rsidR="002074A6" w:rsidRDefault="002074A6" w:rsidP="002074A6">
      <w:pPr>
        <w:rPr>
          <w:rFonts w:ascii="Segoe UI" w:hAnsi="Segoe UI" w:cs="Segoe UI"/>
          <w:b/>
          <w:bCs/>
          <w:sz w:val="22"/>
          <w:szCs w:val="22"/>
        </w:rPr>
      </w:pPr>
    </w:p>
    <w:p w14:paraId="32301B1C" w14:textId="77777777" w:rsidR="002074A6" w:rsidRDefault="002074A6" w:rsidP="002074A6">
      <w:pPr>
        <w:jc w:val="both"/>
        <w:rPr>
          <w:rFonts w:ascii="Segoe UI" w:hAnsi="Segoe UI" w:cs="Segoe UI"/>
          <w:spacing w:val="3"/>
          <w:sz w:val="22"/>
          <w:szCs w:val="22"/>
          <w:shd w:val="clear" w:color="auto" w:fill="FFFFFF"/>
        </w:rPr>
      </w:pPr>
      <w:r w:rsidRPr="006B4CBF">
        <w:rPr>
          <w:rFonts w:ascii="Segoe UI" w:hAnsi="Segoe UI" w:cs="Segoe UI"/>
          <w:spacing w:val="3"/>
          <w:sz w:val="22"/>
          <w:szCs w:val="22"/>
          <w:shd w:val="clear" w:color="auto" w:fill="FFFFFF"/>
        </w:rPr>
        <w:t>The State of Care report outlines the severe pressures facing the sector and the increasingly intolerable conditions under which staff are doing their utmost for patients, but which are leading to record vacancies, slipping standards, and patients not always receiving the care they need.</w:t>
      </w:r>
    </w:p>
    <w:p w14:paraId="04DE0041" w14:textId="77777777" w:rsidR="002074A6" w:rsidRPr="00000455" w:rsidRDefault="008A1AA3" w:rsidP="002074A6">
      <w:pPr>
        <w:jc w:val="both"/>
        <w:rPr>
          <w:rFonts w:ascii="Segoe UI" w:hAnsi="Segoe UI" w:cs="Segoe UI"/>
          <w:b/>
          <w:bCs/>
          <w:sz w:val="22"/>
          <w:szCs w:val="22"/>
        </w:rPr>
      </w:pPr>
      <w:hyperlink r:id="rId24" w:history="1">
        <w:r w:rsidR="002074A6" w:rsidRPr="00000455">
          <w:rPr>
            <w:rStyle w:val="Hyperlink"/>
            <w:rFonts w:ascii="Segoe UI" w:hAnsi="Segoe UI" w:cs="Segoe UI"/>
            <w:b/>
            <w:bCs/>
            <w:sz w:val="22"/>
            <w:szCs w:val="22"/>
          </w:rPr>
          <w:t>The State of Care report: what you need to know | NHS Confederation</w:t>
        </w:r>
      </w:hyperlink>
    </w:p>
    <w:p w14:paraId="1B0A996A" w14:textId="77777777" w:rsidR="002D27DE" w:rsidRPr="002D27DE" w:rsidRDefault="002D27DE" w:rsidP="004C21C7">
      <w:pPr>
        <w:pStyle w:val="ListParagraph"/>
        <w:numPr>
          <w:ilvl w:val="0"/>
          <w:numId w:val="1"/>
        </w:numPr>
        <w:spacing w:before="160"/>
        <w:rPr>
          <w:rFonts w:ascii="Segoe UI" w:eastAsiaTheme="majorEastAsia" w:hAnsi="Segoe UI" w:cs="Segoe UI"/>
          <w:b/>
          <w:bCs/>
          <w:sz w:val="22"/>
          <w:szCs w:val="22"/>
        </w:rPr>
      </w:pPr>
      <w:r w:rsidRPr="002D27DE">
        <w:rPr>
          <w:rFonts w:ascii="Segoe UI" w:eastAsiaTheme="majorEastAsia" w:hAnsi="Segoe UI" w:cs="Segoe UI"/>
          <w:b/>
          <w:bCs/>
          <w:sz w:val="22"/>
          <w:szCs w:val="22"/>
        </w:rPr>
        <w:lastRenderedPageBreak/>
        <w:t>Abuse at mental health hospital revealed by BBC secret filming</w:t>
      </w:r>
    </w:p>
    <w:p w14:paraId="018322F2" w14:textId="77777777" w:rsidR="00C53CA0" w:rsidRPr="001E25FE" w:rsidRDefault="00C53CA0" w:rsidP="002D27DE">
      <w:pPr>
        <w:pStyle w:val="NoSpacing"/>
        <w:rPr>
          <w:rFonts w:ascii="Segoe UI" w:hAnsi="Segoe UI" w:cs="Segoe UI"/>
          <w:lang w:val="en-US"/>
        </w:rPr>
      </w:pPr>
    </w:p>
    <w:p w14:paraId="042167E1" w14:textId="576F4C08" w:rsidR="00A03169" w:rsidRDefault="002D27DE" w:rsidP="00A03169">
      <w:pPr>
        <w:pStyle w:val="NoSpacing"/>
        <w:jc w:val="both"/>
        <w:rPr>
          <w:rFonts w:ascii="Segoe UI" w:hAnsi="Segoe UI" w:cs="Segoe UI"/>
        </w:rPr>
      </w:pPr>
      <w:r w:rsidRPr="00296E91">
        <w:rPr>
          <w:rFonts w:ascii="Segoe UI" w:hAnsi="Segoe UI" w:cs="Segoe UI"/>
        </w:rPr>
        <w:t xml:space="preserve">The BBC Panorama </w:t>
      </w:r>
      <w:r w:rsidR="000901A2">
        <w:rPr>
          <w:rFonts w:ascii="Segoe UI" w:hAnsi="Segoe UI" w:cs="Segoe UI"/>
        </w:rPr>
        <w:t xml:space="preserve">went </w:t>
      </w:r>
      <w:r w:rsidRPr="00296E91">
        <w:rPr>
          <w:rFonts w:ascii="Segoe UI" w:hAnsi="Segoe UI" w:cs="Segoe UI"/>
        </w:rPr>
        <w:t>undercover to report that patients at Greater Manchester Mental Health NHS Foundation Trust were put at risk due to the “toxic culture” at its medium secure unit, the Edenfield Centre.</w:t>
      </w:r>
      <w:r w:rsidR="00A03169" w:rsidRPr="00A03169">
        <w:t xml:space="preserve"> </w:t>
      </w:r>
      <w:r w:rsidR="00A03169" w:rsidRPr="00A03169">
        <w:rPr>
          <w:rFonts w:ascii="Segoe UI" w:hAnsi="Segoe UI" w:cs="Segoe UI"/>
        </w:rPr>
        <w:t xml:space="preserve">It was the subject of an undercover investigation by a journalist who worked for three months in the hospital as a healthcare support worker. During that time, he used a hidden camera to record how patients were treated on several different wards. </w:t>
      </w:r>
    </w:p>
    <w:p w14:paraId="63C4BC86" w14:textId="77777777" w:rsidR="00A03169" w:rsidRPr="00A03169" w:rsidRDefault="00A03169" w:rsidP="00A03169">
      <w:pPr>
        <w:pStyle w:val="NoSpacing"/>
        <w:jc w:val="both"/>
        <w:rPr>
          <w:rFonts w:ascii="Segoe UI" w:hAnsi="Segoe UI" w:cs="Segoe UI"/>
        </w:rPr>
      </w:pPr>
    </w:p>
    <w:p w14:paraId="6ABFD746" w14:textId="109AE820" w:rsidR="002D27DE" w:rsidRPr="00296E91" w:rsidRDefault="00A03169" w:rsidP="00A03169">
      <w:pPr>
        <w:pStyle w:val="NoSpacing"/>
        <w:jc w:val="both"/>
        <w:rPr>
          <w:rFonts w:ascii="Segoe UI" w:hAnsi="Segoe UI" w:cs="Segoe UI"/>
        </w:rPr>
      </w:pPr>
      <w:r w:rsidRPr="00A03169">
        <w:rPr>
          <w:rFonts w:ascii="Segoe UI" w:hAnsi="Segoe UI" w:cs="Segoe UI"/>
        </w:rPr>
        <w:t>The footage made for incredibly distressing viewing. There were multiple examples of extremely vulnerable patients being treated without dignity and respect, together with patients being subjected to both physical and emotional abuse.</w:t>
      </w:r>
    </w:p>
    <w:p w14:paraId="55158B9B" w14:textId="77777777" w:rsidR="002D27DE" w:rsidRDefault="002D27DE" w:rsidP="002D27DE">
      <w:pPr>
        <w:pStyle w:val="NoSpacing"/>
        <w:rPr>
          <w:rFonts w:ascii="Segoe UI" w:hAnsi="Segoe UI" w:cs="Segoe UI"/>
        </w:rPr>
      </w:pPr>
    </w:p>
    <w:p w14:paraId="5CB283BA" w14:textId="4C863F45" w:rsidR="002D27DE" w:rsidRDefault="008A1AA3" w:rsidP="002D27DE">
      <w:pPr>
        <w:pStyle w:val="NoSpacing"/>
        <w:rPr>
          <w:rFonts w:ascii="Segoe UI" w:hAnsi="Segoe UI" w:cs="Segoe UI"/>
          <w:b/>
          <w:bCs/>
        </w:rPr>
      </w:pPr>
      <w:hyperlink r:id="rId25" w:history="1">
        <w:r w:rsidR="002D27DE" w:rsidRPr="00E7665C">
          <w:rPr>
            <w:rStyle w:val="Hyperlink"/>
            <w:rFonts w:ascii="Segoe UI" w:hAnsi="Segoe UI" w:cs="Segoe UI"/>
            <w:b/>
            <w:bCs/>
          </w:rPr>
          <w:t>https://www.bbc.co.uk/news/uk-63045298</w:t>
        </w:r>
      </w:hyperlink>
      <w:r w:rsidR="002D27DE" w:rsidRPr="002D27DE">
        <w:rPr>
          <w:rFonts w:ascii="Segoe UI" w:hAnsi="Segoe UI" w:cs="Segoe UI"/>
          <w:b/>
          <w:bCs/>
        </w:rPr>
        <w:t xml:space="preserve"> </w:t>
      </w:r>
    </w:p>
    <w:p w14:paraId="553606DE" w14:textId="14B25375" w:rsidR="002D27DE" w:rsidRDefault="002D27DE" w:rsidP="002D27DE">
      <w:pPr>
        <w:pStyle w:val="NoSpacing"/>
        <w:rPr>
          <w:rFonts w:ascii="Segoe UI" w:hAnsi="Segoe UI" w:cs="Segoe UI"/>
          <w:b/>
          <w:bCs/>
        </w:rPr>
      </w:pPr>
    </w:p>
    <w:p w14:paraId="429AD751" w14:textId="5C69B54D" w:rsidR="009955DE" w:rsidRPr="00E0770E" w:rsidRDefault="002D27DE" w:rsidP="00407950">
      <w:pPr>
        <w:pStyle w:val="NoSpacing"/>
        <w:jc w:val="both"/>
        <w:rPr>
          <w:rFonts w:ascii="Segoe UI" w:hAnsi="Segoe UI" w:cs="Segoe UI"/>
          <w:b/>
          <w:bCs/>
          <w:color w:val="231F20"/>
          <w:lang w:eastAsia="en-GB"/>
        </w:rPr>
      </w:pPr>
      <w:r w:rsidRPr="00E0770E">
        <w:rPr>
          <w:rFonts w:ascii="Segoe UI" w:hAnsi="Segoe UI" w:cs="Segoe UI"/>
          <w:b/>
          <w:bCs/>
        </w:rPr>
        <w:t xml:space="preserve">Trust Position: </w:t>
      </w:r>
      <w:r w:rsidR="00427263" w:rsidRPr="00E0770E">
        <w:rPr>
          <w:rFonts w:ascii="Segoe UI" w:hAnsi="Segoe UI" w:cs="Segoe UI"/>
          <w:b/>
          <w:bCs/>
        </w:rPr>
        <w:t>As the CEO Report stated, a</w:t>
      </w:r>
      <w:r w:rsidR="00EE3565" w:rsidRPr="00E0770E">
        <w:rPr>
          <w:rFonts w:ascii="Segoe UI" w:hAnsi="Segoe UI" w:cs="Segoe UI"/>
          <w:b/>
          <w:bCs/>
          <w:color w:val="231F20"/>
          <w:lang w:eastAsia="en-GB"/>
        </w:rPr>
        <w:t xml:space="preserve">s an </w:t>
      </w:r>
      <w:r w:rsidR="000F5F41" w:rsidRPr="00E0770E">
        <w:rPr>
          <w:rFonts w:ascii="Segoe UI" w:hAnsi="Segoe UI" w:cs="Segoe UI"/>
          <w:b/>
          <w:bCs/>
          <w:color w:val="231F20"/>
          <w:lang w:eastAsia="en-GB"/>
        </w:rPr>
        <w:t>organisation</w:t>
      </w:r>
      <w:r w:rsidR="00EE3565" w:rsidRPr="00E0770E">
        <w:rPr>
          <w:rFonts w:ascii="Segoe UI" w:hAnsi="Segoe UI" w:cs="Segoe UI"/>
          <w:b/>
          <w:bCs/>
          <w:color w:val="231F20"/>
          <w:lang w:eastAsia="en-GB"/>
        </w:rPr>
        <w:t xml:space="preserve"> we </w:t>
      </w:r>
      <w:r w:rsidR="009955DE" w:rsidRPr="00E0770E">
        <w:rPr>
          <w:rFonts w:ascii="Segoe UI" w:hAnsi="Segoe UI" w:cs="Segoe UI"/>
          <w:b/>
          <w:bCs/>
          <w:color w:val="231F20"/>
          <w:lang w:eastAsia="en-GB"/>
        </w:rPr>
        <w:t xml:space="preserve">cannot ever afford to be complacent or tolerate behaviours that are not in keeping with our values. It is therefore essential that when any of us see things that are wrong or incidents when the care being provided falls below the </w:t>
      </w:r>
      <w:proofErr w:type="gramStart"/>
      <w:r w:rsidR="009955DE" w:rsidRPr="00E0770E">
        <w:rPr>
          <w:rFonts w:ascii="Segoe UI" w:hAnsi="Segoe UI" w:cs="Segoe UI"/>
          <w:b/>
          <w:bCs/>
          <w:color w:val="231F20"/>
          <w:lang w:eastAsia="en-GB"/>
        </w:rPr>
        <w:t>standards</w:t>
      </w:r>
      <w:proofErr w:type="gramEnd"/>
      <w:r w:rsidR="009955DE" w:rsidRPr="00E0770E">
        <w:rPr>
          <w:rFonts w:ascii="Segoe UI" w:hAnsi="Segoe UI" w:cs="Segoe UI"/>
          <w:b/>
          <w:bCs/>
          <w:color w:val="231F20"/>
          <w:lang w:eastAsia="en-GB"/>
        </w:rPr>
        <w:t xml:space="preserve"> we should expect we speak out.</w:t>
      </w:r>
    </w:p>
    <w:p w14:paraId="7A9C8149" w14:textId="23F83D1C" w:rsidR="00096B6F" w:rsidRDefault="003E7B9B" w:rsidP="004764B1">
      <w:pPr>
        <w:pStyle w:val="NoSpacing"/>
        <w:jc w:val="both"/>
        <w:rPr>
          <w:rFonts w:ascii="Segoe UI" w:hAnsi="Segoe UI" w:cs="Segoe UI"/>
          <w:b/>
          <w:bCs/>
        </w:rPr>
      </w:pPr>
      <w:r w:rsidRPr="00E0770E">
        <w:rPr>
          <w:rFonts w:ascii="Segoe UI" w:hAnsi="Segoe UI" w:cs="Segoe UI"/>
          <w:b/>
          <w:bCs/>
        </w:rPr>
        <w:t>All staff were invited to a special CEO webinar for an online listening event following the distressing Panorama documentary</w:t>
      </w:r>
      <w:r w:rsidR="00B91C70" w:rsidRPr="00E0770E">
        <w:rPr>
          <w:rFonts w:ascii="Segoe UI" w:hAnsi="Segoe UI" w:cs="Segoe UI"/>
          <w:b/>
          <w:bCs/>
        </w:rPr>
        <w:t xml:space="preserve">.  The Quality Committee and the Board have both received </w:t>
      </w:r>
      <w:r w:rsidR="00D90D6B" w:rsidRPr="00E0770E">
        <w:rPr>
          <w:rFonts w:ascii="Segoe UI" w:hAnsi="Segoe UI" w:cs="Segoe UI"/>
          <w:b/>
          <w:bCs/>
        </w:rPr>
        <w:t xml:space="preserve">assurance </w:t>
      </w:r>
      <w:r w:rsidR="00B91C70" w:rsidRPr="00E0770E">
        <w:rPr>
          <w:rFonts w:ascii="Segoe UI" w:hAnsi="Segoe UI" w:cs="Segoe UI"/>
          <w:b/>
          <w:bCs/>
        </w:rPr>
        <w:t xml:space="preserve">reports in November, the latter </w:t>
      </w:r>
      <w:r w:rsidR="00350F68" w:rsidRPr="00E0770E">
        <w:rPr>
          <w:rFonts w:ascii="Segoe UI" w:hAnsi="Segoe UI" w:cs="Segoe UI"/>
          <w:b/>
          <w:bCs/>
        </w:rPr>
        <w:t xml:space="preserve">also addressing the </w:t>
      </w:r>
      <w:r w:rsidR="00956403" w:rsidRPr="00E0770E">
        <w:rPr>
          <w:rFonts w:ascii="Segoe UI" w:hAnsi="Segoe UI" w:cs="Segoe UI"/>
          <w:b/>
          <w:bCs/>
        </w:rPr>
        <w:t xml:space="preserve">National Mental Health Director’s </w:t>
      </w:r>
      <w:r w:rsidR="006522D3" w:rsidRPr="00E0770E">
        <w:rPr>
          <w:rFonts w:ascii="Segoe UI" w:hAnsi="Segoe UI" w:cs="Segoe UI"/>
          <w:b/>
          <w:bCs/>
        </w:rPr>
        <w:t>lett</w:t>
      </w:r>
      <w:r w:rsidR="00E160A3" w:rsidRPr="00E0770E">
        <w:rPr>
          <w:rFonts w:ascii="Segoe UI" w:hAnsi="Segoe UI" w:cs="Segoe UI"/>
          <w:b/>
          <w:bCs/>
        </w:rPr>
        <w:t xml:space="preserve">er which </w:t>
      </w:r>
      <w:r w:rsidR="00E0770E" w:rsidRPr="00E0770E">
        <w:rPr>
          <w:rFonts w:ascii="Segoe UI" w:hAnsi="Segoe UI" w:cs="Segoe UI"/>
          <w:b/>
          <w:bCs/>
        </w:rPr>
        <w:t>asked for immediate action to review safeguarding and speak up systems.</w:t>
      </w:r>
    </w:p>
    <w:p w14:paraId="1FEA4D19" w14:textId="77777777" w:rsidR="00096B6F" w:rsidRPr="00296E91" w:rsidRDefault="00096B6F" w:rsidP="00096B6F">
      <w:pPr>
        <w:pStyle w:val="NoSpacing"/>
        <w:rPr>
          <w:rFonts w:ascii="Segoe UI" w:hAnsi="Segoe UI" w:cs="Segoe UI"/>
        </w:rPr>
      </w:pPr>
    </w:p>
    <w:p w14:paraId="7C59C493" w14:textId="2802452E" w:rsidR="009826DE" w:rsidRPr="009826DE" w:rsidRDefault="009826DE" w:rsidP="004C21C7">
      <w:pPr>
        <w:pStyle w:val="ListParagraph"/>
        <w:numPr>
          <w:ilvl w:val="0"/>
          <w:numId w:val="1"/>
        </w:numPr>
        <w:spacing w:before="160"/>
        <w:rPr>
          <w:rFonts w:ascii="Segoe UI" w:eastAsiaTheme="majorEastAsia" w:hAnsi="Segoe UI" w:cs="Segoe UI"/>
          <w:b/>
          <w:bCs/>
          <w:sz w:val="22"/>
          <w:szCs w:val="22"/>
        </w:rPr>
      </w:pPr>
      <w:r w:rsidRPr="009826DE">
        <w:rPr>
          <w:rFonts w:ascii="Segoe UI" w:eastAsiaTheme="minorHAnsi" w:hAnsi="Segoe UI" w:cs="Segoe UI"/>
          <w:b/>
          <w:bCs/>
        </w:rPr>
        <w:t>National standards for healthcare food and drink</w:t>
      </w:r>
    </w:p>
    <w:p w14:paraId="14A290BE" w14:textId="77777777" w:rsidR="00040ABE" w:rsidRDefault="00040ABE" w:rsidP="00040ABE">
      <w:pPr>
        <w:pStyle w:val="NoSpacing"/>
        <w:jc w:val="both"/>
        <w:rPr>
          <w:rFonts w:ascii="Segoe UI" w:hAnsi="Segoe UI" w:cs="Segoe UI"/>
          <w:i/>
          <w:iCs/>
          <w:lang w:val="en-US"/>
        </w:rPr>
      </w:pPr>
    </w:p>
    <w:p w14:paraId="4B19DD75" w14:textId="473A36F2" w:rsidR="009826DE" w:rsidRDefault="00040ABE" w:rsidP="00040ABE">
      <w:pPr>
        <w:pStyle w:val="NoSpacing"/>
        <w:jc w:val="both"/>
        <w:rPr>
          <w:rFonts w:ascii="Segoe UI" w:hAnsi="Segoe UI" w:cs="Segoe UI"/>
        </w:rPr>
      </w:pPr>
      <w:proofErr w:type="gramStart"/>
      <w:r>
        <w:rPr>
          <w:rFonts w:ascii="Segoe UI" w:hAnsi="Segoe UI" w:cs="Segoe UI"/>
          <w:i/>
          <w:iCs/>
          <w:lang w:val="en-US"/>
        </w:rPr>
        <w:t xml:space="preserve">NHSE </w:t>
      </w:r>
      <w:r>
        <w:rPr>
          <w:rFonts w:ascii="Segoe UI" w:hAnsi="Segoe UI" w:cs="Segoe UI"/>
          <w:lang w:val="en-US"/>
        </w:rPr>
        <w:t xml:space="preserve"> have</w:t>
      </w:r>
      <w:proofErr w:type="gramEnd"/>
      <w:r>
        <w:rPr>
          <w:rFonts w:ascii="Segoe UI" w:hAnsi="Segoe UI" w:cs="Segoe UI"/>
          <w:lang w:val="en-US"/>
        </w:rPr>
        <w:t xml:space="preserve"> highlighted the importance of</w:t>
      </w:r>
      <w:r w:rsidR="009826DE" w:rsidRPr="009826DE">
        <w:rPr>
          <w:rFonts w:ascii="Segoe UI" w:hAnsi="Segoe UI" w:cs="Segoe UI"/>
        </w:rPr>
        <w:t xml:space="preserve"> all healthcare organisations see</w:t>
      </w:r>
      <w:r>
        <w:rPr>
          <w:rFonts w:ascii="Segoe UI" w:hAnsi="Segoe UI" w:cs="Segoe UI"/>
        </w:rPr>
        <w:t>ing</w:t>
      </w:r>
      <w:r w:rsidR="009826DE" w:rsidRPr="009826DE">
        <w:rPr>
          <w:rFonts w:ascii="Segoe UI" w:hAnsi="Segoe UI" w:cs="Segoe UI"/>
        </w:rPr>
        <w:t xml:space="preserve"> the intrinsic value in the view of ‘food as medicine’ and that it remains a standing item on the board agenda. S</w:t>
      </w:r>
      <w:r w:rsidR="0043249A">
        <w:rPr>
          <w:rFonts w:ascii="Segoe UI" w:hAnsi="Segoe UI" w:cs="Segoe UI"/>
        </w:rPr>
        <w:t>he standards state that s</w:t>
      </w:r>
      <w:r w:rsidR="009826DE" w:rsidRPr="009826DE">
        <w:rPr>
          <w:rFonts w:ascii="Segoe UI" w:hAnsi="Segoe UI" w:cs="Segoe UI"/>
        </w:rPr>
        <w:t xml:space="preserve">enior NHS leaders </w:t>
      </w:r>
      <w:r w:rsidR="0043249A">
        <w:rPr>
          <w:rFonts w:ascii="Segoe UI" w:hAnsi="Segoe UI" w:cs="Segoe UI"/>
        </w:rPr>
        <w:t>should</w:t>
      </w:r>
      <w:r w:rsidR="009826DE" w:rsidRPr="009826DE">
        <w:rPr>
          <w:rFonts w:ascii="Segoe UI" w:hAnsi="Segoe UI" w:cs="Segoe UI"/>
        </w:rPr>
        <w:t xml:space="preserve"> be held accountable for the standard and quality of food served in their organisation, and patient and staff nutrition must be prioritised.</w:t>
      </w:r>
    </w:p>
    <w:p w14:paraId="1D783EDA" w14:textId="77777777" w:rsidR="007A7DB7" w:rsidRPr="009826DE" w:rsidRDefault="007A7DB7" w:rsidP="009826DE">
      <w:pPr>
        <w:pStyle w:val="NoSpacing"/>
        <w:rPr>
          <w:rFonts w:ascii="Segoe UI" w:hAnsi="Segoe UI" w:cs="Segoe UI"/>
        </w:rPr>
      </w:pPr>
    </w:p>
    <w:p w14:paraId="652C2033" w14:textId="6FBD861E" w:rsidR="00AA3FFB" w:rsidRPr="007A7DB7" w:rsidRDefault="008A1AA3" w:rsidP="009826DE">
      <w:pPr>
        <w:pStyle w:val="NoSpacing"/>
        <w:rPr>
          <w:rFonts w:ascii="Segoe UI" w:hAnsi="Segoe UI" w:cs="Segoe UI"/>
          <w:b/>
          <w:bCs/>
        </w:rPr>
      </w:pPr>
      <w:hyperlink r:id="rId26" w:history="1">
        <w:r w:rsidR="009826DE" w:rsidRPr="007A7DB7">
          <w:rPr>
            <w:rStyle w:val="Hyperlink"/>
            <w:rFonts w:ascii="Segoe UI" w:hAnsi="Segoe UI" w:cs="Segoe UI"/>
            <w:b/>
            <w:bCs/>
            <w:lang w:val="en-US"/>
          </w:rPr>
          <w:t>https://www.england.nhs.uk/wp-content/uploads/2022/11/B0508-i-National-standards-for-healthcare-food-and-drink-Nove-2022.pdf</w:t>
        </w:r>
      </w:hyperlink>
      <w:r w:rsidR="00C14F86" w:rsidRPr="007A7DB7">
        <w:rPr>
          <w:rFonts w:ascii="Segoe UI" w:hAnsi="Segoe UI" w:cs="Segoe UI"/>
          <w:b/>
          <w:bCs/>
        </w:rPr>
        <w:t xml:space="preserve">  </w:t>
      </w:r>
    </w:p>
    <w:p w14:paraId="41C4CA47" w14:textId="77777777" w:rsidR="00AA3FFB" w:rsidRDefault="00AA3FFB" w:rsidP="00AA3FFB">
      <w:pPr>
        <w:pStyle w:val="NoSpacing"/>
        <w:rPr>
          <w:rFonts w:ascii="Segoe UI" w:hAnsi="Segoe UI" w:cs="Segoe UI"/>
        </w:rPr>
      </w:pPr>
    </w:p>
    <w:p w14:paraId="3954DC58" w14:textId="6CD6E03C" w:rsidR="00524BBB" w:rsidRPr="00296E91" w:rsidRDefault="00AA3FFB" w:rsidP="00AA3FFB">
      <w:pPr>
        <w:pStyle w:val="NoSpacing"/>
        <w:rPr>
          <w:rFonts w:ascii="Segoe UI" w:hAnsi="Segoe UI" w:cs="Segoe UI"/>
        </w:rPr>
      </w:pPr>
      <w:r w:rsidRPr="00AA3FFB">
        <w:rPr>
          <w:rFonts w:ascii="Segoe UI" w:hAnsi="Segoe UI" w:cs="Segoe UI"/>
          <w:b/>
          <w:bCs/>
        </w:rPr>
        <w:t>Trust Position:</w:t>
      </w:r>
      <w:r w:rsidR="004C48DA">
        <w:rPr>
          <w:rFonts w:ascii="Segoe UI" w:hAnsi="Segoe UI" w:cs="Segoe UI"/>
          <w:b/>
          <w:bCs/>
        </w:rPr>
        <w:t xml:space="preserve">  The Food Strategy is on the workplan of the People Leadership and Culture </w:t>
      </w:r>
      <w:proofErr w:type="gramStart"/>
      <w:r w:rsidR="004C48DA">
        <w:rPr>
          <w:rFonts w:ascii="Segoe UI" w:hAnsi="Segoe UI" w:cs="Segoe UI"/>
          <w:b/>
          <w:bCs/>
        </w:rPr>
        <w:t>Committee</w:t>
      </w:r>
      <w:r w:rsidR="00592537">
        <w:rPr>
          <w:rFonts w:ascii="Segoe UI" w:hAnsi="Segoe UI" w:cs="Segoe UI"/>
          <w:b/>
          <w:bCs/>
        </w:rPr>
        <w:t>, and</w:t>
      </w:r>
      <w:proofErr w:type="gramEnd"/>
      <w:r w:rsidR="00592537">
        <w:rPr>
          <w:rFonts w:ascii="Segoe UI" w:hAnsi="Segoe UI" w:cs="Segoe UI"/>
          <w:b/>
          <w:bCs/>
        </w:rPr>
        <w:t xml:space="preserve"> is on the agenda for its next meeting with an interim report going to the last meeting.</w:t>
      </w:r>
    </w:p>
    <w:p w14:paraId="6E045AA3" w14:textId="77777777" w:rsidR="004D2C05" w:rsidRPr="004D2C05" w:rsidRDefault="004D2C05" w:rsidP="004D2C05">
      <w:pPr>
        <w:pStyle w:val="NoSpacing"/>
        <w:rPr>
          <w:rFonts w:ascii="Segoe UI" w:hAnsi="Segoe UI" w:cs="Segoe UI"/>
          <w:b/>
          <w:bCs/>
        </w:rPr>
      </w:pPr>
    </w:p>
    <w:p w14:paraId="32B5778D" w14:textId="3A3B54A9" w:rsidR="008F1F8E" w:rsidRPr="008F1F8E" w:rsidRDefault="008F1F8E" w:rsidP="004C21C7">
      <w:pPr>
        <w:pStyle w:val="ListParagraph"/>
        <w:numPr>
          <w:ilvl w:val="0"/>
          <w:numId w:val="1"/>
        </w:numPr>
        <w:spacing w:before="160"/>
        <w:rPr>
          <w:rFonts w:ascii="Segoe UI" w:eastAsiaTheme="majorEastAsia" w:hAnsi="Segoe UI" w:cs="Segoe UI"/>
          <w:b/>
          <w:bCs/>
          <w:sz w:val="22"/>
          <w:szCs w:val="22"/>
        </w:rPr>
      </w:pPr>
      <w:r w:rsidRPr="008F1F8E">
        <w:rPr>
          <w:rFonts w:ascii="Segoe UI" w:eastAsiaTheme="majorEastAsia" w:hAnsi="Segoe UI" w:cs="Segoe UI"/>
          <w:b/>
          <w:bCs/>
          <w:sz w:val="22"/>
          <w:szCs w:val="22"/>
        </w:rPr>
        <w:t xml:space="preserve">Policy Briefing: The </w:t>
      </w:r>
      <w:proofErr w:type="spellStart"/>
      <w:r w:rsidRPr="008F1F8E">
        <w:rPr>
          <w:rFonts w:ascii="Segoe UI" w:eastAsiaTheme="majorEastAsia" w:hAnsi="Segoe UI" w:cs="Segoe UI"/>
          <w:b/>
          <w:bCs/>
          <w:sz w:val="22"/>
          <w:szCs w:val="22"/>
        </w:rPr>
        <w:t>Ockenden</w:t>
      </w:r>
      <w:proofErr w:type="spellEnd"/>
      <w:r w:rsidRPr="008F1F8E">
        <w:rPr>
          <w:rFonts w:ascii="Segoe UI" w:eastAsiaTheme="majorEastAsia" w:hAnsi="Segoe UI" w:cs="Segoe UI"/>
          <w:b/>
          <w:bCs/>
          <w:sz w:val="22"/>
          <w:szCs w:val="22"/>
        </w:rPr>
        <w:t xml:space="preserve"> review</w:t>
      </w:r>
    </w:p>
    <w:p w14:paraId="4848206E" w14:textId="77777777" w:rsidR="008F1F8E" w:rsidRDefault="008F1F8E" w:rsidP="008F1F8E">
      <w:pPr>
        <w:pStyle w:val="NoSpacing"/>
        <w:rPr>
          <w:rFonts w:ascii="Segoe UI" w:hAnsi="Segoe UI" w:cs="Segoe UI"/>
          <w:i/>
          <w:iCs/>
        </w:rPr>
      </w:pPr>
    </w:p>
    <w:p w14:paraId="0F7E2959" w14:textId="1210F641" w:rsidR="008F1F8E" w:rsidRDefault="008F1F8E" w:rsidP="00754799">
      <w:pPr>
        <w:pStyle w:val="NoSpacing"/>
        <w:jc w:val="both"/>
        <w:rPr>
          <w:rFonts w:ascii="Segoe UI" w:hAnsi="Segoe UI" w:cs="Segoe UI"/>
        </w:rPr>
      </w:pPr>
      <w:r w:rsidRPr="00296E91">
        <w:rPr>
          <w:rFonts w:ascii="Segoe UI" w:hAnsi="Segoe UI" w:cs="Segoe UI"/>
        </w:rPr>
        <w:lastRenderedPageBreak/>
        <w:t>This briefing examines the Ockenden review through the lens of race equality and makes recommendations for best practice in the future. Key themes include lessons on 1. Representation of families from ethnic minority and socially deprived backgrounds; 2. Workforce representation and culture.</w:t>
      </w:r>
    </w:p>
    <w:p w14:paraId="2FC3CA5F" w14:textId="77777777" w:rsidR="008F1F8E" w:rsidRPr="008F1F8E" w:rsidRDefault="008F1F8E" w:rsidP="008F1F8E">
      <w:pPr>
        <w:pStyle w:val="NoSpacing"/>
        <w:rPr>
          <w:rFonts w:ascii="Segoe UI" w:hAnsi="Segoe UI" w:cs="Segoe UI"/>
          <w:b/>
          <w:bCs/>
        </w:rPr>
      </w:pPr>
    </w:p>
    <w:p w14:paraId="7604F15A" w14:textId="421F2694" w:rsidR="008F1F8E" w:rsidRDefault="008A1AA3" w:rsidP="008F1F8E">
      <w:pPr>
        <w:pStyle w:val="NoSpacing"/>
        <w:rPr>
          <w:rFonts w:ascii="Segoe UI" w:hAnsi="Segoe UI" w:cs="Segoe UI"/>
          <w:b/>
          <w:bCs/>
        </w:rPr>
      </w:pPr>
      <w:hyperlink r:id="rId27" w:history="1">
        <w:r w:rsidR="008F1F8E" w:rsidRPr="008F1F8E">
          <w:rPr>
            <w:rStyle w:val="Hyperlink"/>
            <w:rFonts w:ascii="Segoe UI" w:hAnsi="Segoe UI" w:cs="Segoe UI"/>
            <w:b/>
            <w:bCs/>
          </w:rPr>
          <w:t>https://www.nhsrho.org/publications/policy-briefing-the-ockenden-review/</w:t>
        </w:r>
      </w:hyperlink>
      <w:r w:rsidR="008F1F8E" w:rsidRPr="008F1F8E">
        <w:rPr>
          <w:rFonts w:ascii="Segoe UI" w:hAnsi="Segoe UI" w:cs="Segoe UI"/>
          <w:b/>
          <w:bCs/>
        </w:rPr>
        <w:t xml:space="preserve"> </w:t>
      </w:r>
    </w:p>
    <w:p w14:paraId="384B11D2" w14:textId="32F78247" w:rsidR="008F1F8E" w:rsidRPr="008F1F8E" w:rsidRDefault="008F1F8E" w:rsidP="008F1F8E">
      <w:pPr>
        <w:pStyle w:val="NoSpacing"/>
        <w:rPr>
          <w:rFonts w:ascii="Segoe UI" w:hAnsi="Segoe UI" w:cs="Segoe UI"/>
          <w:b/>
          <w:bCs/>
        </w:rPr>
      </w:pPr>
    </w:p>
    <w:p w14:paraId="357A3570" w14:textId="38178FA5" w:rsidR="00110DD1" w:rsidRDefault="00110DD1" w:rsidP="004C21C7">
      <w:pPr>
        <w:pStyle w:val="ListParagraph"/>
        <w:numPr>
          <w:ilvl w:val="0"/>
          <w:numId w:val="1"/>
        </w:numPr>
        <w:rPr>
          <w:rFonts w:ascii="Segoe UI" w:hAnsi="Segoe UI" w:cs="Segoe UI"/>
          <w:b/>
          <w:bCs/>
          <w:sz w:val="22"/>
          <w:szCs w:val="22"/>
        </w:rPr>
      </w:pPr>
      <w:r>
        <w:rPr>
          <w:rFonts w:ascii="Segoe UI" w:hAnsi="Segoe UI" w:cs="Segoe UI"/>
          <w:b/>
          <w:bCs/>
          <w:sz w:val="22"/>
          <w:szCs w:val="22"/>
        </w:rPr>
        <w:t>Procurement Bill 2022: focus on conflicts of interest</w:t>
      </w:r>
    </w:p>
    <w:p w14:paraId="3EE2E1AF" w14:textId="2FC49FA3" w:rsidR="00753D88" w:rsidRDefault="00753D88" w:rsidP="00753D88">
      <w:pPr>
        <w:rPr>
          <w:rFonts w:ascii="Segoe UI" w:hAnsi="Segoe UI" w:cs="Segoe UI"/>
          <w:b/>
          <w:bCs/>
          <w:sz w:val="22"/>
          <w:szCs w:val="22"/>
        </w:rPr>
      </w:pPr>
    </w:p>
    <w:p w14:paraId="716C4D47" w14:textId="7A4D7CD5" w:rsidR="006146AF" w:rsidRDefault="004E3BB6" w:rsidP="007937C8">
      <w:pPr>
        <w:jc w:val="both"/>
        <w:rPr>
          <w:rFonts w:ascii="Segoe UI" w:hAnsi="Segoe UI" w:cs="Segoe UI"/>
          <w:sz w:val="22"/>
          <w:szCs w:val="22"/>
          <w:shd w:val="clear" w:color="auto" w:fill="FFFFFF"/>
        </w:rPr>
      </w:pPr>
      <w:r w:rsidRPr="00806593">
        <w:rPr>
          <w:rFonts w:ascii="Segoe UI" w:hAnsi="Segoe UI" w:cs="Segoe UI"/>
          <w:sz w:val="22"/>
          <w:szCs w:val="22"/>
          <w:shd w:val="clear" w:color="auto" w:fill="FFFFFF"/>
        </w:rPr>
        <w:t xml:space="preserve">As with many of the clauses set out in the recent Procurement Bill, at first glance the provisions on conflicts of interest appear to be broadly </w:t>
      </w:r>
      <w:proofErr w:type="gramStart"/>
      <w:r w:rsidRPr="00806593">
        <w:rPr>
          <w:rFonts w:ascii="Segoe UI" w:hAnsi="Segoe UI" w:cs="Segoe UI"/>
          <w:sz w:val="22"/>
          <w:szCs w:val="22"/>
          <w:shd w:val="clear" w:color="auto" w:fill="FFFFFF"/>
        </w:rPr>
        <w:t>similar to</w:t>
      </w:r>
      <w:proofErr w:type="gramEnd"/>
      <w:r w:rsidRPr="00806593">
        <w:rPr>
          <w:rFonts w:ascii="Segoe UI" w:hAnsi="Segoe UI" w:cs="Segoe UI"/>
          <w:sz w:val="22"/>
          <w:szCs w:val="22"/>
          <w:shd w:val="clear" w:color="auto" w:fill="FFFFFF"/>
        </w:rPr>
        <w:t xml:space="preserve"> those we are more familiar with in the Public Contracts Regulations 2015.  Clause</w:t>
      </w:r>
      <w:r w:rsidR="00BA7AFE">
        <w:rPr>
          <w:rFonts w:ascii="Segoe UI" w:hAnsi="Segoe UI" w:cs="Segoe UI"/>
          <w:sz w:val="22"/>
          <w:szCs w:val="22"/>
          <w:shd w:val="clear" w:color="auto" w:fill="FFFFFF"/>
        </w:rPr>
        <w:t>s</w:t>
      </w:r>
      <w:r w:rsidRPr="00806593">
        <w:rPr>
          <w:rFonts w:ascii="Segoe UI" w:hAnsi="Segoe UI" w:cs="Segoe UI"/>
          <w:sz w:val="22"/>
          <w:szCs w:val="22"/>
          <w:shd w:val="clear" w:color="auto" w:fill="FFFFFF"/>
        </w:rPr>
        <w:t xml:space="preserve"> deal with the concept of conflicts of interest, </w:t>
      </w:r>
      <w:r w:rsidR="00BA7AFE">
        <w:rPr>
          <w:rFonts w:ascii="Segoe UI" w:hAnsi="Segoe UI" w:cs="Segoe UI"/>
          <w:sz w:val="22"/>
          <w:szCs w:val="22"/>
          <w:shd w:val="clear" w:color="auto" w:fill="FFFFFF"/>
        </w:rPr>
        <w:t xml:space="preserve">with one setting </w:t>
      </w:r>
      <w:r w:rsidRPr="00806593">
        <w:rPr>
          <w:rFonts w:ascii="Segoe UI" w:hAnsi="Segoe UI" w:cs="Segoe UI"/>
          <w:sz w:val="22"/>
          <w:szCs w:val="22"/>
          <w:shd w:val="clear" w:color="auto" w:fill="FFFFFF"/>
        </w:rPr>
        <w:t xml:space="preserve">out contracting authorities’ duty to mitigate a conflict, including a power to exclude a supplier, and clause 76 requires authorities to prepare a “conflicts assessment” before launching a procurement - putting into legislative form what was already best practice in preparing for procurement.  </w:t>
      </w:r>
    </w:p>
    <w:p w14:paraId="6844B22E" w14:textId="77777777" w:rsidR="006146AF" w:rsidRDefault="006146AF" w:rsidP="007937C8">
      <w:pPr>
        <w:jc w:val="both"/>
        <w:rPr>
          <w:rFonts w:ascii="Segoe UI" w:hAnsi="Segoe UI" w:cs="Segoe UI"/>
          <w:sz w:val="22"/>
          <w:szCs w:val="22"/>
          <w:shd w:val="clear" w:color="auto" w:fill="FFFFFF"/>
        </w:rPr>
      </w:pPr>
    </w:p>
    <w:p w14:paraId="367161AF" w14:textId="4864DFEC" w:rsidR="00806593" w:rsidRPr="00806593" w:rsidRDefault="00806593" w:rsidP="007937C8">
      <w:pPr>
        <w:jc w:val="both"/>
        <w:rPr>
          <w:rFonts w:ascii="Segoe UI" w:hAnsi="Segoe UI" w:cs="Segoe UI"/>
          <w:sz w:val="22"/>
          <w:szCs w:val="22"/>
          <w:shd w:val="clear" w:color="auto" w:fill="FFFFFF"/>
        </w:rPr>
      </w:pPr>
      <w:r w:rsidRPr="00806593">
        <w:rPr>
          <w:rFonts w:ascii="Segoe UI" w:hAnsi="Segoe UI" w:cs="Segoe UI"/>
          <w:sz w:val="22"/>
          <w:szCs w:val="22"/>
          <w:shd w:val="clear" w:color="auto" w:fill="FFFFFF"/>
        </w:rPr>
        <w:t xml:space="preserve">Whilst in many ways the conflicts of interest clauses in the Bill provide a fairly </w:t>
      </w:r>
      <w:proofErr w:type="gramStart"/>
      <w:r w:rsidRPr="00806593">
        <w:rPr>
          <w:rFonts w:ascii="Segoe UI" w:hAnsi="Segoe UI" w:cs="Segoe UI"/>
          <w:sz w:val="22"/>
          <w:szCs w:val="22"/>
          <w:shd w:val="clear" w:color="auto" w:fill="FFFFFF"/>
        </w:rPr>
        <w:t>common sense</w:t>
      </w:r>
      <w:proofErr w:type="gramEnd"/>
      <w:r w:rsidRPr="00806593">
        <w:rPr>
          <w:rFonts w:ascii="Segoe UI" w:hAnsi="Segoe UI" w:cs="Segoe UI"/>
          <w:sz w:val="22"/>
          <w:szCs w:val="22"/>
          <w:shd w:val="clear" w:color="auto" w:fill="FFFFFF"/>
        </w:rPr>
        <w:t xml:space="preserve"> approach to the existing PCR regime and the realities of dealing with conflicts in practice, both authorities and suppliers would benefit from further legislative certainty, in particular regarding the interaction between the conflicts clauses and the exclusion mechanisms in the Bill. </w:t>
      </w:r>
    </w:p>
    <w:p w14:paraId="4AB43DD6" w14:textId="77777777" w:rsidR="00806593" w:rsidRDefault="00806593" w:rsidP="007937C8">
      <w:pPr>
        <w:jc w:val="both"/>
        <w:rPr>
          <w:rFonts w:ascii="Segoe UI" w:hAnsi="Segoe UI" w:cs="Segoe UI"/>
          <w:b/>
          <w:bCs/>
          <w:sz w:val="22"/>
          <w:szCs w:val="22"/>
        </w:rPr>
      </w:pPr>
    </w:p>
    <w:p w14:paraId="2B64E724" w14:textId="47644B13" w:rsidR="0052482C" w:rsidRDefault="008A1AA3" w:rsidP="00110DD1">
      <w:pPr>
        <w:rPr>
          <w:rFonts w:ascii="Segoe UI" w:hAnsi="Segoe UI" w:cs="Segoe UI"/>
          <w:b/>
          <w:bCs/>
          <w:sz w:val="22"/>
          <w:szCs w:val="22"/>
        </w:rPr>
      </w:pPr>
      <w:hyperlink r:id="rId28" w:history="1">
        <w:r w:rsidR="00BE698D" w:rsidRPr="00BE698D">
          <w:rPr>
            <w:rStyle w:val="Hyperlink"/>
            <w:rFonts w:ascii="Segoe UI" w:hAnsi="Segoe UI" w:cs="Segoe UI"/>
            <w:b/>
            <w:bCs/>
            <w:sz w:val="22"/>
            <w:szCs w:val="22"/>
          </w:rPr>
          <w:t>The Procurement Bill: summary guide to the provisions - GOV.UK (www.gov.uk)</w:t>
        </w:r>
      </w:hyperlink>
    </w:p>
    <w:p w14:paraId="6DA0FC87" w14:textId="77777777" w:rsidR="00BE698D" w:rsidRDefault="00BE698D" w:rsidP="00110DD1">
      <w:pPr>
        <w:rPr>
          <w:rFonts w:ascii="Segoe UI" w:hAnsi="Segoe UI" w:cs="Segoe UI"/>
          <w:b/>
          <w:bCs/>
          <w:sz w:val="22"/>
          <w:szCs w:val="22"/>
        </w:rPr>
      </w:pPr>
    </w:p>
    <w:p w14:paraId="031D7C62" w14:textId="496B2B29" w:rsidR="00110DD1" w:rsidRPr="00110DD1" w:rsidRDefault="00313F75" w:rsidP="00625D38">
      <w:pPr>
        <w:jc w:val="both"/>
        <w:rPr>
          <w:rFonts w:ascii="Segoe UI" w:hAnsi="Segoe UI" w:cs="Segoe UI"/>
          <w:b/>
          <w:bCs/>
          <w:sz w:val="22"/>
          <w:szCs w:val="22"/>
        </w:rPr>
      </w:pPr>
      <w:r w:rsidRPr="00625D38">
        <w:rPr>
          <w:rFonts w:ascii="Segoe UI" w:hAnsi="Segoe UI" w:cs="Segoe UI"/>
          <w:b/>
          <w:bCs/>
          <w:sz w:val="22"/>
          <w:szCs w:val="22"/>
        </w:rPr>
        <w:t>Trust Position:</w:t>
      </w:r>
      <w:r w:rsidR="00625D38">
        <w:rPr>
          <w:rFonts w:ascii="Segoe UI" w:hAnsi="Segoe UI" w:cs="Segoe UI"/>
          <w:b/>
          <w:bCs/>
          <w:sz w:val="22"/>
          <w:szCs w:val="22"/>
        </w:rPr>
        <w:t xml:space="preserve"> </w:t>
      </w:r>
      <w:r w:rsidR="00FB741E">
        <w:rPr>
          <w:rFonts w:ascii="Segoe UI" w:hAnsi="Segoe UI" w:cs="Segoe UI"/>
          <w:b/>
          <w:bCs/>
          <w:sz w:val="22"/>
          <w:szCs w:val="22"/>
        </w:rPr>
        <w:t xml:space="preserve">The Senior Strategic Procurement Manager has highlighted that </w:t>
      </w:r>
      <w:r w:rsidR="00FB741E" w:rsidRPr="00FB741E">
        <w:rPr>
          <w:rFonts w:ascii="Segoe UI" w:hAnsi="Segoe UI" w:cs="Segoe UI"/>
          <w:b/>
          <w:bCs/>
          <w:sz w:val="22"/>
          <w:szCs w:val="22"/>
        </w:rPr>
        <w:t>on the subject of Conflict of Interes</w:t>
      </w:r>
      <w:r w:rsidR="00625D38">
        <w:rPr>
          <w:rFonts w:ascii="Segoe UI" w:hAnsi="Segoe UI" w:cs="Segoe UI"/>
          <w:b/>
          <w:bCs/>
          <w:sz w:val="22"/>
          <w:szCs w:val="22"/>
        </w:rPr>
        <w:t>t, policy has retained</w:t>
      </w:r>
      <w:r w:rsidR="00FB741E" w:rsidRPr="00FB741E">
        <w:rPr>
          <w:rFonts w:ascii="Segoe UI" w:hAnsi="Segoe UI" w:cs="Segoe UI"/>
          <w:b/>
          <w:bCs/>
          <w:sz w:val="22"/>
          <w:szCs w:val="22"/>
        </w:rPr>
        <w:t xml:space="preserve"> the </w:t>
      </w:r>
      <w:proofErr w:type="gramStart"/>
      <w:r w:rsidR="00FB741E" w:rsidRPr="00FB741E">
        <w:rPr>
          <w:rFonts w:ascii="Segoe UI" w:hAnsi="Segoe UI" w:cs="Segoe UI"/>
          <w:b/>
          <w:bCs/>
          <w:sz w:val="22"/>
          <w:szCs w:val="22"/>
        </w:rPr>
        <w:t>conflict of interest</w:t>
      </w:r>
      <w:proofErr w:type="gramEnd"/>
      <w:r w:rsidR="00FB741E" w:rsidRPr="00FB741E">
        <w:rPr>
          <w:rFonts w:ascii="Segoe UI" w:hAnsi="Segoe UI" w:cs="Segoe UI"/>
          <w:b/>
          <w:bCs/>
          <w:sz w:val="22"/>
          <w:szCs w:val="22"/>
        </w:rPr>
        <w:t xml:space="preserve"> sections within tender documents for further assurance regardless of what the Procurement Bill may indicate. Even under new Procurement rules, </w:t>
      </w:r>
      <w:r w:rsidR="00625D38">
        <w:rPr>
          <w:rFonts w:ascii="Segoe UI" w:hAnsi="Segoe UI" w:cs="Segoe UI"/>
          <w:b/>
          <w:bCs/>
          <w:sz w:val="22"/>
          <w:szCs w:val="22"/>
        </w:rPr>
        <w:t xml:space="preserve">the Trust has </w:t>
      </w:r>
      <w:r w:rsidR="00FB741E" w:rsidRPr="00FB741E">
        <w:rPr>
          <w:rFonts w:ascii="Segoe UI" w:hAnsi="Segoe UI" w:cs="Segoe UI"/>
          <w:b/>
          <w:bCs/>
          <w:sz w:val="22"/>
          <w:szCs w:val="22"/>
        </w:rPr>
        <w:t xml:space="preserve">a duty of </w:t>
      </w:r>
      <w:proofErr w:type="gramStart"/>
      <w:r w:rsidR="00FB741E" w:rsidRPr="00FB741E">
        <w:rPr>
          <w:rFonts w:ascii="Segoe UI" w:hAnsi="Segoe UI" w:cs="Segoe UI"/>
          <w:b/>
          <w:bCs/>
          <w:sz w:val="22"/>
          <w:szCs w:val="22"/>
        </w:rPr>
        <w:t>transparency</w:t>
      </w:r>
      <w:proofErr w:type="gramEnd"/>
      <w:r w:rsidR="00FB741E" w:rsidRPr="00FB741E">
        <w:rPr>
          <w:rFonts w:ascii="Segoe UI" w:hAnsi="Segoe UI" w:cs="Segoe UI"/>
          <w:b/>
          <w:bCs/>
          <w:sz w:val="22"/>
          <w:szCs w:val="22"/>
        </w:rPr>
        <w:t xml:space="preserve"> and this provides a useful mechanism to ensure that suppliers and also evaluators are open about any business relationships and interest that they have with bidders.</w:t>
      </w:r>
    </w:p>
    <w:p w14:paraId="20788A36" w14:textId="77777777" w:rsidR="00A823E5" w:rsidRDefault="00A823E5" w:rsidP="007B6840">
      <w:pPr>
        <w:rPr>
          <w:rFonts w:ascii="Segoe UI" w:hAnsi="Segoe UI" w:cs="Segoe UI"/>
          <w:b/>
          <w:bCs/>
          <w:sz w:val="22"/>
          <w:szCs w:val="22"/>
        </w:rPr>
      </w:pPr>
    </w:p>
    <w:p w14:paraId="2B837B01" w14:textId="505D999B" w:rsidR="00CF63F9" w:rsidRPr="00145C4D" w:rsidRDefault="00CF63F9" w:rsidP="00145C4D">
      <w:pPr>
        <w:rPr>
          <w:rFonts w:ascii="Segoe UI" w:hAnsi="Segoe UI" w:cs="Segoe UI"/>
          <w:b/>
          <w:bCs/>
          <w:sz w:val="22"/>
          <w:szCs w:val="22"/>
        </w:rPr>
      </w:pPr>
      <w:r w:rsidRPr="00145C4D">
        <w:rPr>
          <w:rFonts w:ascii="Segoe UI" w:hAnsi="Segoe UI" w:cs="Segoe UI"/>
          <w:b/>
          <w:bCs/>
          <w:sz w:val="22"/>
          <w:szCs w:val="22"/>
        </w:rPr>
        <w:t>RECOMMENDATION</w:t>
      </w:r>
    </w:p>
    <w:p w14:paraId="6E12A037" w14:textId="77777777" w:rsidR="00CF63F9" w:rsidRPr="00A6321D" w:rsidRDefault="00CF63F9" w:rsidP="00C90FDB">
      <w:pPr>
        <w:pStyle w:val="ListParagraph"/>
        <w:ind w:left="66"/>
        <w:jc w:val="both"/>
        <w:rPr>
          <w:rFonts w:ascii="Segoe UI" w:hAnsi="Segoe UI" w:cs="Segoe UI"/>
          <w:b/>
          <w:bCs/>
          <w:sz w:val="22"/>
          <w:szCs w:val="22"/>
        </w:rPr>
      </w:pPr>
    </w:p>
    <w:p w14:paraId="5B99496D" w14:textId="0AFDCD66" w:rsidR="00CF63F9" w:rsidRPr="00A6321D" w:rsidRDefault="00CF63F9" w:rsidP="00F83EE7">
      <w:pPr>
        <w:jc w:val="both"/>
        <w:rPr>
          <w:rFonts w:ascii="Segoe UI" w:hAnsi="Segoe UI" w:cs="Segoe UI"/>
          <w:bCs/>
          <w:sz w:val="22"/>
          <w:szCs w:val="22"/>
        </w:rPr>
      </w:pPr>
      <w:r w:rsidRPr="00A6321D">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w:t>
      </w:r>
      <w:r w:rsidR="002114C0" w:rsidRPr="00A6321D">
        <w:rPr>
          <w:rFonts w:ascii="Segoe UI" w:hAnsi="Segoe UI" w:cs="Segoe UI"/>
          <w:bCs/>
          <w:sz w:val="22"/>
          <w:szCs w:val="22"/>
        </w:rPr>
        <w:t xml:space="preserve">and reassurances </w:t>
      </w:r>
      <w:r w:rsidRPr="00A6321D">
        <w:rPr>
          <w:rFonts w:ascii="Segoe UI" w:hAnsi="Segoe UI" w:cs="Segoe UI"/>
          <w:bCs/>
          <w:sz w:val="22"/>
          <w:szCs w:val="22"/>
        </w:rPr>
        <w:t xml:space="preserve">that the internal plans and controls in place to deliver or prepare for compliance against any of the Trust’s obligations are appropriate and effective.  </w:t>
      </w:r>
    </w:p>
    <w:p w14:paraId="22A2C6B9" w14:textId="77777777" w:rsidR="00CF63F9" w:rsidRPr="00A6321D" w:rsidRDefault="00CF63F9" w:rsidP="00C90FDB">
      <w:pPr>
        <w:pStyle w:val="ListParagraph"/>
        <w:ind w:left="66"/>
        <w:jc w:val="both"/>
        <w:rPr>
          <w:rFonts w:ascii="Segoe UI" w:hAnsi="Segoe UI" w:cs="Segoe UI"/>
          <w:b/>
          <w:bCs/>
          <w:sz w:val="22"/>
          <w:szCs w:val="22"/>
          <w:lang w:val="en"/>
        </w:rPr>
      </w:pPr>
    </w:p>
    <w:p w14:paraId="38778784" w14:textId="11751535" w:rsidR="00C85DE0" w:rsidRPr="00A6321D" w:rsidRDefault="00CF63F9" w:rsidP="00C90FDB">
      <w:pPr>
        <w:pStyle w:val="ListParagraph"/>
        <w:ind w:left="0"/>
        <w:jc w:val="both"/>
        <w:rPr>
          <w:rFonts w:ascii="Segoe UI" w:hAnsi="Segoe UI" w:cs="Segoe UI"/>
          <w:b/>
          <w:bCs/>
          <w:sz w:val="22"/>
          <w:szCs w:val="22"/>
          <w:lang w:val="en"/>
        </w:rPr>
      </w:pPr>
      <w:r w:rsidRPr="00A6321D">
        <w:rPr>
          <w:rFonts w:ascii="Segoe UI" w:hAnsi="Segoe UI" w:cs="Segoe UI"/>
          <w:b/>
          <w:bCs/>
          <w:sz w:val="22"/>
          <w:szCs w:val="22"/>
          <w:lang w:val="en"/>
        </w:rPr>
        <w:t xml:space="preserve">Lead Executive and Author: </w:t>
      </w:r>
      <w:r w:rsidRPr="00A6321D">
        <w:rPr>
          <w:rFonts w:ascii="Segoe UI" w:hAnsi="Segoe UI" w:cs="Segoe UI"/>
          <w:b/>
          <w:bCs/>
          <w:sz w:val="22"/>
          <w:szCs w:val="22"/>
          <w:lang w:val="en"/>
        </w:rPr>
        <w:tab/>
        <w:t xml:space="preserve">Kerry Rogers, Director of Corporate Affairs &amp; </w:t>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00DB2B4B" w:rsidRPr="00A6321D">
        <w:rPr>
          <w:rFonts w:ascii="Segoe UI" w:hAnsi="Segoe UI" w:cs="Segoe UI"/>
          <w:b/>
          <w:bCs/>
          <w:sz w:val="22"/>
          <w:szCs w:val="22"/>
          <w:lang w:val="en"/>
        </w:rPr>
        <w:tab/>
      </w:r>
      <w:r w:rsidRPr="00A6321D">
        <w:rPr>
          <w:rFonts w:ascii="Segoe UI" w:hAnsi="Segoe UI" w:cs="Segoe UI"/>
          <w:b/>
          <w:bCs/>
          <w:sz w:val="22"/>
          <w:szCs w:val="22"/>
          <w:lang w:val="en"/>
        </w:rPr>
        <w:t>Company Secretar</w:t>
      </w:r>
      <w:r w:rsidR="00DB2B4B" w:rsidRPr="00A6321D">
        <w:rPr>
          <w:rFonts w:ascii="Segoe UI" w:hAnsi="Segoe UI" w:cs="Segoe UI"/>
          <w:b/>
          <w:bCs/>
          <w:sz w:val="22"/>
          <w:szCs w:val="22"/>
          <w:lang w:val="en"/>
        </w:rPr>
        <w:t>y</w:t>
      </w:r>
    </w:p>
    <w:p w14:paraId="2F88DA71" w14:textId="1B9D98CD" w:rsidR="00440402" w:rsidRPr="00A6321D" w:rsidRDefault="00080BB7" w:rsidP="002D5C00">
      <w:pPr>
        <w:jc w:val="both"/>
        <w:rPr>
          <w:rFonts w:ascii="Segoe UI" w:hAnsi="Segoe UI" w:cs="Segoe UI"/>
          <w:b/>
          <w:bCs/>
          <w:sz w:val="22"/>
          <w:szCs w:val="22"/>
          <w:lang w:val="en-GB"/>
        </w:rPr>
      </w:pPr>
      <w:r w:rsidRPr="00A6321D">
        <w:rPr>
          <w:rFonts w:ascii="Segoe UI" w:hAnsi="Segoe UI" w:cs="Segoe UI"/>
          <w:b/>
          <w:bCs/>
          <w:sz w:val="22"/>
          <w:szCs w:val="22"/>
          <w:lang w:val="en-GB"/>
        </w:rPr>
        <w:t>____________________________________________________________________________________________</w:t>
      </w:r>
    </w:p>
    <w:p w14:paraId="139F3A45" w14:textId="77777777" w:rsidR="00455025" w:rsidRPr="00A6321D" w:rsidRDefault="00455025" w:rsidP="00C90FDB">
      <w:pPr>
        <w:pStyle w:val="ListParagraph"/>
        <w:ind w:left="66"/>
        <w:jc w:val="both"/>
        <w:rPr>
          <w:rFonts w:ascii="Segoe UI" w:hAnsi="Segoe UI" w:cs="Segoe UI"/>
          <w:b/>
          <w:bCs/>
          <w:sz w:val="22"/>
          <w:szCs w:val="22"/>
          <w:lang w:val="en-GB"/>
        </w:rPr>
      </w:pPr>
    </w:p>
    <w:p w14:paraId="38AE0E7C" w14:textId="27529940" w:rsidR="00CF63F9" w:rsidRPr="00A6321D" w:rsidRDefault="00CF63F9" w:rsidP="001A0642">
      <w:pPr>
        <w:pStyle w:val="ListParagraph"/>
        <w:ind w:left="66"/>
        <w:jc w:val="center"/>
        <w:rPr>
          <w:rFonts w:ascii="Segoe UI" w:hAnsi="Segoe UI" w:cs="Segoe UI"/>
          <w:b/>
          <w:bCs/>
          <w:sz w:val="22"/>
          <w:szCs w:val="22"/>
          <w:lang w:val="en-GB"/>
        </w:rPr>
      </w:pPr>
      <w:r w:rsidRPr="00A6321D">
        <w:rPr>
          <w:rFonts w:ascii="Segoe UI" w:hAnsi="Segoe UI" w:cs="Segoe UI"/>
          <w:b/>
          <w:bCs/>
          <w:sz w:val="22"/>
          <w:szCs w:val="22"/>
          <w:lang w:val="en-GB"/>
        </w:rPr>
        <w:lastRenderedPageBreak/>
        <w:t>A</w:t>
      </w:r>
      <w:r w:rsidR="00BA5B8A" w:rsidRPr="00A6321D">
        <w:rPr>
          <w:rFonts w:ascii="Segoe UI" w:hAnsi="Segoe UI" w:cs="Segoe UI"/>
          <w:b/>
          <w:bCs/>
          <w:sz w:val="22"/>
          <w:szCs w:val="22"/>
          <w:lang w:val="en-GB"/>
        </w:rPr>
        <w:t>ddendum</w:t>
      </w:r>
      <w:r w:rsidRPr="00A6321D">
        <w:rPr>
          <w:rFonts w:ascii="Segoe UI" w:hAnsi="Segoe UI" w:cs="Segoe UI"/>
          <w:b/>
          <w:bCs/>
          <w:sz w:val="22"/>
          <w:szCs w:val="22"/>
          <w:lang w:val="en-GB"/>
        </w:rPr>
        <w:t xml:space="preserve"> A</w:t>
      </w:r>
    </w:p>
    <w:p w14:paraId="149916DF" w14:textId="77777777" w:rsidR="00CF63F9" w:rsidRPr="00A6321D" w:rsidRDefault="00CF63F9" w:rsidP="00C90FDB">
      <w:pPr>
        <w:pStyle w:val="ListParagraph"/>
        <w:ind w:left="66"/>
        <w:jc w:val="both"/>
        <w:rPr>
          <w:rFonts w:ascii="Segoe UI" w:hAnsi="Segoe UI" w:cs="Segoe UI"/>
          <w:b/>
          <w:bCs/>
          <w:sz w:val="22"/>
          <w:szCs w:val="22"/>
          <w:lang w:val="en-GB"/>
        </w:rPr>
      </w:pPr>
    </w:p>
    <w:p w14:paraId="6F26E4A8" w14:textId="613FF61E" w:rsidR="00FE59E5" w:rsidRPr="00A6321D" w:rsidRDefault="001D1104" w:rsidP="001A0642">
      <w:pPr>
        <w:pStyle w:val="ListParagraph"/>
        <w:ind w:left="66"/>
        <w:jc w:val="center"/>
        <w:rPr>
          <w:rFonts w:ascii="Segoe UI" w:hAnsi="Segoe UI" w:cs="Segoe UI"/>
          <w:b/>
          <w:bCs/>
          <w:sz w:val="22"/>
          <w:szCs w:val="22"/>
          <w:lang w:val="en-GB"/>
        </w:rPr>
      </w:pPr>
      <w:r w:rsidRPr="00A6321D">
        <w:rPr>
          <w:rFonts w:ascii="Segoe UI" w:hAnsi="Segoe UI" w:cs="Segoe UI"/>
          <w:b/>
          <w:bCs/>
          <w:sz w:val="22"/>
          <w:szCs w:val="22"/>
          <w:lang w:val="en-GB"/>
        </w:rPr>
        <w:t>AWARENESS/LEARNING/’TRUE FOR US’</w:t>
      </w:r>
      <w:r w:rsidR="004F1AD7" w:rsidRPr="00A6321D">
        <w:rPr>
          <w:rFonts w:ascii="Segoe UI" w:hAnsi="Segoe UI" w:cs="Segoe UI"/>
          <w:b/>
          <w:bCs/>
          <w:sz w:val="22"/>
          <w:szCs w:val="22"/>
          <w:lang w:val="en-GB"/>
        </w:rPr>
        <w:t>/THOUGHT PIECES</w:t>
      </w:r>
    </w:p>
    <w:bookmarkEnd w:id="0"/>
    <w:p w14:paraId="65C3DC31" w14:textId="77777777" w:rsidR="00926957" w:rsidRPr="00A6321D" w:rsidRDefault="00926957" w:rsidP="00C90FDB">
      <w:pPr>
        <w:jc w:val="both"/>
        <w:rPr>
          <w:rFonts w:ascii="Segoe UI" w:hAnsi="Segoe UI" w:cs="Segoe UI"/>
          <w:b/>
          <w:bCs/>
          <w:sz w:val="22"/>
          <w:szCs w:val="22"/>
          <w:highlight w:val="yellow"/>
          <w:lang w:val="en-GB"/>
        </w:rPr>
      </w:pPr>
    </w:p>
    <w:p w14:paraId="184C7A7E" w14:textId="6FE5583E" w:rsidR="00926957" w:rsidRDefault="00926957" w:rsidP="007937C8">
      <w:pPr>
        <w:jc w:val="both"/>
        <w:rPr>
          <w:rFonts w:ascii="Segoe UI" w:hAnsi="Segoe UI" w:cs="Segoe UI"/>
          <w:b/>
          <w:bCs/>
          <w:sz w:val="22"/>
          <w:szCs w:val="22"/>
          <w:u w:val="single"/>
          <w:lang w:val="en-GB"/>
        </w:rPr>
      </w:pPr>
      <w:r w:rsidRPr="00A6321D">
        <w:rPr>
          <w:rFonts w:ascii="Segoe UI" w:hAnsi="Segoe UI" w:cs="Segoe UI"/>
          <w:b/>
          <w:bCs/>
          <w:sz w:val="22"/>
          <w:szCs w:val="22"/>
          <w:u w:val="single"/>
          <w:lang w:val="en-GB"/>
        </w:rPr>
        <w:t>CQC Inspections</w:t>
      </w:r>
      <w:r w:rsidR="00E217FE" w:rsidRPr="00A6321D">
        <w:rPr>
          <w:rFonts w:ascii="Segoe UI" w:hAnsi="Segoe UI" w:cs="Segoe UI"/>
          <w:b/>
          <w:bCs/>
          <w:sz w:val="22"/>
          <w:szCs w:val="22"/>
          <w:u w:val="single"/>
          <w:lang w:val="en-GB"/>
        </w:rPr>
        <w:t xml:space="preserve"> and updates</w:t>
      </w:r>
    </w:p>
    <w:p w14:paraId="4C772428" w14:textId="457D2024" w:rsidR="00975576" w:rsidRDefault="00975576" w:rsidP="007937C8">
      <w:pPr>
        <w:jc w:val="both"/>
        <w:rPr>
          <w:rFonts w:ascii="Segoe UI" w:hAnsi="Segoe UI" w:cs="Segoe UI"/>
          <w:b/>
          <w:bCs/>
          <w:sz w:val="22"/>
          <w:szCs w:val="22"/>
          <w:u w:val="single"/>
          <w:lang w:val="en-GB"/>
        </w:rPr>
      </w:pPr>
    </w:p>
    <w:p w14:paraId="6350CB2A" w14:textId="77777777" w:rsidR="00FD70AF" w:rsidRPr="001C4C07" w:rsidRDefault="00FD70AF" w:rsidP="007937C8">
      <w:pPr>
        <w:jc w:val="both"/>
        <w:rPr>
          <w:rFonts w:ascii="Calibri" w:eastAsia="Calibri" w:hAnsi="Calibri" w:cs="Calibri"/>
          <w:b/>
          <w:bCs/>
        </w:rPr>
      </w:pPr>
      <w:r w:rsidRPr="001C4C07">
        <w:rPr>
          <w:rFonts w:ascii="Calibri" w:eastAsia="Calibri" w:hAnsi="Calibri" w:cs="Calibri"/>
          <w:b/>
          <w:bCs/>
        </w:rPr>
        <w:t>CQC finds improvement in Hertfordshire Partnership’s child and adolescent mental health service, but more progress is needed</w:t>
      </w:r>
    </w:p>
    <w:p w14:paraId="2D8EE5BF" w14:textId="77777777" w:rsidR="00FD70AF" w:rsidRPr="001C4C07" w:rsidRDefault="00FD70AF" w:rsidP="007937C8">
      <w:pPr>
        <w:jc w:val="both"/>
        <w:rPr>
          <w:rFonts w:ascii="Calibri" w:eastAsia="Calibri" w:hAnsi="Calibri" w:cs="Calibri"/>
          <w:i/>
          <w:iCs/>
        </w:rPr>
      </w:pPr>
      <w:r w:rsidRPr="001C4C07">
        <w:rPr>
          <w:rFonts w:ascii="Calibri" w:eastAsia="Calibri" w:hAnsi="Calibri" w:cs="Calibri"/>
          <w:i/>
          <w:iCs/>
        </w:rPr>
        <w:t>CQC, 11 Nov 2022</w:t>
      </w:r>
    </w:p>
    <w:p w14:paraId="5E10A1E8" w14:textId="77777777" w:rsidR="00FD70AF" w:rsidRPr="001C4C07" w:rsidRDefault="00FD70AF" w:rsidP="007937C8">
      <w:pPr>
        <w:jc w:val="both"/>
        <w:rPr>
          <w:rFonts w:ascii="Calibri" w:eastAsia="Calibri" w:hAnsi="Calibri" w:cs="Calibri"/>
        </w:rPr>
      </w:pPr>
      <w:r w:rsidRPr="001C4C07">
        <w:rPr>
          <w:rFonts w:ascii="Calibri" w:eastAsia="Calibri" w:hAnsi="Calibri" w:cs="Calibri"/>
        </w:rPr>
        <w:t>CQC’s previous inspection of the service identified significant shortcomings, which led to it being rated inadequate. Following that inspection, CQC also served the trust a warning notice requiring it to improve care at Forest House.  The latest inspection found enough improvement had been made for the service to be rated requires improvement.</w:t>
      </w:r>
    </w:p>
    <w:p w14:paraId="3F203319" w14:textId="77777777" w:rsidR="00FD70AF" w:rsidRPr="001C4C07" w:rsidRDefault="008A1AA3" w:rsidP="007937C8">
      <w:pPr>
        <w:jc w:val="both"/>
        <w:rPr>
          <w:rFonts w:ascii="Calibri" w:eastAsia="Calibri" w:hAnsi="Calibri" w:cs="Calibri"/>
        </w:rPr>
      </w:pPr>
      <w:hyperlink r:id="rId29" w:history="1">
        <w:r w:rsidR="00FD70AF" w:rsidRPr="00CC042B">
          <w:rPr>
            <w:rStyle w:val="Hyperlink"/>
            <w:rFonts w:ascii="Calibri" w:eastAsia="Calibri" w:hAnsi="Calibri" w:cs="Calibri"/>
          </w:rPr>
          <w:t>https://www.cqc.org.uk/press-release/cqc-finds-improvement-hertfordshire-partnerships-child-and-adolescent-mental-health</w:t>
        </w:r>
      </w:hyperlink>
      <w:r w:rsidR="00FD70AF">
        <w:rPr>
          <w:rFonts w:ascii="Calibri" w:eastAsia="Calibri" w:hAnsi="Calibri" w:cs="Calibri"/>
        </w:rPr>
        <w:t xml:space="preserve"> </w:t>
      </w:r>
    </w:p>
    <w:p w14:paraId="51551C8C" w14:textId="77777777" w:rsidR="00FD70AF" w:rsidRPr="001C4C07" w:rsidRDefault="00FD70AF" w:rsidP="007937C8">
      <w:pPr>
        <w:jc w:val="both"/>
        <w:rPr>
          <w:rFonts w:ascii="Calibri" w:eastAsia="Calibri" w:hAnsi="Calibri" w:cs="Calibri"/>
        </w:rPr>
      </w:pPr>
    </w:p>
    <w:p w14:paraId="4935183A" w14:textId="77777777" w:rsidR="00FD70AF" w:rsidRPr="001C4C07" w:rsidRDefault="00FD70AF" w:rsidP="007937C8">
      <w:pPr>
        <w:jc w:val="both"/>
        <w:rPr>
          <w:rFonts w:ascii="Calibri" w:eastAsia="Calibri" w:hAnsi="Calibri" w:cs="Calibri"/>
          <w:b/>
          <w:bCs/>
        </w:rPr>
      </w:pPr>
      <w:r w:rsidRPr="001C4C07">
        <w:rPr>
          <w:rFonts w:ascii="Calibri" w:eastAsia="Calibri" w:hAnsi="Calibri" w:cs="Calibri"/>
          <w:b/>
          <w:bCs/>
        </w:rPr>
        <w:t>CQC publishes reports on mental health services for children and young people at Sheffield Children’s NHS Foundation Trust</w:t>
      </w:r>
    </w:p>
    <w:p w14:paraId="14EF3C18" w14:textId="77777777" w:rsidR="00FD70AF" w:rsidRPr="001C4C07" w:rsidRDefault="00FD70AF" w:rsidP="007937C8">
      <w:pPr>
        <w:jc w:val="both"/>
        <w:rPr>
          <w:rFonts w:ascii="Calibri" w:eastAsia="Calibri" w:hAnsi="Calibri" w:cs="Calibri"/>
          <w:i/>
          <w:iCs/>
        </w:rPr>
      </w:pPr>
      <w:r w:rsidRPr="001C4C07">
        <w:rPr>
          <w:rFonts w:ascii="Calibri" w:eastAsia="Calibri" w:hAnsi="Calibri" w:cs="Calibri"/>
          <w:i/>
          <w:iCs/>
        </w:rPr>
        <w:t>CQC, 18 Nov 2022</w:t>
      </w:r>
    </w:p>
    <w:p w14:paraId="38E12216" w14:textId="77777777" w:rsidR="00FD70AF" w:rsidRPr="001C4C07" w:rsidRDefault="00FD70AF" w:rsidP="007937C8">
      <w:pPr>
        <w:jc w:val="both"/>
        <w:rPr>
          <w:rFonts w:ascii="Calibri" w:eastAsia="Calibri" w:hAnsi="Calibri" w:cs="Calibri"/>
        </w:rPr>
      </w:pPr>
      <w:r w:rsidRPr="001C4C07">
        <w:rPr>
          <w:rFonts w:ascii="Calibri" w:eastAsia="Calibri" w:hAnsi="Calibri" w:cs="Calibri"/>
        </w:rPr>
        <w:t>CQC carried out an inspection of child and adolescent mental health wards (CAMHS) and specialist community mental health services for children and young people in July. This was partly due to receiving concerns about the quality of care being provided in the CAMHS inpatient wards.</w:t>
      </w:r>
    </w:p>
    <w:p w14:paraId="6C46E163" w14:textId="2FE576C4" w:rsidR="00FD70AF" w:rsidRDefault="008A1AA3" w:rsidP="007937C8">
      <w:pPr>
        <w:jc w:val="both"/>
        <w:rPr>
          <w:rFonts w:ascii="Segoe UI" w:hAnsi="Segoe UI" w:cs="Segoe UI"/>
          <w:b/>
          <w:bCs/>
          <w:sz w:val="22"/>
          <w:szCs w:val="22"/>
          <w:u w:val="single"/>
          <w:lang w:val="en-GB"/>
        </w:rPr>
      </w:pPr>
      <w:hyperlink r:id="rId30" w:history="1">
        <w:r w:rsidR="00FD70AF" w:rsidRPr="00CC042B">
          <w:rPr>
            <w:rStyle w:val="Hyperlink"/>
            <w:rFonts w:ascii="Calibri" w:eastAsia="Calibri" w:hAnsi="Calibri" w:cs="Calibri"/>
          </w:rPr>
          <w:t>https://www.cqc.org.uk/press-release/cqc-publishes-reports-mental-health-services-children-and-young-people-sheffield</w:t>
        </w:r>
      </w:hyperlink>
    </w:p>
    <w:p w14:paraId="4B75B8DA" w14:textId="7E4164D3" w:rsidR="00FD70AF" w:rsidRDefault="00FD70AF" w:rsidP="007937C8">
      <w:pPr>
        <w:jc w:val="both"/>
        <w:rPr>
          <w:rFonts w:ascii="Segoe UI" w:hAnsi="Segoe UI" w:cs="Segoe UI"/>
          <w:b/>
          <w:bCs/>
          <w:sz w:val="22"/>
          <w:szCs w:val="22"/>
          <w:u w:val="single"/>
          <w:lang w:val="en-GB"/>
        </w:rPr>
      </w:pPr>
    </w:p>
    <w:p w14:paraId="0DD8D474" w14:textId="77777777" w:rsidR="00605AC4" w:rsidRPr="00503220" w:rsidRDefault="00605AC4" w:rsidP="007937C8">
      <w:pPr>
        <w:jc w:val="both"/>
        <w:rPr>
          <w:rFonts w:ascii="Calibri" w:eastAsia="Calibri" w:hAnsi="Calibri" w:cs="Calibri"/>
          <w:b/>
          <w:bCs/>
        </w:rPr>
      </w:pPr>
      <w:proofErr w:type="spellStart"/>
      <w:r w:rsidRPr="00503220">
        <w:rPr>
          <w:rFonts w:ascii="Calibri" w:eastAsia="Calibri" w:hAnsi="Calibri" w:cs="Calibri"/>
          <w:b/>
          <w:bCs/>
        </w:rPr>
        <w:t>Bracton</w:t>
      </w:r>
      <w:proofErr w:type="spellEnd"/>
      <w:r w:rsidRPr="00503220">
        <w:rPr>
          <w:rFonts w:ascii="Calibri" w:eastAsia="Calibri" w:hAnsi="Calibri" w:cs="Calibri"/>
          <w:b/>
          <w:bCs/>
        </w:rPr>
        <w:t xml:space="preserve"> Centre Medium Secure Unit, </w:t>
      </w:r>
      <w:proofErr w:type="spellStart"/>
      <w:r w:rsidRPr="00503220">
        <w:rPr>
          <w:rFonts w:ascii="Calibri" w:eastAsia="Calibri" w:hAnsi="Calibri" w:cs="Calibri"/>
          <w:b/>
          <w:bCs/>
        </w:rPr>
        <w:t>Oxleas</w:t>
      </w:r>
      <w:proofErr w:type="spellEnd"/>
      <w:r w:rsidRPr="00503220">
        <w:rPr>
          <w:rFonts w:ascii="Calibri" w:eastAsia="Calibri" w:hAnsi="Calibri" w:cs="Calibri"/>
          <w:b/>
          <w:bCs/>
        </w:rPr>
        <w:t xml:space="preserve"> NHS Foundation Trust</w:t>
      </w:r>
    </w:p>
    <w:p w14:paraId="525B1605" w14:textId="77777777" w:rsidR="00605AC4" w:rsidRPr="00503220" w:rsidRDefault="00605AC4" w:rsidP="007937C8">
      <w:pPr>
        <w:jc w:val="both"/>
        <w:rPr>
          <w:rFonts w:ascii="Calibri" w:eastAsia="Calibri" w:hAnsi="Calibri" w:cs="Calibri"/>
          <w:i/>
          <w:iCs/>
        </w:rPr>
      </w:pPr>
      <w:r w:rsidRPr="00503220">
        <w:rPr>
          <w:rFonts w:ascii="Calibri" w:eastAsia="Calibri" w:hAnsi="Calibri" w:cs="Calibri"/>
          <w:i/>
          <w:iCs/>
        </w:rPr>
        <w:t>CQC, 24 Oct 2022</w:t>
      </w:r>
    </w:p>
    <w:p w14:paraId="0B689A48" w14:textId="05B85E50" w:rsidR="00605AC4" w:rsidRPr="00503220" w:rsidRDefault="00605AC4" w:rsidP="007937C8">
      <w:pPr>
        <w:jc w:val="both"/>
        <w:rPr>
          <w:rFonts w:ascii="Calibri" w:eastAsia="Calibri" w:hAnsi="Calibri" w:cs="Calibri"/>
        </w:rPr>
      </w:pPr>
      <w:r w:rsidRPr="00503220">
        <w:rPr>
          <w:rFonts w:ascii="Calibri" w:eastAsia="Calibri" w:hAnsi="Calibri" w:cs="Calibri"/>
        </w:rPr>
        <w:t xml:space="preserve">The purpose of this focused inspection was to determine if the healthcare services provided were meeting the legal requirements of the Requirement Notice </w:t>
      </w:r>
      <w:r w:rsidR="00521C62">
        <w:rPr>
          <w:rFonts w:ascii="Calibri" w:eastAsia="Calibri" w:hAnsi="Calibri" w:cs="Calibri"/>
        </w:rPr>
        <w:t>they</w:t>
      </w:r>
      <w:r w:rsidRPr="00503220">
        <w:rPr>
          <w:rFonts w:ascii="Calibri" w:eastAsia="Calibri" w:hAnsi="Calibri" w:cs="Calibri"/>
        </w:rPr>
        <w:t xml:space="preserve"> issued in February 2022 and to find out if patients were receiving safe care and treatment. At this inspection </w:t>
      </w:r>
      <w:r w:rsidR="002555CC">
        <w:rPr>
          <w:rFonts w:ascii="Calibri" w:eastAsia="Calibri" w:hAnsi="Calibri" w:cs="Calibri"/>
        </w:rPr>
        <w:t>CQC</w:t>
      </w:r>
      <w:r w:rsidRPr="00503220">
        <w:rPr>
          <w:rFonts w:ascii="Calibri" w:eastAsia="Calibri" w:hAnsi="Calibri" w:cs="Calibri"/>
        </w:rPr>
        <w:t xml:space="preserve"> found that some improvements had been made, however the provider continued to be in breach of Regulation 17, Good Governance. </w:t>
      </w:r>
      <w:r w:rsidR="002555CC">
        <w:rPr>
          <w:rFonts w:ascii="Calibri" w:eastAsia="Calibri" w:hAnsi="Calibri" w:cs="Calibri"/>
        </w:rPr>
        <w:t>They</w:t>
      </w:r>
      <w:r w:rsidRPr="00503220">
        <w:rPr>
          <w:rFonts w:ascii="Calibri" w:eastAsia="Calibri" w:hAnsi="Calibri" w:cs="Calibri"/>
        </w:rPr>
        <w:t xml:space="preserve"> do not currently rate services provided in prisons.</w:t>
      </w:r>
    </w:p>
    <w:p w14:paraId="46F3752D" w14:textId="77777777" w:rsidR="00605AC4" w:rsidRDefault="008A1AA3" w:rsidP="007937C8">
      <w:pPr>
        <w:jc w:val="both"/>
        <w:rPr>
          <w:rFonts w:ascii="Calibri" w:eastAsia="Calibri" w:hAnsi="Calibri" w:cs="Calibri"/>
        </w:rPr>
      </w:pPr>
      <w:hyperlink r:id="rId31" w:history="1">
        <w:r w:rsidR="00605AC4" w:rsidRPr="00A25028">
          <w:rPr>
            <w:rStyle w:val="Hyperlink"/>
            <w:rFonts w:ascii="Calibri" w:eastAsia="Calibri" w:hAnsi="Calibri" w:cs="Calibri"/>
          </w:rPr>
          <w:t>https://www.cqc.org.uk/location/RPGAB</w:t>
        </w:r>
      </w:hyperlink>
      <w:r w:rsidR="00605AC4">
        <w:rPr>
          <w:rFonts w:ascii="Calibri" w:eastAsia="Calibri" w:hAnsi="Calibri" w:cs="Calibri"/>
        </w:rPr>
        <w:t xml:space="preserve"> </w:t>
      </w:r>
    </w:p>
    <w:p w14:paraId="04E321F5" w14:textId="77777777" w:rsidR="00605AC4" w:rsidRDefault="00605AC4" w:rsidP="007937C8">
      <w:pPr>
        <w:jc w:val="both"/>
        <w:rPr>
          <w:rFonts w:ascii="Calibri" w:eastAsia="Calibri" w:hAnsi="Calibri" w:cs="Calibri"/>
        </w:rPr>
      </w:pPr>
    </w:p>
    <w:p w14:paraId="189A68FB" w14:textId="77777777" w:rsidR="00605AC4" w:rsidRPr="00FC3314" w:rsidRDefault="00605AC4" w:rsidP="007937C8">
      <w:pPr>
        <w:jc w:val="both"/>
        <w:rPr>
          <w:rFonts w:ascii="Calibri" w:eastAsia="Calibri" w:hAnsi="Calibri" w:cs="Calibri"/>
          <w:b/>
          <w:bCs/>
        </w:rPr>
      </w:pPr>
      <w:r w:rsidRPr="00FC3314">
        <w:rPr>
          <w:rFonts w:ascii="Calibri" w:eastAsia="Calibri" w:hAnsi="Calibri" w:cs="Calibri"/>
          <w:b/>
          <w:bCs/>
        </w:rPr>
        <w:t xml:space="preserve">Tees, </w:t>
      </w:r>
      <w:proofErr w:type="spellStart"/>
      <w:r w:rsidRPr="00FC3314">
        <w:rPr>
          <w:rFonts w:ascii="Calibri" w:eastAsia="Calibri" w:hAnsi="Calibri" w:cs="Calibri"/>
          <w:b/>
          <w:bCs/>
        </w:rPr>
        <w:t>Esk</w:t>
      </w:r>
      <w:proofErr w:type="spellEnd"/>
      <w:r w:rsidRPr="00FC3314">
        <w:rPr>
          <w:rFonts w:ascii="Calibri" w:eastAsia="Calibri" w:hAnsi="Calibri" w:cs="Calibri"/>
          <w:b/>
          <w:bCs/>
        </w:rPr>
        <w:t xml:space="preserve"> and Wear Valleys NHS Foundation Trust</w:t>
      </w:r>
    </w:p>
    <w:p w14:paraId="05665739" w14:textId="422CD9EF" w:rsidR="002B0F8B" w:rsidRDefault="00605AC4" w:rsidP="007937C8">
      <w:pPr>
        <w:jc w:val="both"/>
        <w:rPr>
          <w:rFonts w:ascii="Calibri" w:eastAsia="Calibri" w:hAnsi="Calibri" w:cs="Calibri"/>
        </w:rPr>
      </w:pPr>
      <w:r w:rsidRPr="00FC3314">
        <w:rPr>
          <w:rFonts w:ascii="Calibri" w:eastAsia="Calibri" w:hAnsi="Calibri" w:cs="Calibri"/>
          <w:i/>
          <w:iCs/>
        </w:rPr>
        <w:t>CQC</w:t>
      </w:r>
      <w:r w:rsidR="002555CC">
        <w:rPr>
          <w:rFonts w:ascii="Calibri" w:eastAsia="Calibri" w:hAnsi="Calibri" w:cs="Calibri"/>
          <w:i/>
          <w:iCs/>
        </w:rPr>
        <w:t xml:space="preserve"> </w:t>
      </w:r>
      <w:r w:rsidRPr="00FC3314">
        <w:rPr>
          <w:rFonts w:ascii="Calibri" w:eastAsia="Calibri" w:hAnsi="Calibri" w:cs="Calibri"/>
          <w:i/>
          <w:iCs/>
        </w:rPr>
        <w:t>28 Oct 2022</w:t>
      </w:r>
      <w:r w:rsidRPr="00FC3314">
        <w:rPr>
          <w:rFonts w:ascii="Calibri" w:eastAsia="Calibri" w:hAnsi="Calibri" w:cs="Calibri"/>
        </w:rPr>
        <w:t xml:space="preserve"> </w:t>
      </w:r>
    </w:p>
    <w:p w14:paraId="5EBAE143" w14:textId="06A1B9EC" w:rsidR="00605AC4" w:rsidRPr="00FC3314" w:rsidRDefault="00605AC4" w:rsidP="007937C8">
      <w:pPr>
        <w:jc w:val="both"/>
        <w:rPr>
          <w:rFonts w:ascii="Calibri" w:eastAsia="Calibri" w:hAnsi="Calibri" w:cs="Calibri"/>
        </w:rPr>
      </w:pPr>
      <w:r w:rsidRPr="00FC3314">
        <w:rPr>
          <w:rFonts w:ascii="Calibri" w:eastAsia="Calibri" w:hAnsi="Calibri" w:cs="Calibri"/>
        </w:rPr>
        <w:t xml:space="preserve">Improvements in forensic inpatient or secure wards: </w:t>
      </w:r>
      <w:hyperlink r:id="rId32" w:history="1">
        <w:r w:rsidRPr="00A25028">
          <w:rPr>
            <w:rStyle w:val="Hyperlink"/>
            <w:rFonts w:ascii="Calibri" w:eastAsia="Calibri" w:hAnsi="Calibri" w:cs="Calibri"/>
          </w:rPr>
          <w:t>https://www.cqc.org.uk/press-release/cqc-finds-improvements-forensic-inpatient-or-secure-wards-tees-esk-and-wear-valleys</w:t>
        </w:r>
      </w:hyperlink>
      <w:r>
        <w:rPr>
          <w:rFonts w:ascii="Calibri" w:eastAsia="Calibri" w:hAnsi="Calibri" w:cs="Calibri"/>
        </w:rPr>
        <w:t xml:space="preserve"> </w:t>
      </w:r>
    </w:p>
    <w:p w14:paraId="42609D22" w14:textId="77777777" w:rsidR="00605AC4" w:rsidRPr="00FC3314" w:rsidRDefault="00605AC4" w:rsidP="007937C8">
      <w:pPr>
        <w:jc w:val="both"/>
        <w:rPr>
          <w:rFonts w:ascii="Calibri" w:eastAsia="Calibri" w:hAnsi="Calibri" w:cs="Calibri"/>
        </w:rPr>
      </w:pPr>
      <w:r w:rsidRPr="00FC3314">
        <w:rPr>
          <w:rFonts w:ascii="Calibri" w:eastAsia="Calibri" w:hAnsi="Calibri" w:cs="Calibri"/>
          <w:i/>
          <w:iCs/>
        </w:rPr>
        <w:t>5 Oct 2022</w:t>
      </w:r>
      <w:r w:rsidRPr="00FC3314">
        <w:rPr>
          <w:rFonts w:ascii="Calibri" w:eastAsia="Calibri" w:hAnsi="Calibri" w:cs="Calibri"/>
        </w:rPr>
        <w:t xml:space="preserve">, Told to make improvements to wards for people with a learning disability or autistic people: </w:t>
      </w:r>
      <w:hyperlink r:id="rId33" w:history="1">
        <w:r w:rsidRPr="00A25028">
          <w:rPr>
            <w:rStyle w:val="Hyperlink"/>
            <w:rFonts w:ascii="Calibri" w:eastAsia="Calibri" w:hAnsi="Calibri" w:cs="Calibri"/>
          </w:rPr>
          <w:t>https://www.cqc.org.uk/press-release/cqc-tells-tees-esk-and-wear-valleys-nhs-foundation-trust-make-improvements-wards</w:t>
        </w:r>
      </w:hyperlink>
      <w:r>
        <w:rPr>
          <w:rFonts w:ascii="Calibri" w:eastAsia="Calibri" w:hAnsi="Calibri" w:cs="Calibri"/>
        </w:rPr>
        <w:t xml:space="preserve"> </w:t>
      </w:r>
    </w:p>
    <w:p w14:paraId="0F78FA5F" w14:textId="77777777" w:rsidR="00605AC4" w:rsidRPr="00FC3314" w:rsidRDefault="00605AC4" w:rsidP="007937C8">
      <w:pPr>
        <w:jc w:val="both"/>
        <w:rPr>
          <w:rFonts w:ascii="Calibri" w:eastAsia="Calibri" w:hAnsi="Calibri" w:cs="Calibri"/>
        </w:rPr>
      </w:pPr>
    </w:p>
    <w:p w14:paraId="2F29B9E6" w14:textId="77777777" w:rsidR="00605AC4" w:rsidRPr="00FC3314" w:rsidRDefault="00605AC4" w:rsidP="007937C8">
      <w:pPr>
        <w:jc w:val="both"/>
        <w:rPr>
          <w:rFonts w:ascii="Calibri" w:eastAsia="Calibri" w:hAnsi="Calibri" w:cs="Calibri"/>
          <w:b/>
          <w:bCs/>
        </w:rPr>
      </w:pPr>
      <w:r w:rsidRPr="00FC3314">
        <w:rPr>
          <w:rFonts w:ascii="Calibri" w:eastAsia="Calibri" w:hAnsi="Calibri" w:cs="Calibri"/>
          <w:b/>
          <w:bCs/>
        </w:rPr>
        <w:t>University Hospitals Birmingham NHS Foundation Trust pays fixed penalties of £8,000 for failures around consent</w:t>
      </w:r>
    </w:p>
    <w:p w14:paraId="6ECD668C" w14:textId="77777777" w:rsidR="00605AC4" w:rsidRPr="00FC3314" w:rsidRDefault="00605AC4" w:rsidP="007937C8">
      <w:pPr>
        <w:jc w:val="both"/>
        <w:rPr>
          <w:rFonts w:ascii="Calibri" w:eastAsia="Calibri" w:hAnsi="Calibri" w:cs="Calibri"/>
          <w:i/>
          <w:iCs/>
        </w:rPr>
      </w:pPr>
      <w:r w:rsidRPr="00FC3314">
        <w:rPr>
          <w:rFonts w:ascii="Calibri" w:eastAsia="Calibri" w:hAnsi="Calibri" w:cs="Calibri"/>
          <w:i/>
          <w:iCs/>
        </w:rPr>
        <w:t>CQC, 7 Oct 2022</w:t>
      </w:r>
    </w:p>
    <w:p w14:paraId="58E3F953" w14:textId="77777777" w:rsidR="00605AC4" w:rsidRPr="00FC3314" w:rsidRDefault="00605AC4" w:rsidP="007937C8">
      <w:pPr>
        <w:jc w:val="both"/>
        <w:rPr>
          <w:rFonts w:ascii="Calibri" w:eastAsia="Calibri" w:hAnsi="Calibri" w:cs="Calibri"/>
        </w:rPr>
      </w:pPr>
      <w:r w:rsidRPr="00FC3314">
        <w:rPr>
          <w:rFonts w:ascii="Calibri" w:eastAsia="Calibri" w:hAnsi="Calibri" w:cs="Calibri"/>
        </w:rPr>
        <w:t>CQC found failings by the trust in relation to the issue of consent, particularly when linked to mental capacity. These failings were in relation to the completion of training, and the conducting of oversight, audits and monitoring. The investigation found there were also failures in relation to the trust’s documentation around capacity assessments.</w:t>
      </w:r>
    </w:p>
    <w:p w14:paraId="3CE0D7B8" w14:textId="77777777" w:rsidR="00605AC4" w:rsidRDefault="008A1AA3" w:rsidP="007937C8">
      <w:pPr>
        <w:jc w:val="both"/>
        <w:rPr>
          <w:rFonts w:ascii="Calibri" w:eastAsia="Calibri" w:hAnsi="Calibri" w:cs="Calibri"/>
        </w:rPr>
      </w:pPr>
      <w:hyperlink r:id="rId34" w:history="1">
        <w:r w:rsidR="00605AC4" w:rsidRPr="00A25028">
          <w:rPr>
            <w:rStyle w:val="Hyperlink"/>
            <w:rFonts w:ascii="Calibri" w:eastAsia="Calibri" w:hAnsi="Calibri" w:cs="Calibri"/>
          </w:rPr>
          <w:t>https://www.cqc.org.uk/press-release/university-hospitals-birmingham-nhs-foundation-trust-pays-fixed-penalties-ps8000</w:t>
        </w:r>
      </w:hyperlink>
      <w:r w:rsidR="00605AC4">
        <w:rPr>
          <w:rFonts w:ascii="Calibri" w:eastAsia="Calibri" w:hAnsi="Calibri" w:cs="Calibri"/>
        </w:rPr>
        <w:t xml:space="preserve"> </w:t>
      </w:r>
    </w:p>
    <w:p w14:paraId="2DC5E67E" w14:textId="201945FF" w:rsidR="00FD70AF" w:rsidRDefault="00FD70AF" w:rsidP="007937C8">
      <w:pPr>
        <w:jc w:val="both"/>
        <w:rPr>
          <w:rFonts w:ascii="Segoe UI" w:hAnsi="Segoe UI" w:cs="Segoe UI"/>
          <w:b/>
          <w:bCs/>
          <w:sz w:val="22"/>
          <w:szCs w:val="22"/>
          <w:u w:val="single"/>
        </w:rPr>
      </w:pPr>
    </w:p>
    <w:p w14:paraId="6A267D86" w14:textId="397AE019" w:rsidR="00F93A7E" w:rsidRPr="00F93A7E" w:rsidRDefault="00F93A7E" w:rsidP="007937C8">
      <w:pPr>
        <w:jc w:val="both"/>
        <w:rPr>
          <w:rFonts w:ascii="Segoe UI" w:eastAsia="Calibri" w:hAnsi="Segoe UI" w:cs="Segoe UI"/>
          <w:b/>
          <w:bCs/>
          <w:sz w:val="22"/>
          <w:szCs w:val="22"/>
        </w:rPr>
      </w:pPr>
      <w:r w:rsidRPr="00F93A7E">
        <w:rPr>
          <w:rFonts w:ascii="Segoe UI" w:eastAsia="Calibri" w:hAnsi="Segoe UI" w:cs="Segoe UI"/>
          <w:b/>
          <w:bCs/>
          <w:sz w:val="22"/>
          <w:szCs w:val="22"/>
        </w:rPr>
        <w:t>Listening, Learning, Responding to Concerns Review: an update</w:t>
      </w:r>
    </w:p>
    <w:p w14:paraId="61AA79FC" w14:textId="77777777" w:rsidR="00F93A7E" w:rsidRPr="00F93A7E" w:rsidRDefault="00F93A7E" w:rsidP="007937C8">
      <w:pPr>
        <w:jc w:val="both"/>
        <w:rPr>
          <w:rFonts w:ascii="Segoe UI" w:eastAsia="Calibri" w:hAnsi="Segoe UI" w:cs="Segoe UI"/>
          <w:b/>
          <w:bCs/>
          <w:sz w:val="22"/>
          <w:szCs w:val="22"/>
        </w:rPr>
      </w:pPr>
    </w:p>
    <w:p w14:paraId="64169F7F" w14:textId="77777777" w:rsidR="00F93A7E" w:rsidRPr="00F93A7E" w:rsidRDefault="00F93A7E" w:rsidP="007937C8">
      <w:pPr>
        <w:jc w:val="both"/>
        <w:rPr>
          <w:rFonts w:ascii="Segoe UI" w:eastAsia="Calibri" w:hAnsi="Segoe UI" w:cs="Segoe UI"/>
          <w:sz w:val="22"/>
          <w:szCs w:val="22"/>
        </w:rPr>
      </w:pPr>
      <w:r w:rsidRPr="00F93A7E">
        <w:rPr>
          <w:rFonts w:ascii="Segoe UI" w:eastAsia="Calibri" w:hAnsi="Segoe UI" w:cs="Segoe UI"/>
          <w:sz w:val="22"/>
          <w:szCs w:val="22"/>
        </w:rPr>
        <w:t>This is an independent review to identify improvements to how we learn from, respond to, and act on concerns. The review is in two phases. The CQC are now sharing further detail of phase 2 of the review. Running through the review will be a focus on inclusivity. This includes understanding whether race or any other protected characteristic has had any impact on how we treat information of concern.</w:t>
      </w:r>
    </w:p>
    <w:p w14:paraId="1265A908" w14:textId="5D63DE01" w:rsidR="00F93A7E" w:rsidRDefault="008A1AA3" w:rsidP="007937C8">
      <w:pPr>
        <w:jc w:val="both"/>
        <w:rPr>
          <w:rFonts w:ascii="Segoe UI" w:eastAsia="Calibri" w:hAnsi="Segoe UI" w:cs="Segoe UI"/>
          <w:b/>
          <w:bCs/>
          <w:sz w:val="22"/>
          <w:szCs w:val="22"/>
        </w:rPr>
      </w:pPr>
      <w:hyperlink r:id="rId35" w:history="1">
        <w:r w:rsidR="00F93A7E" w:rsidRPr="00B030B8">
          <w:rPr>
            <w:rStyle w:val="Hyperlink"/>
            <w:rFonts w:ascii="Segoe UI" w:eastAsia="Calibri" w:hAnsi="Segoe UI" w:cs="Segoe UI"/>
            <w:b/>
            <w:bCs/>
            <w:sz w:val="22"/>
            <w:szCs w:val="22"/>
          </w:rPr>
          <w:t>https://www.cqc.org.uk/news/listening-learning-responding-concerns-review-update</w:t>
        </w:r>
      </w:hyperlink>
    </w:p>
    <w:p w14:paraId="1794CCBF" w14:textId="77777777" w:rsidR="00F93A7E" w:rsidRDefault="00F93A7E" w:rsidP="007937C8">
      <w:pPr>
        <w:jc w:val="both"/>
        <w:rPr>
          <w:rFonts w:ascii="Segoe UI" w:eastAsia="Calibri" w:hAnsi="Segoe UI" w:cs="Segoe UI"/>
          <w:b/>
          <w:bCs/>
          <w:sz w:val="22"/>
          <w:szCs w:val="22"/>
        </w:rPr>
      </w:pPr>
    </w:p>
    <w:p w14:paraId="6464D39A" w14:textId="611256B2" w:rsidR="00B55568" w:rsidRPr="009C3EB0" w:rsidRDefault="00B55568" w:rsidP="007937C8">
      <w:pPr>
        <w:jc w:val="both"/>
        <w:rPr>
          <w:rFonts w:ascii="Segoe UI" w:eastAsia="Calibri" w:hAnsi="Segoe UI" w:cs="Segoe UI"/>
          <w:b/>
          <w:bCs/>
          <w:sz w:val="22"/>
          <w:szCs w:val="22"/>
        </w:rPr>
      </w:pPr>
      <w:r w:rsidRPr="009C3EB0">
        <w:rPr>
          <w:rFonts w:ascii="Segoe UI" w:eastAsia="Calibri" w:hAnsi="Segoe UI" w:cs="Segoe UI"/>
          <w:b/>
          <w:bCs/>
          <w:sz w:val="22"/>
          <w:szCs w:val="22"/>
        </w:rPr>
        <w:t>CQC announces independent review into handling of protected disclosures alongside wider review</w:t>
      </w:r>
    </w:p>
    <w:p w14:paraId="0B169C48" w14:textId="77777777" w:rsidR="00B55568" w:rsidRPr="00B55568" w:rsidRDefault="00B55568" w:rsidP="007937C8">
      <w:pPr>
        <w:jc w:val="both"/>
        <w:rPr>
          <w:rFonts w:ascii="Segoe UI" w:eastAsia="Calibri" w:hAnsi="Segoe UI" w:cs="Segoe UI"/>
          <w:b/>
          <w:bCs/>
          <w:sz w:val="22"/>
          <w:szCs w:val="22"/>
        </w:rPr>
      </w:pPr>
    </w:p>
    <w:p w14:paraId="7D7627C1" w14:textId="77777777" w:rsidR="00B55568" w:rsidRPr="00B55568" w:rsidRDefault="00B55568" w:rsidP="007937C8">
      <w:pPr>
        <w:jc w:val="both"/>
        <w:rPr>
          <w:rFonts w:ascii="Segoe UI" w:eastAsia="Calibri" w:hAnsi="Segoe UI" w:cs="Segoe UI"/>
          <w:sz w:val="22"/>
          <w:szCs w:val="22"/>
        </w:rPr>
      </w:pPr>
      <w:r w:rsidRPr="00B55568">
        <w:rPr>
          <w:rFonts w:ascii="Segoe UI" w:eastAsia="Calibri" w:hAnsi="Segoe UI" w:cs="Segoe UI"/>
          <w:sz w:val="22"/>
          <w:szCs w:val="22"/>
        </w:rPr>
        <w:t xml:space="preserve">The Care Quality Commission (CQC) has announced an independent review into the handling of protected disclosures shared by </w:t>
      </w:r>
      <w:proofErr w:type="spellStart"/>
      <w:r w:rsidRPr="00B55568">
        <w:rPr>
          <w:rFonts w:ascii="Segoe UI" w:eastAsia="Calibri" w:hAnsi="Segoe UI" w:cs="Segoe UI"/>
          <w:sz w:val="22"/>
          <w:szCs w:val="22"/>
        </w:rPr>
        <w:t>Mr</w:t>
      </w:r>
      <w:proofErr w:type="spellEnd"/>
      <w:r w:rsidRPr="00B55568">
        <w:rPr>
          <w:rFonts w:ascii="Segoe UI" w:eastAsia="Calibri" w:hAnsi="Segoe UI" w:cs="Segoe UI"/>
          <w:sz w:val="22"/>
          <w:szCs w:val="22"/>
        </w:rPr>
        <w:t xml:space="preserve"> </w:t>
      </w:r>
      <w:proofErr w:type="spellStart"/>
      <w:r w:rsidRPr="00B55568">
        <w:rPr>
          <w:rFonts w:ascii="Segoe UI" w:eastAsia="Calibri" w:hAnsi="Segoe UI" w:cs="Segoe UI"/>
          <w:sz w:val="22"/>
          <w:szCs w:val="22"/>
        </w:rPr>
        <w:t>Shyam</w:t>
      </w:r>
      <w:proofErr w:type="spellEnd"/>
      <w:r w:rsidRPr="00B55568">
        <w:rPr>
          <w:rFonts w:ascii="Segoe UI" w:eastAsia="Calibri" w:hAnsi="Segoe UI" w:cs="Segoe UI"/>
          <w:sz w:val="22"/>
          <w:szCs w:val="22"/>
        </w:rPr>
        <w:t xml:space="preserve"> Kumar. This will be led by Zoë Leventhal KC. CQC has also announced a wider review on whether there are issues of culture, process or both within the organisation which need to be addressed. </w:t>
      </w:r>
    </w:p>
    <w:p w14:paraId="38E020C2" w14:textId="77777777" w:rsidR="00B55568" w:rsidRPr="00B55568" w:rsidRDefault="00B55568" w:rsidP="007937C8">
      <w:pPr>
        <w:jc w:val="both"/>
        <w:rPr>
          <w:rFonts w:ascii="Segoe UI" w:eastAsia="Calibri" w:hAnsi="Segoe UI" w:cs="Segoe UI"/>
          <w:sz w:val="22"/>
          <w:szCs w:val="22"/>
        </w:rPr>
      </w:pPr>
    </w:p>
    <w:p w14:paraId="098951D9" w14:textId="39D54512" w:rsidR="00B55568" w:rsidRDefault="008A1AA3" w:rsidP="007937C8">
      <w:pPr>
        <w:jc w:val="both"/>
        <w:rPr>
          <w:rFonts w:ascii="Segoe UI" w:eastAsia="Calibri" w:hAnsi="Segoe UI" w:cs="Segoe UI"/>
          <w:b/>
          <w:bCs/>
          <w:sz w:val="22"/>
          <w:szCs w:val="22"/>
        </w:rPr>
      </w:pPr>
      <w:hyperlink r:id="rId36" w:history="1">
        <w:r w:rsidR="00B55568" w:rsidRPr="003D3431">
          <w:rPr>
            <w:rStyle w:val="Hyperlink"/>
            <w:rFonts w:ascii="Segoe UI" w:eastAsia="Calibri" w:hAnsi="Segoe UI" w:cs="Segoe UI"/>
            <w:b/>
            <w:bCs/>
            <w:sz w:val="22"/>
            <w:szCs w:val="22"/>
          </w:rPr>
          <w:t>https://www.cqc.org.uk/news/independent-review-handling-protected-disclosures-announced-alongside-wider-review</w:t>
        </w:r>
      </w:hyperlink>
      <w:r w:rsidR="00B55568">
        <w:rPr>
          <w:rFonts w:ascii="Segoe UI" w:eastAsia="Calibri" w:hAnsi="Segoe UI" w:cs="Segoe UI"/>
          <w:b/>
          <w:bCs/>
          <w:sz w:val="22"/>
          <w:szCs w:val="22"/>
        </w:rPr>
        <w:t xml:space="preserve"> </w:t>
      </w:r>
    </w:p>
    <w:p w14:paraId="45C799B5" w14:textId="15608A40" w:rsidR="008656C0" w:rsidRDefault="008656C0" w:rsidP="007937C8">
      <w:pPr>
        <w:jc w:val="both"/>
        <w:rPr>
          <w:rFonts w:ascii="Segoe UI" w:eastAsia="Calibri" w:hAnsi="Segoe UI" w:cs="Segoe UI"/>
          <w:b/>
          <w:bCs/>
          <w:sz w:val="22"/>
          <w:szCs w:val="22"/>
        </w:rPr>
      </w:pPr>
    </w:p>
    <w:p w14:paraId="10E59E06" w14:textId="77777777" w:rsidR="00833DB8" w:rsidRPr="00833DB8" w:rsidRDefault="00833DB8" w:rsidP="007937C8">
      <w:pPr>
        <w:jc w:val="both"/>
        <w:rPr>
          <w:rFonts w:ascii="Segoe UI" w:eastAsia="Calibri" w:hAnsi="Segoe UI" w:cs="Segoe UI"/>
          <w:b/>
          <w:bCs/>
          <w:sz w:val="22"/>
          <w:szCs w:val="22"/>
          <w:lang w:val="en-GB"/>
        </w:rPr>
      </w:pPr>
      <w:r w:rsidRPr="00833DB8">
        <w:rPr>
          <w:rFonts w:ascii="Segoe UI" w:eastAsia="Calibri" w:hAnsi="Segoe UI" w:cs="Segoe UI"/>
          <w:b/>
          <w:bCs/>
          <w:sz w:val="22"/>
          <w:szCs w:val="22"/>
          <w:lang w:val="en-GB"/>
        </w:rPr>
        <w:t>2021–2022 healthcare professional regulators’ whistleblowing report published</w:t>
      </w:r>
    </w:p>
    <w:p w14:paraId="53EBFAC9" w14:textId="77777777" w:rsidR="00833DB8" w:rsidRPr="00833DB8" w:rsidRDefault="00833DB8" w:rsidP="007937C8">
      <w:pPr>
        <w:jc w:val="both"/>
        <w:rPr>
          <w:rFonts w:ascii="Segoe UI" w:eastAsia="Calibri" w:hAnsi="Segoe UI" w:cs="Segoe UI"/>
          <w:i/>
          <w:iCs/>
          <w:sz w:val="22"/>
          <w:szCs w:val="22"/>
          <w:lang w:val="en-GB"/>
        </w:rPr>
      </w:pPr>
      <w:r w:rsidRPr="00833DB8">
        <w:rPr>
          <w:rFonts w:ascii="Segoe UI" w:eastAsia="Calibri" w:hAnsi="Segoe UI" w:cs="Segoe UI"/>
          <w:i/>
          <w:iCs/>
          <w:sz w:val="22"/>
          <w:szCs w:val="22"/>
          <w:lang w:val="en-GB"/>
        </w:rPr>
        <w:t>NMC and others (via King's Fund), 28 Sep 2022</w:t>
      </w:r>
    </w:p>
    <w:p w14:paraId="1F00CA1D" w14:textId="4CCB045F" w:rsidR="00833DB8" w:rsidRPr="00833DB8" w:rsidRDefault="00833DB8" w:rsidP="007937C8">
      <w:pPr>
        <w:jc w:val="both"/>
        <w:rPr>
          <w:rFonts w:ascii="Segoe UI" w:eastAsia="Calibri" w:hAnsi="Segoe UI" w:cs="Segoe UI"/>
          <w:sz w:val="22"/>
          <w:szCs w:val="22"/>
          <w:lang w:val="en-GB"/>
        </w:rPr>
      </w:pPr>
      <w:r w:rsidRPr="00833DB8">
        <w:rPr>
          <w:rFonts w:ascii="Segoe UI" w:eastAsia="Calibri" w:hAnsi="Segoe UI" w:cs="Segoe UI"/>
          <w:sz w:val="22"/>
          <w:szCs w:val="22"/>
          <w:lang w:val="en-GB"/>
        </w:rPr>
        <w:t xml:space="preserve">The joint whistleblowing disclosures report is part of a coordinated effort with seven other regulators to address serious issues that health and care professionals in the UK have raised. </w:t>
      </w:r>
      <w:r w:rsidR="003F70C3">
        <w:rPr>
          <w:rFonts w:ascii="Segoe UI" w:eastAsia="Calibri" w:hAnsi="Segoe UI" w:cs="Segoe UI"/>
          <w:sz w:val="22"/>
          <w:szCs w:val="22"/>
          <w:lang w:val="en-GB"/>
        </w:rPr>
        <w:t>They</w:t>
      </w:r>
      <w:r w:rsidRPr="00833DB8">
        <w:rPr>
          <w:rFonts w:ascii="Segoe UI" w:eastAsia="Calibri" w:hAnsi="Segoe UI" w:cs="Segoe UI"/>
          <w:sz w:val="22"/>
          <w:szCs w:val="22"/>
          <w:lang w:val="en-GB"/>
        </w:rPr>
        <w:t xml:space="preserve"> acted on 152 whistleblowing disclosures in 2021–2022. The most common themes of the disclosures this year related to patient safety and care; leadership and management; health and safety; and behaviour. </w:t>
      </w:r>
    </w:p>
    <w:p w14:paraId="7C566CE2" w14:textId="77777777" w:rsidR="00833DB8" w:rsidRPr="00833DB8" w:rsidRDefault="008A1AA3" w:rsidP="007937C8">
      <w:pPr>
        <w:jc w:val="both"/>
        <w:rPr>
          <w:rFonts w:ascii="Segoe UI" w:eastAsia="Calibri" w:hAnsi="Segoe UI" w:cs="Segoe UI"/>
          <w:b/>
          <w:bCs/>
          <w:sz w:val="22"/>
          <w:szCs w:val="22"/>
          <w:lang w:val="en-GB"/>
        </w:rPr>
      </w:pPr>
      <w:hyperlink r:id="rId37" w:history="1">
        <w:r w:rsidR="00833DB8" w:rsidRPr="00833DB8">
          <w:rPr>
            <w:rStyle w:val="Hyperlink"/>
            <w:rFonts w:ascii="Segoe UI" w:eastAsia="Calibri" w:hAnsi="Segoe UI" w:cs="Segoe UI"/>
            <w:b/>
            <w:bCs/>
            <w:sz w:val="22"/>
            <w:szCs w:val="22"/>
            <w:lang w:val="en-GB"/>
          </w:rPr>
          <w:t>https://www.nmc.org.uk/news/news-and-updates/20212022-healthcare-professional-regulators-whistleblowing-report-published/</w:t>
        </w:r>
      </w:hyperlink>
      <w:r w:rsidR="00833DB8" w:rsidRPr="00833DB8">
        <w:rPr>
          <w:rFonts w:ascii="Segoe UI" w:eastAsia="Calibri" w:hAnsi="Segoe UI" w:cs="Segoe UI"/>
          <w:b/>
          <w:bCs/>
          <w:sz w:val="22"/>
          <w:szCs w:val="22"/>
          <w:lang w:val="en-GB"/>
        </w:rPr>
        <w:t xml:space="preserve"> </w:t>
      </w:r>
    </w:p>
    <w:p w14:paraId="33A47664" w14:textId="475EBC8F" w:rsidR="008656C0" w:rsidRPr="00833DB8" w:rsidRDefault="008656C0" w:rsidP="007937C8">
      <w:pPr>
        <w:jc w:val="both"/>
        <w:rPr>
          <w:rFonts w:ascii="Segoe UI" w:eastAsia="Calibri" w:hAnsi="Segoe UI" w:cs="Segoe UI"/>
          <w:b/>
          <w:bCs/>
          <w:sz w:val="22"/>
          <w:szCs w:val="22"/>
          <w:lang w:val="en-GB"/>
        </w:rPr>
      </w:pPr>
    </w:p>
    <w:p w14:paraId="5E8828D4" w14:textId="205EA9A8" w:rsidR="008656C0" w:rsidRPr="008656C0" w:rsidRDefault="008656C0" w:rsidP="007937C8">
      <w:pPr>
        <w:jc w:val="both"/>
        <w:rPr>
          <w:rFonts w:ascii="Segoe UI" w:eastAsia="Calibri" w:hAnsi="Segoe UI" w:cs="Segoe UI"/>
          <w:b/>
          <w:bCs/>
          <w:sz w:val="22"/>
          <w:szCs w:val="22"/>
          <w:lang w:val="en-GB"/>
        </w:rPr>
      </w:pPr>
      <w:r w:rsidRPr="008656C0">
        <w:rPr>
          <w:rFonts w:ascii="Segoe UI" w:eastAsia="Calibri" w:hAnsi="Segoe UI" w:cs="Segoe UI"/>
          <w:b/>
          <w:bCs/>
          <w:sz w:val="22"/>
          <w:szCs w:val="22"/>
          <w:lang w:val="en-GB"/>
        </w:rPr>
        <w:t>Maternity and neonatal services in East Kent: 'Reading the signals' report</w:t>
      </w:r>
    </w:p>
    <w:p w14:paraId="289334CB" w14:textId="77777777" w:rsidR="008656C0" w:rsidRPr="008656C0" w:rsidRDefault="008656C0" w:rsidP="007937C8">
      <w:pPr>
        <w:jc w:val="both"/>
        <w:rPr>
          <w:rFonts w:ascii="Segoe UI" w:eastAsia="Calibri" w:hAnsi="Segoe UI" w:cs="Segoe UI"/>
          <w:i/>
          <w:iCs/>
          <w:sz w:val="22"/>
          <w:szCs w:val="22"/>
          <w:lang w:val="en-GB"/>
        </w:rPr>
      </w:pPr>
      <w:r w:rsidRPr="008656C0">
        <w:rPr>
          <w:rFonts w:ascii="Segoe UI" w:eastAsia="Calibri" w:hAnsi="Segoe UI" w:cs="Segoe UI"/>
          <w:i/>
          <w:iCs/>
          <w:sz w:val="22"/>
          <w:szCs w:val="22"/>
          <w:lang w:val="en-GB"/>
        </w:rPr>
        <w:t>DHSC, 19 Oct 2022</w:t>
      </w:r>
    </w:p>
    <w:p w14:paraId="325D24A4" w14:textId="77777777" w:rsidR="008656C0" w:rsidRPr="008656C0" w:rsidRDefault="008A1AA3" w:rsidP="007937C8">
      <w:pPr>
        <w:jc w:val="both"/>
        <w:rPr>
          <w:rFonts w:ascii="Segoe UI" w:eastAsia="Calibri" w:hAnsi="Segoe UI" w:cs="Segoe UI"/>
          <w:b/>
          <w:bCs/>
          <w:sz w:val="22"/>
          <w:szCs w:val="22"/>
          <w:lang w:val="en-GB"/>
        </w:rPr>
      </w:pPr>
      <w:hyperlink r:id="rId38" w:history="1">
        <w:r w:rsidR="008656C0" w:rsidRPr="008656C0">
          <w:rPr>
            <w:rStyle w:val="Hyperlink"/>
            <w:rFonts w:ascii="Segoe UI" w:eastAsia="Calibri" w:hAnsi="Segoe UI" w:cs="Segoe UI"/>
            <w:b/>
            <w:bCs/>
            <w:sz w:val="22"/>
            <w:szCs w:val="22"/>
            <w:lang w:val="en-GB"/>
          </w:rPr>
          <w:t>https://www.gov.uk/government/publications/maternity-and-neonatal-services-in-east-kent-reading-the-signals-report</w:t>
        </w:r>
      </w:hyperlink>
      <w:r w:rsidR="008656C0" w:rsidRPr="008656C0">
        <w:rPr>
          <w:rFonts w:ascii="Segoe UI" w:eastAsia="Calibri" w:hAnsi="Segoe UI" w:cs="Segoe UI"/>
          <w:b/>
          <w:bCs/>
          <w:sz w:val="22"/>
          <w:szCs w:val="22"/>
          <w:lang w:val="en-GB"/>
        </w:rPr>
        <w:t xml:space="preserve">  </w:t>
      </w:r>
    </w:p>
    <w:p w14:paraId="7423AB30" w14:textId="48131BD9" w:rsidR="00B05669" w:rsidRDefault="008656C0" w:rsidP="007937C8">
      <w:pPr>
        <w:jc w:val="both"/>
        <w:rPr>
          <w:rFonts w:ascii="Segoe UI" w:eastAsia="Calibri" w:hAnsi="Segoe UI" w:cs="Segoe UI"/>
          <w:b/>
          <w:bCs/>
          <w:sz w:val="22"/>
          <w:szCs w:val="22"/>
        </w:rPr>
      </w:pPr>
      <w:r w:rsidRPr="008656C0">
        <w:rPr>
          <w:rFonts w:ascii="Segoe UI" w:eastAsia="Calibri" w:hAnsi="Segoe UI" w:cs="Segoe UI"/>
          <w:sz w:val="22"/>
          <w:szCs w:val="22"/>
          <w:lang w:val="en-GB"/>
        </w:rPr>
        <w:t xml:space="preserve">Letter, NHS England, 20 Oct 2022, </w:t>
      </w:r>
      <w:hyperlink r:id="rId39" w:history="1">
        <w:r w:rsidR="00B05669" w:rsidRPr="008656C0">
          <w:rPr>
            <w:rStyle w:val="Hyperlink"/>
            <w:rFonts w:ascii="Segoe UI" w:eastAsia="Calibri" w:hAnsi="Segoe UI" w:cs="Segoe UI"/>
            <w:b/>
            <w:bCs/>
            <w:sz w:val="22"/>
            <w:szCs w:val="22"/>
            <w:lang w:val="en-GB"/>
          </w:rPr>
          <w:t>https://www.england.nhs.uk/publication/report-following-the-independent-investigation-into-east-kent-maternity-and-neonatal-services</w:t>
        </w:r>
        <w:r w:rsidR="00B05669" w:rsidRPr="003D3431">
          <w:rPr>
            <w:rStyle w:val="Hyperlink"/>
            <w:rFonts w:ascii="Segoe UI" w:eastAsia="Calibri" w:hAnsi="Segoe UI" w:cs="Segoe UI"/>
            <w:b/>
            <w:bCs/>
            <w:sz w:val="22"/>
            <w:szCs w:val="22"/>
          </w:rPr>
          <w:t>/</w:t>
        </w:r>
      </w:hyperlink>
    </w:p>
    <w:p w14:paraId="2F70A4DD" w14:textId="39B8732A" w:rsidR="008656C0" w:rsidRPr="008656C0" w:rsidRDefault="008656C0" w:rsidP="007937C8">
      <w:pPr>
        <w:jc w:val="both"/>
        <w:rPr>
          <w:rFonts w:ascii="Segoe UI" w:eastAsia="Calibri" w:hAnsi="Segoe UI" w:cs="Segoe UI"/>
          <w:sz w:val="22"/>
          <w:szCs w:val="22"/>
          <w:lang w:val="en-GB"/>
        </w:rPr>
      </w:pPr>
      <w:r w:rsidRPr="008656C0">
        <w:rPr>
          <w:rFonts w:ascii="Segoe UI" w:eastAsia="Calibri" w:hAnsi="Segoe UI" w:cs="Segoe UI"/>
          <w:sz w:val="22"/>
          <w:szCs w:val="22"/>
          <w:lang w:val="en-GB"/>
        </w:rPr>
        <w:t>This report reconfirms the requirement for board</w:t>
      </w:r>
      <w:r w:rsidR="002670E3">
        <w:rPr>
          <w:rFonts w:ascii="Segoe UI" w:eastAsia="Calibri" w:hAnsi="Segoe UI" w:cs="Segoe UI"/>
          <w:sz w:val="22"/>
          <w:szCs w:val="22"/>
          <w:lang w:val="en-GB"/>
        </w:rPr>
        <w:t>s</w:t>
      </w:r>
      <w:r w:rsidRPr="008656C0">
        <w:rPr>
          <w:rFonts w:ascii="Segoe UI" w:eastAsia="Calibri" w:hAnsi="Segoe UI" w:cs="Segoe UI"/>
          <w:sz w:val="22"/>
          <w:szCs w:val="22"/>
          <w:lang w:val="en-GB"/>
        </w:rPr>
        <w:t xml:space="preserve"> to remain focused on delivering personalised and safe care. Every board member must examine the culture within their organisation and how they listen and respond to staff. You must take steps to assure yourselves, and the communities you serve, that the leadership and culture across your organisation(s) positively supports the care and experience you provide. </w:t>
      </w:r>
    </w:p>
    <w:p w14:paraId="187498D0" w14:textId="77777777" w:rsidR="008656C0" w:rsidRPr="008656C0" w:rsidRDefault="008656C0" w:rsidP="007937C8">
      <w:pPr>
        <w:jc w:val="both"/>
        <w:rPr>
          <w:rFonts w:ascii="Segoe UI" w:eastAsia="Calibri" w:hAnsi="Segoe UI" w:cs="Segoe UI"/>
          <w:b/>
          <w:bCs/>
          <w:sz w:val="22"/>
          <w:szCs w:val="22"/>
          <w:lang w:val="en-GB"/>
        </w:rPr>
      </w:pPr>
    </w:p>
    <w:p w14:paraId="5FE1E7B0" w14:textId="7415ADFF" w:rsidR="00580ECD" w:rsidRPr="00B05669" w:rsidRDefault="00580ECD" w:rsidP="007937C8">
      <w:pPr>
        <w:jc w:val="both"/>
        <w:rPr>
          <w:rFonts w:ascii="Segoe UI" w:eastAsia="Calibri" w:hAnsi="Segoe UI" w:cs="Segoe UI"/>
          <w:b/>
          <w:bCs/>
          <w:sz w:val="22"/>
          <w:szCs w:val="22"/>
        </w:rPr>
      </w:pPr>
      <w:r w:rsidRPr="00B05669">
        <w:rPr>
          <w:rFonts w:ascii="Segoe UI" w:eastAsia="Calibri" w:hAnsi="Segoe UI" w:cs="Segoe UI"/>
          <w:b/>
          <w:bCs/>
          <w:sz w:val="22"/>
          <w:szCs w:val="22"/>
        </w:rPr>
        <w:t>Court orders damages and civil penalties for unlawful NHS procurement</w:t>
      </w:r>
    </w:p>
    <w:p w14:paraId="235F70B7" w14:textId="77777777" w:rsidR="00171563" w:rsidRPr="00296E91" w:rsidRDefault="00171563" w:rsidP="007937C8">
      <w:pPr>
        <w:jc w:val="both"/>
        <w:rPr>
          <w:rFonts w:ascii="Segoe UI" w:eastAsia="Calibri" w:hAnsi="Segoe UI" w:cs="Segoe UI"/>
          <w:b/>
          <w:bCs/>
          <w:sz w:val="22"/>
          <w:szCs w:val="22"/>
        </w:rPr>
      </w:pPr>
    </w:p>
    <w:p w14:paraId="334B3DA8" w14:textId="1F73D02F" w:rsidR="00580ECD" w:rsidRDefault="00580ECD" w:rsidP="007937C8">
      <w:pPr>
        <w:jc w:val="both"/>
        <w:rPr>
          <w:rFonts w:ascii="Segoe UI" w:eastAsia="Calibri" w:hAnsi="Segoe UI" w:cs="Segoe UI"/>
          <w:sz w:val="22"/>
          <w:szCs w:val="22"/>
        </w:rPr>
      </w:pPr>
      <w:r w:rsidRPr="00296E91">
        <w:rPr>
          <w:rFonts w:ascii="Segoe UI" w:eastAsia="Calibri" w:hAnsi="Segoe UI" w:cs="Segoe UI"/>
          <w:sz w:val="22"/>
          <w:szCs w:val="22"/>
        </w:rPr>
        <w:t>The case centred on the use by three NHS Care Boards (the "Boards") of a framework agreement to award a contract to supply communications services. The claimant, Consultant Connect ("CC"), was able to successfully challenge the Boards' use of the framework to award a contract that CC would have had an opportunity to bid for had an advertised competitive process been run.</w:t>
      </w:r>
    </w:p>
    <w:p w14:paraId="39065B4A" w14:textId="77777777" w:rsidR="00171563" w:rsidRPr="00296E91" w:rsidRDefault="00171563" w:rsidP="007937C8">
      <w:pPr>
        <w:jc w:val="both"/>
        <w:rPr>
          <w:rFonts w:ascii="Segoe UI" w:eastAsia="Calibri" w:hAnsi="Segoe UI" w:cs="Segoe UI"/>
          <w:sz w:val="22"/>
          <w:szCs w:val="22"/>
        </w:rPr>
      </w:pPr>
    </w:p>
    <w:p w14:paraId="40626759" w14:textId="005E2AB1" w:rsidR="009760E8" w:rsidRDefault="008A1AA3" w:rsidP="007937C8">
      <w:pPr>
        <w:jc w:val="both"/>
        <w:rPr>
          <w:rStyle w:val="Hyperlink"/>
          <w:rFonts w:ascii="Segoe UI" w:eastAsia="Calibri" w:hAnsi="Segoe UI" w:cs="Segoe UI"/>
          <w:b/>
          <w:bCs/>
          <w:sz w:val="22"/>
          <w:szCs w:val="22"/>
        </w:rPr>
      </w:pPr>
      <w:hyperlink r:id="rId40" w:history="1">
        <w:r w:rsidR="00580ECD" w:rsidRPr="00171563">
          <w:rPr>
            <w:rStyle w:val="Hyperlink"/>
            <w:rFonts w:ascii="Segoe UI" w:eastAsia="Calibri" w:hAnsi="Segoe UI" w:cs="Segoe UI"/>
            <w:b/>
            <w:bCs/>
            <w:sz w:val="22"/>
            <w:szCs w:val="22"/>
          </w:rPr>
          <w:t>https://www.lexology.com/library/detail.aspx?g=e2a113a3-475e-469f-8f34-ca857173df74</w:t>
        </w:r>
      </w:hyperlink>
    </w:p>
    <w:p w14:paraId="37988AB0" w14:textId="720D593A" w:rsidR="00466954" w:rsidRDefault="00466954" w:rsidP="007937C8">
      <w:pPr>
        <w:jc w:val="both"/>
        <w:rPr>
          <w:rStyle w:val="Hyperlink"/>
          <w:rFonts w:ascii="Segoe UI" w:eastAsia="Calibri" w:hAnsi="Segoe UI" w:cs="Segoe UI"/>
          <w:b/>
          <w:bCs/>
          <w:sz w:val="22"/>
          <w:szCs w:val="22"/>
        </w:rPr>
      </w:pPr>
    </w:p>
    <w:p w14:paraId="27957BA9" w14:textId="29C20637" w:rsidR="0088791E" w:rsidRPr="0088791E" w:rsidRDefault="0088791E" w:rsidP="007937C8">
      <w:pPr>
        <w:spacing w:before="160"/>
        <w:jc w:val="both"/>
        <w:rPr>
          <w:rFonts w:ascii="Segoe UI" w:hAnsi="Segoe UI" w:cs="Segoe UI"/>
          <w:b/>
          <w:bCs/>
          <w:sz w:val="22"/>
          <w:szCs w:val="22"/>
          <w:lang w:val="en-GB"/>
        </w:rPr>
      </w:pPr>
      <w:r w:rsidRPr="0088791E">
        <w:rPr>
          <w:rFonts w:ascii="Segoe UI" w:hAnsi="Segoe UI" w:cs="Segoe UI"/>
          <w:b/>
          <w:bCs/>
          <w:sz w:val="22"/>
          <w:szCs w:val="22"/>
          <w:lang w:val="en-GB"/>
        </w:rPr>
        <w:t>State of Care 2021/22</w:t>
      </w:r>
    </w:p>
    <w:p w14:paraId="2CB5C768" w14:textId="77777777" w:rsidR="0088791E" w:rsidRPr="0088791E" w:rsidRDefault="0088791E" w:rsidP="007937C8">
      <w:pPr>
        <w:spacing w:before="160"/>
        <w:jc w:val="both"/>
        <w:rPr>
          <w:rFonts w:ascii="Segoe UI" w:hAnsi="Segoe UI" w:cs="Segoe UI"/>
          <w:i/>
          <w:iCs/>
          <w:sz w:val="22"/>
          <w:szCs w:val="22"/>
          <w:lang w:val="en-GB"/>
        </w:rPr>
      </w:pPr>
      <w:r w:rsidRPr="0088791E">
        <w:rPr>
          <w:rFonts w:ascii="Segoe UI" w:hAnsi="Segoe UI" w:cs="Segoe UI"/>
          <w:i/>
          <w:iCs/>
          <w:sz w:val="22"/>
          <w:szCs w:val="22"/>
          <w:lang w:val="en-GB"/>
        </w:rPr>
        <w:t>CQC, 21 Oct 2022</w:t>
      </w:r>
    </w:p>
    <w:p w14:paraId="54AF9F6C" w14:textId="77777777" w:rsidR="0088791E" w:rsidRPr="0088791E" w:rsidRDefault="0088791E" w:rsidP="007937C8">
      <w:pPr>
        <w:spacing w:before="160"/>
        <w:jc w:val="both"/>
        <w:rPr>
          <w:rFonts w:ascii="Segoe UI" w:hAnsi="Segoe UI" w:cs="Segoe UI"/>
          <w:sz w:val="22"/>
          <w:szCs w:val="22"/>
          <w:lang w:val="en-GB"/>
        </w:rPr>
      </w:pPr>
      <w:r w:rsidRPr="0088791E">
        <w:rPr>
          <w:rFonts w:ascii="Segoe UI" w:hAnsi="Segoe UI" w:cs="Segoe UI"/>
          <w:sz w:val="22"/>
          <w:szCs w:val="22"/>
          <w:lang w:val="en-GB"/>
        </w:rPr>
        <w:t>State of Care is the CQC's annual assessment of health care and social care in England. The report looks at the trends, shares examples of good and outstanding care, and highlights where care needs to improve. This year the assessment is that the health and care system is gridlocked and unable to operate effectively.</w:t>
      </w:r>
    </w:p>
    <w:p w14:paraId="7083C660" w14:textId="77777777" w:rsidR="0088791E" w:rsidRPr="0088791E" w:rsidRDefault="008A1AA3" w:rsidP="007937C8">
      <w:pPr>
        <w:spacing w:before="160"/>
        <w:jc w:val="both"/>
        <w:rPr>
          <w:rFonts w:ascii="Segoe UI" w:hAnsi="Segoe UI" w:cs="Segoe UI"/>
          <w:b/>
          <w:bCs/>
          <w:sz w:val="22"/>
          <w:szCs w:val="22"/>
          <w:lang w:val="en-GB"/>
        </w:rPr>
      </w:pPr>
      <w:hyperlink r:id="rId41" w:history="1">
        <w:r w:rsidR="0088791E" w:rsidRPr="0088791E">
          <w:rPr>
            <w:rStyle w:val="Hyperlink"/>
            <w:rFonts w:ascii="Segoe UI" w:hAnsi="Segoe UI" w:cs="Segoe UI"/>
            <w:b/>
            <w:bCs/>
            <w:sz w:val="22"/>
            <w:szCs w:val="22"/>
            <w:lang w:val="en-GB"/>
          </w:rPr>
          <w:t>https://www.cqc.org.uk/publications/major-report/state-care</w:t>
        </w:r>
      </w:hyperlink>
      <w:r w:rsidR="0088791E" w:rsidRPr="0088791E">
        <w:rPr>
          <w:rFonts w:ascii="Segoe UI" w:hAnsi="Segoe UI" w:cs="Segoe UI"/>
          <w:b/>
          <w:bCs/>
          <w:sz w:val="22"/>
          <w:szCs w:val="22"/>
          <w:lang w:val="en-GB"/>
        </w:rPr>
        <w:t xml:space="preserve"> </w:t>
      </w:r>
    </w:p>
    <w:p w14:paraId="0A5E5068" w14:textId="77777777" w:rsidR="0088791E" w:rsidRPr="0088791E" w:rsidRDefault="0088791E" w:rsidP="007937C8">
      <w:pPr>
        <w:spacing w:before="160"/>
        <w:jc w:val="both"/>
        <w:rPr>
          <w:rFonts w:ascii="Segoe UI" w:hAnsi="Segoe UI" w:cs="Segoe UI"/>
          <w:b/>
          <w:bCs/>
          <w:sz w:val="22"/>
          <w:szCs w:val="22"/>
          <w:lang w:val="en-GB"/>
        </w:rPr>
      </w:pPr>
      <w:r w:rsidRPr="0088791E">
        <w:rPr>
          <w:rFonts w:ascii="Segoe UI" w:hAnsi="Segoe UI" w:cs="Segoe UI"/>
          <w:b/>
          <w:bCs/>
          <w:sz w:val="22"/>
          <w:szCs w:val="22"/>
          <w:lang w:val="en-GB"/>
        </w:rPr>
        <w:t xml:space="preserve">NHS Providers briefing: </w:t>
      </w:r>
      <w:hyperlink r:id="rId42" w:history="1">
        <w:r w:rsidRPr="0088791E">
          <w:rPr>
            <w:rStyle w:val="Hyperlink"/>
            <w:rFonts w:ascii="Segoe UI" w:hAnsi="Segoe UI" w:cs="Segoe UI"/>
            <w:b/>
            <w:bCs/>
            <w:sz w:val="22"/>
            <w:szCs w:val="22"/>
            <w:lang w:val="en-GB"/>
          </w:rPr>
          <w:t>https://nhsproviders.org/resources/briefings/on-the-day-briefing-cqc-report-on-the-state-of-health-care-and-adult-social-care-in-england-202122</w:t>
        </w:r>
      </w:hyperlink>
      <w:r w:rsidRPr="0088791E">
        <w:rPr>
          <w:rFonts w:ascii="Segoe UI" w:hAnsi="Segoe UI" w:cs="Segoe UI"/>
          <w:b/>
          <w:bCs/>
          <w:sz w:val="22"/>
          <w:szCs w:val="22"/>
          <w:lang w:val="en-GB"/>
        </w:rPr>
        <w:t xml:space="preserve"> </w:t>
      </w:r>
    </w:p>
    <w:p w14:paraId="1F5633B5" w14:textId="43D75312" w:rsidR="00A53271" w:rsidRPr="00A53271" w:rsidRDefault="00A53271" w:rsidP="007937C8">
      <w:pPr>
        <w:spacing w:before="160" w:line="259" w:lineRule="auto"/>
        <w:jc w:val="both"/>
        <w:rPr>
          <w:rFonts w:ascii="Segoe UI" w:eastAsia="Yu Gothic Light" w:hAnsi="Segoe UI" w:cs="Segoe UI"/>
          <w:b/>
          <w:bCs/>
          <w:lang w:val="en-GB"/>
        </w:rPr>
      </w:pPr>
      <w:r w:rsidRPr="00A53271">
        <w:rPr>
          <w:rFonts w:ascii="Segoe UI" w:eastAsia="Yu Gothic Light" w:hAnsi="Segoe UI" w:cs="Segoe UI"/>
          <w:b/>
          <w:bCs/>
          <w:lang w:val="en-GB"/>
        </w:rPr>
        <w:t>CQC survey reports deteriorating experiences of NHS community mental health services</w:t>
      </w:r>
    </w:p>
    <w:p w14:paraId="490A73A1" w14:textId="77777777" w:rsidR="00A53271" w:rsidRPr="00A53271" w:rsidRDefault="00A53271" w:rsidP="007937C8">
      <w:pPr>
        <w:jc w:val="both"/>
        <w:rPr>
          <w:rFonts w:ascii="Segoe UI" w:eastAsia="Calibri" w:hAnsi="Segoe UI" w:cs="Segoe UI"/>
          <w:i/>
          <w:iCs/>
          <w:sz w:val="22"/>
          <w:szCs w:val="22"/>
          <w:lang w:val="en-GB"/>
        </w:rPr>
      </w:pPr>
      <w:r w:rsidRPr="00A53271">
        <w:rPr>
          <w:rFonts w:ascii="Segoe UI" w:eastAsia="Calibri" w:hAnsi="Segoe UI" w:cs="Segoe UI"/>
          <w:i/>
          <w:iCs/>
          <w:sz w:val="22"/>
          <w:szCs w:val="22"/>
          <w:lang w:val="en-GB"/>
        </w:rPr>
        <w:t>CQC, 27 Oct 2022</w:t>
      </w:r>
    </w:p>
    <w:p w14:paraId="3102CF44" w14:textId="77777777" w:rsidR="00A53271" w:rsidRPr="00A53271" w:rsidRDefault="00A53271" w:rsidP="007937C8">
      <w:pPr>
        <w:jc w:val="both"/>
        <w:rPr>
          <w:rFonts w:ascii="Segoe UI" w:eastAsia="Calibri" w:hAnsi="Segoe UI" w:cs="Segoe UI"/>
          <w:sz w:val="22"/>
          <w:szCs w:val="22"/>
          <w:lang w:val="en-GB"/>
        </w:rPr>
      </w:pPr>
      <w:r w:rsidRPr="00A53271">
        <w:rPr>
          <w:rFonts w:ascii="Segoe UI" w:eastAsia="Calibri" w:hAnsi="Segoe UI" w:cs="Segoe UI"/>
          <w:sz w:val="22"/>
          <w:szCs w:val="22"/>
          <w:lang w:val="en-GB"/>
        </w:rPr>
        <w:t>The CQC has published its annual survey of people’s experiences of NHS community mental health services. The survey results show people’s experiences remain poor, areas that returned poor results historically have not improved and some have declined further. Access to care has deteriorated.</w:t>
      </w:r>
    </w:p>
    <w:p w14:paraId="53D62D22" w14:textId="77777777" w:rsidR="00A53271" w:rsidRPr="00A53271" w:rsidRDefault="008A1AA3" w:rsidP="007937C8">
      <w:pPr>
        <w:jc w:val="both"/>
        <w:rPr>
          <w:rFonts w:ascii="Segoe UI" w:eastAsia="Calibri" w:hAnsi="Segoe UI" w:cs="Segoe UI"/>
          <w:b/>
          <w:bCs/>
          <w:sz w:val="22"/>
          <w:szCs w:val="22"/>
          <w:lang w:val="en-GB"/>
        </w:rPr>
      </w:pPr>
      <w:hyperlink r:id="rId43" w:history="1">
        <w:r w:rsidR="00A53271" w:rsidRPr="00A53271">
          <w:rPr>
            <w:rFonts w:ascii="Segoe UI" w:eastAsia="Calibri" w:hAnsi="Segoe UI" w:cs="Segoe UI"/>
            <w:b/>
            <w:bCs/>
            <w:color w:val="0000FF"/>
            <w:sz w:val="22"/>
            <w:szCs w:val="22"/>
            <w:u w:val="single"/>
            <w:lang w:val="en-GB"/>
          </w:rPr>
          <w:t>https://www.cqc.org.uk/press-release/cqc-survey-reports-deteriorating-experiences-nhs-community-mental-health-services</w:t>
        </w:r>
      </w:hyperlink>
      <w:r w:rsidR="00A53271" w:rsidRPr="00A53271">
        <w:rPr>
          <w:rFonts w:ascii="Segoe UI" w:eastAsia="Calibri" w:hAnsi="Segoe UI" w:cs="Segoe UI"/>
          <w:b/>
          <w:bCs/>
          <w:sz w:val="22"/>
          <w:szCs w:val="22"/>
          <w:lang w:val="en-GB"/>
        </w:rPr>
        <w:t xml:space="preserve"> </w:t>
      </w:r>
    </w:p>
    <w:p w14:paraId="5A8E4B7D" w14:textId="77777777" w:rsidR="00A53271" w:rsidRPr="00A53271" w:rsidRDefault="00A53271" w:rsidP="004C21C7">
      <w:pPr>
        <w:numPr>
          <w:ilvl w:val="0"/>
          <w:numId w:val="3"/>
        </w:numPr>
        <w:jc w:val="both"/>
        <w:rPr>
          <w:rFonts w:ascii="Segoe UI" w:eastAsia="Calibri" w:hAnsi="Segoe UI" w:cs="Segoe UI"/>
          <w:sz w:val="22"/>
          <w:szCs w:val="22"/>
          <w:lang w:val="en-GB"/>
        </w:rPr>
      </w:pPr>
      <w:r w:rsidRPr="00A53271">
        <w:rPr>
          <w:rFonts w:ascii="Segoe UI" w:eastAsia="Calibri" w:hAnsi="Segoe UI" w:cs="Segoe UI"/>
          <w:sz w:val="22"/>
          <w:szCs w:val="22"/>
          <w:lang w:val="en-GB"/>
        </w:rPr>
        <w:lastRenderedPageBreak/>
        <w:t xml:space="preserve">Full survey report: </w:t>
      </w:r>
      <w:hyperlink r:id="rId44" w:history="1">
        <w:r w:rsidRPr="00A53271">
          <w:rPr>
            <w:rFonts w:ascii="Segoe UI" w:eastAsia="Calibri" w:hAnsi="Segoe UI" w:cs="Segoe UI"/>
            <w:color w:val="0000FF"/>
            <w:sz w:val="22"/>
            <w:szCs w:val="22"/>
            <w:u w:val="single"/>
            <w:lang w:val="en-GB"/>
          </w:rPr>
          <w:t>https://www.cqc.org.uk/publications/surveys/community-mental-health-survey</w:t>
        </w:r>
      </w:hyperlink>
      <w:r w:rsidRPr="00A53271">
        <w:rPr>
          <w:rFonts w:ascii="Segoe UI" w:eastAsia="Calibri" w:hAnsi="Segoe UI" w:cs="Segoe UI"/>
          <w:sz w:val="22"/>
          <w:szCs w:val="22"/>
          <w:lang w:val="en-GB"/>
        </w:rPr>
        <w:t xml:space="preserve"> </w:t>
      </w:r>
    </w:p>
    <w:p w14:paraId="1FF2E7F5" w14:textId="77777777" w:rsidR="00A53271" w:rsidRPr="00A53271" w:rsidRDefault="00A53271" w:rsidP="004C21C7">
      <w:pPr>
        <w:numPr>
          <w:ilvl w:val="0"/>
          <w:numId w:val="3"/>
        </w:numPr>
        <w:jc w:val="both"/>
        <w:rPr>
          <w:rFonts w:ascii="Segoe UI" w:eastAsia="Calibri" w:hAnsi="Segoe UI" w:cs="Segoe UI"/>
          <w:b/>
          <w:bCs/>
          <w:sz w:val="22"/>
          <w:szCs w:val="22"/>
          <w:lang w:val="en-GB"/>
        </w:rPr>
      </w:pPr>
      <w:r w:rsidRPr="00A53271">
        <w:rPr>
          <w:rFonts w:ascii="Segoe UI" w:eastAsia="Calibri" w:hAnsi="Segoe UI" w:cs="Segoe UI"/>
          <w:sz w:val="22"/>
          <w:szCs w:val="22"/>
          <w:lang w:val="en-GB"/>
        </w:rPr>
        <w:t xml:space="preserve">Trust benchmarking reports for the survey: </w:t>
      </w:r>
      <w:hyperlink r:id="rId45" w:history="1">
        <w:r w:rsidRPr="00A53271">
          <w:rPr>
            <w:rFonts w:ascii="Segoe UI" w:eastAsia="Calibri" w:hAnsi="Segoe UI" w:cs="Segoe UI"/>
            <w:b/>
            <w:bCs/>
            <w:color w:val="0000FF"/>
            <w:sz w:val="22"/>
            <w:szCs w:val="22"/>
            <w:u w:val="single"/>
            <w:lang w:val="en-GB"/>
          </w:rPr>
          <w:t>https://nhssurveys.org/all-files/05-community-mental-health/05-benchmarks-reports/2022/</w:t>
        </w:r>
      </w:hyperlink>
      <w:r w:rsidRPr="00A53271">
        <w:rPr>
          <w:rFonts w:ascii="Segoe UI" w:eastAsia="Calibri" w:hAnsi="Segoe UI" w:cs="Segoe UI"/>
          <w:b/>
          <w:bCs/>
          <w:sz w:val="22"/>
          <w:szCs w:val="22"/>
          <w:lang w:val="en-GB"/>
        </w:rPr>
        <w:t xml:space="preserve"> </w:t>
      </w:r>
    </w:p>
    <w:p w14:paraId="44B96AE9" w14:textId="77777777" w:rsidR="00A53271" w:rsidRPr="00A53271" w:rsidRDefault="00A53271" w:rsidP="004C21C7">
      <w:pPr>
        <w:numPr>
          <w:ilvl w:val="0"/>
          <w:numId w:val="3"/>
        </w:numPr>
        <w:jc w:val="both"/>
        <w:rPr>
          <w:rFonts w:ascii="Segoe UI" w:eastAsia="Calibri" w:hAnsi="Segoe UI" w:cs="Segoe UI"/>
          <w:b/>
          <w:bCs/>
          <w:sz w:val="22"/>
          <w:szCs w:val="22"/>
          <w:lang w:val="en-GB"/>
        </w:rPr>
      </w:pPr>
      <w:r w:rsidRPr="00A53271">
        <w:rPr>
          <w:rFonts w:ascii="Segoe UI" w:eastAsia="Calibri" w:hAnsi="Segoe UI" w:cs="Segoe UI"/>
          <w:sz w:val="22"/>
          <w:szCs w:val="22"/>
          <w:lang w:val="en-GB"/>
        </w:rPr>
        <w:t>NHS Providers briefing:</w:t>
      </w:r>
      <w:r w:rsidRPr="00A53271">
        <w:rPr>
          <w:rFonts w:ascii="Segoe UI" w:eastAsia="Calibri" w:hAnsi="Segoe UI" w:cs="Segoe UI"/>
          <w:b/>
          <w:bCs/>
          <w:sz w:val="22"/>
          <w:szCs w:val="22"/>
          <w:lang w:val="en-GB"/>
        </w:rPr>
        <w:t xml:space="preserve"> </w:t>
      </w:r>
      <w:hyperlink r:id="rId46" w:history="1">
        <w:r w:rsidRPr="00A53271">
          <w:rPr>
            <w:rFonts w:ascii="Segoe UI" w:eastAsia="Calibri" w:hAnsi="Segoe UI" w:cs="Segoe UI"/>
            <w:b/>
            <w:bCs/>
            <w:color w:val="0000FF"/>
            <w:sz w:val="22"/>
            <w:szCs w:val="22"/>
            <w:u w:val="single"/>
            <w:lang w:val="en-GB"/>
          </w:rPr>
          <w:t>https://nhsproviders.org/resources/briefings/next-day-briefing-cqc-community-mental-health-survey-and-annual-mental-health-act-statistics</w:t>
        </w:r>
      </w:hyperlink>
      <w:r w:rsidRPr="00A53271">
        <w:rPr>
          <w:rFonts w:ascii="Segoe UI" w:eastAsia="Calibri" w:hAnsi="Segoe UI" w:cs="Segoe UI"/>
          <w:b/>
          <w:bCs/>
          <w:sz w:val="22"/>
          <w:szCs w:val="22"/>
          <w:lang w:val="en-GB"/>
        </w:rPr>
        <w:t xml:space="preserve"> </w:t>
      </w:r>
    </w:p>
    <w:p w14:paraId="18473C5F" w14:textId="77777777" w:rsidR="00A53271" w:rsidRPr="006D78C3" w:rsidRDefault="00A53271" w:rsidP="007937C8">
      <w:pPr>
        <w:spacing w:before="160" w:line="259" w:lineRule="auto"/>
        <w:jc w:val="both"/>
        <w:rPr>
          <w:rFonts w:ascii="Segoe UI" w:eastAsia="Yu Gothic Light" w:hAnsi="Segoe UI" w:cs="Segoe UI"/>
          <w:b/>
          <w:bCs/>
          <w:sz w:val="22"/>
          <w:szCs w:val="22"/>
          <w:lang w:val="en-GB"/>
        </w:rPr>
      </w:pPr>
      <w:r w:rsidRPr="006D78C3">
        <w:rPr>
          <w:rFonts w:ascii="Segoe UI" w:eastAsia="Yu Gothic Light" w:hAnsi="Segoe UI" w:cs="Segoe UI"/>
          <w:b/>
          <w:bCs/>
          <w:sz w:val="22"/>
          <w:szCs w:val="22"/>
          <w:lang w:val="en-GB"/>
        </w:rPr>
        <w:t>A guide to developing integrated statutory and voluntary sector mental health services</w:t>
      </w:r>
    </w:p>
    <w:p w14:paraId="7FE3C62D" w14:textId="77777777" w:rsidR="00A53271" w:rsidRPr="00A53271" w:rsidRDefault="00A53271" w:rsidP="007937C8">
      <w:pPr>
        <w:jc w:val="both"/>
        <w:rPr>
          <w:rFonts w:ascii="Segoe UI" w:eastAsia="Calibri" w:hAnsi="Segoe UI" w:cs="Segoe UI"/>
          <w:i/>
          <w:iCs/>
          <w:sz w:val="22"/>
          <w:szCs w:val="22"/>
          <w:lang w:val="en-GB"/>
        </w:rPr>
      </w:pPr>
      <w:r w:rsidRPr="00A53271">
        <w:rPr>
          <w:rFonts w:ascii="Segoe UI" w:eastAsia="Calibri" w:hAnsi="Segoe UI" w:cs="Segoe UI"/>
          <w:i/>
          <w:iCs/>
          <w:sz w:val="22"/>
          <w:szCs w:val="22"/>
          <w:lang w:val="en-GB"/>
        </w:rPr>
        <w:t>Centre for Mental Health, 26 Oct 2022</w:t>
      </w:r>
    </w:p>
    <w:p w14:paraId="603698FE" w14:textId="77777777" w:rsidR="00A53271" w:rsidRPr="00A53271" w:rsidRDefault="00A53271" w:rsidP="007937C8">
      <w:pPr>
        <w:jc w:val="both"/>
        <w:rPr>
          <w:rFonts w:ascii="Segoe UI" w:eastAsia="Calibri" w:hAnsi="Segoe UI" w:cs="Segoe UI"/>
          <w:sz w:val="22"/>
          <w:szCs w:val="22"/>
          <w:lang w:val="en-GB"/>
        </w:rPr>
      </w:pPr>
      <w:r w:rsidRPr="00A53271">
        <w:rPr>
          <w:rFonts w:ascii="Segoe UI" w:eastAsia="Calibri" w:hAnsi="Segoe UI" w:cs="Segoe UI"/>
          <w:sz w:val="22"/>
          <w:szCs w:val="22"/>
          <w:lang w:val="en-GB"/>
        </w:rPr>
        <w:t>The NHS and the voluntary sector are increasingly expected to work together to deliver integrated mental health services. However, there has been a lack of guidance for NHS and VCS providers on how to successfully implement this integration. Our guide 'A working partnership' aims to fill that gap.</w:t>
      </w:r>
    </w:p>
    <w:p w14:paraId="299830CD" w14:textId="77777777" w:rsidR="00A53271" w:rsidRPr="00FF1EDE" w:rsidRDefault="008A1AA3" w:rsidP="007937C8">
      <w:pPr>
        <w:jc w:val="both"/>
        <w:rPr>
          <w:rFonts w:ascii="Segoe UI" w:eastAsia="Calibri" w:hAnsi="Segoe UI" w:cs="Segoe UI"/>
          <w:b/>
          <w:bCs/>
          <w:sz w:val="22"/>
          <w:szCs w:val="22"/>
          <w:lang w:val="en-GB"/>
        </w:rPr>
      </w:pPr>
      <w:hyperlink r:id="rId47" w:history="1">
        <w:r w:rsidR="00A53271" w:rsidRPr="00FF1EDE">
          <w:rPr>
            <w:rFonts w:ascii="Segoe UI" w:eastAsia="Calibri" w:hAnsi="Segoe UI" w:cs="Segoe UI"/>
            <w:b/>
            <w:bCs/>
            <w:color w:val="0000FF"/>
            <w:sz w:val="22"/>
            <w:szCs w:val="22"/>
            <w:u w:val="single"/>
            <w:lang w:val="en-GB"/>
          </w:rPr>
          <w:t>https://www.centreformentalhealth.org.uk/publications/working-partnership</w:t>
        </w:r>
      </w:hyperlink>
      <w:r w:rsidR="00A53271" w:rsidRPr="00FF1EDE">
        <w:rPr>
          <w:rFonts w:ascii="Segoe UI" w:eastAsia="Calibri" w:hAnsi="Segoe UI" w:cs="Segoe UI"/>
          <w:b/>
          <w:bCs/>
          <w:sz w:val="22"/>
          <w:szCs w:val="22"/>
          <w:lang w:val="en-GB"/>
        </w:rPr>
        <w:t xml:space="preserve"> </w:t>
      </w:r>
    </w:p>
    <w:p w14:paraId="5F3F5F40" w14:textId="4387F561" w:rsidR="0088791E" w:rsidRPr="0088791E" w:rsidRDefault="0088791E" w:rsidP="007937C8">
      <w:pPr>
        <w:spacing w:before="160"/>
        <w:jc w:val="both"/>
        <w:rPr>
          <w:rFonts w:ascii="Segoe UI" w:hAnsi="Segoe UI" w:cs="Segoe UI"/>
          <w:b/>
          <w:bCs/>
          <w:sz w:val="22"/>
          <w:szCs w:val="22"/>
          <w:lang w:val="en-GB"/>
        </w:rPr>
      </w:pPr>
      <w:r w:rsidRPr="0088791E">
        <w:rPr>
          <w:rFonts w:ascii="Segoe UI" w:hAnsi="Segoe UI" w:cs="Segoe UI"/>
          <w:b/>
          <w:bCs/>
          <w:sz w:val="22"/>
          <w:szCs w:val="22"/>
          <w:lang w:val="en-GB"/>
        </w:rPr>
        <w:t>Improving experience of care: A shared commitment for those working in health and care systems</w:t>
      </w:r>
    </w:p>
    <w:p w14:paraId="1D36004E" w14:textId="77777777" w:rsidR="0088791E" w:rsidRPr="00FF1EDE" w:rsidRDefault="0088791E" w:rsidP="007937C8">
      <w:pPr>
        <w:spacing w:before="160"/>
        <w:jc w:val="both"/>
        <w:rPr>
          <w:rFonts w:ascii="Segoe UI" w:hAnsi="Segoe UI" w:cs="Segoe UI"/>
          <w:i/>
          <w:iCs/>
          <w:sz w:val="22"/>
          <w:szCs w:val="22"/>
          <w:lang w:val="en-GB"/>
        </w:rPr>
      </w:pPr>
      <w:r w:rsidRPr="00FF1EDE">
        <w:rPr>
          <w:rFonts w:ascii="Segoe UI" w:hAnsi="Segoe UI" w:cs="Segoe UI"/>
          <w:i/>
          <w:iCs/>
          <w:sz w:val="22"/>
          <w:szCs w:val="22"/>
          <w:lang w:val="en-GB"/>
        </w:rPr>
        <w:t>NHS England, 27 Oct 2022</w:t>
      </w:r>
    </w:p>
    <w:p w14:paraId="3BB672F3" w14:textId="77777777" w:rsidR="0088791E" w:rsidRPr="0088791E" w:rsidRDefault="0088791E" w:rsidP="007937C8">
      <w:pPr>
        <w:spacing w:before="160"/>
        <w:jc w:val="both"/>
        <w:rPr>
          <w:rFonts w:ascii="Segoe UI" w:hAnsi="Segoe UI" w:cs="Segoe UI"/>
          <w:sz w:val="22"/>
          <w:szCs w:val="22"/>
          <w:lang w:val="en-GB"/>
        </w:rPr>
      </w:pPr>
      <w:r w:rsidRPr="0088791E">
        <w:rPr>
          <w:rFonts w:ascii="Segoe UI" w:hAnsi="Segoe UI" w:cs="Segoe UI"/>
          <w:sz w:val="22"/>
          <w:szCs w:val="22"/>
          <w:lang w:val="en-GB"/>
        </w:rPr>
        <w:t>This document is developed by the National Quality Board and builds on the previous Improving experiences of care document. It has been refreshed to align with the recent NQB overarching system publications. The updated version does not change the statutory responsibilities of individual organisations, nor undermine their independence, but highlights the strategic importance of working together.</w:t>
      </w:r>
    </w:p>
    <w:p w14:paraId="61649A1C" w14:textId="77777777" w:rsidR="0088791E" w:rsidRPr="0088791E" w:rsidRDefault="008A1AA3" w:rsidP="007937C8">
      <w:pPr>
        <w:spacing w:before="160"/>
        <w:jc w:val="both"/>
        <w:rPr>
          <w:rFonts w:ascii="Segoe UI" w:hAnsi="Segoe UI" w:cs="Segoe UI"/>
          <w:b/>
          <w:bCs/>
          <w:sz w:val="22"/>
          <w:szCs w:val="22"/>
          <w:lang w:val="en-GB"/>
        </w:rPr>
      </w:pPr>
      <w:hyperlink r:id="rId48" w:history="1">
        <w:r w:rsidR="0088791E" w:rsidRPr="0088791E">
          <w:rPr>
            <w:rStyle w:val="Hyperlink"/>
            <w:rFonts w:ascii="Segoe UI" w:hAnsi="Segoe UI" w:cs="Segoe UI"/>
            <w:b/>
            <w:bCs/>
            <w:sz w:val="22"/>
            <w:szCs w:val="22"/>
            <w:lang w:val="en-GB"/>
          </w:rPr>
          <w:t>https://www.england.nhs.uk/publication/improving-experience-of-care-a-shared-commitment-for-those-working-in-health-and-care-systems/</w:t>
        </w:r>
      </w:hyperlink>
      <w:r w:rsidR="0088791E" w:rsidRPr="0088791E">
        <w:rPr>
          <w:rFonts w:ascii="Segoe UI" w:hAnsi="Segoe UI" w:cs="Segoe UI"/>
          <w:b/>
          <w:bCs/>
          <w:sz w:val="22"/>
          <w:szCs w:val="22"/>
          <w:lang w:val="en-GB"/>
        </w:rPr>
        <w:t xml:space="preserve"> </w:t>
      </w:r>
    </w:p>
    <w:p w14:paraId="6B790919" w14:textId="77777777" w:rsidR="0088791E" w:rsidRPr="0088791E" w:rsidRDefault="0088791E" w:rsidP="007937C8">
      <w:pPr>
        <w:spacing w:before="160"/>
        <w:jc w:val="both"/>
        <w:rPr>
          <w:rFonts w:ascii="Segoe UI" w:hAnsi="Segoe UI" w:cs="Segoe UI"/>
          <w:b/>
          <w:bCs/>
          <w:sz w:val="22"/>
          <w:szCs w:val="22"/>
          <w:lang w:val="en-GB"/>
        </w:rPr>
      </w:pPr>
      <w:r w:rsidRPr="0088791E">
        <w:rPr>
          <w:rFonts w:ascii="Segoe UI" w:hAnsi="Segoe UI" w:cs="Segoe UI"/>
          <w:b/>
          <w:bCs/>
          <w:sz w:val="22"/>
          <w:szCs w:val="22"/>
          <w:lang w:val="en-GB"/>
        </w:rPr>
        <w:t>Rising living costs: The impact on NHS, staff and patients</w:t>
      </w:r>
    </w:p>
    <w:p w14:paraId="1D5EF7A0" w14:textId="77777777" w:rsidR="0088791E" w:rsidRPr="00FF1EDE" w:rsidRDefault="0088791E" w:rsidP="007937C8">
      <w:pPr>
        <w:spacing w:before="160"/>
        <w:jc w:val="both"/>
        <w:rPr>
          <w:rFonts w:ascii="Segoe UI" w:hAnsi="Segoe UI" w:cs="Segoe UI"/>
          <w:i/>
          <w:iCs/>
          <w:sz w:val="22"/>
          <w:szCs w:val="22"/>
          <w:lang w:val="en-GB"/>
        </w:rPr>
      </w:pPr>
      <w:r w:rsidRPr="00FF1EDE">
        <w:rPr>
          <w:rFonts w:ascii="Segoe UI" w:hAnsi="Segoe UI" w:cs="Segoe UI"/>
          <w:i/>
          <w:iCs/>
          <w:sz w:val="22"/>
          <w:szCs w:val="22"/>
          <w:lang w:val="en-GB"/>
        </w:rPr>
        <w:t>NHS Providers, 30 Sep 2022</w:t>
      </w:r>
    </w:p>
    <w:p w14:paraId="5F4E6C32" w14:textId="77777777" w:rsidR="0088791E" w:rsidRPr="0088791E" w:rsidRDefault="0088791E" w:rsidP="007937C8">
      <w:pPr>
        <w:spacing w:before="160"/>
        <w:jc w:val="both"/>
        <w:rPr>
          <w:rFonts w:ascii="Segoe UI" w:hAnsi="Segoe UI" w:cs="Segoe UI"/>
          <w:sz w:val="22"/>
          <w:szCs w:val="22"/>
          <w:lang w:val="en-GB"/>
        </w:rPr>
      </w:pPr>
      <w:r w:rsidRPr="0088791E">
        <w:rPr>
          <w:rFonts w:ascii="Segoe UI" w:hAnsi="Segoe UI" w:cs="Segoe UI"/>
          <w:sz w:val="22"/>
          <w:szCs w:val="22"/>
          <w:lang w:val="en-GB"/>
        </w:rPr>
        <w:t xml:space="preserve">NHS Providers have published a new survey of NHS trusts leaders on the impact rising living costs are having on the health service, staff and patients. All respondents are concerned about the mental, physical and financial wellbeing of staff as a result of </w:t>
      </w:r>
      <w:proofErr w:type="gramStart"/>
      <w:r w:rsidRPr="0088791E">
        <w:rPr>
          <w:rFonts w:ascii="Segoe UI" w:hAnsi="Segoe UI" w:cs="Segoe UI"/>
          <w:sz w:val="22"/>
          <w:szCs w:val="22"/>
          <w:lang w:val="en-GB"/>
        </w:rPr>
        <w:t>cost of living</w:t>
      </w:r>
      <w:proofErr w:type="gramEnd"/>
      <w:r w:rsidRPr="0088791E">
        <w:rPr>
          <w:rFonts w:ascii="Segoe UI" w:hAnsi="Segoe UI" w:cs="Segoe UI"/>
          <w:sz w:val="22"/>
          <w:szCs w:val="22"/>
          <w:lang w:val="en-GB"/>
        </w:rPr>
        <w:t xml:space="preserve"> pressures, and the majority (61%) report a rise in staff sickness absence due to mental health.</w:t>
      </w:r>
    </w:p>
    <w:p w14:paraId="5E99A768" w14:textId="77777777" w:rsidR="0088791E" w:rsidRPr="0088791E" w:rsidRDefault="008A1AA3" w:rsidP="007937C8">
      <w:pPr>
        <w:spacing w:before="160"/>
        <w:jc w:val="both"/>
        <w:rPr>
          <w:rFonts w:ascii="Segoe UI" w:hAnsi="Segoe UI" w:cs="Segoe UI"/>
          <w:b/>
          <w:bCs/>
          <w:sz w:val="22"/>
          <w:szCs w:val="22"/>
          <w:lang w:val="en-GB"/>
        </w:rPr>
      </w:pPr>
      <w:hyperlink r:id="rId49" w:history="1">
        <w:r w:rsidR="0088791E" w:rsidRPr="0088791E">
          <w:rPr>
            <w:rStyle w:val="Hyperlink"/>
            <w:rFonts w:ascii="Segoe UI" w:hAnsi="Segoe UI" w:cs="Segoe UI"/>
            <w:b/>
            <w:bCs/>
            <w:sz w:val="22"/>
            <w:szCs w:val="22"/>
            <w:lang w:val="en-GB"/>
          </w:rPr>
          <w:t>https://nhsproviders.org/rising-living-costs-the-impact-on-nhs-staff-and-patients</w:t>
        </w:r>
      </w:hyperlink>
      <w:r w:rsidR="0088791E" w:rsidRPr="0088791E">
        <w:rPr>
          <w:rFonts w:ascii="Segoe UI" w:hAnsi="Segoe UI" w:cs="Segoe UI"/>
          <w:b/>
          <w:bCs/>
          <w:sz w:val="22"/>
          <w:szCs w:val="22"/>
          <w:lang w:val="en-GB"/>
        </w:rPr>
        <w:t xml:space="preserve"> </w:t>
      </w:r>
    </w:p>
    <w:p w14:paraId="47B83A8A" w14:textId="77777777" w:rsidR="0088791E" w:rsidRPr="0088791E" w:rsidRDefault="0088791E" w:rsidP="007937C8">
      <w:pPr>
        <w:spacing w:before="160"/>
        <w:jc w:val="both"/>
        <w:rPr>
          <w:rFonts w:ascii="Segoe UI" w:hAnsi="Segoe UI" w:cs="Segoe UI"/>
          <w:b/>
          <w:bCs/>
          <w:sz w:val="22"/>
          <w:szCs w:val="22"/>
          <w:lang w:val="en-GB"/>
        </w:rPr>
      </w:pPr>
      <w:r w:rsidRPr="0088791E">
        <w:rPr>
          <w:rFonts w:ascii="Segoe UI" w:hAnsi="Segoe UI" w:cs="Segoe UI"/>
          <w:b/>
          <w:bCs/>
          <w:sz w:val="22"/>
          <w:szCs w:val="22"/>
          <w:lang w:val="en-GB"/>
        </w:rPr>
        <w:t xml:space="preserve">See also: NHS Employers, </w:t>
      </w:r>
      <w:hyperlink r:id="rId50" w:history="1">
        <w:r w:rsidRPr="0088791E">
          <w:rPr>
            <w:rStyle w:val="Hyperlink"/>
            <w:rFonts w:ascii="Segoe UI" w:hAnsi="Segoe UI" w:cs="Segoe UI"/>
            <w:b/>
            <w:bCs/>
            <w:sz w:val="22"/>
            <w:szCs w:val="22"/>
            <w:lang w:val="en-GB"/>
          </w:rPr>
          <w:t>Good practice examples to support staff with cost of living</w:t>
        </w:r>
      </w:hyperlink>
    </w:p>
    <w:p w14:paraId="2E281D66" w14:textId="1FCB640F" w:rsidR="00550003" w:rsidRPr="00550003" w:rsidRDefault="00550003" w:rsidP="007937C8">
      <w:pPr>
        <w:spacing w:before="160"/>
        <w:jc w:val="both"/>
        <w:rPr>
          <w:rFonts w:ascii="Segoe UI" w:hAnsi="Segoe UI" w:cs="Segoe UI"/>
          <w:b/>
          <w:bCs/>
          <w:sz w:val="22"/>
          <w:szCs w:val="22"/>
        </w:rPr>
      </w:pPr>
      <w:r w:rsidRPr="00550003">
        <w:rPr>
          <w:rFonts w:ascii="Segoe UI" w:hAnsi="Segoe UI" w:cs="Segoe UI"/>
          <w:b/>
          <w:bCs/>
          <w:sz w:val="22"/>
          <w:szCs w:val="22"/>
        </w:rPr>
        <w:t>Autistic people’s healthcare information strategy for England</w:t>
      </w:r>
    </w:p>
    <w:p w14:paraId="1AE05578" w14:textId="77777777" w:rsidR="00550003" w:rsidRPr="00550003" w:rsidRDefault="00550003" w:rsidP="007937C8">
      <w:pPr>
        <w:spacing w:before="160"/>
        <w:jc w:val="both"/>
        <w:rPr>
          <w:rFonts w:ascii="Segoe UI" w:hAnsi="Segoe UI" w:cs="Segoe UI"/>
          <w:sz w:val="22"/>
          <w:szCs w:val="22"/>
        </w:rPr>
      </w:pPr>
      <w:r w:rsidRPr="00550003">
        <w:rPr>
          <w:rFonts w:ascii="Segoe UI" w:hAnsi="Segoe UI" w:cs="Segoe UI"/>
          <w:sz w:val="22"/>
          <w:szCs w:val="22"/>
        </w:rPr>
        <w:t>This document sets out an initial strategy for the development of information about the health of, and healthcare received by autistic people in England, from sources already collected or in the process of being established.</w:t>
      </w:r>
    </w:p>
    <w:p w14:paraId="5F5E39F8" w14:textId="54321916" w:rsidR="0088791E" w:rsidRDefault="008A1AA3" w:rsidP="007937C8">
      <w:pPr>
        <w:spacing w:before="160"/>
        <w:jc w:val="both"/>
        <w:rPr>
          <w:rFonts w:ascii="Segoe UI" w:hAnsi="Segoe UI" w:cs="Segoe UI"/>
          <w:b/>
          <w:bCs/>
          <w:sz w:val="22"/>
          <w:szCs w:val="22"/>
        </w:rPr>
      </w:pPr>
      <w:hyperlink r:id="rId51" w:history="1">
        <w:r w:rsidR="007F1249" w:rsidRPr="00B030B8">
          <w:rPr>
            <w:rStyle w:val="Hyperlink"/>
            <w:rFonts w:ascii="Segoe UI" w:hAnsi="Segoe UI" w:cs="Segoe UI"/>
            <w:b/>
            <w:bCs/>
            <w:sz w:val="22"/>
            <w:szCs w:val="22"/>
          </w:rPr>
          <w:t>https://www.england.nhs.uk/publication/autistic-peoples-healthcare-information-strategy-for-england/</w:t>
        </w:r>
      </w:hyperlink>
    </w:p>
    <w:p w14:paraId="18F906F4" w14:textId="5A384861" w:rsidR="008B7F1D" w:rsidRDefault="008B7F1D" w:rsidP="007937C8">
      <w:pPr>
        <w:spacing w:before="160"/>
        <w:jc w:val="both"/>
        <w:rPr>
          <w:rFonts w:ascii="Segoe UI" w:eastAsiaTheme="majorEastAsia" w:hAnsi="Segoe UI" w:cs="Segoe UI"/>
          <w:b/>
          <w:bCs/>
          <w:sz w:val="22"/>
          <w:szCs w:val="22"/>
        </w:rPr>
      </w:pPr>
      <w:r w:rsidRPr="00B05669">
        <w:rPr>
          <w:rFonts w:ascii="Segoe UI" w:hAnsi="Segoe UI" w:cs="Segoe UI"/>
          <w:b/>
          <w:bCs/>
          <w:sz w:val="22"/>
          <w:szCs w:val="22"/>
        </w:rPr>
        <w:t xml:space="preserve">Our plan </w:t>
      </w:r>
      <w:r w:rsidRPr="00B05669">
        <w:rPr>
          <w:rFonts w:ascii="Segoe UI" w:eastAsiaTheme="majorEastAsia" w:hAnsi="Segoe UI" w:cs="Segoe UI"/>
          <w:b/>
          <w:bCs/>
          <w:sz w:val="22"/>
          <w:szCs w:val="22"/>
        </w:rPr>
        <w:t>for patients</w:t>
      </w:r>
    </w:p>
    <w:p w14:paraId="3F3B89F2" w14:textId="77777777" w:rsidR="008B7F1D" w:rsidRDefault="008B7F1D" w:rsidP="007937C8">
      <w:pPr>
        <w:pStyle w:val="NoSpacing"/>
        <w:jc w:val="both"/>
        <w:rPr>
          <w:rFonts w:ascii="Segoe UI" w:hAnsi="Segoe UI" w:cs="Segoe UI"/>
        </w:rPr>
      </w:pPr>
      <w:r w:rsidRPr="00296E91">
        <w:rPr>
          <w:rFonts w:ascii="Segoe UI" w:hAnsi="Segoe UI" w:cs="Segoe UI"/>
        </w:rPr>
        <w:t>The government’s plans for the NHS and social care to deliver for patients. Key policies include: An expectation that anyone who needs an appointment should get one at a GP practice within 2 weeks; To help people get out of hospitals and into social care support, the government is launching a £500 million Adult Social Care Discharge Fund</w:t>
      </w:r>
    </w:p>
    <w:p w14:paraId="6A27D351" w14:textId="77777777" w:rsidR="008B7F1D" w:rsidRPr="00296E91" w:rsidRDefault="008B7F1D" w:rsidP="007937C8">
      <w:pPr>
        <w:pStyle w:val="NoSpacing"/>
        <w:jc w:val="both"/>
        <w:rPr>
          <w:rFonts w:ascii="Segoe UI" w:hAnsi="Segoe UI" w:cs="Segoe UI"/>
        </w:rPr>
      </w:pPr>
    </w:p>
    <w:p w14:paraId="14E2B26E" w14:textId="77777777" w:rsidR="008B7F1D" w:rsidRPr="00D23CA4" w:rsidRDefault="008A1AA3" w:rsidP="007937C8">
      <w:pPr>
        <w:pStyle w:val="NoSpacing"/>
        <w:jc w:val="both"/>
        <w:rPr>
          <w:rFonts w:ascii="Segoe UI" w:hAnsi="Segoe UI" w:cs="Segoe UI"/>
          <w:b/>
          <w:bCs/>
        </w:rPr>
      </w:pPr>
      <w:hyperlink r:id="rId52" w:history="1">
        <w:r w:rsidR="008B7F1D" w:rsidRPr="00D23CA4">
          <w:rPr>
            <w:rStyle w:val="Hyperlink"/>
            <w:rFonts w:ascii="Segoe UI" w:hAnsi="Segoe UI" w:cs="Segoe UI"/>
            <w:b/>
            <w:bCs/>
          </w:rPr>
          <w:t>https://www.gov.uk/government/publications/our-plan-for-patients</w:t>
        </w:r>
      </w:hyperlink>
      <w:r w:rsidR="008B7F1D" w:rsidRPr="00D23CA4">
        <w:rPr>
          <w:rFonts w:ascii="Segoe UI" w:hAnsi="Segoe UI" w:cs="Segoe UI"/>
          <w:b/>
          <w:bCs/>
        </w:rPr>
        <w:t xml:space="preserve"> </w:t>
      </w:r>
    </w:p>
    <w:p w14:paraId="57E3DDEE" w14:textId="77777777" w:rsidR="008B7F1D" w:rsidRPr="00D23CA4" w:rsidRDefault="008B7F1D" w:rsidP="007937C8">
      <w:pPr>
        <w:pStyle w:val="NoSpacing"/>
        <w:jc w:val="both"/>
        <w:rPr>
          <w:rFonts w:ascii="Segoe UI" w:hAnsi="Segoe UI" w:cs="Segoe UI"/>
          <w:b/>
          <w:bCs/>
        </w:rPr>
      </w:pPr>
    </w:p>
    <w:p w14:paraId="5BC5E799" w14:textId="77777777" w:rsidR="008B7F1D" w:rsidRPr="00D23CA4" w:rsidRDefault="008A1AA3" w:rsidP="007937C8">
      <w:pPr>
        <w:pStyle w:val="NoSpacing"/>
        <w:jc w:val="both"/>
        <w:rPr>
          <w:rFonts w:ascii="Segoe UI" w:hAnsi="Segoe UI" w:cs="Segoe UI"/>
          <w:b/>
          <w:bCs/>
        </w:rPr>
      </w:pPr>
      <w:hyperlink r:id="rId53" w:history="1">
        <w:r w:rsidR="008B7F1D" w:rsidRPr="00D23CA4">
          <w:rPr>
            <w:rStyle w:val="Hyperlink"/>
            <w:rFonts w:ascii="Segoe UI" w:hAnsi="Segoe UI" w:cs="Segoe UI"/>
            <w:b/>
            <w:bCs/>
          </w:rPr>
          <w:t>https://www.gov.uk/government/news/health-and-social-care-secretary-sets-out-plan-for-patients-with-new-funding-to-bolster-social-care-over-winter</w:t>
        </w:r>
      </w:hyperlink>
      <w:r w:rsidR="008B7F1D" w:rsidRPr="00D23CA4">
        <w:rPr>
          <w:rFonts w:ascii="Segoe UI" w:hAnsi="Segoe UI" w:cs="Segoe UI"/>
          <w:b/>
          <w:bCs/>
        </w:rPr>
        <w:t xml:space="preserve"> </w:t>
      </w:r>
    </w:p>
    <w:p w14:paraId="5252C740" w14:textId="77777777" w:rsidR="008B7F1D" w:rsidRPr="00D23CA4" w:rsidRDefault="008B7F1D" w:rsidP="007937C8">
      <w:pPr>
        <w:pStyle w:val="NoSpacing"/>
        <w:jc w:val="both"/>
        <w:rPr>
          <w:rFonts w:ascii="Segoe UI" w:hAnsi="Segoe UI" w:cs="Segoe UI"/>
          <w:b/>
          <w:bCs/>
        </w:rPr>
      </w:pPr>
    </w:p>
    <w:p w14:paraId="3A7D7170" w14:textId="4973DF7F" w:rsidR="008B7F1D" w:rsidRPr="004764B1" w:rsidRDefault="008A1AA3" w:rsidP="007937C8">
      <w:pPr>
        <w:spacing w:before="160"/>
        <w:jc w:val="both"/>
        <w:rPr>
          <w:rStyle w:val="Hyperlink"/>
          <w:rFonts w:ascii="Segoe UI" w:hAnsi="Segoe UI" w:cs="Segoe UI"/>
          <w:b/>
          <w:bCs/>
          <w:sz w:val="22"/>
          <w:szCs w:val="22"/>
        </w:rPr>
      </w:pPr>
      <w:hyperlink r:id="rId54" w:history="1">
        <w:r w:rsidR="008B7F1D" w:rsidRPr="004764B1">
          <w:rPr>
            <w:rStyle w:val="Hyperlink"/>
            <w:rFonts w:ascii="Segoe UI" w:hAnsi="Segoe UI" w:cs="Segoe UI"/>
            <w:b/>
            <w:bCs/>
            <w:sz w:val="22"/>
            <w:szCs w:val="22"/>
          </w:rPr>
          <w:t>https://nhsproviders.org/resources/briefings/next-day-briefing-government-policy-paper-our-plan-for-patients</w:t>
        </w:r>
      </w:hyperlink>
    </w:p>
    <w:p w14:paraId="3FD47A52" w14:textId="77777777" w:rsidR="004764B1" w:rsidRPr="00B05669" w:rsidRDefault="004764B1" w:rsidP="007937C8">
      <w:pPr>
        <w:spacing w:before="160"/>
        <w:jc w:val="both"/>
        <w:rPr>
          <w:rFonts w:ascii="Segoe UI" w:eastAsiaTheme="majorEastAsia" w:hAnsi="Segoe UI" w:cs="Segoe UI"/>
          <w:b/>
          <w:bCs/>
          <w:sz w:val="22"/>
          <w:szCs w:val="22"/>
        </w:rPr>
      </w:pPr>
      <w:r w:rsidRPr="00B05669">
        <w:rPr>
          <w:rFonts w:ascii="Segoe UI" w:eastAsiaTheme="majorEastAsia" w:hAnsi="Segoe UI" w:cs="Segoe UI"/>
          <w:b/>
          <w:bCs/>
          <w:sz w:val="22"/>
          <w:szCs w:val="22"/>
        </w:rPr>
        <w:t xml:space="preserve">Building an </w:t>
      </w:r>
      <w:proofErr w:type="spellStart"/>
      <w:r w:rsidRPr="00B05669">
        <w:rPr>
          <w:rFonts w:ascii="Segoe UI" w:eastAsiaTheme="majorEastAsia" w:hAnsi="Segoe UI" w:cs="Segoe UI"/>
          <w:b/>
          <w:bCs/>
          <w:sz w:val="22"/>
          <w:szCs w:val="22"/>
        </w:rPr>
        <w:t>organisational</w:t>
      </w:r>
      <w:proofErr w:type="spellEnd"/>
      <w:r w:rsidRPr="00B05669">
        <w:rPr>
          <w:rFonts w:ascii="Segoe UI" w:eastAsiaTheme="majorEastAsia" w:hAnsi="Segoe UI" w:cs="Segoe UI"/>
          <w:b/>
          <w:bCs/>
          <w:sz w:val="22"/>
          <w:szCs w:val="22"/>
        </w:rPr>
        <w:t xml:space="preserve"> culture of continuous improvement</w:t>
      </w:r>
    </w:p>
    <w:p w14:paraId="5565843D" w14:textId="77777777" w:rsidR="004764B1" w:rsidRDefault="004764B1" w:rsidP="007937C8">
      <w:pPr>
        <w:pStyle w:val="NoSpacing"/>
        <w:jc w:val="both"/>
        <w:rPr>
          <w:rFonts w:ascii="Segoe UI" w:hAnsi="Segoe UI" w:cs="Segoe UI"/>
        </w:rPr>
      </w:pPr>
    </w:p>
    <w:p w14:paraId="328EF9F1" w14:textId="77777777" w:rsidR="004764B1" w:rsidRDefault="004764B1" w:rsidP="007937C8">
      <w:pPr>
        <w:pStyle w:val="NoSpacing"/>
        <w:jc w:val="both"/>
        <w:rPr>
          <w:rFonts w:ascii="Segoe UI" w:hAnsi="Segoe UI" w:cs="Segoe UI"/>
        </w:rPr>
      </w:pPr>
      <w:r w:rsidRPr="00296E91">
        <w:rPr>
          <w:rFonts w:ascii="Segoe UI" w:hAnsi="Segoe UI" w:cs="Segoe UI"/>
        </w:rPr>
        <w:t>This evaluation, which examined how five NHS trusts in England attempted to build a culture of continuous improvement, provides important lessons about how to plan and implement an organisation-wide approach to improvement.</w:t>
      </w:r>
    </w:p>
    <w:p w14:paraId="32176DF7" w14:textId="77777777" w:rsidR="004764B1" w:rsidRPr="00296E91" w:rsidRDefault="004764B1" w:rsidP="007937C8">
      <w:pPr>
        <w:pStyle w:val="NoSpacing"/>
        <w:jc w:val="both"/>
        <w:rPr>
          <w:rFonts w:ascii="Segoe UI" w:hAnsi="Segoe UI" w:cs="Segoe UI"/>
        </w:rPr>
      </w:pPr>
    </w:p>
    <w:p w14:paraId="47E26749" w14:textId="77777777" w:rsidR="004764B1" w:rsidRPr="00096B6F" w:rsidRDefault="008A1AA3" w:rsidP="007937C8">
      <w:pPr>
        <w:pStyle w:val="NoSpacing"/>
        <w:jc w:val="both"/>
        <w:rPr>
          <w:rFonts w:ascii="Segoe UI" w:hAnsi="Segoe UI" w:cs="Segoe UI"/>
          <w:b/>
          <w:bCs/>
        </w:rPr>
      </w:pPr>
      <w:hyperlink r:id="rId55" w:history="1">
        <w:r w:rsidR="004764B1" w:rsidRPr="00096B6F">
          <w:rPr>
            <w:rStyle w:val="Hyperlink"/>
            <w:rFonts w:ascii="Segoe UI" w:hAnsi="Segoe UI" w:cs="Segoe UI"/>
            <w:b/>
            <w:bCs/>
          </w:rPr>
          <w:t>https://www.health.org.uk/publications/long-reads/building-an-organisational-culture-of-continuous-improvement</w:t>
        </w:r>
      </w:hyperlink>
      <w:r w:rsidR="004764B1" w:rsidRPr="00096B6F">
        <w:rPr>
          <w:rFonts w:ascii="Segoe UI" w:hAnsi="Segoe UI" w:cs="Segoe UI"/>
          <w:b/>
          <w:bCs/>
        </w:rPr>
        <w:t xml:space="preserve"> </w:t>
      </w:r>
    </w:p>
    <w:p w14:paraId="60134038" w14:textId="77777777" w:rsidR="00952924" w:rsidRPr="00B05669" w:rsidRDefault="00952924" w:rsidP="007937C8">
      <w:pPr>
        <w:spacing w:before="160"/>
        <w:jc w:val="both"/>
        <w:rPr>
          <w:rFonts w:ascii="Segoe UI" w:eastAsiaTheme="majorEastAsia" w:hAnsi="Segoe UI" w:cs="Segoe UI"/>
          <w:b/>
          <w:bCs/>
          <w:sz w:val="22"/>
          <w:szCs w:val="22"/>
        </w:rPr>
      </w:pPr>
      <w:r w:rsidRPr="00B05669">
        <w:rPr>
          <w:rFonts w:ascii="Segoe UI" w:eastAsiaTheme="majorEastAsia" w:hAnsi="Segoe UI" w:cs="Segoe UI"/>
          <w:b/>
          <w:bCs/>
          <w:sz w:val="22"/>
          <w:szCs w:val="22"/>
          <w:lang w:val="en-GB"/>
        </w:rPr>
        <w:t>Mental Health Act community treatments orders (CTO) – focused visits report</w:t>
      </w:r>
    </w:p>
    <w:p w14:paraId="5D939B7A" w14:textId="77777777" w:rsidR="00952924" w:rsidRPr="00FF1EDE" w:rsidRDefault="00952924" w:rsidP="007937C8">
      <w:pPr>
        <w:spacing w:before="160"/>
        <w:jc w:val="both"/>
        <w:rPr>
          <w:rFonts w:ascii="Segoe UI" w:eastAsiaTheme="majorEastAsia" w:hAnsi="Segoe UI" w:cs="Segoe UI"/>
          <w:i/>
          <w:iCs/>
          <w:sz w:val="22"/>
          <w:szCs w:val="22"/>
          <w:lang w:val="en-GB"/>
        </w:rPr>
      </w:pPr>
      <w:r w:rsidRPr="00FF1EDE">
        <w:rPr>
          <w:rFonts w:ascii="Segoe UI" w:eastAsiaTheme="majorEastAsia" w:hAnsi="Segoe UI" w:cs="Segoe UI"/>
          <w:i/>
          <w:iCs/>
          <w:sz w:val="22"/>
          <w:szCs w:val="22"/>
          <w:lang w:val="en-GB"/>
        </w:rPr>
        <w:t>CQC, 1 Nov 2022</w:t>
      </w:r>
    </w:p>
    <w:p w14:paraId="02C0902F" w14:textId="77777777" w:rsidR="00952924" w:rsidRPr="006765AB" w:rsidRDefault="00952924" w:rsidP="007937C8">
      <w:pPr>
        <w:spacing w:before="160"/>
        <w:jc w:val="both"/>
        <w:rPr>
          <w:rFonts w:ascii="Segoe UI" w:eastAsiaTheme="majorEastAsia" w:hAnsi="Segoe UI" w:cs="Segoe UI"/>
          <w:sz w:val="22"/>
          <w:szCs w:val="22"/>
          <w:lang w:val="en-GB"/>
        </w:rPr>
      </w:pPr>
      <w:r w:rsidRPr="006765AB">
        <w:rPr>
          <w:rFonts w:ascii="Segoe UI" w:eastAsiaTheme="majorEastAsia" w:hAnsi="Segoe UI" w:cs="Segoe UI"/>
          <w:sz w:val="22"/>
          <w:szCs w:val="22"/>
          <w:lang w:val="en-GB"/>
        </w:rPr>
        <w:t xml:space="preserve">During these focused visits, we found that some patients appreciated the benefits of being on a CTO and most community mental health teams closely supervised patients on CTOs. However, there are some fundamental issues around the use of CTOs, for example: the disproportionate impact on Black patients; the family and patient involvement in CTOs varies; in some </w:t>
      </w:r>
      <w:proofErr w:type="gramStart"/>
      <w:r w:rsidRPr="006765AB">
        <w:rPr>
          <w:rFonts w:ascii="Segoe UI" w:eastAsiaTheme="majorEastAsia" w:hAnsi="Segoe UI" w:cs="Segoe UI"/>
          <w:sz w:val="22"/>
          <w:szCs w:val="22"/>
          <w:lang w:val="en-GB"/>
        </w:rPr>
        <w:t>cases</w:t>
      </w:r>
      <w:proofErr w:type="gramEnd"/>
      <w:r w:rsidRPr="006765AB">
        <w:rPr>
          <w:rFonts w:ascii="Segoe UI" w:eastAsiaTheme="majorEastAsia" w:hAnsi="Segoe UI" w:cs="Segoe UI"/>
          <w:sz w:val="22"/>
          <w:szCs w:val="22"/>
          <w:lang w:val="en-GB"/>
        </w:rPr>
        <w:t xml:space="preserve"> CTOs had been active for several years, with the patient not knowing how they could be taken off the CTO.</w:t>
      </w:r>
    </w:p>
    <w:p w14:paraId="30680E07" w14:textId="77777777" w:rsidR="00952924" w:rsidRPr="006765AB" w:rsidRDefault="00952924" w:rsidP="007937C8">
      <w:pPr>
        <w:spacing w:before="160"/>
        <w:jc w:val="both"/>
        <w:rPr>
          <w:rFonts w:ascii="Segoe UI" w:eastAsiaTheme="majorEastAsia" w:hAnsi="Segoe UI" w:cs="Segoe UI"/>
          <w:b/>
          <w:bCs/>
          <w:sz w:val="22"/>
          <w:szCs w:val="22"/>
          <w:lang w:val="en-GB"/>
        </w:rPr>
      </w:pPr>
      <w:r w:rsidRPr="006765AB">
        <w:rPr>
          <w:rFonts w:ascii="Segoe UI" w:eastAsiaTheme="majorEastAsia" w:hAnsi="Segoe UI" w:cs="Segoe UI"/>
          <w:b/>
          <w:bCs/>
          <w:sz w:val="22"/>
          <w:szCs w:val="22"/>
          <w:lang w:val="en-GB"/>
        </w:rPr>
        <w:t xml:space="preserve">Report: </w:t>
      </w:r>
      <w:hyperlink r:id="rId56" w:history="1">
        <w:r w:rsidRPr="006765AB">
          <w:rPr>
            <w:rStyle w:val="Hyperlink"/>
            <w:rFonts w:ascii="Segoe UI" w:eastAsiaTheme="majorEastAsia" w:hAnsi="Segoe UI" w:cs="Segoe UI"/>
            <w:b/>
            <w:bCs/>
            <w:sz w:val="22"/>
            <w:szCs w:val="22"/>
            <w:lang w:val="en-GB"/>
          </w:rPr>
          <w:t>https://www.cqc.org.uk/publication/cto-focused-visits</w:t>
        </w:r>
      </w:hyperlink>
      <w:r w:rsidRPr="006765AB">
        <w:rPr>
          <w:rFonts w:ascii="Segoe UI" w:eastAsiaTheme="majorEastAsia" w:hAnsi="Segoe UI" w:cs="Segoe UI"/>
          <w:b/>
          <w:bCs/>
          <w:sz w:val="22"/>
          <w:szCs w:val="22"/>
          <w:lang w:val="en-GB"/>
        </w:rPr>
        <w:t xml:space="preserve"> </w:t>
      </w:r>
    </w:p>
    <w:p w14:paraId="4157A7B0" w14:textId="73EF8DEF" w:rsidR="00952924" w:rsidRPr="00913CBC" w:rsidRDefault="00952924" w:rsidP="007937C8">
      <w:pPr>
        <w:spacing w:before="160"/>
        <w:jc w:val="both"/>
        <w:rPr>
          <w:rFonts w:ascii="Segoe UI" w:eastAsiaTheme="majorEastAsia" w:hAnsi="Segoe UI" w:cs="Segoe UI"/>
          <w:b/>
          <w:bCs/>
          <w:sz w:val="22"/>
          <w:szCs w:val="22"/>
        </w:rPr>
      </w:pPr>
      <w:r w:rsidRPr="006765AB">
        <w:rPr>
          <w:rFonts w:ascii="Segoe UI" w:eastAsiaTheme="majorEastAsia" w:hAnsi="Segoe UI" w:cs="Segoe UI"/>
          <w:b/>
          <w:bCs/>
          <w:sz w:val="22"/>
          <w:szCs w:val="22"/>
          <w:lang w:val="en-GB"/>
        </w:rPr>
        <w:t xml:space="preserve">Narrative summary: </w:t>
      </w:r>
      <w:hyperlink r:id="rId57" w:history="1">
        <w:r w:rsidRPr="006765AB">
          <w:rPr>
            <w:rStyle w:val="Hyperlink"/>
            <w:rFonts w:ascii="Segoe UI" w:eastAsiaTheme="majorEastAsia" w:hAnsi="Segoe UI" w:cs="Segoe UI"/>
            <w:b/>
            <w:bCs/>
            <w:sz w:val="22"/>
            <w:szCs w:val="22"/>
            <w:lang w:val="en-GB"/>
          </w:rPr>
          <w:t>https://www.cqc.org.uk/news/mental-health-act-community-treatments-orders-focused-visits-report</w:t>
        </w:r>
      </w:hyperlink>
    </w:p>
    <w:p w14:paraId="3924702F" w14:textId="0176B057" w:rsidR="00466954" w:rsidRPr="00B05669" w:rsidRDefault="00466954" w:rsidP="007937C8">
      <w:pPr>
        <w:spacing w:before="160"/>
        <w:jc w:val="both"/>
        <w:rPr>
          <w:rFonts w:ascii="Segoe UI" w:eastAsiaTheme="majorEastAsia" w:hAnsi="Segoe UI" w:cs="Segoe UI"/>
          <w:b/>
          <w:bCs/>
          <w:sz w:val="22"/>
          <w:szCs w:val="22"/>
        </w:rPr>
      </w:pPr>
      <w:r w:rsidRPr="00B05669">
        <w:rPr>
          <w:rFonts w:ascii="Segoe UI" w:eastAsiaTheme="majorEastAsia" w:hAnsi="Segoe UI" w:cs="Segoe UI"/>
          <w:b/>
          <w:bCs/>
          <w:sz w:val="22"/>
          <w:szCs w:val="22"/>
        </w:rPr>
        <w:t>Mental health pressures in England.</w:t>
      </w:r>
    </w:p>
    <w:p w14:paraId="45F07FEF" w14:textId="77777777" w:rsidR="00466954" w:rsidRDefault="00466954" w:rsidP="007937C8">
      <w:pPr>
        <w:pStyle w:val="NoSpacing"/>
        <w:jc w:val="both"/>
        <w:rPr>
          <w:rFonts w:ascii="Segoe UI" w:hAnsi="Segoe UI" w:cs="Segoe UI"/>
        </w:rPr>
      </w:pPr>
    </w:p>
    <w:p w14:paraId="3668CAE4" w14:textId="77777777" w:rsidR="00466954" w:rsidRDefault="00466954" w:rsidP="007937C8">
      <w:pPr>
        <w:pStyle w:val="NoSpacing"/>
        <w:jc w:val="both"/>
        <w:rPr>
          <w:rFonts w:ascii="Segoe UI" w:hAnsi="Segoe UI" w:cs="Segoe UI"/>
        </w:rPr>
      </w:pPr>
      <w:r w:rsidRPr="00296E91">
        <w:rPr>
          <w:rFonts w:ascii="Segoe UI" w:hAnsi="Segoe UI" w:cs="Segoe UI"/>
        </w:rPr>
        <w:t xml:space="preserve">This provides analysis on the pressures placed on mental health services, including access to services, workforce, and funding and is updated monthly and quarterly with new data. </w:t>
      </w:r>
    </w:p>
    <w:p w14:paraId="6D3C6936" w14:textId="77777777" w:rsidR="00466954" w:rsidRPr="00296E91" w:rsidRDefault="00466954" w:rsidP="007937C8">
      <w:pPr>
        <w:pStyle w:val="NoSpacing"/>
        <w:jc w:val="both"/>
        <w:rPr>
          <w:rFonts w:ascii="Segoe UI" w:hAnsi="Segoe UI" w:cs="Segoe UI"/>
        </w:rPr>
      </w:pPr>
    </w:p>
    <w:p w14:paraId="052505C1" w14:textId="604DB8FD" w:rsidR="00466954" w:rsidRPr="00466954" w:rsidRDefault="008A1AA3" w:rsidP="004C21C7">
      <w:pPr>
        <w:rPr>
          <w:rFonts w:ascii="Segoe UI" w:hAnsi="Segoe UI" w:cs="Segoe UI"/>
          <w:b/>
          <w:bCs/>
          <w:sz w:val="22"/>
          <w:szCs w:val="22"/>
          <w:u w:val="single"/>
          <w:lang w:val="en-GB"/>
        </w:rPr>
      </w:pPr>
      <w:hyperlink r:id="rId58" w:history="1">
        <w:r w:rsidR="00466954" w:rsidRPr="00466954">
          <w:rPr>
            <w:rStyle w:val="Hyperlink"/>
            <w:rFonts w:ascii="Segoe UI" w:hAnsi="Segoe UI" w:cs="Segoe UI"/>
            <w:b/>
            <w:bCs/>
            <w:sz w:val="22"/>
            <w:szCs w:val="22"/>
          </w:rPr>
          <w:t>https://www.bma.org.uk/advice-and-support/nhs-delivery-and-workforce/pressures/mental-health-pressures-data-analysis</w:t>
        </w:r>
      </w:hyperlink>
    </w:p>
    <w:p w14:paraId="7C3EA662" w14:textId="77777777" w:rsidR="005A1514" w:rsidRPr="00A6321D" w:rsidRDefault="005A1514" w:rsidP="007937C8">
      <w:pPr>
        <w:jc w:val="both"/>
        <w:rPr>
          <w:rFonts w:ascii="Segoe UI" w:hAnsi="Segoe UI" w:cs="Segoe UI"/>
          <w:b/>
          <w:bCs/>
          <w:sz w:val="22"/>
          <w:szCs w:val="22"/>
          <w:u w:val="single"/>
          <w:lang w:val="en-GB"/>
        </w:rPr>
      </w:pPr>
    </w:p>
    <w:p w14:paraId="41548B32" w14:textId="77777777" w:rsidR="00102954" w:rsidRPr="00B05669" w:rsidRDefault="00102954" w:rsidP="007937C8">
      <w:pPr>
        <w:spacing w:before="160"/>
        <w:jc w:val="both"/>
        <w:rPr>
          <w:rFonts w:ascii="Segoe UI" w:eastAsiaTheme="majorEastAsia" w:hAnsi="Segoe UI" w:cs="Segoe UI"/>
          <w:b/>
          <w:bCs/>
          <w:sz w:val="22"/>
          <w:szCs w:val="22"/>
        </w:rPr>
      </w:pPr>
      <w:r w:rsidRPr="00B05669">
        <w:rPr>
          <w:rFonts w:ascii="Segoe UI" w:eastAsiaTheme="majorEastAsia" w:hAnsi="Segoe UI" w:cs="Segoe UI"/>
          <w:b/>
          <w:bCs/>
          <w:sz w:val="22"/>
          <w:szCs w:val="22"/>
        </w:rPr>
        <w:t>Safer care for all: Solutions from professional regulation and beyond</w:t>
      </w:r>
    </w:p>
    <w:p w14:paraId="636CC9D0" w14:textId="77777777" w:rsidR="00102954" w:rsidRDefault="00102954" w:rsidP="007937C8">
      <w:pPr>
        <w:pStyle w:val="NoSpacing"/>
        <w:jc w:val="both"/>
        <w:rPr>
          <w:rFonts w:ascii="Segoe UI" w:hAnsi="Segoe UI" w:cs="Segoe UI"/>
        </w:rPr>
      </w:pPr>
    </w:p>
    <w:p w14:paraId="5F8729CB" w14:textId="77777777" w:rsidR="00102954" w:rsidRPr="00A33CBD" w:rsidRDefault="00102954" w:rsidP="007937C8">
      <w:pPr>
        <w:pStyle w:val="NoSpacing"/>
        <w:jc w:val="both"/>
        <w:rPr>
          <w:rFonts w:ascii="Segoe UI" w:hAnsi="Segoe UI" w:cs="Segoe UI"/>
        </w:rPr>
      </w:pPr>
      <w:r w:rsidRPr="00A33CBD">
        <w:rPr>
          <w:rFonts w:ascii="Segoe UI" w:hAnsi="Segoe UI" w:cs="Segoe UI"/>
        </w:rPr>
        <w:t>The Professional Standards Authority (PSA), the oversight body for the health and care professional regulators and registers in the UK, has published a report which examines the major patient and service user safety issues from the perspective of professional regulation. The overall conclusion of the report is that the UK needs a more robust approach to ensuring that health and social care are safer for everyone.</w:t>
      </w:r>
    </w:p>
    <w:p w14:paraId="5F5B4CE7" w14:textId="77777777" w:rsidR="00102954" w:rsidRDefault="00102954" w:rsidP="007937C8">
      <w:pPr>
        <w:pStyle w:val="NoSpacing"/>
        <w:jc w:val="both"/>
        <w:rPr>
          <w:rFonts w:ascii="Segoe UI" w:hAnsi="Segoe UI" w:cs="Segoe UI"/>
        </w:rPr>
      </w:pPr>
    </w:p>
    <w:p w14:paraId="4CA212EF" w14:textId="77777777" w:rsidR="00102954" w:rsidRPr="008139A8" w:rsidRDefault="008A1AA3" w:rsidP="007937C8">
      <w:pPr>
        <w:pStyle w:val="NoSpacing"/>
        <w:jc w:val="both"/>
        <w:rPr>
          <w:rFonts w:ascii="Segoe UI" w:hAnsi="Segoe UI" w:cs="Segoe UI"/>
          <w:b/>
          <w:bCs/>
        </w:rPr>
      </w:pPr>
      <w:hyperlink r:id="rId59" w:history="1">
        <w:r w:rsidR="00102954" w:rsidRPr="008139A8">
          <w:rPr>
            <w:rStyle w:val="Hyperlink"/>
            <w:rFonts w:ascii="Segoe UI" w:hAnsi="Segoe UI" w:cs="Segoe UI"/>
            <w:b/>
            <w:bCs/>
          </w:rPr>
          <w:t>https://www.professionalstandards.org.uk/docs/default-source/publications/thought-paper/safer-care-for-all-solutions-from-professional-regulation-and-beyond.pdf?sfvrsn=9364b20_4</w:t>
        </w:r>
      </w:hyperlink>
      <w:r w:rsidR="00102954" w:rsidRPr="008139A8">
        <w:rPr>
          <w:rFonts w:ascii="Segoe UI" w:hAnsi="Segoe UI" w:cs="Segoe UI"/>
          <w:b/>
          <w:bCs/>
        </w:rPr>
        <w:t xml:space="preserve"> </w:t>
      </w:r>
    </w:p>
    <w:p w14:paraId="00BD2C93" w14:textId="77777777" w:rsidR="00102954" w:rsidRPr="008139A8" w:rsidRDefault="00102954" w:rsidP="007937C8">
      <w:pPr>
        <w:pStyle w:val="NoSpacing"/>
        <w:jc w:val="both"/>
        <w:rPr>
          <w:rFonts w:ascii="Segoe UI" w:hAnsi="Segoe UI" w:cs="Segoe UI"/>
          <w:b/>
          <w:bCs/>
          <w:i/>
          <w:iCs/>
        </w:rPr>
      </w:pPr>
    </w:p>
    <w:p w14:paraId="7463BD65" w14:textId="77777777" w:rsidR="00102954" w:rsidRPr="008139A8" w:rsidRDefault="008A1AA3" w:rsidP="007937C8">
      <w:pPr>
        <w:pStyle w:val="NoSpacing"/>
        <w:jc w:val="both"/>
        <w:rPr>
          <w:rFonts w:ascii="Segoe UI" w:hAnsi="Segoe UI" w:cs="Segoe UI"/>
          <w:b/>
          <w:bCs/>
        </w:rPr>
      </w:pPr>
      <w:hyperlink r:id="rId60" w:history="1">
        <w:r w:rsidR="00102954" w:rsidRPr="008139A8">
          <w:rPr>
            <w:rStyle w:val="Hyperlink"/>
            <w:rFonts w:ascii="Segoe UI" w:hAnsi="Segoe UI" w:cs="Segoe UI"/>
            <w:b/>
            <w:bCs/>
          </w:rPr>
          <w:t>https://www.lexology.com/library/detail.aspx?g=974df1f8-fa1b-4b10-a86f-dcc255562d0a</w:t>
        </w:r>
      </w:hyperlink>
      <w:r w:rsidR="00102954" w:rsidRPr="008139A8">
        <w:rPr>
          <w:rFonts w:ascii="Segoe UI" w:hAnsi="Segoe UI" w:cs="Segoe UI"/>
          <w:b/>
          <w:bCs/>
        </w:rPr>
        <w:t xml:space="preserve"> </w:t>
      </w:r>
    </w:p>
    <w:p w14:paraId="2CF0E0DF" w14:textId="1DAC805A" w:rsidR="00102954" w:rsidRDefault="00102954" w:rsidP="007937C8">
      <w:pPr>
        <w:jc w:val="both"/>
        <w:rPr>
          <w:rFonts w:ascii="Segoe UI" w:eastAsia="Calibri" w:hAnsi="Segoe UI" w:cs="Segoe UI"/>
          <w:b/>
          <w:bCs/>
          <w:sz w:val="22"/>
          <w:szCs w:val="22"/>
          <w:lang w:val="en-GB"/>
        </w:rPr>
      </w:pPr>
    </w:p>
    <w:p w14:paraId="04126586" w14:textId="77777777" w:rsidR="00450DC6" w:rsidRPr="00DB0373" w:rsidRDefault="00450DC6" w:rsidP="007937C8">
      <w:pPr>
        <w:jc w:val="both"/>
        <w:rPr>
          <w:rFonts w:ascii="Segoe UI" w:eastAsia="Calibri" w:hAnsi="Segoe UI" w:cs="Segoe UI"/>
          <w:b/>
          <w:bCs/>
          <w:sz w:val="22"/>
          <w:szCs w:val="22"/>
        </w:rPr>
      </w:pPr>
      <w:r w:rsidRPr="00DB0373">
        <w:rPr>
          <w:rFonts w:ascii="Segoe UI" w:eastAsia="Calibri" w:hAnsi="Segoe UI" w:cs="Segoe UI"/>
          <w:b/>
          <w:bCs/>
          <w:sz w:val="22"/>
          <w:szCs w:val="22"/>
        </w:rPr>
        <w:t>Building better health: exploring opportunities for healthcare estate under integrated care systems</w:t>
      </w:r>
    </w:p>
    <w:p w14:paraId="50CD890A" w14:textId="77777777" w:rsidR="00450DC6" w:rsidRPr="00450DC6" w:rsidRDefault="00450DC6" w:rsidP="007937C8">
      <w:pPr>
        <w:jc w:val="both"/>
        <w:rPr>
          <w:rFonts w:ascii="Segoe UI" w:eastAsia="Calibri" w:hAnsi="Segoe UI" w:cs="Segoe UI"/>
          <w:b/>
          <w:bCs/>
          <w:i/>
          <w:iCs/>
          <w:sz w:val="22"/>
          <w:szCs w:val="22"/>
          <w:lang w:val="en-GB"/>
        </w:rPr>
      </w:pPr>
    </w:p>
    <w:p w14:paraId="780F29C8" w14:textId="77777777" w:rsidR="00450DC6" w:rsidRPr="00450DC6" w:rsidRDefault="00450DC6" w:rsidP="007937C8">
      <w:pPr>
        <w:jc w:val="both"/>
        <w:rPr>
          <w:rFonts w:ascii="Segoe UI" w:eastAsia="Calibri" w:hAnsi="Segoe UI" w:cs="Segoe UI"/>
          <w:sz w:val="22"/>
          <w:szCs w:val="22"/>
          <w:lang w:val="en-GB"/>
        </w:rPr>
      </w:pPr>
      <w:r w:rsidRPr="00450DC6">
        <w:rPr>
          <w:rFonts w:ascii="Segoe UI" w:eastAsia="Calibri" w:hAnsi="Segoe UI" w:cs="Segoe UI"/>
          <w:sz w:val="22"/>
          <w:szCs w:val="22"/>
          <w:lang w:val="en-GB"/>
        </w:rPr>
        <w:t>In July 2022, the Good Governance Institute and Primary Health Properties hosted a roundtable discussion to look at the opportunities for estates in integrated care to drive reform, inspire innovation and enable improvement. This long read summarises the discussion.</w:t>
      </w:r>
    </w:p>
    <w:p w14:paraId="78C2E619" w14:textId="77777777" w:rsidR="00450DC6" w:rsidRPr="00450DC6" w:rsidRDefault="00450DC6" w:rsidP="007937C8">
      <w:pPr>
        <w:jc w:val="both"/>
        <w:rPr>
          <w:rFonts w:ascii="Segoe UI" w:eastAsia="Calibri" w:hAnsi="Segoe UI" w:cs="Segoe UI"/>
          <w:b/>
          <w:bCs/>
          <w:sz w:val="22"/>
          <w:szCs w:val="22"/>
          <w:lang w:val="en-GB"/>
        </w:rPr>
      </w:pPr>
    </w:p>
    <w:p w14:paraId="68024471" w14:textId="77777777" w:rsidR="00450DC6" w:rsidRPr="00450DC6" w:rsidRDefault="008A1AA3" w:rsidP="007937C8">
      <w:pPr>
        <w:jc w:val="both"/>
        <w:rPr>
          <w:rFonts w:ascii="Segoe UI" w:eastAsia="Calibri" w:hAnsi="Segoe UI" w:cs="Segoe UI"/>
          <w:b/>
          <w:bCs/>
          <w:sz w:val="22"/>
          <w:szCs w:val="22"/>
          <w:lang w:val="en-GB"/>
        </w:rPr>
      </w:pPr>
      <w:hyperlink r:id="rId61" w:history="1">
        <w:r w:rsidR="00450DC6" w:rsidRPr="00450DC6">
          <w:rPr>
            <w:rStyle w:val="Hyperlink"/>
            <w:rFonts w:ascii="Segoe UI" w:eastAsia="Calibri" w:hAnsi="Segoe UI" w:cs="Segoe UI"/>
            <w:b/>
            <w:bCs/>
            <w:sz w:val="22"/>
            <w:szCs w:val="22"/>
            <w:lang w:val="en-GB"/>
          </w:rPr>
          <w:t>https://www.good-governance.org.uk/publications/news/building-better-health-exploring-opportunities-for-healthcare-estate-under-integrated-care-systems</w:t>
        </w:r>
      </w:hyperlink>
      <w:r w:rsidR="00450DC6" w:rsidRPr="00450DC6">
        <w:rPr>
          <w:rFonts w:ascii="Segoe UI" w:eastAsia="Calibri" w:hAnsi="Segoe UI" w:cs="Segoe UI"/>
          <w:b/>
          <w:bCs/>
          <w:sz w:val="22"/>
          <w:szCs w:val="22"/>
          <w:lang w:val="en-GB"/>
        </w:rPr>
        <w:t xml:space="preserve"> </w:t>
      </w:r>
    </w:p>
    <w:p w14:paraId="7DC4D110" w14:textId="41212388" w:rsidR="00450DC6" w:rsidRDefault="00450DC6" w:rsidP="007937C8">
      <w:pPr>
        <w:jc w:val="both"/>
        <w:rPr>
          <w:rFonts w:ascii="Segoe UI" w:eastAsia="Calibri" w:hAnsi="Segoe UI" w:cs="Segoe UI"/>
          <w:b/>
          <w:bCs/>
          <w:sz w:val="22"/>
          <w:szCs w:val="22"/>
          <w:lang w:val="en-GB"/>
        </w:rPr>
      </w:pPr>
    </w:p>
    <w:p w14:paraId="3578FDB5" w14:textId="77777777" w:rsidR="002B08A2" w:rsidRPr="002B08A2" w:rsidRDefault="002B08A2" w:rsidP="007937C8">
      <w:pPr>
        <w:jc w:val="both"/>
        <w:rPr>
          <w:rFonts w:ascii="Segoe UI" w:eastAsia="Calibri" w:hAnsi="Segoe UI" w:cs="Segoe UI"/>
          <w:b/>
          <w:bCs/>
          <w:sz w:val="22"/>
          <w:szCs w:val="22"/>
          <w:lang w:val="en-GB"/>
        </w:rPr>
      </w:pPr>
      <w:r w:rsidRPr="002B08A2">
        <w:rPr>
          <w:rFonts w:ascii="Segoe UI" w:eastAsia="Calibri" w:hAnsi="Segoe UI" w:cs="Segoe UI"/>
          <w:b/>
          <w:bCs/>
          <w:sz w:val="22"/>
          <w:szCs w:val="22"/>
          <w:lang w:val="en-GB"/>
        </w:rPr>
        <w:t>Introducing Integrated Care Systems: joining up local services to improve health outcomes</w:t>
      </w:r>
    </w:p>
    <w:p w14:paraId="7DA9C84A" w14:textId="77777777" w:rsidR="002B08A2" w:rsidRPr="002B08A2" w:rsidRDefault="002B08A2" w:rsidP="007937C8">
      <w:pPr>
        <w:jc w:val="both"/>
        <w:rPr>
          <w:rFonts w:ascii="Segoe UI" w:eastAsia="Calibri" w:hAnsi="Segoe UI" w:cs="Segoe UI"/>
          <w:i/>
          <w:iCs/>
          <w:sz w:val="22"/>
          <w:szCs w:val="22"/>
          <w:lang w:val="en-GB"/>
        </w:rPr>
      </w:pPr>
      <w:r w:rsidRPr="002B08A2">
        <w:rPr>
          <w:rFonts w:ascii="Segoe UI" w:eastAsia="Calibri" w:hAnsi="Segoe UI" w:cs="Segoe UI"/>
          <w:i/>
          <w:iCs/>
          <w:sz w:val="22"/>
          <w:szCs w:val="22"/>
          <w:lang w:val="en-GB"/>
        </w:rPr>
        <w:t>National Audit Office, 14 Oct 2022</w:t>
      </w:r>
    </w:p>
    <w:p w14:paraId="7575C048" w14:textId="77777777" w:rsidR="002B08A2" w:rsidRPr="002B08A2" w:rsidRDefault="002B08A2" w:rsidP="007937C8">
      <w:pPr>
        <w:jc w:val="both"/>
        <w:rPr>
          <w:rFonts w:ascii="Segoe UI" w:eastAsia="Calibri" w:hAnsi="Segoe UI" w:cs="Segoe UI"/>
          <w:sz w:val="22"/>
          <w:szCs w:val="22"/>
          <w:lang w:val="en-GB"/>
        </w:rPr>
      </w:pPr>
      <w:r w:rsidRPr="002B08A2">
        <w:rPr>
          <w:rFonts w:ascii="Segoe UI" w:eastAsia="Calibri" w:hAnsi="Segoe UI" w:cs="Segoe UI"/>
          <w:sz w:val="22"/>
          <w:szCs w:val="22"/>
          <w:lang w:val="en-GB"/>
        </w:rPr>
        <w:t>This report examines the setup of ICSs and the risks they must manage. Unlike many NAO reports, this is not an assessment of whether the programme has secured good value for money to date. Instead, it is an assessment of where they are starting from and the challenges and opportunities ahead. We make recommendations intended to help manage those risks and realise those opportunities.</w:t>
      </w:r>
    </w:p>
    <w:p w14:paraId="415E7EAC" w14:textId="7216CAA6" w:rsidR="002B08A2" w:rsidRDefault="008A1AA3" w:rsidP="007937C8">
      <w:pPr>
        <w:jc w:val="both"/>
        <w:rPr>
          <w:rFonts w:ascii="Segoe UI" w:eastAsia="Calibri" w:hAnsi="Segoe UI" w:cs="Segoe UI"/>
          <w:b/>
          <w:bCs/>
          <w:sz w:val="22"/>
          <w:szCs w:val="22"/>
          <w:lang w:val="en-GB"/>
        </w:rPr>
      </w:pPr>
      <w:hyperlink r:id="rId62" w:history="1">
        <w:r w:rsidR="002B08A2" w:rsidRPr="002B08A2">
          <w:rPr>
            <w:rStyle w:val="Hyperlink"/>
            <w:rFonts w:ascii="Segoe UI" w:eastAsia="Calibri" w:hAnsi="Segoe UI" w:cs="Segoe UI"/>
            <w:b/>
            <w:bCs/>
            <w:sz w:val="22"/>
            <w:szCs w:val="22"/>
            <w:lang w:val="en-GB"/>
          </w:rPr>
          <w:t>https://www.nao.org.uk/reports/introducing-integrated-care-systems-joining-up-local-services-to-improve-health-outcomes/</w:t>
        </w:r>
      </w:hyperlink>
      <w:r w:rsidR="002B08A2" w:rsidRPr="002B08A2">
        <w:rPr>
          <w:rFonts w:ascii="Segoe UI" w:eastAsia="Calibri" w:hAnsi="Segoe UI" w:cs="Segoe UI"/>
          <w:b/>
          <w:bCs/>
          <w:sz w:val="22"/>
          <w:szCs w:val="22"/>
          <w:lang w:val="en-GB"/>
        </w:rPr>
        <w:t xml:space="preserve"> </w:t>
      </w:r>
    </w:p>
    <w:p w14:paraId="6F692E20" w14:textId="158B2AC0" w:rsidR="00BC661F" w:rsidRDefault="00BC661F" w:rsidP="007937C8">
      <w:pPr>
        <w:jc w:val="both"/>
        <w:rPr>
          <w:rFonts w:ascii="Segoe UI" w:eastAsia="Calibri" w:hAnsi="Segoe UI" w:cs="Segoe UI"/>
          <w:b/>
          <w:bCs/>
          <w:sz w:val="22"/>
          <w:szCs w:val="22"/>
          <w:lang w:val="en-GB"/>
        </w:rPr>
      </w:pPr>
    </w:p>
    <w:p w14:paraId="23D6700C" w14:textId="77777777" w:rsidR="00BC661F" w:rsidRPr="00BC661F" w:rsidRDefault="00BC661F" w:rsidP="007937C8">
      <w:pPr>
        <w:jc w:val="both"/>
        <w:rPr>
          <w:rFonts w:ascii="Segoe UI" w:eastAsia="Calibri" w:hAnsi="Segoe UI" w:cs="Segoe UI"/>
          <w:b/>
          <w:bCs/>
          <w:sz w:val="22"/>
          <w:szCs w:val="22"/>
          <w:lang w:val="en-GB"/>
        </w:rPr>
      </w:pPr>
      <w:r w:rsidRPr="00BC661F">
        <w:rPr>
          <w:rFonts w:ascii="Segoe UI" w:eastAsia="Calibri" w:hAnsi="Segoe UI" w:cs="Segoe UI"/>
          <w:b/>
          <w:bCs/>
          <w:sz w:val="22"/>
          <w:szCs w:val="22"/>
          <w:lang w:val="en-GB"/>
        </w:rPr>
        <w:t>A renewed vision for the NHS</w:t>
      </w:r>
    </w:p>
    <w:p w14:paraId="74953C0C" w14:textId="77777777" w:rsidR="00BC661F" w:rsidRPr="00BC661F" w:rsidRDefault="00BC661F" w:rsidP="007937C8">
      <w:pPr>
        <w:jc w:val="both"/>
        <w:rPr>
          <w:rFonts w:ascii="Segoe UI" w:eastAsia="Calibri" w:hAnsi="Segoe UI" w:cs="Segoe UI"/>
          <w:i/>
          <w:iCs/>
          <w:sz w:val="22"/>
          <w:szCs w:val="22"/>
          <w:lang w:val="en-GB"/>
        </w:rPr>
      </w:pPr>
      <w:r w:rsidRPr="00BC661F">
        <w:rPr>
          <w:rFonts w:ascii="Segoe UI" w:eastAsia="Calibri" w:hAnsi="Segoe UI" w:cs="Segoe UI"/>
          <w:i/>
          <w:iCs/>
          <w:sz w:val="22"/>
          <w:szCs w:val="22"/>
          <w:lang w:val="en-GB"/>
        </w:rPr>
        <w:t>NHS Confederation, 7 Oct 2022</w:t>
      </w:r>
    </w:p>
    <w:p w14:paraId="1C2D8156" w14:textId="77777777" w:rsidR="00BC661F" w:rsidRPr="00BC661F" w:rsidRDefault="00BC661F" w:rsidP="007937C8">
      <w:pPr>
        <w:jc w:val="both"/>
        <w:rPr>
          <w:rFonts w:ascii="Segoe UI" w:eastAsia="Calibri" w:hAnsi="Segoe UI" w:cs="Segoe UI"/>
          <w:sz w:val="22"/>
          <w:szCs w:val="22"/>
          <w:lang w:val="en-GB"/>
        </w:rPr>
      </w:pPr>
      <w:r w:rsidRPr="00BC661F">
        <w:rPr>
          <w:rFonts w:ascii="Segoe UI" w:eastAsia="Calibri" w:hAnsi="Segoe UI" w:cs="Segoe UI"/>
          <w:sz w:val="22"/>
          <w:szCs w:val="22"/>
          <w:lang w:val="en-GB"/>
        </w:rPr>
        <w:t xml:space="preserve">Key considerations to support planning for the future, including how </w:t>
      </w:r>
      <w:proofErr w:type="gramStart"/>
      <w:r w:rsidRPr="00BC661F">
        <w:rPr>
          <w:rFonts w:ascii="Segoe UI" w:eastAsia="Calibri" w:hAnsi="Segoe UI" w:cs="Segoe UI"/>
          <w:sz w:val="22"/>
          <w:szCs w:val="22"/>
          <w:lang w:val="en-GB"/>
        </w:rPr>
        <w:t>Long Term</w:t>
      </w:r>
      <w:proofErr w:type="gramEnd"/>
      <w:r w:rsidRPr="00BC661F">
        <w:rPr>
          <w:rFonts w:ascii="Segoe UI" w:eastAsia="Calibri" w:hAnsi="Segoe UI" w:cs="Segoe UI"/>
          <w:sz w:val="22"/>
          <w:szCs w:val="22"/>
          <w:lang w:val="en-GB"/>
        </w:rPr>
        <w:t xml:space="preserve"> Plan priorities may need to be adjusted post COVID-19.</w:t>
      </w:r>
    </w:p>
    <w:p w14:paraId="16F3CE8F" w14:textId="6DFA4ACD" w:rsidR="00BC661F" w:rsidRPr="002B08A2" w:rsidRDefault="008A1AA3" w:rsidP="007937C8">
      <w:pPr>
        <w:jc w:val="both"/>
        <w:rPr>
          <w:rFonts w:ascii="Segoe UI" w:eastAsia="Calibri" w:hAnsi="Segoe UI" w:cs="Segoe UI"/>
          <w:b/>
          <w:bCs/>
          <w:sz w:val="22"/>
          <w:szCs w:val="22"/>
          <w:lang w:val="en-GB"/>
        </w:rPr>
      </w:pPr>
      <w:hyperlink r:id="rId63" w:history="1">
        <w:r w:rsidR="00BC661F" w:rsidRPr="00BC661F">
          <w:rPr>
            <w:rStyle w:val="Hyperlink"/>
            <w:rFonts w:ascii="Segoe UI" w:eastAsia="Calibri" w:hAnsi="Segoe UI" w:cs="Segoe UI"/>
            <w:b/>
            <w:bCs/>
            <w:sz w:val="22"/>
            <w:szCs w:val="22"/>
            <w:lang w:val="en-GB"/>
          </w:rPr>
          <w:t>https://www.nhsconfed.org/publications/renewed-vision-nhs</w:t>
        </w:r>
      </w:hyperlink>
    </w:p>
    <w:p w14:paraId="2F5D013B" w14:textId="77777777" w:rsidR="00740FF4" w:rsidRPr="002B08A2" w:rsidRDefault="00740FF4" w:rsidP="007937C8">
      <w:pPr>
        <w:jc w:val="both"/>
        <w:rPr>
          <w:rFonts w:ascii="Segoe UI" w:eastAsia="Calibri" w:hAnsi="Segoe UI" w:cs="Segoe UI"/>
          <w:b/>
          <w:bCs/>
          <w:sz w:val="22"/>
          <w:szCs w:val="22"/>
          <w:lang w:val="en-GB"/>
        </w:rPr>
      </w:pPr>
    </w:p>
    <w:p w14:paraId="160762B8" w14:textId="77777777" w:rsidR="00102954" w:rsidRDefault="00102954" w:rsidP="007937C8">
      <w:pPr>
        <w:jc w:val="both"/>
        <w:rPr>
          <w:rFonts w:ascii="Segoe UI" w:eastAsia="Calibri" w:hAnsi="Segoe UI" w:cs="Segoe UI"/>
          <w:b/>
          <w:bCs/>
          <w:sz w:val="22"/>
          <w:szCs w:val="22"/>
          <w:lang w:val="en-GB"/>
        </w:rPr>
      </w:pPr>
    </w:p>
    <w:p w14:paraId="4F3087E0" w14:textId="77777777" w:rsidR="00102954" w:rsidRDefault="00102954" w:rsidP="007937C8">
      <w:pPr>
        <w:jc w:val="both"/>
        <w:rPr>
          <w:rFonts w:ascii="Segoe UI" w:eastAsia="Calibri" w:hAnsi="Segoe UI" w:cs="Segoe UI"/>
          <w:b/>
          <w:bCs/>
          <w:sz w:val="22"/>
          <w:szCs w:val="22"/>
          <w:lang w:val="en-GB"/>
        </w:rPr>
      </w:pPr>
    </w:p>
    <w:p w14:paraId="413334E3" w14:textId="3462D921" w:rsidR="00F7642A" w:rsidRPr="00A6321D" w:rsidRDefault="00F13CF0" w:rsidP="00333F0C">
      <w:pPr>
        <w:jc w:val="center"/>
        <w:rPr>
          <w:rFonts w:ascii="Segoe UI" w:eastAsia="Calibri" w:hAnsi="Segoe UI" w:cs="Segoe UI"/>
          <w:b/>
          <w:bCs/>
          <w:sz w:val="22"/>
          <w:szCs w:val="22"/>
          <w:lang w:val="en-GB"/>
        </w:rPr>
      </w:pPr>
      <w:r w:rsidRPr="00A6321D">
        <w:rPr>
          <w:rFonts w:ascii="Segoe UI" w:eastAsia="Calibri" w:hAnsi="Segoe UI" w:cs="Segoe UI"/>
          <w:b/>
          <w:bCs/>
          <w:sz w:val="22"/>
          <w:szCs w:val="22"/>
          <w:lang w:val="en-GB"/>
        </w:rPr>
        <w:t>HIGH PROFILE FAILINGS – LEARNING/’TRUE FOR US’</w:t>
      </w:r>
    </w:p>
    <w:p w14:paraId="34319B2A" w14:textId="77777777" w:rsidR="0000066E" w:rsidRPr="00A6321D" w:rsidRDefault="0000066E" w:rsidP="007937C8">
      <w:pPr>
        <w:jc w:val="both"/>
        <w:rPr>
          <w:rFonts w:ascii="Segoe UI" w:eastAsia="Calibri" w:hAnsi="Segoe UI" w:cs="Segoe UI"/>
          <w:b/>
          <w:bCs/>
          <w:sz w:val="22"/>
          <w:szCs w:val="22"/>
          <w:u w:val="single"/>
          <w:lang w:val="en-GB"/>
        </w:rPr>
      </w:pPr>
    </w:p>
    <w:p w14:paraId="2DDEA2B9" w14:textId="3CA3921C" w:rsidR="00D8049D" w:rsidRPr="00D8049D" w:rsidRDefault="00D8049D" w:rsidP="007937C8">
      <w:pPr>
        <w:jc w:val="both"/>
        <w:rPr>
          <w:rFonts w:ascii="Segoe UI" w:hAnsi="Segoe UI" w:cs="Segoe UI"/>
          <w:sz w:val="22"/>
          <w:szCs w:val="22"/>
          <w:lang w:val="en-GB"/>
        </w:rPr>
      </w:pPr>
      <w:r w:rsidRPr="00D8049D">
        <w:rPr>
          <w:rFonts w:ascii="Segoe UI" w:hAnsi="Segoe UI" w:cs="Segoe UI"/>
          <w:sz w:val="22"/>
          <w:szCs w:val="22"/>
          <w:lang w:val="en-GB"/>
        </w:rPr>
        <w:t xml:space="preserve">A number of </w:t>
      </w:r>
      <w:proofErr w:type="gramStart"/>
      <w:r w:rsidRPr="00D8049D">
        <w:rPr>
          <w:rFonts w:ascii="Segoe UI" w:hAnsi="Segoe UI" w:cs="Segoe UI"/>
          <w:sz w:val="22"/>
          <w:szCs w:val="22"/>
          <w:lang w:val="en-GB"/>
        </w:rPr>
        <w:t>high profile</w:t>
      </w:r>
      <w:proofErr w:type="gramEnd"/>
      <w:r w:rsidRPr="00D8049D">
        <w:rPr>
          <w:rFonts w:ascii="Segoe UI" w:hAnsi="Segoe UI" w:cs="Segoe UI"/>
          <w:sz w:val="22"/>
          <w:szCs w:val="22"/>
          <w:lang w:val="en-GB"/>
        </w:rPr>
        <w:t xml:space="preserve"> corporate governance failures</w:t>
      </w:r>
      <w:r>
        <w:rPr>
          <w:rFonts w:ascii="Segoe UI" w:hAnsi="Segoe UI" w:cs="Segoe UI"/>
          <w:sz w:val="22"/>
          <w:szCs w:val="22"/>
          <w:lang w:val="en-GB"/>
        </w:rPr>
        <w:t xml:space="preserve"> and/or weaknesses</w:t>
      </w:r>
      <w:r w:rsidRPr="00D8049D">
        <w:rPr>
          <w:rFonts w:ascii="Segoe UI" w:hAnsi="Segoe UI" w:cs="Segoe UI"/>
          <w:sz w:val="22"/>
          <w:szCs w:val="22"/>
          <w:lang w:val="en-GB"/>
        </w:rPr>
        <w:t xml:space="preserve"> continually litter the headlines and the events that damage such organisations do not just happen. They are commonly linked to boards being blind to the underlying risks that threaten their organisations and to the effectiveness of governance systems. Whilst these are predominantly headline news items with some containing merely allegations – they are presented to the Board in this report to stimulate consideration of the importance of corporate governance (and of perception) and to give due regard to there being any risk of it being ‘true for </w:t>
      </w:r>
      <w:proofErr w:type="gramStart"/>
      <w:r w:rsidRPr="00D8049D">
        <w:rPr>
          <w:rFonts w:ascii="Segoe UI" w:hAnsi="Segoe UI" w:cs="Segoe UI"/>
          <w:sz w:val="22"/>
          <w:szCs w:val="22"/>
          <w:lang w:val="en-GB"/>
        </w:rPr>
        <w:t>us’</w:t>
      </w:r>
      <w:proofErr w:type="gramEnd"/>
      <w:r w:rsidRPr="00D8049D">
        <w:rPr>
          <w:rFonts w:ascii="Segoe UI" w:hAnsi="Segoe UI" w:cs="Segoe UI"/>
          <w:sz w:val="22"/>
          <w:szCs w:val="22"/>
          <w:lang w:val="en-GB"/>
        </w:rPr>
        <w:t xml:space="preserve">.  </w:t>
      </w:r>
    </w:p>
    <w:p w14:paraId="22F6CC81" w14:textId="77777777" w:rsidR="00780F93" w:rsidRPr="00D8049D" w:rsidRDefault="00780F93" w:rsidP="007937C8">
      <w:pPr>
        <w:jc w:val="both"/>
        <w:rPr>
          <w:rFonts w:ascii="Segoe UI" w:hAnsi="Segoe UI" w:cs="Segoe UI"/>
          <w:b/>
          <w:bCs/>
          <w:sz w:val="22"/>
          <w:szCs w:val="22"/>
          <w:lang w:val="en-GB"/>
        </w:rPr>
      </w:pPr>
    </w:p>
    <w:p w14:paraId="4E609872" w14:textId="221CBA25" w:rsidR="002608C4" w:rsidRPr="009B4A4A" w:rsidRDefault="002608C4" w:rsidP="007937C8">
      <w:pPr>
        <w:jc w:val="both"/>
        <w:rPr>
          <w:rFonts w:ascii="Segoe UI" w:eastAsiaTheme="minorHAnsi" w:hAnsi="Segoe UI" w:cs="Segoe UI"/>
          <w:b/>
          <w:bCs/>
          <w:i/>
          <w:iCs/>
          <w:sz w:val="22"/>
          <w:szCs w:val="22"/>
        </w:rPr>
      </w:pPr>
      <w:r w:rsidRPr="002608C4">
        <w:rPr>
          <w:rFonts w:ascii="Segoe UI" w:hAnsi="Segoe UI" w:cs="Segoe UI"/>
          <w:b/>
          <w:bCs/>
          <w:sz w:val="22"/>
          <w:szCs w:val="22"/>
        </w:rPr>
        <w:t>CQC launches review of leadership and medical services at The Christie Foundation Trust. Inspectors make unannounced visit after concerns over culture. The Trust was previously under scrutiny over its handling of a major research project. The Care Quality Commission has launched a review of leadership at an “outstanding”-rated specialist trust, after receiving multiple concerns from whistleblowers.</w:t>
      </w:r>
      <w:r w:rsidR="009B4A4A">
        <w:rPr>
          <w:rFonts w:ascii="Segoe UI" w:hAnsi="Segoe UI" w:cs="Segoe UI"/>
          <w:b/>
          <w:bCs/>
          <w:sz w:val="22"/>
          <w:szCs w:val="22"/>
        </w:rPr>
        <w:t xml:space="preserve"> </w:t>
      </w:r>
      <w:r w:rsidR="009B4A4A">
        <w:rPr>
          <w:rFonts w:ascii="Segoe UI" w:hAnsi="Segoe UI" w:cs="Segoe UI"/>
          <w:b/>
          <w:bCs/>
          <w:i/>
          <w:iCs/>
          <w:sz w:val="22"/>
          <w:szCs w:val="22"/>
        </w:rPr>
        <w:t>(HSJ)</w:t>
      </w:r>
    </w:p>
    <w:p w14:paraId="64FF17D9" w14:textId="77777777" w:rsidR="002608C4" w:rsidRPr="002608C4" w:rsidRDefault="002608C4" w:rsidP="007937C8">
      <w:pPr>
        <w:ind w:left="360"/>
        <w:jc w:val="both"/>
        <w:rPr>
          <w:rFonts w:ascii="Segoe UI" w:eastAsiaTheme="minorHAnsi" w:hAnsi="Segoe UI" w:cs="Segoe UI"/>
          <w:b/>
          <w:bCs/>
          <w:sz w:val="22"/>
          <w:szCs w:val="22"/>
        </w:rPr>
      </w:pPr>
    </w:p>
    <w:p w14:paraId="60506551" w14:textId="79AC4651" w:rsidR="002608C4" w:rsidRDefault="002608C4" w:rsidP="007937C8">
      <w:pPr>
        <w:jc w:val="both"/>
        <w:rPr>
          <w:rFonts w:ascii="Segoe UI" w:hAnsi="Segoe UI" w:cs="Segoe UI"/>
          <w:sz w:val="22"/>
          <w:szCs w:val="22"/>
        </w:rPr>
      </w:pPr>
      <w:r w:rsidRPr="002608C4">
        <w:rPr>
          <w:rFonts w:ascii="Segoe UI" w:hAnsi="Segoe UI" w:cs="Segoe UI"/>
          <w:sz w:val="22"/>
          <w:szCs w:val="22"/>
        </w:rPr>
        <w:t xml:space="preserve">The regulator </w:t>
      </w:r>
      <w:r w:rsidR="00E172AC">
        <w:rPr>
          <w:rFonts w:ascii="Segoe UI" w:hAnsi="Segoe UI" w:cs="Segoe UI"/>
          <w:sz w:val="22"/>
          <w:szCs w:val="22"/>
        </w:rPr>
        <w:t>was</w:t>
      </w:r>
      <w:r w:rsidRPr="002608C4">
        <w:rPr>
          <w:rFonts w:ascii="Segoe UI" w:hAnsi="Segoe UI" w:cs="Segoe UI"/>
          <w:sz w:val="22"/>
          <w:szCs w:val="22"/>
        </w:rPr>
        <w:t xml:space="preserve"> understood to have made an unannounced visit to The Christie Foundation Trust to inspect its medical services. The review w</w:t>
      </w:r>
      <w:r w:rsidR="00E172AC">
        <w:rPr>
          <w:rFonts w:ascii="Segoe UI" w:hAnsi="Segoe UI" w:cs="Segoe UI"/>
          <w:sz w:val="22"/>
          <w:szCs w:val="22"/>
        </w:rPr>
        <w:t>as to</w:t>
      </w:r>
      <w:r w:rsidRPr="002608C4">
        <w:rPr>
          <w:rFonts w:ascii="Segoe UI" w:hAnsi="Segoe UI" w:cs="Segoe UI"/>
          <w:sz w:val="22"/>
          <w:szCs w:val="22"/>
        </w:rPr>
        <w:t xml:space="preserve"> also cover the trust’s overall leadership.</w:t>
      </w:r>
      <w:r w:rsidR="009E76AC">
        <w:rPr>
          <w:rFonts w:ascii="Segoe UI" w:hAnsi="Segoe UI" w:cs="Segoe UI"/>
          <w:sz w:val="22"/>
          <w:szCs w:val="22"/>
        </w:rPr>
        <w:t xml:space="preserve">  </w:t>
      </w:r>
      <w:r w:rsidRPr="002608C4">
        <w:rPr>
          <w:rFonts w:ascii="Segoe UI" w:hAnsi="Segoe UI" w:cs="Segoe UI"/>
          <w:i/>
          <w:iCs/>
          <w:sz w:val="22"/>
          <w:szCs w:val="22"/>
        </w:rPr>
        <w:t>HSJ </w:t>
      </w:r>
      <w:r w:rsidRPr="002608C4">
        <w:rPr>
          <w:rFonts w:ascii="Segoe UI" w:hAnsi="Segoe UI" w:cs="Segoe UI"/>
          <w:sz w:val="22"/>
          <w:szCs w:val="22"/>
        </w:rPr>
        <w:t>underst</w:t>
      </w:r>
      <w:r w:rsidR="00E172AC">
        <w:rPr>
          <w:rFonts w:ascii="Segoe UI" w:hAnsi="Segoe UI" w:cs="Segoe UI"/>
          <w:sz w:val="22"/>
          <w:szCs w:val="22"/>
        </w:rPr>
        <w:t>ood</w:t>
      </w:r>
      <w:r w:rsidRPr="002608C4">
        <w:rPr>
          <w:rFonts w:ascii="Segoe UI" w:hAnsi="Segoe UI" w:cs="Segoe UI"/>
          <w:sz w:val="22"/>
          <w:szCs w:val="22"/>
        </w:rPr>
        <w:t xml:space="preserve"> the review</w:t>
      </w:r>
      <w:r w:rsidR="00E172AC">
        <w:rPr>
          <w:rFonts w:ascii="Segoe UI" w:hAnsi="Segoe UI" w:cs="Segoe UI"/>
          <w:sz w:val="22"/>
          <w:szCs w:val="22"/>
        </w:rPr>
        <w:t xml:space="preserve"> wa</w:t>
      </w:r>
      <w:r w:rsidRPr="002608C4">
        <w:rPr>
          <w:rFonts w:ascii="Segoe UI" w:hAnsi="Segoe UI" w:cs="Segoe UI"/>
          <w:sz w:val="22"/>
          <w:szCs w:val="22"/>
        </w:rPr>
        <w:t xml:space="preserve">s, at least, partly in response to the regulator receiving </w:t>
      </w:r>
      <w:proofErr w:type="gramStart"/>
      <w:r w:rsidRPr="002608C4">
        <w:rPr>
          <w:rFonts w:ascii="Segoe UI" w:hAnsi="Segoe UI" w:cs="Segoe UI"/>
          <w:sz w:val="22"/>
          <w:szCs w:val="22"/>
        </w:rPr>
        <w:t>a number of</w:t>
      </w:r>
      <w:proofErr w:type="gramEnd"/>
      <w:r w:rsidRPr="002608C4">
        <w:rPr>
          <w:rFonts w:ascii="Segoe UI" w:hAnsi="Segoe UI" w:cs="Segoe UI"/>
          <w:sz w:val="22"/>
          <w:szCs w:val="22"/>
        </w:rPr>
        <w:t xml:space="preserve"> concerns from whistleblowers about the trust’s leadership culture and behaviour of senior staff.</w:t>
      </w:r>
      <w:r w:rsidR="00333F0C">
        <w:rPr>
          <w:rFonts w:ascii="Segoe UI" w:hAnsi="Segoe UI" w:cs="Segoe UI"/>
          <w:sz w:val="22"/>
          <w:szCs w:val="22"/>
        </w:rPr>
        <w:t xml:space="preserve"> </w:t>
      </w:r>
      <w:r w:rsidRPr="002608C4">
        <w:rPr>
          <w:rFonts w:ascii="Segoe UI" w:hAnsi="Segoe UI" w:cs="Segoe UI"/>
          <w:sz w:val="22"/>
          <w:szCs w:val="22"/>
        </w:rPr>
        <w:t>It comes after the trust came under scrutiny from NHS England last year</w:t>
      </w:r>
      <w:r w:rsidR="004C2241">
        <w:rPr>
          <w:rFonts w:ascii="Segoe UI" w:hAnsi="Segoe UI" w:cs="Segoe UI"/>
          <w:sz w:val="22"/>
          <w:szCs w:val="22"/>
        </w:rPr>
        <w:t>.</w:t>
      </w:r>
    </w:p>
    <w:p w14:paraId="284C1066" w14:textId="77777777" w:rsidR="00333F0C" w:rsidRPr="002608C4" w:rsidRDefault="00333F0C" w:rsidP="007937C8">
      <w:pPr>
        <w:jc w:val="both"/>
        <w:rPr>
          <w:rFonts w:ascii="Segoe UI" w:hAnsi="Segoe UI" w:cs="Segoe UI"/>
          <w:sz w:val="22"/>
          <w:szCs w:val="22"/>
        </w:rPr>
      </w:pPr>
    </w:p>
    <w:p w14:paraId="07DB7C76" w14:textId="61129D77" w:rsidR="002608C4" w:rsidRDefault="002608C4" w:rsidP="007937C8">
      <w:pPr>
        <w:jc w:val="both"/>
        <w:rPr>
          <w:rFonts w:ascii="Segoe UI" w:hAnsi="Segoe UI" w:cs="Segoe UI"/>
          <w:sz w:val="22"/>
          <w:szCs w:val="22"/>
        </w:rPr>
      </w:pPr>
      <w:r w:rsidRPr="009E76AC">
        <w:rPr>
          <w:rFonts w:ascii="Segoe UI" w:hAnsi="Segoe UI" w:cs="Segoe UI"/>
          <w:sz w:val="22"/>
          <w:szCs w:val="22"/>
        </w:rPr>
        <w:t xml:space="preserve">The reviews also </w:t>
      </w:r>
      <w:proofErr w:type="spellStart"/>
      <w:r w:rsidRPr="009E76AC">
        <w:rPr>
          <w:rFonts w:ascii="Segoe UI" w:hAnsi="Segoe UI" w:cs="Segoe UI"/>
          <w:sz w:val="22"/>
          <w:szCs w:val="22"/>
        </w:rPr>
        <w:t>criticised</w:t>
      </w:r>
      <w:proofErr w:type="spellEnd"/>
      <w:r w:rsidRPr="009E76AC">
        <w:rPr>
          <w:rFonts w:ascii="Segoe UI" w:hAnsi="Segoe UI" w:cs="Segoe UI"/>
          <w:sz w:val="22"/>
          <w:szCs w:val="22"/>
        </w:rPr>
        <w:t xml:space="preserve"> the trust’s reaction to staff who had raised concerns</w:t>
      </w:r>
      <w:r w:rsidRPr="002608C4">
        <w:rPr>
          <w:rFonts w:ascii="Segoe UI" w:hAnsi="Segoe UI" w:cs="Segoe UI"/>
          <w:sz w:val="22"/>
          <w:szCs w:val="22"/>
        </w:rPr>
        <w:t xml:space="preserve"> but </w:t>
      </w:r>
      <w:r w:rsidRPr="00BA3075">
        <w:rPr>
          <w:rFonts w:ascii="Segoe UI" w:hAnsi="Segoe UI" w:cs="Segoe UI"/>
          <w:sz w:val="22"/>
          <w:szCs w:val="22"/>
        </w:rPr>
        <w:t>failed to answer a key accusation that was made about the detriment suffered by whistleblowers</w:t>
      </w:r>
      <w:r w:rsidRPr="002608C4">
        <w:rPr>
          <w:rFonts w:ascii="Segoe UI" w:hAnsi="Segoe UI" w:cs="Segoe UI"/>
          <w:sz w:val="22"/>
          <w:szCs w:val="22"/>
        </w:rPr>
        <w:t>.</w:t>
      </w:r>
      <w:r w:rsidR="00057A2F">
        <w:rPr>
          <w:rFonts w:ascii="Segoe UI" w:hAnsi="Segoe UI" w:cs="Segoe UI"/>
          <w:sz w:val="22"/>
          <w:szCs w:val="22"/>
        </w:rPr>
        <w:t xml:space="preserve">  </w:t>
      </w:r>
      <w:r w:rsidRPr="00BA3075">
        <w:rPr>
          <w:rFonts w:ascii="Segoe UI" w:hAnsi="Segoe UI" w:cs="Segoe UI"/>
          <w:sz w:val="22"/>
          <w:szCs w:val="22"/>
        </w:rPr>
        <w:t>As previously reported</w:t>
      </w:r>
      <w:r w:rsidRPr="002608C4">
        <w:rPr>
          <w:rFonts w:ascii="Segoe UI" w:hAnsi="Segoe UI" w:cs="Segoe UI"/>
          <w:sz w:val="22"/>
          <w:szCs w:val="22"/>
        </w:rPr>
        <w:t>, The Christie rejected instructions from NHS England to make a public apology about the findings of the previous reviews.</w:t>
      </w:r>
      <w:r w:rsidR="009E76AC">
        <w:rPr>
          <w:rFonts w:ascii="Segoe UI" w:hAnsi="Segoe UI" w:cs="Segoe UI"/>
          <w:sz w:val="22"/>
          <w:szCs w:val="22"/>
        </w:rPr>
        <w:t xml:space="preserve">  </w:t>
      </w:r>
      <w:r w:rsidRPr="002608C4">
        <w:rPr>
          <w:rFonts w:ascii="Segoe UI" w:hAnsi="Segoe UI" w:cs="Segoe UI"/>
          <w:sz w:val="22"/>
          <w:szCs w:val="22"/>
        </w:rPr>
        <w:t>Two prominent whistleblowers,</w:t>
      </w:r>
      <w:r w:rsidR="00FD5767">
        <w:rPr>
          <w:rFonts w:ascii="Segoe UI" w:hAnsi="Segoe UI" w:cs="Segoe UI"/>
          <w:sz w:val="22"/>
          <w:szCs w:val="22"/>
        </w:rPr>
        <w:t xml:space="preserve"> </w:t>
      </w:r>
      <w:r w:rsidRPr="002608C4">
        <w:rPr>
          <w:rFonts w:ascii="Segoe UI" w:hAnsi="Segoe UI" w:cs="Segoe UI"/>
          <w:sz w:val="22"/>
          <w:szCs w:val="22"/>
        </w:rPr>
        <w:t>a former project manager, and a former clinical director within the research division, have sought to raise concerns with various external authorities in recent months.</w:t>
      </w:r>
      <w:r w:rsidR="00FD5767">
        <w:rPr>
          <w:rFonts w:ascii="Segoe UI" w:hAnsi="Segoe UI" w:cs="Segoe UI"/>
          <w:sz w:val="22"/>
          <w:szCs w:val="22"/>
        </w:rPr>
        <w:t xml:space="preserve"> They said</w:t>
      </w:r>
      <w:r w:rsidRPr="002608C4">
        <w:rPr>
          <w:rFonts w:ascii="Segoe UI" w:hAnsi="Segoe UI" w:cs="Segoe UI"/>
          <w:sz w:val="22"/>
          <w:szCs w:val="22"/>
        </w:rPr>
        <w:t xml:space="preserve"> “</w:t>
      </w:r>
      <w:proofErr w:type="gramStart"/>
      <w:r w:rsidR="00057A2F">
        <w:rPr>
          <w:rFonts w:ascii="Segoe UI" w:hAnsi="Segoe UI" w:cs="Segoe UI"/>
          <w:sz w:val="22"/>
          <w:szCs w:val="22"/>
        </w:rPr>
        <w:t>…..</w:t>
      </w:r>
      <w:proofErr w:type="gramEnd"/>
      <w:r w:rsidRPr="002608C4">
        <w:rPr>
          <w:rFonts w:ascii="Segoe UI" w:hAnsi="Segoe UI" w:cs="Segoe UI"/>
          <w:sz w:val="22"/>
          <w:szCs w:val="22"/>
        </w:rPr>
        <w:t xml:space="preserve"> There are many staff who have had </w:t>
      </w:r>
      <w:proofErr w:type="gramStart"/>
      <w:r w:rsidRPr="002608C4">
        <w:rPr>
          <w:rFonts w:ascii="Segoe UI" w:hAnsi="Segoe UI" w:cs="Segoe UI"/>
          <w:sz w:val="22"/>
          <w:szCs w:val="22"/>
        </w:rPr>
        <w:t>really bad</w:t>
      </w:r>
      <w:proofErr w:type="gramEnd"/>
      <w:r w:rsidRPr="002608C4">
        <w:rPr>
          <w:rFonts w:ascii="Segoe UI" w:hAnsi="Segoe UI" w:cs="Segoe UI"/>
          <w:sz w:val="22"/>
          <w:szCs w:val="22"/>
        </w:rPr>
        <w:t xml:space="preserve"> experiences so we hope the CQC will take the time to listen to everyone.”</w:t>
      </w:r>
    </w:p>
    <w:p w14:paraId="72A763B1" w14:textId="77777777" w:rsidR="00333F0C" w:rsidRPr="002608C4" w:rsidRDefault="00333F0C" w:rsidP="007937C8">
      <w:pPr>
        <w:jc w:val="both"/>
        <w:rPr>
          <w:rFonts w:ascii="Segoe UI" w:hAnsi="Segoe UI" w:cs="Segoe UI"/>
          <w:sz w:val="22"/>
          <w:szCs w:val="22"/>
        </w:rPr>
      </w:pPr>
    </w:p>
    <w:p w14:paraId="414A4C4A" w14:textId="5CEB757B" w:rsidR="00C93876" w:rsidRPr="003D5B2F" w:rsidRDefault="008A1AA3" w:rsidP="007937C8">
      <w:pPr>
        <w:jc w:val="both"/>
        <w:rPr>
          <w:rFonts w:ascii="Segoe UI" w:hAnsi="Segoe UI" w:cs="Segoe UI"/>
          <w:b/>
          <w:bCs/>
          <w:sz w:val="22"/>
          <w:szCs w:val="22"/>
        </w:rPr>
      </w:pPr>
      <w:hyperlink r:id="rId64" w:history="1">
        <w:r w:rsidR="0005091C" w:rsidRPr="003D5B2F">
          <w:rPr>
            <w:rStyle w:val="Hyperlink"/>
            <w:rFonts w:ascii="Segoe UI" w:hAnsi="Segoe UI" w:cs="Segoe UI"/>
            <w:b/>
            <w:bCs/>
            <w:sz w:val="22"/>
            <w:szCs w:val="22"/>
          </w:rPr>
          <w:t>Multiple failings in trust’s handling of £20m Roche deal, leak reveals | HSJ Local | Health Service Journal</w:t>
        </w:r>
      </w:hyperlink>
    </w:p>
    <w:p w14:paraId="75A5A721" w14:textId="618234F1" w:rsidR="0005091C" w:rsidRPr="003D5B2F" w:rsidRDefault="008A1AA3" w:rsidP="007937C8">
      <w:pPr>
        <w:jc w:val="both"/>
        <w:rPr>
          <w:rFonts w:ascii="Segoe UI" w:hAnsi="Segoe UI" w:cs="Segoe UI"/>
          <w:b/>
          <w:bCs/>
          <w:sz w:val="22"/>
          <w:szCs w:val="22"/>
        </w:rPr>
      </w:pPr>
      <w:hyperlink r:id="rId65" w:history="1">
        <w:r w:rsidR="0005091C" w:rsidRPr="003D5B2F">
          <w:rPr>
            <w:rStyle w:val="Hyperlink"/>
            <w:rFonts w:ascii="Segoe UI" w:hAnsi="Segoe UI" w:cs="Segoe UI"/>
            <w:b/>
            <w:bCs/>
            <w:sz w:val="22"/>
            <w:szCs w:val="22"/>
          </w:rPr>
          <w:t xml:space="preserve">North by </w:t>
        </w:r>
        <w:proofErr w:type="gramStart"/>
        <w:r w:rsidR="0005091C" w:rsidRPr="003D5B2F">
          <w:rPr>
            <w:rStyle w:val="Hyperlink"/>
            <w:rFonts w:ascii="Segoe UI" w:hAnsi="Segoe UI" w:cs="Segoe UI"/>
            <w:b/>
            <w:bCs/>
            <w:sz w:val="22"/>
            <w:szCs w:val="22"/>
          </w:rPr>
          <w:t>North West</w:t>
        </w:r>
        <w:proofErr w:type="gramEnd"/>
        <w:r w:rsidR="0005091C" w:rsidRPr="003D5B2F">
          <w:rPr>
            <w:rStyle w:val="Hyperlink"/>
            <w:rFonts w:ascii="Segoe UI" w:hAnsi="Segoe UI" w:cs="Segoe UI"/>
            <w:b/>
            <w:bCs/>
            <w:sz w:val="22"/>
            <w:szCs w:val="22"/>
          </w:rPr>
          <w:t>: Long-awaited NHSE report fails to answer key question | Expert Briefing | Health Service Journal (hsj.co.uk)</w:t>
        </w:r>
      </w:hyperlink>
    </w:p>
    <w:sectPr w:rsidR="0005091C" w:rsidRPr="003D5B2F" w:rsidSect="008C12C1">
      <w:footerReference w:type="default" r:id="rId66"/>
      <w:headerReference w:type="first" r:id="rId67"/>
      <w:footerReference w:type="first" r:id="rId68"/>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A4DF" w14:textId="77777777" w:rsidR="00747DAB" w:rsidRDefault="00747DAB" w:rsidP="005B3E3C">
      <w:r>
        <w:separator/>
      </w:r>
    </w:p>
  </w:endnote>
  <w:endnote w:type="continuationSeparator" w:id="0">
    <w:p w14:paraId="49CEF901" w14:textId="77777777" w:rsidR="00747DAB" w:rsidRDefault="00747DA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66819"/>
      <w:docPartObj>
        <w:docPartGallery w:val="Page Numbers (Bottom of Page)"/>
        <w:docPartUnique/>
      </w:docPartObj>
    </w:sdtPr>
    <w:sdtEndPr>
      <w:rPr>
        <w:color w:val="7F7F7F" w:themeColor="background1" w:themeShade="7F"/>
        <w:spacing w:val="60"/>
      </w:rPr>
    </w:sdtEndPr>
    <w:sdtContent>
      <w:p w14:paraId="4B5B204B" w14:textId="55168A4F" w:rsidR="000C0621" w:rsidRDefault="000C06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B3D8E" w14:textId="77777777" w:rsidR="00440ED6" w:rsidRDefault="0044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4D3B" w14:textId="03D33915" w:rsidR="008C12C1" w:rsidRPr="008C12C1" w:rsidRDefault="008C12C1" w:rsidP="008C12C1">
    <w:pPr>
      <w:pStyle w:val="Footer"/>
      <w:rPr>
        <w:rFonts w:ascii="Segoe UI" w:hAnsi="Segoe UI" w:cs="Segoe UI"/>
        <w:i/>
        <w:iCs/>
        <w:sz w:val="18"/>
        <w:szCs w:val="18"/>
        <w:lang w:val="en-GB"/>
      </w:rPr>
    </w:pPr>
    <w:r w:rsidRPr="008C12C1">
      <w:rPr>
        <w:rFonts w:ascii="Segoe UI" w:hAnsi="Segoe UI" w:cs="Segoe UI"/>
        <w:i/>
        <w:iCs/>
        <w:sz w:val="18"/>
        <w:szCs w:val="18"/>
        <w:lang w:val="en-GB"/>
      </w:rPr>
      <w:t xml:space="preserve">Regular sources: DHSC, CQC, Health &amp; Social Care Committee, Parliamentary and Health Ombudsman, NHS England/Improvement, NHS Providers, NHS Confederation, NHS Employers, King’s Fund bulletins, Nuffield Trust, Health Foundation, 39 Essex Chambers, Capsticks, </w:t>
    </w:r>
    <w:proofErr w:type="spellStart"/>
    <w:r w:rsidRPr="008C12C1">
      <w:rPr>
        <w:rFonts w:ascii="Segoe UI" w:hAnsi="Segoe UI" w:cs="Segoe UI"/>
        <w:i/>
        <w:iCs/>
        <w:sz w:val="18"/>
        <w:szCs w:val="18"/>
        <w:lang w:val="en-GB"/>
      </w:rPr>
      <w:t>RadcliffesLeBrasseur</w:t>
    </w:r>
    <w:proofErr w:type="spellEnd"/>
    <w:r w:rsidRPr="008C12C1">
      <w:rPr>
        <w:rFonts w:ascii="Segoe UI" w:hAnsi="Segoe UI" w:cs="Segoe UI"/>
        <w:i/>
        <w:iCs/>
        <w:sz w:val="18"/>
        <w:szCs w:val="18"/>
        <w:lang w:val="en-GB"/>
      </w:rPr>
      <w:t xml:space="preserve">, </w:t>
    </w:r>
    <w:proofErr w:type="spellStart"/>
    <w:r w:rsidRPr="008C12C1">
      <w:rPr>
        <w:rFonts w:ascii="Segoe UI" w:hAnsi="Segoe UI" w:cs="Segoe UI"/>
        <w:i/>
        <w:iCs/>
        <w:sz w:val="18"/>
        <w:szCs w:val="18"/>
        <w:lang w:val="en-GB"/>
      </w:rPr>
      <w:t>Lexology</w:t>
    </w:r>
    <w:proofErr w:type="spellEnd"/>
    <w:r w:rsidRPr="008C12C1">
      <w:rPr>
        <w:rFonts w:ascii="Segoe UI" w:hAnsi="Segoe UI" w:cs="Segoe UI"/>
        <w:i/>
        <w:iCs/>
        <w:sz w:val="18"/>
        <w:szCs w:val="18"/>
        <w:lang w:val="en-GB"/>
      </w:rPr>
      <w:t xml:space="preserve"> bulletins</w:t>
    </w:r>
    <w:r w:rsidR="007D717D">
      <w:rPr>
        <w:rFonts w:ascii="Segoe UI" w:hAnsi="Segoe UI" w:cs="Segoe UI"/>
        <w:i/>
        <w:iCs/>
        <w:sz w:val="18"/>
        <w:szCs w:val="18"/>
        <w:lang w:val="en-GB"/>
      </w:rPr>
      <w:t xml:space="preserve">, Health Service Journal   </w:t>
    </w:r>
    <w:r w:rsidR="007D717D" w:rsidRPr="00A120CF">
      <w:rPr>
        <w:rFonts w:ascii="Segoe UI" w:hAnsi="Segoe UI" w:cs="Segoe UI"/>
        <w:b/>
        <w:bCs/>
        <w:i/>
        <w:iCs/>
        <w:sz w:val="18"/>
        <w:szCs w:val="18"/>
        <w:lang w:val="en-GB"/>
      </w:rPr>
      <w:t xml:space="preserve">  Acknowledgement to OHFT Libraries</w:t>
    </w:r>
    <w:r w:rsidR="005F3E04" w:rsidRPr="00A120CF">
      <w:rPr>
        <w:rFonts w:ascii="Segoe UI" w:hAnsi="Segoe UI" w:cs="Segoe UI"/>
        <w:b/>
        <w:bCs/>
        <w:i/>
        <w:iCs/>
        <w:sz w:val="18"/>
        <w:szCs w:val="18"/>
        <w:lang w:val="en-GB"/>
      </w:rPr>
      <w:t xml:space="preserve"> for </w:t>
    </w:r>
    <w:r w:rsidR="005947C9" w:rsidRPr="00A120CF">
      <w:rPr>
        <w:rFonts w:ascii="Segoe UI" w:hAnsi="Segoe UI" w:cs="Segoe UI"/>
        <w:b/>
        <w:bCs/>
        <w:i/>
        <w:iCs/>
        <w:sz w:val="18"/>
        <w:szCs w:val="18"/>
        <w:lang w:val="en-GB"/>
      </w:rPr>
      <w:t>their</w:t>
    </w:r>
    <w:r w:rsidR="005C11E5">
      <w:rPr>
        <w:rFonts w:ascii="Segoe UI" w:hAnsi="Segoe UI" w:cs="Segoe UI"/>
        <w:b/>
        <w:bCs/>
        <w:i/>
        <w:iCs/>
        <w:sz w:val="18"/>
        <w:szCs w:val="18"/>
        <w:lang w:val="en-GB"/>
      </w:rPr>
      <w:t xml:space="preserve"> ongoing</w:t>
    </w:r>
    <w:r w:rsidR="005947C9" w:rsidRPr="00A120CF">
      <w:rPr>
        <w:rFonts w:ascii="Segoe UI" w:hAnsi="Segoe UI" w:cs="Segoe UI"/>
        <w:b/>
        <w:bCs/>
        <w:i/>
        <w:iCs/>
        <w:sz w:val="18"/>
        <w:szCs w:val="18"/>
        <w:lang w:val="en-GB"/>
      </w:rPr>
      <w:t xml:space="preserve"> support in sourcing </w:t>
    </w:r>
    <w:r w:rsidR="00A120CF" w:rsidRPr="00A120CF">
      <w:rPr>
        <w:rFonts w:ascii="Segoe UI" w:hAnsi="Segoe UI" w:cs="Segoe UI"/>
        <w:b/>
        <w:bCs/>
        <w:i/>
        <w:iCs/>
        <w:sz w:val="18"/>
        <w:szCs w:val="18"/>
        <w:lang w:val="en-GB"/>
      </w:rPr>
      <w:t>content.</w:t>
    </w:r>
    <w:r w:rsidR="007D717D" w:rsidRPr="00A120CF">
      <w:rPr>
        <w:rFonts w:ascii="Segoe UI" w:hAnsi="Segoe UI" w:cs="Segoe UI"/>
        <w:b/>
        <w:bCs/>
        <w:i/>
        <w:iCs/>
        <w:sz w:val="18"/>
        <w:szCs w:val="18"/>
        <w:lang w:val="en-GB"/>
      </w:rPr>
      <w:t xml:space="preserve"> </w:t>
    </w:r>
  </w:p>
  <w:p w14:paraId="1C5C5186" w14:textId="77777777" w:rsidR="00A16519" w:rsidRDefault="00A1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E82F" w14:textId="77777777" w:rsidR="00747DAB" w:rsidRDefault="00747DAB" w:rsidP="005B3E3C">
      <w:r>
        <w:separator/>
      </w:r>
    </w:p>
  </w:footnote>
  <w:footnote w:type="continuationSeparator" w:id="0">
    <w:p w14:paraId="5B936356" w14:textId="77777777" w:rsidR="00747DAB" w:rsidRDefault="00747DA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DFDC" w14:textId="77777777" w:rsidR="00440ED6" w:rsidRDefault="00440ED6"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440ED6" w:rsidRDefault="0044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6F3"/>
    <w:multiLevelType w:val="hybridMultilevel"/>
    <w:tmpl w:val="CBD0625E"/>
    <w:lvl w:ilvl="0" w:tplc="020603D2">
      <w:start w:val="3"/>
      <w:numFmt w:val="bullet"/>
      <w:lvlText w:val="-"/>
      <w:lvlJc w:val="left"/>
      <w:pPr>
        <w:ind w:left="420" w:hanging="360"/>
      </w:pPr>
      <w:rPr>
        <w:rFonts w:ascii="Segoe UI" w:eastAsiaTheme="majorEastAsia"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A892B4B"/>
    <w:multiLevelType w:val="hybridMultilevel"/>
    <w:tmpl w:val="CFA20E74"/>
    <w:lvl w:ilvl="0" w:tplc="0809000F">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9E5CD4"/>
    <w:multiLevelType w:val="hybridMultilevel"/>
    <w:tmpl w:val="F87E9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4198C"/>
    <w:multiLevelType w:val="multilevel"/>
    <w:tmpl w:val="86144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54B9F"/>
    <w:multiLevelType w:val="hybridMultilevel"/>
    <w:tmpl w:val="BE6E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B19ED"/>
    <w:multiLevelType w:val="hybridMultilevel"/>
    <w:tmpl w:val="A492E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B828E8"/>
    <w:multiLevelType w:val="hybridMultilevel"/>
    <w:tmpl w:val="41E440D0"/>
    <w:lvl w:ilvl="0" w:tplc="CB7E2238">
      <w:start w:val="3"/>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52A69"/>
    <w:multiLevelType w:val="multilevel"/>
    <w:tmpl w:val="885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68350">
    <w:abstractNumId w:val="1"/>
  </w:num>
  <w:num w:numId="2" w16cid:durableId="1271355099">
    <w:abstractNumId w:val="3"/>
  </w:num>
  <w:num w:numId="3" w16cid:durableId="1565026769">
    <w:abstractNumId w:val="5"/>
  </w:num>
  <w:num w:numId="4" w16cid:durableId="1465197247">
    <w:abstractNumId w:val="7"/>
  </w:num>
  <w:num w:numId="5" w16cid:durableId="2145656908">
    <w:abstractNumId w:val="4"/>
  </w:num>
  <w:num w:numId="6" w16cid:durableId="645595799">
    <w:abstractNumId w:val="0"/>
  </w:num>
  <w:num w:numId="7" w16cid:durableId="333148356">
    <w:abstractNumId w:val="6"/>
  </w:num>
  <w:num w:numId="8" w16cid:durableId="163698529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455"/>
    <w:rsid w:val="000004B1"/>
    <w:rsid w:val="0000066E"/>
    <w:rsid w:val="0000069B"/>
    <w:rsid w:val="000016D6"/>
    <w:rsid w:val="00001A58"/>
    <w:rsid w:val="00001D58"/>
    <w:rsid w:val="000034B3"/>
    <w:rsid w:val="00003F6E"/>
    <w:rsid w:val="00004965"/>
    <w:rsid w:val="00005BC1"/>
    <w:rsid w:val="00006190"/>
    <w:rsid w:val="000063F9"/>
    <w:rsid w:val="000066BC"/>
    <w:rsid w:val="00010B2F"/>
    <w:rsid w:val="00010E9A"/>
    <w:rsid w:val="00011EB6"/>
    <w:rsid w:val="0001385B"/>
    <w:rsid w:val="000154DC"/>
    <w:rsid w:val="00015C07"/>
    <w:rsid w:val="00016023"/>
    <w:rsid w:val="000171AF"/>
    <w:rsid w:val="000173DB"/>
    <w:rsid w:val="00017A1C"/>
    <w:rsid w:val="00017CED"/>
    <w:rsid w:val="00017DF3"/>
    <w:rsid w:val="00020D3B"/>
    <w:rsid w:val="00020EA4"/>
    <w:rsid w:val="00021226"/>
    <w:rsid w:val="000217DC"/>
    <w:rsid w:val="00023491"/>
    <w:rsid w:val="00023647"/>
    <w:rsid w:val="000242B4"/>
    <w:rsid w:val="00025080"/>
    <w:rsid w:val="00025A02"/>
    <w:rsid w:val="00025EFB"/>
    <w:rsid w:val="00026669"/>
    <w:rsid w:val="00026843"/>
    <w:rsid w:val="0002773D"/>
    <w:rsid w:val="000278CB"/>
    <w:rsid w:val="00027D5D"/>
    <w:rsid w:val="00030247"/>
    <w:rsid w:val="0003073D"/>
    <w:rsid w:val="00030C81"/>
    <w:rsid w:val="0003117D"/>
    <w:rsid w:val="00031EC6"/>
    <w:rsid w:val="000325E0"/>
    <w:rsid w:val="000327DB"/>
    <w:rsid w:val="000348CD"/>
    <w:rsid w:val="00035559"/>
    <w:rsid w:val="0003646E"/>
    <w:rsid w:val="000364D6"/>
    <w:rsid w:val="00040ABE"/>
    <w:rsid w:val="0004150A"/>
    <w:rsid w:val="00041B48"/>
    <w:rsid w:val="000425C6"/>
    <w:rsid w:val="000427CD"/>
    <w:rsid w:val="00043069"/>
    <w:rsid w:val="00043BAC"/>
    <w:rsid w:val="00043D2A"/>
    <w:rsid w:val="00044EB0"/>
    <w:rsid w:val="00044F9C"/>
    <w:rsid w:val="0004507D"/>
    <w:rsid w:val="0004515B"/>
    <w:rsid w:val="000459A7"/>
    <w:rsid w:val="00045B03"/>
    <w:rsid w:val="00046650"/>
    <w:rsid w:val="00046B90"/>
    <w:rsid w:val="00047517"/>
    <w:rsid w:val="0004788D"/>
    <w:rsid w:val="00047AB9"/>
    <w:rsid w:val="0005069E"/>
    <w:rsid w:val="0005091C"/>
    <w:rsid w:val="000511EC"/>
    <w:rsid w:val="000529E7"/>
    <w:rsid w:val="00052DD8"/>
    <w:rsid w:val="00055036"/>
    <w:rsid w:val="000551C4"/>
    <w:rsid w:val="00055223"/>
    <w:rsid w:val="0005558A"/>
    <w:rsid w:val="00055818"/>
    <w:rsid w:val="00055A40"/>
    <w:rsid w:val="00056FEA"/>
    <w:rsid w:val="000570BD"/>
    <w:rsid w:val="00057A2F"/>
    <w:rsid w:val="0006016B"/>
    <w:rsid w:val="0006170F"/>
    <w:rsid w:val="00062071"/>
    <w:rsid w:val="0006217B"/>
    <w:rsid w:val="00062D46"/>
    <w:rsid w:val="00063808"/>
    <w:rsid w:val="00063ACF"/>
    <w:rsid w:val="00063E0F"/>
    <w:rsid w:val="00064833"/>
    <w:rsid w:val="00064FDC"/>
    <w:rsid w:val="00065E7F"/>
    <w:rsid w:val="00067557"/>
    <w:rsid w:val="00070D86"/>
    <w:rsid w:val="0007152B"/>
    <w:rsid w:val="00071842"/>
    <w:rsid w:val="00071F14"/>
    <w:rsid w:val="00072510"/>
    <w:rsid w:val="000740E2"/>
    <w:rsid w:val="000744D1"/>
    <w:rsid w:val="00075A73"/>
    <w:rsid w:val="000770E5"/>
    <w:rsid w:val="0007715B"/>
    <w:rsid w:val="00080BB7"/>
    <w:rsid w:val="000821AD"/>
    <w:rsid w:val="000825CC"/>
    <w:rsid w:val="00082A2A"/>
    <w:rsid w:val="00082CA0"/>
    <w:rsid w:val="00083875"/>
    <w:rsid w:val="00083B78"/>
    <w:rsid w:val="00083F81"/>
    <w:rsid w:val="0008568C"/>
    <w:rsid w:val="00086867"/>
    <w:rsid w:val="00086875"/>
    <w:rsid w:val="00086F1A"/>
    <w:rsid w:val="000874F5"/>
    <w:rsid w:val="000877C7"/>
    <w:rsid w:val="000901A2"/>
    <w:rsid w:val="0009043A"/>
    <w:rsid w:val="00091BB6"/>
    <w:rsid w:val="00091D0A"/>
    <w:rsid w:val="00095028"/>
    <w:rsid w:val="00095063"/>
    <w:rsid w:val="000957BB"/>
    <w:rsid w:val="00095DEF"/>
    <w:rsid w:val="00095FE0"/>
    <w:rsid w:val="00096246"/>
    <w:rsid w:val="00096388"/>
    <w:rsid w:val="000966F9"/>
    <w:rsid w:val="00096B6F"/>
    <w:rsid w:val="000A08C4"/>
    <w:rsid w:val="000A3A29"/>
    <w:rsid w:val="000A5A07"/>
    <w:rsid w:val="000A7ED2"/>
    <w:rsid w:val="000B068D"/>
    <w:rsid w:val="000B325B"/>
    <w:rsid w:val="000B32D3"/>
    <w:rsid w:val="000B3466"/>
    <w:rsid w:val="000B3581"/>
    <w:rsid w:val="000B398B"/>
    <w:rsid w:val="000B3E48"/>
    <w:rsid w:val="000B420F"/>
    <w:rsid w:val="000B4311"/>
    <w:rsid w:val="000B4318"/>
    <w:rsid w:val="000B592F"/>
    <w:rsid w:val="000B5AE6"/>
    <w:rsid w:val="000B5B45"/>
    <w:rsid w:val="000B5DC5"/>
    <w:rsid w:val="000B61F8"/>
    <w:rsid w:val="000B650E"/>
    <w:rsid w:val="000B6615"/>
    <w:rsid w:val="000B688C"/>
    <w:rsid w:val="000C05E1"/>
    <w:rsid w:val="000C0621"/>
    <w:rsid w:val="000C0D28"/>
    <w:rsid w:val="000C1E87"/>
    <w:rsid w:val="000C2351"/>
    <w:rsid w:val="000C2F9B"/>
    <w:rsid w:val="000C3B7B"/>
    <w:rsid w:val="000C3F90"/>
    <w:rsid w:val="000C41CF"/>
    <w:rsid w:val="000C49EE"/>
    <w:rsid w:val="000C5481"/>
    <w:rsid w:val="000C61C8"/>
    <w:rsid w:val="000C653B"/>
    <w:rsid w:val="000C789D"/>
    <w:rsid w:val="000C7902"/>
    <w:rsid w:val="000C7B41"/>
    <w:rsid w:val="000D0557"/>
    <w:rsid w:val="000D16C5"/>
    <w:rsid w:val="000D17B8"/>
    <w:rsid w:val="000D1B09"/>
    <w:rsid w:val="000D2924"/>
    <w:rsid w:val="000D4B69"/>
    <w:rsid w:val="000D4D38"/>
    <w:rsid w:val="000D5417"/>
    <w:rsid w:val="000D6B0E"/>
    <w:rsid w:val="000D708E"/>
    <w:rsid w:val="000D70BF"/>
    <w:rsid w:val="000E064E"/>
    <w:rsid w:val="000E07F5"/>
    <w:rsid w:val="000E2155"/>
    <w:rsid w:val="000E317C"/>
    <w:rsid w:val="000E3B13"/>
    <w:rsid w:val="000E3FED"/>
    <w:rsid w:val="000E41EC"/>
    <w:rsid w:val="000E4622"/>
    <w:rsid w:val="000E4765"/>
    <w:rsid w:val="000E521A"/>
    <w:rsid w:val="000E5CA7"/>
    <w:rsid w:val="000E5F67"/>
    <w:rsid w:val="000E6067"/>
    <w:rsid w:val="000E674A"/>
    <w:rsid w:val="000E76DF"/>
    <w:rsid w:val="000E7771"/>
    <w:rsid w:val="000E7D55"/>
    <w:rsid w:val="000F0753"/>
    <w:rsid w:val="000F079B"/>
    <w:rsid w:val="000F1BBA"/>
    <w:rsid w:val="000F239E"/>
    <w:rsid w:val="000F2A1F"/>
    <w:rsid w:val="000F3010"/>
    <w:rsid w:val="000F3061"/>
    <w:rsid w:val="000F3073"/>
    <w:rsid w:val="000F39A1"/>
    <w:rsid w:val="000F447C"/>
    <w:rsid w:val="000F5239"/>
    <w:rsid w:val="000F5856"/>
    <w:rsid w:val="000F59C1"/>
    <w:rsid w:val="000F5D52"/>
    <w:rsid w:val="000F5F41"/>
    <w:rsid w:val="000F61C2"/>
    <w:rsid w:val="000F6DB2"/>
    <w:rsid w:val="000F6E8E"/>
    <w:rsid w:val="00101D78"/>
    <w:rsid w:val="00102494"/>
    <w:rsid w:val="001026A8"/>
    <w:rsid w:val="00102954"/>
    <w:rsid w:val="001036BF"/>
    <w:rsid w:val="001049A3"/>
    <w:rsid w:val="00105104"/>
    <w:rsid w:val="001058A7"/>
    <w:rsid w:val="00106E7C"/>
    <w:rsid w:val="001071D1"/>
    <w:rsid w:val="00107310"/>
    <w:rsid w:val="00107B73"/>
    <w:rsid w:val="00110B12"/>
    <w:rsid w:val="00110DD1"/>
    <w:rsid w:val="00111123"/>
    <w:rsid w:val="00111850"/>
    <w:rsid w:val="00111C01"/>
    <w:rsid w:val="0011243B"/>
    <w:rsid w:val="0011251B"/>
    <w:rsid w:val="00112F22"/>
    <w:rsid w:val="00113B2F"/>
    <w:rsid w:val="0011477A"/>
    <w:rsid w:val="00114AFC"/>
    <w:rsid w:val="00114D71"/>
    <w:rsid w:val="00115636"/>
    <w:rsid w:val="0011630A"/>
    <w:rsid w:val="00116358"/>
    <w:rsid w:val="0011789F"/>
    <w:rsid w:val="00120897"/>
    <w:rsid w:val="0012093B"/>
    <w:rsid w:val="00120D4D"/>
    <w:rsid w:val="00121674"/>
    <w:rsid w:val="001216F6"/>
    <w:rsid w:val="00122019"/>
    <w:rsid w:val="00122124"/>
    <w:rsid w:val="00122849"/>
    <w:rsid w:val="00123348"/>
    <w:rsid w:val="001236BD"/>
    <w:rsid w:val="001248EE"/>
    <w:rsid w:val="0012655A"/>
    <w:rsid w:val="0012744B"/>
    <w:rsid w:val="001278C6"/>
    <w:rsid w:val="00127A3A"/>
    <w:rsid w:val="00127F1F"/>
    <w:rsid w:val="00130294"/>
    <w:rsid w:val="00130471"/>
    <w:rsid w:val="0013084A"/>
    <w:rsid w:val="00131762"/>
    <w:rsid w:val="001320B6"/>
    <w:rsid w:val="00132B11"/>
    <w:rsid w:val="00132D7E"/>
    <w:rsid w:val="00134DC5"/>
    <w:rsid w:val="00136088"/>
    <w:rsid w:val="001367CF"/>
    <w:rsid w:val="0013737E"/>
    <w:rsid w:val="0013752F"/>
    <w:rsid w:val="00137A78"/>
    <w:rsid w:val="00137C19"/>
    <w:rsid w:val="00140078"/>
    <w:rsid w:val="00141C0A"/>
    <w:rsid w:val="001420E3"/>
    <w:rsid w:val="00142EF8"/>
    <w:rsid w:val="00144431"/>
    <w:rsid w:val="001445BC"/>
    <w:rsid w:val="00144BBB"/>
    <w:rsid w:val="001450A4"/>
    <w:rsid w:val="001450B7"/>
    <w:rsid w:val="00145747"/>
    <w:rsid w:val="00145A3F"/>
    <w:rsid w:val="00145C4D"/>
    <w:rsid w:val="001466EE"/>
    <w:rsid w:val="001475F9"/>
    <w:rsid w:val="00150096"/>
    <w:rsid w:val="001504A8"/>
    <w:rsid w:val="0015053E"/>
    <w:rsid w:val="00150698"/>
    <w:rsid w:val="001507F3"/>
    <w:rsid w:val="00150BBD"/>
    <w:rsid w:val="00151C86"/>
    <w:rsid w:val="00151CE4"/>
    <w:rsid w:val="00151DA1"/>
    <w:rsid w:val="00151DF4"/>
    <w:rsid w:val="00153A72"/>
    <w:rsid w:val="00155274"/>
    <w:rsid w:val="00155707"/>
    <w:rsid w:val="00155E34"/>
    <w:rsid w:val="00156347"/>
    <w:rsid w:val="00156580"/>
    <w:rsid w:val="00156737"/>
    <w:rsid w:val="00156D1A"/>
    <w:rsid w:val="00156EC6"/>
    <w:rsid w:val="00157784"/>
    <w:rsid w:val="00160696"/>
    <w:rsid w:val="00160B8B"/>
    <w:rsid w:val="001623BE"/>
    <w:rsid w:val="001634E5"/>
    <w:rsid w:val="001634F3"/>
    <w:rsid w:val="00163DE3"/>
    <w:rsid w:val="00165DC0"/>
    <w:rsid w:val="001667E8"/>
    <w:rsid w:val="00166B95"/>
    <w:rsid w:val="0016710E"/>
    <w:rsid w:val="001675B8"/>
    <w:rsid w:val="0016783B"/>
    <w:rsid w:val="00167FA6"/>
    <w:rsid w:val="00167FD0"/>
    <w:rsid w:val="00171563"/>
    <w:rsid w:val="0017289F"/>
    <w:rsid w:val="00173761"/>
    <w:rsid w:val="00173AFF"/>
    <w:rsid w:val="00174E8B"/>
    <w:rsid w:val="00174FCE"/>
    <w:rsid w:val="0017508E"/>
    <w:rsid w:val="001759BF"/>
    <w:rsid w:val="00175DD0"/>
    <w:rsid w:val="0017762A"/>
    <w:rsid w:val="00181559"/>
    <w:rsid w:val="0018284C"/>
    <w:rsid w:val="00183610"/>
    <w:rsid w:val="001844EC"/>
    <w:rsid w:val="00184CB6"/>
    <w:rsid w:val="00185501"/>
    <w:rsid w:val="00185789"/>
    <w:rsid w:val="001858DF"/>
    <w:rsid w:val="00185C33"/>
    <w:rsid w:val="00186CE3"/>
    <w:rsid w:val="00186D40"/>
    <w:rsid w:val="001872B6"/>
    <w:rsid w:val="00190611"/>
    <w:rsid w:val="00190954"/>
    <w:rsid w:val="00190B6D"/>
    <w:rsid w:val="0019166F"/>
    <w:rsid w:val="00191FAA"/>
    <w:rsid w:val="00192E85"/>
    <w:rsid w:val="00193033"/>
    <w:rsid w:val="001948D9"/>
    <w:rsid w:val="00194901"/>
    <w:rsid w:val="00194913"/>
    <w:rsid w:val="001952D6"/>
    <w:rsid w:val="001953C9"/>
    <w:rsid w:val="00195751"/>
    <w:rsid w:val="00195B00"/>
    <w:rsid w:val="001971F7"/>
    <w:rsid w:val="001A026B"/>
    <w:rsid w:val="001A0621"/>
    <w:rsid w:val="001A0642"/>
    <w:rsid w:val="001A0AA1"/>
    <w:rsid w:val="001A1A45"/>
    <w:rsid w:val="001A1C28"/>
    <w:rsid w:val="001A2C5B"/>
    <w:rsid w:val="001A34ED"/>
    <w:rsid w:val="001A408F"/>
    <w:rsid w:val="001A5A0A"/>
    <w:rsid w:val="001A5E4B"/>
    <w:rsid w:val="001A61BD"/>
    <w:rsid w:val="001A732C"/>
    <w:rsid w:val="001A7591"/>
    <w:rsid w:val="001A7595"/>
    <w:rsid w:val="001B1494"/>
    <w:rsid w:val="001B1D90"/>
    <w:rsid w:val="001B24D0"/>
    <w:rsid w:val="001B2644"/>
    <w:rsid w:val="001B3B18"/>
    <w:rsid w:val="001B3C76"/>
    <w:rsid w:val="001B3CFB"/>
    <w:rsid w:val="001B48E4"/>
    <w:rsid w:val="001B528C"/>
    <w:rsid w:val="001B5584"/>
    <w:rsid w:val="001B5873"/>
    <w:rsid w:val="001B5937"/>
    <w:rsid w:val="001B6EF1"/>
    <w:rsid w:val="001B730E"/>
    <w:rsid w:val="001C111D"/>
    <w:rsid w:val="001C27A0"/>
    <w:rsid w:val="001C2B94"/>
    <w:rsid w:val="001C3700"/>
    <w:rsid w:val="001C3BDD"/>
    <w:rsid w:val="001C3CC1"/>
    <w:rsid w:val="001C431D"/>
    <w:rsid w:val="001C4C23"/>
    <w:rsid w:val="001C6BE8"/>
    <w:rsid w:val="001D0AD0"/>
    <w:rsid w:val="001D1104"/>
    <w:rsid w:val="001D11BB"/>
    <w:rsid w:val="001D1782"/>
    <w:rsid w:val="001D1A9C"/>
    <w:rsid w:val="001D1CA2"/>
    <w:rsid w:val="001D4442"/>
    <w:rsid w:val="001D5038"/>
    <w:rsid w:val="001D540B"/>
    <w:rsid w:val="001D5827"/>
    <w:rsid w:val="001D58C4"/>
    <w:rsid w:val="001D6426"/>
    <w:rsid w:val="001D6453"/>
    <w:rsid w:val="001D64BB"/>
    <w:rsid w:val="001D66E3"/>
    <w:rsid w:val="001D7253"/>
    <w:rsid w:val="001D75D1"/>
    <w:rsid w:val="001D7E35"/>
    <w:rsid w:val="001E07B1"/>
    <w:rsid w:val="001E15B6"/>
    <w:rsid w:val="001E1733"/>
    <w:rsid w:val="001E19AA"/>
    <w:rsid w:val="001E1F60"/>
    <w:rsid w:val="001E20BB"/>
    <w:rsid w:val="001E2169"/>
    <w:rsid w:val="001E25FE"/>
    <w:rsid w:val="001E3128"/>
    <w:rsid w:val="001E3E84"/>
    <w:rsid w:val="001E3FB9"/>
    <w:rsid w:val="001E5BA5"/>
    <w:rsid w:val="001E5F9F"/>
    <w:rsid w:val="001E6FB8"/>
    <w:rsid w:val="001E7096"/>
    <w:rsid w:val="001F1747"/>
    <w:rsid w:val="001F1D48"/>
    <w:rsid w:val="001F2288"/>
    <w:rsid w:val="001F2F40"/>
    <w:rsid w:val="001F3E6B"/>
    <w:rsid w:val="001F4408"/>
    <w:rsid w:val="001F484F"/>
    <w:rsid w:val="001F4860"/>
    <w:rsid w:val="001F4DAE"/>
    <w:rsid w:val="001F4F00"/>
    <w:rsid w:val="001F5729"/>
    <w:rsid w:val="001F5AC5"/>
    <w:rsid w:val="001F6597"/>
    <w:rsid w:val="001F6DCF"/>
    <w:rsid w:val="001F6DE7"/>
    <w:rsid w:val="001F715A"/>
    <w:rsid w:val="001F73A9"/>
    <w:rsid w:val="001F76ED"/>
    <w:rsid w:val="002001FB"/>
    <w:rsid w:val="002004D9"/>
    <w:rsid w:val="0020089C"/>
    <w:rsid w:val="0020137D"/>
    <w:rsid w:val="00202171"/>
    <w:rsid w:val="0020249D"/>
    <w:rsid w:val="002025D2"/>
    <w:rsid w:val="00202ECC"/>
    <w:rsid w:val="00203009"/>
    <w:rsid w:val="002033FC"/>
    <w:rsid w:val="002037EE"/>
    <w:rsid w:val="00203868"/>
    <w:rsid w:val="00203B45"/>
    <w:rsid w:val="00204101"/>
    <w:rsid w:val="00204114"/>
    <w:rsid w:val="00205E7B"/>
    <w:rsid w:val="0020618B"/>
    <w:rsid w:val="00206E9C"/>
    <w:rsid w:val="002074A6"/>
    <w:rsid w:val="002076EA"/>
    <w:rsid w:val="0020788E"/>
    <w:rsid w:val="002104A9"/>
    <w:rsid w:val="00210D42"/>
    <w:rsid w:val="002114C0"/>
    <w:rsid w:val="0021150B"/>
    <w:rsid w:val="00211B11"/>
    <w:rsid w:val="0021265E"/>
    <w:rsid w:val="0021316C"/>
    <w:rsid w:val="00213D18"/>
    <w:rsid w:val="00214CDF"/>
    <w:rsid w:val="00214D03"/>
    <w:rsid w:val="002157E2"/>
    <w:rsid w:val="00215D2F"/>
    <w:rsid w:val="00216365"/>
    <w:rsid w:val="0021637C"/>
    <w:rsid w:val="00220826"/>
    <w:rsid w:val="002220BA"/>
    <w:rsid w:val="00222FB7"/>
    <w:rsid w:val="002248D0"/>
    <w:rsid w:val="0022490E"/>
    <w:rsid w:val="002250DE"/>
    <w:rsid w:val="00225506"/>
    <w:rsid w:val="00225A38"/>
    <w:rsid w:val="00225D14"/>
    <w:rsid w:val="00226471"/>
    <w:rsid w:val="00226DBC"/>
    <w:rsid w:val="00226FC7"/>
    <w:rsid w:val="00227FCE"/>
    <w:rsid w:val="00230309"/>
    <w:rsid w:val="0023120A"/>
    <w:rsid w:val="00231804"/>
    <w:rsid w:val="00231C24"/>
    <w:rsid w:val="00232760"/>
    <w:rsid w:val="00232796"/>
    <w:rsid w:val="00232936"/>
    <w:rsid w:val="0023338A"/>
    <w:rsid w:val="002337A3"/>
    <w:rsid w:val="0023489E"/>
    <w:rsid w:val="0023507D"/>
    <w:rsid w:val="00235AD0"/>
    <w:rsid w:val="00235D40"/>
    <w:rsid w:val="00236369"/>
    <w:rsid w:val="002363CF"/>
    <w:rsid w:val="00236886"/>
    <w:rsid w:val="00240D1F"/>
    <w:rsid w:val="0024174F"/>
    <w:rsid w:val="0024175B"/>
    <w:rsid w:val="00241A66"/>
    <w:rsid w:val="00241D9C"/>
    <w:rsid w:val="002420CA"/>
    <w:rsid w:val="0024364A"/>
    <w:rsid w:val="00244098"/>
    <w:rsid w:val="00244481"/>
    <w:rsid w:val="0024554B"/>
    <w:rsid w:val="002469CC"/>
    <w:rsid w:val="00246BC3"/>
    <w:rsid w:val="002477AB"/>
    <w:rsid w:val="00250062"/>
    <w:rsid w:val="002502DE"/>
    <w:rsid w:val="00250CC8"/>
    <w:rsid w:val="00251C60"/>
    <w:rsid w:val="002528A6"/>
    <w:rsid w:val="00253B14"/>
    <w:rsid w:val="00254FAE"/>
    <w:rsid w:val="002555CC"/>
    <w:rsid w:val="00256A89"/>
    <w:rsid w:val="00257044"/>
    <w:rsid w:val="00257985"/>
    <w:rsid w:val="002608C4"/>
    <w:rsid w:val="00261063"/>
    <w:rsid w:val="0026190D"/>
    <w:rsid w:val="002619EF"/>
    <w:rsid w:val="00261FC6"/>
    <w:rsid w:val="00262B76"/>
    <w:rsid w:val="00262F0F"/>
    <w:rsid w:val="0026366C"/>
    <w:rsid w:val="00264404"/>
    <w:rsid w:val="00265912"/>
    <w:rsid w:val="00266248"/>
    <w:rsid w:val="002663A4"/>
    <w:rsid w:val="002670E3"/>
    <w:rsid w:val="002700E3"/>
    <w:rsid w:val="00270D33"/>
    <w:rsid w:val="00270D9D"/>
    <w:rsid w:val="0027107C"/>
    <w:rsid w:val="002711C7"/>
    <w:rsid w:val="0027142A"/>
    <w:rsid w:val="002718B6"/>
    <w:rsid w:val="00271C82"/>
    <w:rsid w:val="0027339F"/>
    <w:rsid w:val="00273B04"/>
    <w:rsid w:val="00273B51"/>
    <w:rsid w:val="00273D9B"/>
    <w:rsid w:val="002759DF"/>
    <w:rsid w:val="00276BA0"/>
    <w:rsid w:val="00276CB7"/>
    <w:rsid w:val="00276E18"/>
    <w:rsid w:val="0028003E"/>
    <w:rsid w:val="00280393"/>
    <w:rsid w:val="00280AF6"/>
    <w:rsid w:val="002821F8"/>
    <w:rsid w:val="00282324"/>
    <w:rsid w:val="00282C26"/>
    <w:rsid w:val="002831C8"/>
    <w:rsid w:val="0028413D"/>
    <w:rsid w:val="002842DB"/>
    <w:rsid w:val="00284BEB"/>
    <w:rsid w:val="002851FB"/>
    <w:rsid w:val="00285C0B"/>
    <w:rsid w:val="00287452"/>
    <w:rsid w:val="002875AC"/>
    <w:rsid w:val="002878F2"/>
    <w:rsid w:val="002900D7"/>
    <w:rsid w:val="00291832"/>
    <w:rsid w:val="00291EFA"/>
    <w:rsid w:val="00291F65"/>
    <w:rsid w:val="00292613"/>
    <w:rsid w:val="00292E20"/>
    <w:rsid w:val="00293907"/>
    <w:rsid w:val="0029399E"/>
    <w:rsid w:val="00294B4A"/>
    <w:rsid w:val="00294D8F"/>
    <w:rsid w:val="0029669D"/>
    <w:rsid w:val="002971EF"/>
    <w:rsid w:val="00297647"/>
    <w:rsid w:val="002A0001"/>
    <w:rsid w:val="002A02D6"/>
    <w:rsid w:val="002A14CE"/>
    <w:rsid w:val="002A2D99"/>
    <w:rsid w:val="002A315F"/>
    <w:rsid w:val="002A3B04"/>
    <w:rsid w:val="002A3D5C"/>
    <w:rsid w:val="002A4C08"/>
    <w:rsid w:val="002A5A9E"/>
    <w:rsid w:val="002A5F22"/>
    <w:rsid w:val="002A6AFA"/>
    <w:rsid w:val="002A6E44"/>
    <w:rsid w:val="002A6EF6"/>
    <w:rsid w:val="002A6F37"/>
    <w:rsid w:val="002A6F70"/>
    <w:rsid w:val="002A71E8"/>
    <w:rsid w:val="002A73E8"/>
    <w:rsid w:val="002A7EEE"/>
    <w:rsid w:val="002A7FF6"/>
    <w:rsid w:val="002B012E"/>
    <w:rsid w:val="002B0196"/>
    <w:rsid w:val="002B0261"/>
    <w:rsid w:val="002B08A2"/>
    <w:rsid w:val="002B0F8B"/>
    <w:rsid w:val="002B2122"/>
    <w:rsid w:val="002B2260"/>
    <w:rsid w:val="002B25A9"/>
    <w:rsid w:val="002B27F6"/>
    <w:rsid w:val="002B391B"/>
    <w:rsid w:val="002B57B2"/>
    <w:rsid w:val="002B5847"/>
    <w:rsid w:val="002B5DCB"/>
    <w:rsid w:val="002B5FFC"/>
    <w:rsid w:val="002C0428"/>
    <w:rsid w:val="002C06AF"/>
    <w:rsid w:val="002C1318"/>
    <w:rsid w:val="002C1428"/>
    <w:rsid w:val="002C1787"/>
    <w:rsid w:val="002C1C20"/>
    <w:rsid w:val="002C1FAB"/>
    <w:rsid w:val="002C21CB"/>
    <w:rsid w:val="002C266A"/>
    <w:rsid w:val="002C2A2D"/>
    <w:rsid w:val="002C2F97"/>
    <w:rsid w:val="002C3616"/>
    <w:rsid w:val="002C3B06"/>
    <w:rsid w:val="002C3D39"/>
    <w:rsid w:val="002C5AA7"/>
    <w:rsid w:val="002C5F27"/>
    <w:rsid w:val="002C615E"/>
    <w:rsid w:val="002C62BF"/>
    <w:rsid w:val="002C676A"/>
    <w:rsid w:val="002C68F4"/>
    <w:rsid w:val="002C697F"/>
    <w:rsid w:val="002C6A01"/>
    <w:rsid w:val="002C6E80"/>
    <w:rsid w:val="002C7533"/>
    <w:rsid w:val="002D0AEB"/>
    <w:rsid w:val="002D23E3"/>
    <w:rsid w:val="002D27DE"/>
    <w:rsid w:val="002D2CC6"/>
    <w:rsid w:val="002D2D64"/>
    <w:rsid w:val="002D327A"/>
    <w:rsid w:val="002D3AFB"/>
    <w:rsid w:val="002D3C74"/>
    <w:rsid w:val="002D4F2A"/>
    <w:rsid w:val="002D5413"/>
    <w:rsid w:val="002D58A2"/>
    <w:rsid w:val="002D59BE"/>
    <w:rsid w:val="002D5C00"/>
    <w:rsid w:val="002D6A4A"/>
    <w:rsid w:val="002D6BAE"/>
    <w:rsid w:val="002D6FB3"/>
    <w:rsid w:val="002E072A"/>
    <w:rsid w:val="002E106B"/>
    <w:rsid w:val="002E19D1"/>
    <w:rsid w:val="002E242A"/>
    <w:rsid w:val="002E283E"/>
    <w:rsid w:val="002E30A0"/>
    <w:rsid w:val="002E33D5"/>
    <w:rsid w:val="002E3A72"/>
    <w:rsid w:val="002E636D"/>
    <w:rsid w:val="002E6FC6"/>
    <w:rsid w:val="002E7F12"/>
    <w:rsid w:val="002F20A3"/>
    <w:rsid w:val="002F45F1"/>
    <w:rsid w:val="00300566"/>
    <w:rsid w:val="003021C6"/>
    <w:rsid w:val="00302A41"/>
    <w:rsid w:val="003041C8"/>
    <w:rsid w:val="00304C13"/>
    <w:rsid w:val="00305458"/>
    <w:rsid w:val="00305700"/>
    <w:rsid w:val="0030570C"/>
    <w:rsid w:val="003058DE"/>
    <w:rsid w:val="00306580"/>
    <w:rsid w:val="00306AF0"/>
    <w:rsid w:val="0030707B"/>
    <w:rsid w:val="00307EF9"/>
    <w:rsid w:val="00313F75"/>
    <w:rsid w:val="00314422"/>
    <w:rsid w:val="00314EF5"/>
    <w:rsid w:val="00315570"/>
    <w:rsid w:val="0031567B"/>
    <w:rsid w:val="00315738"/>
    <w:rsid w:val="00315A08"/>
    <w:rsid w:val="00315DA0"/>
    <w:rsid w:val="003171B9"/>
    <w:rsid w:val="00317CA9"/>
    <w:rsid w:val="003206BB"/>
    <w:rsid w:val="00320CFD"/>
    <w:rsid w:val="00322D7E"/>
    <w:rsid w:val="0032356C"/>
    <w:rsid w:val="00323998"/>
    <w:rsid w:val="00323C55"/>
    <w:rsid w:val="00323D24"/>
    <w:rsid w:val="00323F6D"/>
    <w:rsid w:val="0032697B"/>
    <w:rsid w:val="00326B8B"/>
    <w:rsid w:val="00326E47"/>
    <w:rsid w:val="003274A2"/>
    <w:rsid w:val="003277EC"/>
    <w:rsid w:val="00327DE6"/>
    <w:rsid w:val="00330318"/>
    <w:rsid w:val="0033187F"/>
    <w:rsid w:val="00332937"/>
    <w:rsid w:val="00333F0C"/>
    <w:rsid w:val="00335681"/>
    <w:rsid w:val="00335704"/>
    <w:rsid w:val="00335EB0"/>
    <w:rsid w:val="00336320"/>
    <w:rsid w:val="00336EDD"/>
    <w:rsid w:val="003370CC"/>
    <w:rsid w:val="0033791F"/>
    <w:rsid w:val="00340D72"/>
    <w:rsid w:val="00340FBE"/>
    <w:rsid w:val="00341D83"/>
    <w:rsid w:val="00341E64"/>
    <w:rsid w:val="003425B9"/>
    <w:rsid w:val="00342E0D"/>
    <w:rsid w:val="003435EF"/>
    <w:rsid w:val="003439DC"/>
    <w:rsid w:val="00343BAD"/>
    <w:rsid w:val="0034462A"/>
    <w:rsid w:val="00345A34"/>
    <w:rsid w:val="00346A21"/>
    <w:rsid w:val="00346D5F"/>
    <w:rsid w:val="00347684"/>
    <w:rsid w:val="003476F9"/>
    <w:rsid w:val="00350503"/>
    <w:rsid w:val="00350C89"/>
    <w:rsid w:val="00350F68"/>
    <w:rsid w:val="0035415A"/>
    <w:rsid w:val="00354E94"/>
    <w:rsid w:val="0035522E"/>
    <w:rsid w:val="00355764"/>
    <w:rsid w:val="003557BE"/>
    <w:rsid w:val="003576BA"/>
    <w:rsid w:val="00360FA5"/>
    <w:rsid w:val="00361581"/>
    <w:rsid w:val="00362F08"/>
    <w:rsid w:val="00363651"/>
    <w:rsid w:val="0036393B"/>
    <w:rsid w:val="00364664"/>
    <w:rsid w:val="0036666A"/>
    <w:rsid w:val="0036678C"/>
    <w:rsid w:val="00366AD9"/>
    <w:rsid w:val="003670C6"/>
    <w:rsid w:val="00367678"/>
    <w:rsid w:val="00367765"/>
    <w:rsid w:val="003728EE"/>
    <w:rsid w:val="003731E0"/>
    <w:rsid w:val="00374D93"/>
    <w:rsid w:val="003766EC"/>
    <w:rsid w:val="00377FC8"/>
    <w:rsid w:val="00380BF5"/>
    <w:rsid w:val="00380E43"/>
    <w:rsid w:val="00381236"/>
    <w:rsid w:val="003818BC"/>
    <w:rsid w:val="00381DF8"/>
    <w:rsid w:val="00383578"/>
    <w:rsid w:val="003838D7"/>
    <w:rsid w:val="00384CF7"/>
    <w:rsid w:val="0038565F"/>
    <w:rsid w:val="00385ACC"/>
    <w:rsid w:val="00385F16"/>
    <w:rsid w:val="00386B87"/>
    <w:rsid w:val="00387815"/>
    <w:rsid w:val="00387B10"/>
    <w:rsid w:val="00387B3D"/>
    <w:rsid w:val="00387C5E"/>
    <w:rsid w:val="00391311"/>
    <w:rsid w:val="003914B3"/>
    <w:rsid w:val="00391D95"/>
    <w:rsid w:val="0039224B"/>
    <w:rsid w:val="003927AC"/>
    <w:rsid w:val="00393131"/>
    <w:rsid w:val="0039355E"/>
    <w:rsid w:val="00393B2A"/>
    <w:rsid w:val="00393DEC"/>
    <w:rsid w:val="00394744"/>
    <w:rsid w:val="0039583B"/>
    <w:rsid w:val="00395B65"/>
    <w:rsid w:val="00395D53"/>
    <w:rsid w:val="00395D88"/>
    <w:rsid w:val="0039617B"/>
    <w:rsid w:val="00396215"/>
    <w:rsid w:val="00396402"/>
    <w:rsid w:val="0039686B"/>
    <w:rsid w:val="003971F6"/>
    <w:rsid w:val="00397594"/>
    <w:rsid w:val="003A0C58"/>
    <w:rsid w:val="003A23B8"/>
    <w:rsid w:val="003A29BD"/>
    <w:rsid w:val="003A2B17"/>
    <w:rsid w:val="003A2DF7"/>
    <w:rsid w:val="003A34EF"/>
    <w:rsid w:val="003A4CB1"/>
    <w:rsid w:val="003A5ADB"/>
    <w:rsid w:val="003A5ADF"/>
    <w:rsid w:val="003A6D26"/>
    <w:rsid w:val="003A70A1"/>
    <w:rsid w:val="003A73B5"/>
    <w:rsid w:val="003A75E8"/>
    <w:rsid w:val="003A79A8"/>
    <w:rsid w:val="003B0200"/>
    <w:rsid w:val="003B090C"/>
    <w:rsid w:val="003B0D98"/>
    <w:rsid w:val="003B180F"/>
    <w:rsid w:val="003B227C"/>
    <w:rsid w:val="003B2859"/>
    <w:rsid w:val="003B3C26"/>
    <w:rsid w:val="003B4785"/>
    <w:rsid w:val="003B49FA"/>
    <w:rsid w:val="003B5793"/>
    <w:rsid w:val="003B6175"/>
    <w:rsid w:val="003B72A6"/>
    <w:rsid w:val="003C0054"/>
    <w:rsid w:val="003C06F2"/>
    <w:rsid w:val="003C0FA6"/>
    <w:rsid w:val="003C131A"/>
    <w:rsid w:val="003C1839"/>
    <w:rsid w:val="003C2C0F"/>
    <w:rsid w:val="003C399F"/>
    <w:rsid w:val="003C3A0E"/>
    <w:rsid w:val="003C41F9"/>
    <w:rsid w:val="003C452C"/>
    <w:rsid w:val="003C4672"/>
    <w:rsid w:val="003C4687"/>
    <w:rsid w:val="003C5A82"/>
    <w:rsid w:val="003C6437"/>
    <w:rsid w:val="003C6DC2"/>
    <w:rsid w:val="003C6F6F"/>
    <w:rsid w:val="003C78DB"/>
    <w:rsid w:val="003D047D"/>
    <w:rsid w:val="003D1E8E"/>
    <w:rsid w:val="003D2450"/>
    <w:rsid w:val="003D2525"/>
    <w:rsid w:val="003D3031"/>
    <w:rsid w:val="003D39AC"/>
    <w:rsid w:val="003D3B85"/>
    <w:rsid w:val="003D3D86"/>
    <w:rsid w:val="003D4AC7"/>
    <w:rsid w:val="003D5175"/>
    <w:rsid w:val="003D5350"/>
    <w:rsid w:val="003D54B2"/>
    <w:rsid w:val="003D5510"/>
    <w:rsid w:val="003D55E8"/>
    <w:rsid w:val="003D5B2F"/>
    <w:rsid w:val="003D5E21"/>
    <w:rsid w:val="003D662C"/>
    <w:rsid w:val="003D69FF"/>
    <w:rsid w:val="003D70AE"/>
    <w:rsid w:val="003D710E"/>
    <w:rsid w:val="003D754C"/>
    <w:rsid w:val="003E0214"/>
    <w:rsid w:val="003E0F03"/>
    <w:rsid w:val="003E1F97"/>
    <w:rsid w:val="003E5F15"/>
    <w:rsid w:val="003E5FC6"/>
    <w:rsid w:val="003E5FF8"/>
    <w:rsid w:val="003E633B"/>
    <w:rsid w:val="003E72F3"/>
    <w:rsid w:val="003E7B9B"/>
    <w:rsid w:val="003E7F35"/>
    <w:rsid w:val="003F0711"/>
    <w:rsid w:val="003F097B"/>
    <w:rsid w:val="003F1F6E"/>
    <w:rsid w:val="003F2835"/>
    <w:rsid w:val="003F2AF4"/>
    <w:rsid w:val="003F3F47"/>
    <w:rsid w:val="003F591D"/>
    <w:rsid w:val="003F5CC9"/>
    <w:rsid w:val="003F60F4"/>
    <w:rsid w:val="003F63D5"/>
    <w:rsid w:val="003F6607"/>
    <w:rsid w:val="003F6837"/>
    <w:rsid w:val="003F6F53"/>
    <w:rsid w:val="003F70C3"/>
    <w:rsid w:val="003F7366"/>
    <w:rsid w:val="0040068D"/>
    <w:rsid w:val="004012D3"/>
    <w:rsid w:val="00401311"/>
    <w:rsid w:val="00401918"/>
    <w:rsid w:val="00401AC7"/>
    <w:rsid w:val="00401C69"/>
    <w:rsid w:val="00402C43"/>
    <w:rsid w:val="00402F4F"/>
    <w:rsid w:val="004041A6"/>
    <w:rsid w:val="004043F9"/>
    <w:rsid w:val="00405D5A"/>
    <w:rsid w:val="00405FA0"/>
    <w:rsid w:val="004067D4"/>
    <w:rsid w:val="0040687D"/>
    <w:rsid w:val="00406EB1"/>
    <w:rsid w:val="00407950"/>
    <w:rsid w:val="00407E56"/>
    <w:rsid w:val="00410DC5"/>
    <w:rsid w:val="00411594"/>
    <w:rsid w:val="00412E7D"/>
    <w:rsid w:val="0041372F"/>
    <w:rsid w:val="00413C6E"/>
    <w:rsid w:val="004206DC"/>
    <w:rsid w:val="00420D64"/>
    <w:rsid w:val="00420FC4"/>
    <w:rsid w:val="00422576"/>
    <w:rsid w:val="004231AD"/>
    <w:rsid w:val="00423D2D"/>
    <w:rsid w:val="0042410D"/>
    <w:rsid w:val="004247CD"/>
    <w:rsid w:val="00424885"/>
    <w:rsid w:val="00424F70"/>
    <w:rsid w:val="00427263"/>
    <w:rsid w:val="0042757B"/>
    <w:rsid w:val="004277A8"/>
    <w:rsid w:val="00431840"/>
    <w:rsid w:val="0043249A"/>
    <w:rsid w:val="004326BB"/>
    <w:rsid w:val="0043271E"/>
    <w:rsid w:val="00432F7B"/>
    <w:rsid w:val="0043365E"/>
    <w:rsid w:val="004356D9"/>
    <w:rsid w:val="00435E6A"/>
    <w:rsid w:val="00437354"/>
    <w:rsid w:val="00440101"/>
    <w:rsid w:val="00440402"/>
    <w:rsid w:val="00440ED6"/>
    <w:rsid w:val="004421BD"/>
    <w:rsid w:val="00443CEF"/>
    <w:rsid w:val="00444270"/>
    <w:rsid w:val="00444345"/>
    <w:rsid w:val="004447FD"/>
    <w:rsid w:val="00444850"/>
    <w:rsid w:val="00445491"/>
    <w:rsid w:val="00445CFF"/>
    <w:rsid w:val="00450983"/>
    <w:rsid w:val="004509E3"/>
    <w:rsid w:val="00450DC6"/>
    <w:rsid w:val="00450F07"/>
    <w:rsid w:val="004515E5"/>
    <w:rsid w:val="00451A81"/>
    <w:rsid w:val="004523FD"/>
    <w:rsid w:val="004524E4"/>
    <w:rsid w:val="00455025"/>
    <w:rsid w:val="00455258"/>
    <w:rsid w:val="004562E0"/>
    <w:rsid w:val="00456313"/>
    <w:rsid w:val="0045696E"/>
    <w:rsid w:val="00456DDE"/>
    <w:rsid w:val="00457424"/>
    <w:rsid w:val="004576E7"/>
    <w:rsid w:val="00460B52"/>
    <w:rsid w:val="004610FF"/>
    <w:rsid w:val="004617E8"/>
    <w:rsid w:val="004623E5"/>
    <w:rsid w:val="004630D7"/>
    <w:rsid w:val="00463121"/>
    <w:rsid w:val="004634C5"/>
    <w:rsid w:val="00463BE7"/>
    <w:rsid w:val="00463FF0"/>
    <w:rsid w:val="00465A36"/>
    <w:rsid w:val="00466292"/>
    <w:rsid w:val="00466954"/>
    <w:rsid w:val="00466DED"/>
    <w:rsid w:val="00470050"/>
    <w:rsid w:val="004708E2"/>
    <w:rsid w:val="004709CA"/>
    <w:rsid w:val="00470A6C"/>
    <w:rsid w:val="00471B19"/>
    <w:rsid w:val="00472494"/>
    <w:rsid w:val="00472B68"/>
    <w:rsid w:val="004732DE"/>
    <w:rsid w:val="004742D0"/>
    <w:rsid w:val="004752DB"/>
    <w:rsid w:val="004759B4"/>
    <w:rsid w:val="00475E68"/>
    <w:rsid w:val="004762F2"/>
    <w:rsid w:val="004764B1"/>
    <w:rsid w:val="004766DD"/>
    <w:rsid w:val="00476C98"/>
    <w:rsid w:val="0047729E"/>
    <w:rsid w:val="00477D64"/>
    <w:rsid w:val="00477D83"/>
    <w:rsid w:val="00480460"/>
    <w:rsid w:val="0048170B"/>
    <w:rsid w:val="00483552"/>
    <w:rsid w:val="0048392F"/>
    <w:rsid w:val="00484104"/>
    <w:rsid w:val="004843F0"/>
    <w:rsid w:val="00485067"/>
    <w:rsid w:val="00486E95"/>
    <w:rsid w:val="004902C6"/>
    <w:rsid w:val="004905FD"/>
    <w:rsid w:val="00490A21"/>
    <w:rsid w:val="00490E18"/>
    <w:rsid w:val="00491CF8"/>
    <w:rsid w:val="0049230C"/>
    <w:rsid w:val="00492347"/>
    <w:rsid w:val="00492EFE"/>
    <w:rsid w:val="00493B79"/>
    <w:rsid w:val="0049418F"/>
    <w:rsid w:val="00494309"/>
    <w:rsid w:val="00494BC9"/>
    <w:rsid w:val="00495777"/>
    <w:rsid w:val="00495F06"/>
    <w:rsid w:val="00496B8C"/>
    <w:rsid w:val="00497ADA"/>
    <w:rsid w:val="004A085A"/>
    <w:rsid w:val="004A23A6"/>
    <w:rsid w:val="004A2408"/>
    <w:rsid w:val="004A2802"/>
    <w:rsid w:val="004A2965"/>
    <w:rsid w:val="004A363F"/>
    <w:rsid w:val="004A3A6A"/>
    <w:rsid w:val="004A3DA4"/>
    <w:rsid w:val="004A5D6C"/>
    <w:rsid w:val="004A628C"/>
    <w:rsid w:val="004A62E2"/>
    <w:rsid w:val="004A62FF"/>
    <w:rsid w:val="004A6309"/>
    <w:rsid w:val="004A6781"/>
    <w:rsid w:val="004A7A0A"/>
    <w:rsid w:val="004B10C4"/>
    <w:rsid w:val="004B1DEB"/>
    <w:rsid w:val="004B23A1"/>
    <w:rsid w:val="004B24E1"/>
    <w:rsid w:val="004B27AA"/>
    <w:rsid w:val="004B362D"/>
    <w:rsid w:val="004B3B20"/>
    <w:rsid w:val="004B55F5"/>
    <w:rsid w:val="004B7261"/>
    <w:rsid w:val="004B786A"/>
    <w:rsid w:val="004C09BB"/>
    <w:rsid w:val="004C139F"/>
    <w:rsid w:val="004C19BE"/>
    <w:rsid w:val="004C21C7"/>
    <w:rsid w:val="004C2241"/>
    <w:rsid w:val="004C24AA"/>
    <w:rsid w:val="004C3221"/>
    <w:rsid w:val="004C39F7"/>
    <w:rsid w:val="004C3B6D"/>
    <w:rsid w:val="004C3EF0"/>
    <w:rsid w:val="004C443A"/>
    <w:rsid w:val="004C481E"/>
    <w:rsid w:val="004C48DA"/>
    <w:rsid w:val="004C50EE"/>
    <w:rsid w:val="004C5115"/>
    <w:rsid w:val="004C6E04"/>
    <w:rsid w:val="004C7256"/>
    <w:rsid w:val="004C77BA"/>
    <w:rsid w:val="004D00EC"/>
    <w:rsid w:val="004D0386"/>
    <w:rsid w:val="004D1630"/>
    <w:rsid w:val="004D2C05"/>
    <w:rsid w:val="004D4724"/>
    <w:rsid w:val="004D548E"/>
    <w:rsid w:val="004D586C"/>
    <w:rsid w:val="004D5ACB"/>
    <w:rsid w:val="004D6CA4"/>
    <w:rsid w:val="004D6F4A"/>
    <w:rsid w:val="004E141B"/>
    <w:rsid w:val="004E1DE4"/>
    <w:rsid w:val="004E231A"/>
    <w:rsid w:val="004E31DD"/>
    <w:rsid w:val="004E34D5"/>
    <w:rsid w:val="004E365A"/>
    <w:rsid w:val="004E3BB6"/>
    <w:rsid w:val="004E3E53"/>
    <w:rsid w:val="004E3F6A"/>
    <w:rsid w:val="004E4E21"/>
    <w:rsid w:val="004E4E86"/>
    <w:rsid w:val="004E52AD"/>
    <w:rsid w:val="004E55CB"/>
    <w:rsid w:val="004E7257"/>
    <w:rsid w:val="004F0163"/>
    <w:rsid w:val="004F0C15"/>
    <w:rsid w:val="004F0D41"/>
    <w:rsid w:val="004F128B"/>
    <w:rsid w:val="004F17A0"/>
    <w:rsid w:val="004F1AD7"/>
    <w:rsid w:val="004F1EEC"/>
    <w:rsid w:val="004F1F36"/>
    <w:rsid w:val="004F2594"/>
    <w:rsid w:val="004F2A07"/>
    <w:rsid w:val="004F2E94"/>
    <w:rsid w:val="004F4BBA"/>
    <w:rsid w:val="004F5C57"/>
    <w:rsid w:val="004F5CC5"/>
    <w:rsid w:val="004F6E89"/>
    <w:rsid w:val="005017ED"/>
    <w:rsid w:val="00501AE8"/>
    <w:rsid w:val="00501CD0"/>
    <w:rsid w:val="00502B52"/>
    <w:rsid w:val="00502FE4"/>
    <w:rsid w:val="00503C2B"/>
    <w:rsid w:val="00504DA5"/>
    <w:rsid w:val="00504DA8"/>
    <w:rsid w:val="00505018"/>
    <w:rsid w:val="00505EAD"/>
    <w:rsid w:val="00506318"/>
    <w:rsid w:val="00506F0E"/>
    <w:rsid w:val="00506F93"/>
    <w:rsid w:val="0050744F"/>
    <w:rsid w:val="005077FF"/>
    <w:rsid w:val="0051045E"/>
    <w:rsid w:val="005106E4"/>
    <w:rsid w:val="005116F8"/>
    <w:rsid w:val="00511B58"/>
    <w:rsid w:val="00511D9B"/>
    <w:rsid w:val="0051297D"/>
    <w:rsid w:val="005134BE"/>
    <w:rsid w:val="00513599"/>
    <w:rsid w:val="005159D1"/>
    <w:rsid w:val="00515A80"/>
    <w:rsid w:val="00515F67"/>
    <w:rsid w:val="00515F86"/>
    <w:rsid w:val="00521C62"/>
    <w:rsid w:val="00522612"/>
    <w:rsid w:val="00522FC0"/>
    <w:rsid w:val="005233AA"/>
    <w:rsid w:val="00523F6B"/>
    <w:rsid w:val="00524485"/>
    <w:rsid w:val="00524600"/>
    <w:rsid w:val="0052482C"/>
    <w:rsid w:val="00524BBB"/>
    <w:rsid w:val="005256BF"/>
    <w:rsid w:val="005260B0"/>
    <w:rsid w:val="00527560"/>
    <w:rsid w:val="005278C8"/>
    <w:rsid w:val="00527AA5"/>
    <w:rsid w:val="005301A1"/>
    <w:rsid w:val="00530504"/>
    <w:rsid w:val="005310C5"/>
    <w:rsid w:val="0053186A"/>
    <w:rsid w:val="00531D75"/>
    <w:rsid w:val="0053211B"/>
    <w:rsid w:val="0053391E"/>
    <w:rsid w:val="0053453A"/>
    <w:rsid w:val="00534ADF"/>
    <w:rsid w:val="00534F89"/>
    <w:rsid w:val="00535EBE"/>
    <w:rsid w:val="005376B5"/>
    <w:rsid w:val="00541065"/>
    <w:rsid w:val="0054156F"/>
    <w:rsid w:val="005416AE"/>
    <w:rsid w:val="00542B31"/>
    <w:rsid w:val="005440FE"/>
    <w:rsid w:val="00544BEC"/>
    <w:rsid w:val="00545464"/>
    <w:rsid w:val="005473A2"/>
    <w:rsid w:val="00550003"/>
    <w:rsid w:val="00550790"/>
    <w:rsid w:val="00550941"/>
    <w:rsid w:val="005509D7"/>
    <w:rsid w:val="00550DED"/>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076"/>
    <w:rsid w:val="005557D9"/>
    <w:rsid w:val="00555D9A"/>
    <w:rsid w:val="005568CE"/>
    <w:rsid w:val="00556E99"/>
    <w:rsid w:val="00557162"/>
    <w:rsid w:val="005575D6"/>
    <w:rsid w:val="0056090C"/>
    <w:rsid w:val="00562334"/>
    <w:rsid w:val="00562485"/>
    <w:rsid w:val="00562C92"/>
    <w:rsid w:val="00562DB4"/>
    <w:rsid w:val="00564ACE"/>
    <w:rsid w:val="00565162"/>
    <w:rsid w:val="005659FB"/>
    <w:rsid w:val="00566D01"/>
    <w:rsid w:val="0056784E"/>
    <w:rsid w:val="00571323"/>
    <w:rsid w:val="00571587"/>
    <w:rsid w:val="00571C0C"/>
    <w:rsid w:val="00572825"/>
    <w:rsid w:val="00573B9D"/>
    <w:rsid w:val="0057414C"/>
    <w:rsid w:val="00575AEB"/>
    <w:rsid w:val="00576A21"/>
    <w:rsid w:val="00576D82"/>
    <w:rsid w:val="00577A9E"/>
    <w:rsid w:val="00577B86"/>
    <w:rsid w:val="0058004A"/>
    <w:rsid w:val="00580ECD"/>
    <w:rsid w:val="00581E78"/>
    <w:rsid w:val="00581ED8"/>
    <w:rsid w:val="0058236D"/>
    <w:rsid w:val="00582578"/>
    <w:rsid w:val="005832EA"/>
    <w:rsid w:val="0058449F"/>
    <w:rsid w:val="005847E9"/>
    <w:rsid w:val="00585372"/>
    <w:rsid w:val="00585A80"/>
    <w:rsid w:val="005860FF"/>
    <w:rsid w:val="005868FF"/>
    <w:rsid w:val="00586E4B"/>
    <w:rsid w:val="0058730B"/>
    <w:rsid w:val="0059000E"/>
    <w:rsid w:val="00590383"/>
    <w:rsid w:val="00592537"/>
    <w:rsid w:val="0059353A"/>
    <w:rsid w:val="00593543"/>
    <w:rsid w:val="0059432C"/>
    <w:rsid w:val="00594405"/>
    <w:rsid w:val="005947C9"/>
    <w:rsid w:val="00595599"/>
    <w:rsid w:val="00596966"/>
    <w:rsid w:val="00597DBC"/>
    <w:rsid w:val="005A042D"/>
    <w:rsid w:val="005A044F"/>
    <w:rsid w:val="005A106F"/>
    <w:rsid w:val="005A1514"/>
    <w:rsid w:val="005A2605"/>
    <w:rsid w:val="005A2752"/>
    <w:rsid w:val="005A2794"/>
    <w:rsid w:val="005A314D"/>
    <w:rsid w:val="005A453C"/>
    <w:rsid w:val="005A4585"/>
    <w:rsid w:val="005A47AC"/>
    <w:rsid w:val="005A48A7"/>
    <w:rsid w:val="005A4C48"/>
    <w:rsid w:val="005A5805"/>
    <w:rsid w:val="005A5FE9"/>
    <w:rsid w:val="005A61BB"/>
    <w:rsid w:val="005B041D"/>
    <w:rsid w:val="005B071D"/>
    <w:rsid w:val="005B083B"/>
    <w:rsid w:val="005B3421"/>
    <w:rsid w:val="005B3A68"/>
    <w:rsid w:val="005B3E3C"/>
    <w:rsid w:val="005B4E4D"/>
    <w:rsid w:val="005B58C7"/>
    <w:rsid w:val="005B5B74"/>
    <w:rsid w:val="005B5E15"/>
    <w:rsid w:val="005B6790"/>
    <w:rsid w:val="005C04AD"/>
    <w:rsid w:val="005C06F7"/>
    <w:rsid w:val="005C07AD"/>
    <w:rsid w:val="005C11E5"/>
    <w:rsid w:val="005C20E7"/>
    <w:rsid w:val="005C259A"/>
    <w:rsid w:val="005C3FC1"/>
    <w:rsid w:val="005C41BA"/>
    <w:rsid w:val="005C4391"/>
    <w:rsid w:val="005C470A"/>
    <w:rsid w:val="005C4916"/>
    <w:rsid w:val="005C4AA1"/>
    <w:rsid w:val="005C4AFF"/>
    <w:rsid w:val="005C5B3A"/>
    <w:rsid w:val="005C63B5"/>
    <w:rsid w:val="005C64D8"/>
    <w:rsid w:val="005C69A8"/>
    <w:rsid w:val="005C6E06"/>
    <w:rsid w:val="005C7C43"/>
    <w:rsid w:val="005C7C48"/>
    <w:rsid w:val="005C7DC5"/>
    <w:rsid w:val="005D0402"/>
    <w:rsid w:val="005D1AB8"/>
    <w:rsid w:val="005D2768"/>
    <w:rsid w:val="005D319B"/>
    <w:rsid w:val="005D3499"/>
    <w:rsid w:val="005D370D"/>
    <w:rsid w:val="005D3749"/>
    <w:rsid w:val="005D3765"/>
    <w:rsid w:val="005D4A64"/>
    <w:rsid w:val="005E00A3"/>
    <w:rsid w:val="005E1B88"/>
    <w:rsid w:val="005E1C44"/>
    <w:rsid w:val="005E1D5E"/>
    <w:rsid w:val="005E202C"/>
    <w:rsid w:val="005E228E"/>
    <w:rsid w:val="005E2583"/>
    <w:rsid w:val="005E2AC5"/>
    <w:rsid w:val="005E3575"/>
    <w:rsid w:val="005E3E68"/>
    <w:rsid w:val="005E45B6"/>
    <w:rsid w:val="005E4983"/>
    <w:rsid w:val="005E4F2A"/>
    <w:rsid w:val="005E51A0"/>
    <w:rsid w:val="005E5393"/>
    <w:rsid w:val="005E5B8E"/>
    <w:rsid w:val="005E6407"/>
    <w:rsid w:val="005E779B"/>
    <w:rsid w:val="005F1219"/>
    <w:rsid w:val="005F14DE"/>
    <w:rsid w:val="005F18FD"/>
    <w:rsid w:val="005F1A1C"/>
    <w:rsid w:val="005F275A"/>
    <w:rsid w:val="005F34D5"/>
    <w:rsid w:val="005F3548"/>
    <w:rsid w:val="005F3E04"/>
    <w:rsid w:val="005F3FE5"/>
    <w:rsid w:val="005F4535"/>
    <w:rsid w:val="005F500A"/>
    <w:rsid w:val="005F60E6"/>
    <w:rsid w:val="005F6258"/>
    <w:rsid w:val="005F68CD"/>
    <w:rsid w:val="006002B0"/>
    <w:rsid w:val="00600475"/>
    <w:rsid w:val="006004A6"/>
    <w:rsid w:val="00600B40"/>
    <w:rsid w:val="006017E0"/>
    <w:rsid w:val="006019DB"/>
    <w:rsid w:val="00601A0A"/>
    <w:rsid w:val="00602C0E"/>
    <w:rsid w:val="00602C4A"/>
    <w:rsid w:val="006045FD"/>
    <w:rsid w:val="0060493F"/>
    <w:rsid w:val="00605AC4"/>
    <w:rsid w:val="00607B66"/>
    <w:rsid w:val="006113CE"/>
    <w:rsid w:val="006129AC"/>
    <w:rsid w:val="00613732"/>
    <w:rsid w:val="006146AF"/>
    <w:rsid w:val="006150B9"/>
    <w:rsid w:val="006152C1"/>
    <w:rsid w:val="00615A4F"/>
    <w:rsid w:val="006162F9"/>
    <w:rsid w:val="00616737"/>
    <w:rsid w:val="0061684E"/>
    <w:rsid w:val="00620CF5"/>
    <w:rsid w:val="00621806"/>
    <w:rsid w:val="006220E6"/>
    <w:rsid w:val="006229CB"/>
    <w:rsid w:val="00622C97"/>
    <w:rsid w:val="00622EB7"/>
    <w:rsid w:val="00622F1F"/>
    <w:rsid w:val="006245D0"/>
    <w:rsid w:val="00625925"/>
    <w:rsid w:val="00625D38"/>
    <w:rsid w:val="006260A7"/>
    <w:rsid w:val="00627734"/>
    <w:rsid w:val="00630E16"/>
    <w:rsid w:val="00632838"/>
    <w:rsid w:val="00632A68"/>
    <w:rsid w:val="0063324A"/>
    <w:rsid w:val="00633FB0"/>
    <w:rsid w:val="006340CB"/>
    <w:rsid w:val="00634F1B"/>
    <w:rsid w:val="00635126"/>
    <w:rsid w:val="00635194"/>
    <w:rsid w:val="00635B48"/>
    <w:rsid w:val="0063625D"/>
    <w:rsid w:val="00637079"/>
    <w:rsid w:val="00637508"/>
    <w:rsid w:val="00637F35"/>
    <w:rsid w:val="00640292"/>
    <w:rsid w:val="006405A8"/>
    <w:rsid w:val="00640600"/>
    <w:rsid w:val="00640945"/>
    <w:rsid w:val="006413AE"/>
    <w:rsid w:val="0064171D"/>
    <w:rsid w:val="00642BD9"/>
    <w:rsid w:val="00642D76"/>
    <w:rsid w:val="00644305"/>
    <w:rsid w:val="00644376"/>
    <w:rsid w:val="00644455"/>
    <w:rsid w:val="0064476A"/>
    <w:rsid w:val="006452AB"/>
    <w:rsid w:val="00645428"/>
    <w:rsid w:val="0064602E"/>
    <w:rsid w:val="0065159E"/>
    <w:rsid w:val="00652069"/>
    <w:rsid w:val="006522D3"/>
    <w:rsid w:val="00654015"/>
    <w:rsid w:val="00654DE1"/>
    <w:rsid w:val="00655719"/>
    <w:rsid w:val="00656370"/>
    <w:rsid w:val="00657839"/>
    <w:rsid w:val="00660B42"/>
    <w:rsid w:val="00661066"/>
    <w:rsid w:val="00661154"/>
    <w:rsid w:val="00663076"/>
    <w:rsid w:val="00663B03"/>
    <w:rsid w:val="006645D8"/>
    <w:rsid w:val="00665761"/>
    <w:rsid w:val="00666331"/>
    <w:rsid w:val="00666CE7"/>
    <w:rsid w:val="006672E4"/>
    <w:rsid w:val="00670180"/>
    <w:rsid w:val="0067042C"/>
    <w:rsid w:val="0067066E"/>
    <w:rsid w:val="00670D62"/>
    <w:rsid w:val="00670DA9"/>
    <w:rsid w:val="00672CC5"/>
    <w:rsid w:val="00673478"/>
    <w:rsid w:val="00673818"/>
    <w:rsid w:val="006739CD"/>
    <w:rsid w:val="006747C2"/>
    <w:rsid w:val="00674B87"/>
    <w:rsid w:val="006753C3"/>
    <w:rsid w:val="00675AD2"/>
    <w:rsid w:val="00675C9E"/>
    <w:rsid w:val="006762FE"/>
    <w:rsid w:val="006765AB"/>
    <w:rsid w:val="00676FAD"/>
    <w:rsid w:val="0067748B"/>
    <w:rsid w:val="006779B9"/>
    <w:rsid w:val="00677D9D"/>
    <w:rsid w:val="006800FA"/>
    <w:rsid w:val="0068070B"/>
    <w:rsid w:val="00680DE6"/>
    <w:rsid w:val="006813C4"/>
    <w:rsid w:val="00681BD5"/>
    <w:rsid w:val="006826AD"/>
    <w:rsid w:val="00682AA2"/>
    <w:rsid w:val="00682FC1"/>
    <w:rsid w:val="00684253"/>
    <w:rsid w:val="00684B00"/>
    <w:rsid w:val="006851EA"/>
    <w:rsid w:val="00686F54"/>
    <w:rsid w:val="00691BD5"/>
    <w:rsid w:val="00691E36"/>
    <w:rsid w:val="00691F9A"/>
    <w:rsid w:val="00692019"/>
    <w:rsid w:val="00692719"/>
    <w:rsid w:val="00692C49"/>
    <w:rsid w:val="00693AC4"/>
    <w:rsid w:val="00693B64"/>
    <w:rsid w:val="00694C36"/>
    <w:rsid w:val="00695E0F"/>
    <w:rsid w:val="006A0426"/>
    <w:rsid w:val="006A043C"/>
    <w:rsid w:val="006A0693"/>
    <w:rsid w:val="006A0905"/>
    <w:rsid w:val="006A0DC9"/>
    <w:rsid w:val="006A225C"/>
    <w:rsid w:val="006A290B"/>
    <w:rsid w:val="006A2C24"/>
    <w:rsid w:val="006A3D2E"/>
    <w:rsid w:val="006A3FE9"/>
    <w:rsid w:val="006A4634"/>
    <w:rsid w:val="006A5220"/>
    <w:rsid w:val="006A6C0E"/>
    <w:rsid w:val="006A7130"/>
    <w:rsid w:val="006A75C1"/>
    <w:rsid w:val="006A7927"/>
    <w:rsid w:val="006A7D0E"/>
    <w:rsid w:val="006A7E5E"/>
    <w:rsid w:val="006B14EF"/>
    <w:rsid w:val="006B18DF"/>
    <w:rsid w:val="006B1AE3"/>
    <w:rsid w:val="006B20A5"/>
    <w:rsid w:val="006B2298"/>
    <w:rsid w:val="006B2BA3"/>
    <w:rsid w:val="006B3658"/>
    <w:rsid w:val="006B3782"/>
    <w:rsid w:val="006B4CBF"/>
    <w:rsid w:val="006B54D3"/>
    <w:rsid w:val="006B5928"/>
    <w:rsid w:val="006B6B01"/>
    <w:rsid w:val="006B7C65"/>
    <w:rsid w:val="006C0EF1"/>
    <w:rsid w:val="006C1085"/>
    <w:rsid w:val="006C1E19"/>
    <w:rsid w:val="006C2D67"/>
    <w:rsid w:val="006C2E68"/>
    <w:rsid w:val="006C30DF"/>
    <w:rsid w:val="006C418E"/>
    <w:rsid w:val="006C56F8"/>
    <w:rsid w:val="006C60D2"/>
    <w:rsid w:val="006C613F"/>
    <w:rsid w:val="006C64A2"/>
    <w:rsid w:val="006C6A94"/>
    <w:rsid w:val="006C6CCA"/>
    <w:rsid w:val="006C70A7"/>
    <w:rsid w:val="006D06BD"/>
    <w:rsid w:val="006D1325"/>
    <w:rsid w:val="006D147E"/>
    <w:rsid w:val="006D192C"/>
    <w:rsid w:val="006D29BF"/>
    <w:rsid w:val="006D2EFC"/>
    <w:rsid w:val="006D2FFB"/>
    <w:rsid w:val="006D3193"/>
    <w:rsid w:val="006D395F"/>
    <w:rsid w:val="006D3BEE"/>
    <w:rsid w:val="006D3D82"/>
    <w:rsid w:val="006D53AE"/>
    <w:rsid w:val="006D56A0"/>
    <w:rsid w:val="006D5A71"/>
    <w:rsid w:val="006D608F"/>
    <w:rsid w:val="006D684A"/>
    <w:rsid w:val="006D6C55"/>
    <w:rsid w:val="006D78C3"/>
    <w:rsid w:val="006D7E4B"/>
    <w:rsid w:val="006E0940"/>
    <w:rsid w:val="006E0EA8"/>
    <w:rsid w:val="006E16A4"/>
    <w:rsid w:val="006E22D6"/>
    <w:rsid w:val="006E3C3E"/>
    <w:rsid w:val="006E3C84"/>
    <w:rsid w:val="006E4041"/>
    <w:rsid w:val="006E4CE3"/>
    <w:rsid w:val="006E5EF2"/>
    <w:rsid w:val="006E6239"/>
    <w:rsid w:val="006E65AE"/>
    <w:rsid w:val="006E6DDF"/>
    <w:rsid w:val="006E7930"/>
    <w:rsid w:val="006F0E2E"/>
    <w:rsid w:val="006F2C8B"/>
    <w:rsid w:val="006F2F62"/>
    <w:rsid w:val="006F313C"/>
    <w:rsid w:val="006F332D"/>
    <w:rsid w:val="006F419D"/>
    <w:rsid w:val="006F4CF4"/>
    <w:rsid w:val="006F5095"/>
    <w:rsid w:val="006F55A7"/>
    <w:rsid w:val="006F599B"/>
    <w:rsid w:val="006F76BD"/>
    <w:rsid w:val="006F7B24"/>
    <w:rsid w:val="006F7EBF"/>
    <w:rsid w:val="007003E4"/>
    <w:rsid w:val="007004D9"/>
    <w:rsid w:val="00701C3F"/>
    <w:rsid w:val="00701EBB"/>
    <w:rsid w:val="00702B5B"/>
    <w:rsid w:val="0070320A"/>
    <w:rsid w:val="00704B26"/>
    <w:rsid w:val="00704C1E"/>
    <w:rsid w:val="00704D13"/>
    <w:rsid w:val="00705DCF"/>
    <w:rsid w:val="00706147"/>
    <w:rsid w:val="0070746A"/>
    <w:rsid w:val="0071128D"/>
    <w:rsid w:val="00711570"/>
    <w:rsid w:val="00712CB4"/>
    <w:rsid w:val="00712E06"/>
    <w:rsid w:val="007144D8"/>
    <w:rsid w:val="007145C4"/>
    <w:rsid w:val="00715763"/>
    <w:rsid w:val="00715BC5"/>
    <w:rsid w:val="00717277"/>
    <w:rsid w:val="00717DA5"/>
    <w:rsid w:val="007217E2"/>
    <w:rsid w:val="00721C0C"/>
    <w:rsid w:val="00721D56"/>
    <w:rsid w:val="0072253B"/>
    <w:rsid w:val="00723466"/>
    <w:rsid w:val="007238B7"/>
    <w:rsid w:val="007246E5"/>
    <w:rsid w:val="00724FE5"/>
    <w:rsid w:val="00725969"/>
    <w:rsid w:val="00726844"/>
    <w:rsid w:val="00726DE5"/>
    <w:rsid w:val="007302BE"/>
    <w:rsid w:val="0073089E"/>
    <w:rsid w:val="007309AE"/>
    <w:rsid w:val="007328C6"/>
    <w:rsid w:val="0073294D"/>
    <w:rsid w:val="00732A20"/>
    <w:rsid w:val="00732A46"/>
    <w:rsid w:val="00732BBE"/>
    <w:rsid w:val="00732D01"/>
    <w:rsid w:val="00732E2E"/>
    <w:rsid w:val="00732E7F"/>
    <w:rsid w:val="00733015"/>
    <w:rsid w:val="00733023"/>
    <w:rsid w:val="00733683"/>
    <w:rsid w:val="00733E0F"/>
    <w:rsid w:val="007345D4"/>
    <w:rsid w:val="0073522A"/>
    <w:rsid w:val="0073580E"/>
    <w:rsid w:val="00736099"/>
    <w:rsid w:val="007364D6"/>
    <w:rsid w:val="00740FF4"/>
    <w:rsid w:val="00742A12"/>
    <w:rsid w:val="00743025"/>
    <w:rsid w:val="0074345C"/>
    <w:rsid w:val="007435FA"/>
    <w:rsid w:val="00743F69"/>
    <w:rsid w:val="00744FE0"/>
    <w:rsid w:val="0074527A"/>
    <w:rsid w:val="00745544"/>
    <w:rsid w:val="007457A4"/>
    <w:rsid w:val="007459FE"/>
    <w:rsid w:val="00747899"/>
    <w:rsid w:val="00747DAB"/>
    <w:rsid w:val="00747F77"/>
    <w:rsid w:val="00750E6D"/>
    <w:rsid w:val="0075103E"/>
    <w:rsid w:val="0075131C"/>
    <w:rsid w:val="007514ED"/>
    <w:rsid w:val="00751652"/>
    <w:rsid w:val="00751F50"/>
    <w:rsid w:val="00752C16"/>
    <w:rsid w:val="00753707"/>
    <w:rsid w:val="00753D88"/>
    <w:rsid w:val="00753DDA"/>
    <w:rsid w:val="0075434A"/>
    <w:rsid w:val="00754799"/>
    <w:rsid w:val="007547CB"/>
    <w:rsid w:val="00754C8A"/>
    <w:rsid w:val="007566F9"/>
    <w:rsid w:val="00762581"/>
    <w:rsid w:val="00764139"/>
    <w:rsid w:val="007660DC"/>
    <w:rsid w:val="007660EA"/>
    <w:rsid w:val="0076636E"/>
    <w:rsid w:val="00766ABD"/>
    <w:rsid w:val="00767509"/>
    <w:rsid w:val="007678F8"/>
    <w:rsid w:val="007712B1"/>
    <w:rsid w:val="00771CC0"/>
    <w:rsid w:val="007727B1"/>
    <w:rsid w:val="007727E4"/>
    <w:rsid w:val="0077373E"/>
    <w:rsid w:val="007741E5"/>
    <w:rsid w:val="0077491E"/>
    <w:rsid w:val="00774A93"/>
    <w:rsid w:val="00776399"/>
    <w:rsid w:val="0077651B"/>
    <w:rsid w:val="007769CD"/>
    <w:rsid w:val="00776C10"/>
    <w:rsid w:val="00776DF1"/>
    <w:rsid w:val="00777DA2"/>
    <w:rsid w:val="007802C1"/>
    <w:rsid w:val="0078032B"/>
    <w:rsid w:val="00780F93"/>
    <w:rsid w:val="00781566"/>
    <w:rsid w:val="007816D2"/>
    <w:rsid w:val="00781E08"/>
    <w:rsid w:val="007835F6"/>
    <w:rsid w:val="00783A4F"/>
    <w:rsid w:val="00784A64"/>
    <w:rsid w:val="0078521F"/>
    <w:rsid w:val="007852D6"/>
    <w:rsid w:val="00785820"/>
    <w:rsid w:val="00785BF9"/>
    <w:rsid w:val="00785F4C"/>
    <w:rsid w:val="0078656F"/>
    <w:rsid w:val="00786EA7"/>
    <w:rsid w:val="00787183"/>
    <w:rsid w:val="0078754E"/>
    <w:rsid w:val="00787753"/>
    <w:rsid w:val="00787D75"/>
    <w:rsid w:val="007900F5"/>
    <w:rsid w:val="00790D66"/>
    <w:rsid w:val="007914BF"/>
    <w:rsid w:val="0079260B"/>
    <w:rsid w:val="00792E6E"/>
    <w:rsid w:val="00792FC5"/>
    <w:rsid w:val="0079313D"/>
    <w:rsid w:val="007937C8"/>
    <w:rsid w:val="00793901"/>
    <w:rsid w:val="00794C3D"/>
    <w:rsid w:val="00795222"/>
    <w:rsid w:val="007952E6"/>
    <w:rsid w:val="0079656F"/>
    <w:rsid w:val="00796AA5"/>
    <w:rsid w:val="007975B2"/>
    <w:rsid w:val="007976E7"/>
    <w:rsid w:val="00797B1E"/>
    <w:rsid w:val="007A0181"/>
    <w:rsid w:val="007A1C8F"/>
    <w:rsid w:val="007A2071"/>
    <w:rsid w:val="007A239E"/>
    <w:rsid w:val="007A2CF0"/>
    <w:rsid w:val="007A2D03"/>
    <w:rsid w:val="007A39E1"/>
    <w:rsid w:val="007A3BA1"/>
    <w:rsid w:val="007A4371"/>
    <w:rsid w:val="007A44D5"/>
    <w:rsid w:val="007A4559"/>
    <w:rsid w:val="007A4A0F"/>
    <w:rsid w:val="007A4DCE"/>
    <w:rsid w:val="007A6297"/>
    <w:rsid w:val="007A72DC"/>
    <w:rsid w:val="007A78C5"/>
    <w:rsid w:val="007A7DB7"/>
    <w:rsid w:val="007B02FB"/>
    <w:rsid w:val="007B0F3D"/>
    <w:rsid w:val="007B1437"/>
    <w:rsid w:val="007B1511"/>
    <w:rsid w:val="007B25D1"/>
    <w:rsid w:val="007B31D7"/>
    <w:rsid w:val="007B31E8"/>
    <w:rsid w:val="007B330B"/>
    <w:rsid w:val="007B36AC"/>
    <w:rsid w:val="007B382B"/>
    <w:rsid w:val="007B3A6D"/>
    <w:rsid w:val="007B3EE9"/>
    <w:rsid w:val="007B451F"/>
    <w:rsid w:val="007B5110"/>
    <w:rsid w:val="007B6840"/>
    <w:rsid w:val="007B6CF8"/>
    <w:rsid w:val="007B6D77"/>
    <w:rsid w:val="007B74D1"/>
    <w:rsid w:val="007B7706"/>
    <w:rsid w:val="007B780B"/>
    <w:rsid w:val="007C19A2"/>
    <w:rsid w:val="007C1D84"/>
    <w:rsid w:val="007C1DFF"/>
    <w:rsid w:val="007C22CA"/>
    <w:rsid w:val="007C2B02"/>
    <w:rsid w:val="007C31F6"/>
    <w:rsid w:val="007C3ABA"/>
    <w:rsid w:val="007C3D14"/>
    <w:rsid w:val="007C46DA"/>
    <w:rsid w:val="007C49E4"/>
    <w:rsid w:val="007C6135"/>
    <w:rsid w:val="007C64EB"/>
    <w:rsid w:val="007C6551"/>
    <w:rsid w:val="007C6F14"/>
    <w:rsid w:val="007C728C"/>
    <w:rsid w:val="007D0037"/>
    <w:rsid w:val="007D07C1"/>
    <w:rsid w:val="007D08EC"/>
    <w:rsid w:val="007D0EAB"/>
    <w:rsid w:val="007D27F1"/>
    <w:rsid w:val="007D331F"/>
    <w:rsid w:val="007D3A81"/>
    <w:rsid w:val="007D42F0"/>
    <w:rsid w:val="007D4545"/>
    <w:rsid w:val="007D623E"/>
    <w:rsid w:val="007D6A12"/>
    <w:rsid w:val="007D6B60"/>
    <w:rsid w:val="007D717D"/>
    <w:rsid w:val="007D72CD"/>
    <w:rsid w:val="007D7A14"/>
    <w:rsid w:val="007E07D0"/>
    <w:rsid w:val="007E1DE2"/>
    <w:rsid w:val="007E1E9D"/>
    <w:rsid w:val="007E25DC"/>
    <w:rsid w:val="007E2C20"/>
    <w:rsid w:val="007E31DE"/>
    <w:rsid w:val="007E366D"/>
    <w:rsid w:val="007E3EDD"/>
    <w:rsid w:val="007E7B10"/>
    <w:rsid w:val="007E7FB6"/>
    <w:rsid w:val="007F05ED"/>
    <w:rsid w:val="007F07A5"/>
    <w:rsid w:val="007F08A4"/>
    <w:rsid w:val="007F1249"/>
    <w:rsid w:val="007F12BD"/>
    <w:rsid w:val="007F186C"/>
    <w:rsid w:val="007F2E8B"/>
    <w:rsid w:val="007F3708"/>
    <w:rsid w:val="007F3AB0"/>
    <w:rsid w:val="007F588B"/>
    <w:rsid w:val="007F5C8D"/>
    <w:rsid w:val="007F7C0F"/>
    <w:rsid w:val="0080043D"/>
    <w:rsid w:val="008019CF"/>
    <w:rsid w:val="00801B66"/>
    <w:rsid w:val="00802701"/>
    <w:rsid w:val="008038A2"/>
    <w:rsid w:val="00804F8E"/>
    <w:rsid w:val="0080542A"/>
    <w:rsid w:val="0080574B"/>
    <w:rsid w:val="00806593"/>
    <w:rsid w:val="008067E2"/>
    <w:rsid w:val="00806DD6"/>
    <w:rsid w:val="0080776A"/>
    <w:rsid w:val="00807AE3"/>
    <w:rsid w:val="00810738"/>
    <w:rsid w:val="008107C2"/>
    <w:rsid w:val="00811196"/>
    <w:rsid w:val="00811FE8"/>
    <w:rsid w:val="008137A1"/>
    <w:rsid w:val="008139A8"/>
    <w:rsid w:val="00815B1E"/>
    <w:rsid w:val="00816D7F"/>
    <w:rsid w:val="00817E0E"/>
    <w:rsid w:val="00820F54"/>
    <w:rsid w:val="008213DF"/>
    <w:rsid w:val="00821778"/>
    <w:rsid w:val="00821C5D"/>
    <w:rsid w:val="008220CF"/>
    <w:rsid w:val="00822834"/>
    <w:rsid w:val="008242A4"/>
    <w:rsid w:val="00824713"/>
    <w:rsid w:val="008267CF"/>
    <w:rsid w:val="008271A3"/>
    <w:rsid w:val="0082730F"/>
    <w:rsid w:val="008275FD"/>
    <w:rsid w:val="00830DF8"/>
    <w:rsid w:val="0083222A"/>
    <w:rsid w:val="00832CE0"/>
    <w:rsid w:val="00832F0D"/>
    <w:rsid w:val="00833926"/>
    <w:rsid w:val="00833A0C"/>
    <w:rsid w:val="00833A5A"/>
    <w:rsid w:val="00833DB8"/>
    <w:rsid w:val="00833E5D"/>
    <w:rsid w:val="00835568"/>
    <w:rsid w:val="008362A6"/>
    <w:rsid w:val="008363AE"/>
    <w:rsid w:val="00836E00"/>
    <w:rsid w:val="00837962"/>
    <w:rsid w:val="008379FB"/>
    <w:rsid w:val="00837D32"/>
    <w:rsid w:val="008416F8"/>
    <w:rsid w:val="00841A42"/>
    <w:rsid w:val="0084236E"/>
    <w:rsid w:val="00844CC2"/>
    <w:rsid w:val="0084720C"/>
    <w:rsid w:val="008472AF"/>
    <w:rsid w:val="00850541"/>
    <w:rsid w:val="008511BB"/>
    <w:rsid w:val="00851F51"/>
    <w:rsid w:val="00852051"/>
    <w:rsid w:val="0085240B"/>
    <w:rsid w:val="00852BB3"/>
    <w:rsid w:val="0085335E"/>
    <w:rsid w:val="008534A9"/>
    <w:rsid w:val="008553A5"/>
    <w:rsid w:val="008574CA"/>
    <w:rsid w:val="008574DA"/>
    <w:rsid w:val="0085765A"/>
    <w:rsid w:val="008577C5"/>
    <w:rsid w:val="0085793C"/>
    <w:rsid w:val="0085799A"/>
    <w:rsid w:val="00860BC4"/>
    <w:rsid w:val="00861581"/>
    <w:rsid w:val="0086158C"/>
    <w:rsid w:val="00861619"/>
    <w:rsid w:val="00861DFE"/>
    <w:rsid w:val="008620D0"/>
    <w:rsid w:val="008620E4"/>
    <w:rsid w:val="008622DB"/>
    <w:rsid w:val="008629CD"/>
    <w:rsid w:val="008636E2"/>
    <w:rsid w:val="00863BD8"/>
    <w:rsid w:val="00863CF6"/>
    <w:rsid w:val="008642C5"/>
    <w:rsid w:val="0086436B"/>
    <w:rsid w:val="00864ACD"/>
    <w:rsid w:val="00865091"/>
    <w:rsid w:val="008656C0"/>
    <w:rsid w:val="0086574E"/>
    <w:rsid w:val="00865986"/>
    <w:rsid w:val="0086624B"/>
    <w:rsid w:val="00867A52"/>
    <w:rsid w:val="00870BCE"/>
    <w:rsid w:val="0087147D"/>
    <w:rsid w:val="00872D90"/>
    <w:rsid w:val="0087420C"/>
    <w:rsid w:val="0087437F"/>
    <w:rsid w:val="008743FE"/>
    <w:rsid w:val="00874653"/>
    <w:rsid w:val="00874B26"/>
    <w:rsid w:val="008755E4"/>
    <w:rsid w:val="0087671F"/>
    <w:rsid w:val="008778AC"/>
    <w:rsid w:val="00877CA9"/>
    <w:rsid w:val="00877F68"/>
    <w:rsid w:val="0088046A"/>
    <w:rsid w:val="00883AE8"/>
    <w:rsid w:val="00883EC3"/>
    <w:rsid w:val="00884F6C"/>
    <w:rsid w:val="008869BE"/>
    <w:rsid w:val="00886CA0"/>
    <w:rsid w:val="00886EB0"/>
    <w:rsid w:val="0088791E"/>
    <w:rsid w:val="00887C6B"/>
    <w:rsid w:val="00890391"/>
    <w:rsid w:val="0089214C"/>
    <w:rsid w:val="00892602"/>
    <w:rsid w:val="0089335A"/>
    <w:rsid w:val="00893390"/>
    <w:rsid w:val="00893616"/>
    <w:rsid w:val="00893AE3"/>
    <w:rsid w:val="00893D39"/>
    <w:rsid w:val="00894B97"/>
    <w:rsid w:val="00895C88"/>
    <w:rsid w:val="008962F9"/>
    <w:rsid w:val="00896758"/>
    <w:rsid w:val="008968BB"/>
    <w:rsid w:val="00896A38"/>
    <w:rsid w:val="0089753E"/>
    <w:rsid w:val="008A0221"/>
    <w:rsid w:val="008A082E"/>
    <w:rsid w:val="008A1147"/>
    <w:rsid w:val="008A18E8"/>
    <w:rsid w:val="008A1AA3"/>
    <w:rsid w:val="008A243E"/>
    <w:rsid w:val="008A2960"/>
    <w:rsid w:val="008A40A9"/>
    <w:rsid w:val="008A5AF3"/>
    <w:rsid w:val="008A60C4"/>
    <w:rsid w:val="008A6DB5"/>
    <w:rsid w:val="008A72EC"/>
    <w:rsid w:val="008A7CA7"/>
    <w:rsid w:val="008B0A1D"/>
    <w:rsid w:val="008B1E8C"/>
    <w:rsid w:val="008B237F"/>
    <w:rsid w:val="008B2D60"/>
    <w:rsid w:val="008B2F54"/>
    <w:rsid w:val="008B2F75"/>
    <w:rsid w:val="008B30BA"/>
    <w:rsid w:val="008B3360"/>
    <w:rsid w:val="008B4ABB"/>
    <w:rsid w:val="008B5B52"/>
    <w:rsid w:val="008B5C1D"/>
    <w:rsid w:val="008B6028"/>
    <w:rsid w:val="008B64D3"/>
    <w:rsid w:val="008B682F"/>
    <w:rsid w:val="008B70EC"/>
    <w:rsid w:val="008B7298"/>
    <w:rsid w:val="008B7F1D"/>
    <w:rsid w:val="008C065B"/>
    <w:rsid w:val="008C12C1"/>
    <w:rsid w:val="008C1695"/>
    <w:rsid w:val="008C1848"/>
    <w:rsid w:val="008C1B47"/>
    <w:rsid w:val="008C338A"/>
    <w:rsid w:val="008C3B32"/>
    <w:rsid w:val="008C4DF1"/>
    <w:rsid w:val="008C50ED"/>
    <w:rsid w:val="008C5959"/>
    <w:rsid w:val="008C6145"/>
    <w:rsid w:val="008C6877"/>
    <w:rsid w:val="008C6E49"/>
    <w:rsid w:val="008C7220"/>
    <w:rsid w:val="008C73EE"/>
    <w:rsid w:val="008D0578"/>
    <w:rsid w:val="008D0DF5"/>
    <w:rsid w:val="008D27C6"/>
    <w:rsid w:val="008D2D47"/>
    <w:rsid w:val="008D3638"/>
    <w:rsid w:val="008D3EB0"/>
    <w:rsid w:val="008D47AC"/>
    <w:rsid w:val="008D4AAF"/>
    <w:rsid w:val="008D5734"/>
    <w:rsid w:val="008D5A50"/>
    <w:rsid w:val="008D6474"/>
    <w:rsid w:val="008D6C95"/>
    <w:rsid w:val="008D7C0C"/>
    <w:rsid w:val="008D7E12"/>
    <w:rsid w:val="008E02D5"/>
    <w:rsid w:val="008E0366"/>
    <w:rsid w:val="008E1C11"/>
    <w:rsid w:val="008E3079"/>
    <w:rsid w:val="008E3C1D"/>
    <w:rsid w:val="008E5F73"/>
    <w:rsid w:val="008E6DCB"/>
    <w:rsid w:val="008E78BD"/>
    <w:rsid w:val="008E7C95"/>
    <w:rsid w:val="008E7D71"/>
    <w:rsid w:val="008F1F8E"/>
    <w:rsid w:val="008F2052"/>
    <w:rsid w:val="008F50D8"/>
    <w:rsid w:val="008F5401"/>
    <w:rsid w:val="008F651E"/>
    <w:rsid w:val="008F6966"/>
    <w:rsid w:val="008F6C8F"/>
    <w:rsid w:val="009014ED"/>
    <w:rsid w:val="00902E21"/>
    <w:rsid w:val="009038A2"/>
    <w:rsid w:val="00903C9C"/>
    <w:rsid w:val="0090418F"/>
    <w:rsid w:val="009041A9"/>
    <w:rsid w:val="00905F4A"/>
    <w:rsid w:val="009060DD"/>
    <w:rsid w:val="0090677A"/>
    <w:rsid w:val="0091112C"/>
    <w:rsid w:val="00911C7D"/>
    <w:rsid w:val="0091212F"/>
    <w:rsid w:val="00913CBC"/>
    <w:rsid w:val="00914199"/>
    <w:rsid w:val="009149E6"/>
    <w:rsid w:val="00914B42"/>
    <w:rsid w:val="00915F27"/>
    <w:rsid w:val="009168DE"/>
    <w:rsid w:val="00917F1B"/>
    <w:rsid w:val="009200EF"/>
    <w:rsid w:val="00920D98"/>
    <w:rsid w:val="0092139E"/>
    <w:rsid w:val="009214DD"/>
    <w:rsid w:val="00921766"/>
    <w:rsid w:val="009218EB"/>
    <w:rsid w:val="00921951"/>
    <w:rsid w:val="00922149"/>
    <w:rsid w:val="00922BD2"/>
    <w:rsid w:val="00922C6F"/>
    <w:rsid w:val="00922C9A"/>
    <w:rsid w:val="00925AA0"/>
    <w:rsid w:val="00925E7A"/>
    <w:rsid w:val="00926249"/>
    <w:rsid w:val="0092631F"/>
    <w:rsid w:val="009266D5"/>
    <w:rsid w:val="00926957"/>
    <w:rsid w:val="00926DD5"/>
    <w:rsid w:val="00927360"/>
    <w:rsid w:val="009303F2"/>
    <w:rsid w:val="009313FF"/>
    <w:rsid w:val="009327B4"/>
    <w:rsid w:val="00932C32"/>
    <w:rsid w:val="0093336C"/>
    <w:rsid w:val="0093399C"/>
    <w:rsid w:val="009340F6"/>
    <w:rsid w:val="00934649"/>
    <w:rsid w:val="00934A86"/>
    <w:rsid w:val="00934B43"/>
    <w:rsid w:val="0093540F"/>
    <w:rsid w:val="009368BE"/>
    <w:rsid w:val="00936991"/>
    <w:rsid w:val="009371DE"/>
    <w:rsid w:val="00937546"/>
    <w:rsid w:val="00940A98"/>
    <w:rsid w:val="00941839"/>
    <w:rsid w:val="009421A1"/>
    <w:rsid w:val="00942921"/>
    <w:rsid w:val="00942F80"/>
    <w:rsid w:val="0094312B"/>
    <w:rsid w:val="00943437"/>
    <w:rsid w:val="009434E1"/>
    <w:rsid w:val="00943BEC"/>
    <w:rsid w:val="00944CDA"/>
    <w:rsid w:val="00946888"/>
    <w:rsid w:val="00946D9D"/>
    <w:rsid w:val="00946E6E"/>
    <w:rsid w:val="009506FF"/>
    <w:rsid w:val="00950889"/>
    <w:rsid w:val="00951312"/>
    <w:rsid w:val="00951E53"/>
    <w:rsid w:val="00951F77"/>
    <w:rsid w:val="009521FC"/>
    <w:rsid w:val="0095290A"/>
    <w:rsid w:val="00952924"/>
    <w:rsid w:val="00953804"/>
    <w:rsid w:val="00954169"/>
    <w:rsid w:val="00954433"/>
    <w:rsid w:val="00954A3F"/>
    <w:rsid w:val="00955155"/>
    <w:rsid w:val="00955F33"/>
    <w:rsid w:val="00956099"/>
    <w:rsid w:val="00956350"/>
    <w:rsid w:val="00956403"/>
    <w:rsid w:val="00956831"/>
    <w:rsid w:val="0096198D"/>
    <w:rsid w:val="009622D9"/>
    <w:rsid w:val="0096280D"/>
    <w:rsid w:val="009645A6"/>
    <w:rsid w:val="00965648"/>
    <w:rsid w:val="009657C5"/>
    <w:rsid w:val="009664EB"/>
    <w:rsid w:val="00970612"/>
    <w:rsid w:val="009710AA"/>
    <w:rsid w:val="00971134"/>
    <w:rsid w:val="00971D4D"/>
    <w:rsid w:val="00971D71"/>
    <w:rsid w:val="009729F1"/>
    <w:rsid w:val="00974058"/>
    <w:rsid w:val="0097520E"/>
    <w:rsid w:val="00975576"/>
    <w:rsid w:val="009760E8"/>
    <w:rsid w:val="009761B9"/>
    <w:rsid w:val="00976369"/>
    <w:rsid w:val="0097740E"/>
    <w:rsid w:val="00977F02"/>
    <w:rsid w:val="00980127"/>
    <w:rsid w:val="00980328"/>
    <w:rsid w:val="009803BB"/>
    <w:rsid w:val="0098062F"/>
    <w:rsid w:val="00981440"/>
    <w:rsid w:val="009826DE"/>
    <w:rsid w:val="00983119"/>
    <w:rsid w:val="009842C3"/>
    <w:rsid w:val="00984BF0"/>
    <w:rsid w:val="00984DFA"/>
    <w:rsid w:val="009869DE"/>
    <w:rsid w:val="00986A28"/>
    <w:rsid w:val="00990220"/>
    <w:rsid w:val="00991182"/>
    <w:rsid w:val="009917B4"/>
    <w:rsid w:val="00992148"/>
    <w:rsid w:val="00992C6E"/>
    <w:rsid w:val="0099403A"/>
    <w:rsid w:val="00994903"/>
    <w:rsid w:val="009949C2"/>
    <w:rsid w:val="009955DE"/>
    <w:rsid w:val="009957B4"/>
    <w:rsid w:val="00995A06"/>
    <w:rsid w:val="00996E69"/>
    <w:rsid w:val="00997497"/>
    <w:rsid w:val="00997B3F"/>
    <w:rsid w:val="009A0062"/>
    <w:rsid w:val="009A189C"/>
    <w:rsid w:val="009A1E38"/>
    <w:rsid w:val="009A2500"/>
    <w:rsid w:val="009A3781"/>
    <w:rsid w:val="009A3993"/>
    <w:rsid w:val="009A3C38"/>
    <w:rsid w:val="009A4C6B"/>
    <w:rsid w:val="009A5166"/>
    <w:rsid w:val="009A5FF2"/>
    <w:rsid w:val="009A648D"/>
    <w:rsid w:val="009A6F20"/>
    <w:rsid w:val="009A6FF4"/>
    <w:rsid w:val="009A7BEE"/>
    <w:rsid w:val="009B013F"/>
    <w:rsid w:val="009B025F"/>
    <w:rsid w:val="009B07DF"/>
    <w:rsid w:val="009B0853"/>
    <w:rsid w:val="009B0D88"/>
    <w:rsid w:val="009B1086"/>
    <w:rsid w:val="009B2045"/>
    <w:rsid w:val="009B346E"/>
    <w:rsid w:val="009B3F2A"/>
    <w:rsid w:val="009B4A4A"/>
    <w:rsid w:val="009B4C5E"/>
    <w:rsid w:val="009B4DFD"/>
    <w:rsid w:val="009B4F09"/>
    <w:rsid w:val="009B5016"/>
    <w:rsid w:val="009B65A8"/>
    <w:rsid w:val="009B76CE"/>
    <w:rsid w:val="009B7B67"/>
    <w:rsid w:val="009B7B89"/>
    <w:rsid w:val="009C0BE8"/>
    <w:rsid w:val="009C1303"/>
    <w:rsid w:val="009C1407"/>
    <w:rsid w:val="009C2863"/>
    <w:rsid w:val="009C3015"/>
    <w:rsid w:val="009C3EB0"/>
    <w:rsid w:val="009C4169"/>
    <w:rsid w:val="009C42C0"/>
    <w:rsid w:val="009C496A"/>
    <w:rsid w:val="009C4B40"/>
    <w:rsid w:val="009C4E65"/>
    <w:rsid w:val="009C5882"/>
    <w:rsid w:val="009C58CC"/>
    <w:rsid w:val="009C5988"/>
    <w:rsid w:val="009C63C4"/>
    <w:rsid w:val="009C7B1C"/>
    <w:rsid w:val="009D0A2B"/>
    <w:rsid w:val="009D0BE0"/>
    <w:rsid w:val="009D0BE3"/>
    <w:rsid w:val="009D1459"/>
    <w:rsid w:val="009D1527"/>
    <w:rsid w:val="009D20E0"/>
    <w:rsid w:val="009D276A"/>
    <w:rsid w:val="009D2C53"/>
    <w:rsid w:val="009D33A8"/>
    <w:rsid w:val="009D33FF"/>
    <w:rsid w:val="009D3C0D"/>
    <w:rsid w:val="009D442A"/>
    <w:rsid w:val="009D4F4F"/>
    <w:rsid w:val="009D6123"/>
    <w:rsid w:val="009D6B65"/>
    <w:rsid w:val="009D6D5C"/>
    <w:rsid w:val="009D7CB5"/>
    <w:rsid w:val="009D7E61"/>
    <w:rsid w:val="009D7EA9"/>
    <w:rsid w:val="009E0198"/>
    <w:rsid w:val="009E07C9"/>
    <w:rsid w:val="009E0CFB"/>
    <w:rsid w:val="009E1ECF"/>
    <w:rsid w:val="009E303C"/>
    <w:rsid w:val="009E31EB"/>
    <w:rsid w:val="009E33A8"/>
    <w:rsid w:val="009E3E0E"/>
    <w:rsid w:val="009E4386"/>
    <w:rsid w:val="009E4EDC"/>
    <w:rsid w:val="009E4F1A"/>
    <w:rsid w:val="009E577F"/>
    <w:rsid w:val="009E57A6"/>
    <w:rsid w:val="009E5808"/>
    <w:rsid w:val="009E66E5"/>
    <w:rsid w:val="009E69FC"/>
    <w:rsid w:val="009E76AC"/>
    <w:rsid w:val="009F0846"/>
    <w:rsid w:val="009F1945"/>
    <w:rsid w:val="009F3009"/>
    <w:rsid w:val="009F39D6"/>
    <w:rsid w:val="009F5020"/>
    <w:rsid w:val="009F5489"/>
    <w:rsid w:val="009F5BD1"/>
    <w:rsid w:val="009F6622"/>
    <w:rsid w:val="009F6884"/>
    <w:rsid w:val="009F695B"/>
    <w:rsid w:val="00A00186"/>
    <w:rsid w:val="00A007AE"/>
    <w:rsid w:val="00A0148D"/>
    <w:rsid w:val="00A0160B"/>
    <w:rsid w:val="00A03169"/>
    <w:rsid w:val="00A0453B"/>
    <w:rsid w:val="00A04F41"/>
    <w:rsid w:val="00A0565A"/>
    <w:rsid w:val="00A057C1"/>
    <w:rsid w:val="00A05EDF"/>
    <w:rsid w:val="00A05FE5"/>
    <w:rsid w:val="00A0634D"/>
    <w:rsid w:val="00A064DA"/>
    <w:rsid w:val="00A07C50"/>
    <w:rsid w:val="00A07FEA"/>
    <w:rsid w:val="00A10696"/>
    <w:rsid w:val="00A10D21"/>
    <w:rsid w:val="00A120CF"/>
    <w:rsid w:val="00A1278B"/>
    <w:rsid w:val="00A13038"/>
    <w:rsid w:val="00A13DFD"/>
    <w:rsid w:val="00A1545A"/>
    <w:rsid w:val="00A16519"/>
    <w:rsid w:val="00A170D4"/>
    <w:rsid w:val="00A2080F"/>
    <w:rsid w:val="00A20B7E"/>
    <w:rsid w:val="00A20EAC"/>
    <w:rsid w:val="00A22898"/>
    <w:rsid w:val="00A23D28"/>
    <w:rsid w:val="00A245CE"/>
    <w:rsid w:val="00A24775"/>
    <w:rsid w:val="00A24A00"/>
    <w:rsid w:val="00A25660"/>
    <w:rsid w:val="00A257E2"/>
    <w:rsid w:val="00A277E3"/>
    <w:rsid w:val="00A27A4B"/>
    <w:rsid w:val="00A27FA3"/>
    <w:rsid w:val="00A32737"/>
    <w:rsid w:val="00A327D7"/>
    <w:rsid w:val="00A33CBD"/>
    <w:rsid w:val="00A343FC"/>
    <w:rsid w:val="00A346C5"/>
    <w:rsid w:val="00A34FED"/>
    <w:rsid w:val="00A3544B"/>
    <w:rsid w:val="00A36E27"/>
    <w:rsid w:val="00A37A51"/>
    <w:rsid w:val="00A37E4C"/>
    <w:rsid w:val="00A40078"/>
    <w:rsid w:val="00A42A7D"/>
    <w:rsid w:val="00A42AE8"/>
    <w:rsid w:val="00A4319C"/>
    <w:rsid w:val="00A4468C"/>
    <w:rsid w:val="00A4563D"/>
    <w:rsid w:val="00A45F29"/>
    <w:rsid w:val="00A4626E"/>
    <w:rsid w:val="00A46276"/>
    <w:rsid w:val="00A46C33"/>
    <w:rsid w:val="00A46CB8"/>
    <w:rsid w:val="00A4752D"/>
    <w:rsid w:val="00A5013D"/>
    <w:rsid w:val="00A50246"/>
    <w:rsid w:val="00A50D3E"/>
    <w:rsid w:val="00A5170B"/>
    <w:rsid w:val="00A53271"/>
    <w:rsid w:val="00A534B1"/>
    <w:rsid w:val="00A53F41"/>
    <w:rsid w:val="00A54C60"/>
    <w:rsid w:val="00A55C7D"/>
    <w:rsid w:val="00A5637C"/>
    <w:rsid w:val="00A57025"/>
    <w:rsid w:val="00A60713"/>
    <w:rsid w:val="00A612E1"/>
    <w:rsid w:val="00A617B0"/>
    <w:rsid w:val="00A623AA"/>
    <w:rsid w:val="00A624CB"/>
    <w:rsid w:val="00A62837"/>
    <w:rsid w:val="00A62E22"/>
    <w:rsid w:val="00A62F82"/>
    <w:rsid w:val="00A63079"/>
    <w:rsid w:val="00A6321D"/>
    <w:rsid w:val="00A63C02"/>
    <w:rsid w:val="00A64FCC"/>
    <w:rsid w:val="00A655C5"/>
    <w:rsid w:val="00A66B40"/>
    <w:rsid w:val="00A67112"/>
    <w:rsid w:val="00A671A1"/>
    <w:rsid w:val="00A6731F"/>
    <w:rsid w:val="00A67387"/>
    <w:rsid w:val="00A674FB"/>
    <w:rsid w:val="00A70E0B"/>
    <w:rsid w:val="00A71BEC"/>
    <w:rsid w:val="00A720A8"/>
    <w:rsid w:val="00A721FF"/>
    <w:rsid w:val="00A724B2"/>
    <w:rsid w:val="00A724C8"/>
    <w:rsid w:val="00A72C8F"/>
    <w:rsid w:val="00A72E10"/>
    <w:rsid w:val="00A7329F"/>
    <w:rsid w:val="00A74150"/>
    <w:rsid w:val="00A75332"/>
    <w:rsid w:val="00A7559F"/>
    <w:rsid w:val="00A7677B"/>
    <w:rsid w:val="00A767D2"/>
    <w:rsid w:val="00A77E8D"/>
    <w:rsid w:val="00A810DB"/>
    <w:rsid w:val="00A81304"/>
    <w:rsid w:val="00A82044"/>
    <w:rsid w:val="00A823E5"/>
    <w:rsid w:val="00A83040"/>
    <w:rsid w:val="00A83F5D"/>
    <w:rsid w:val="00A843FA"/>
    <w:rsid w:val="00A84696"/>
    <w:rsid w:val="00A85311"/>
    <w:rsid w:val="00A85460"/>
    <w:rsid w:val="00A86456"/>
    <w:rsid w:val="00A86977"/>
    <w:rsid w:val="00A9024A"/>
    <w:rsid w:val="00A90F3D"/>
    <w:rsid w:val="00A91033"/>
    <w:rsid w:val="00A91775"/>
    <w:rsid w:val="00A92126"/>
    <w:rsid w:val="00A93FE6"/>
    <w:rsid w:val="00A94A0A"/>
    <w:rsid w:val="00A95360"/>
    <w:rsid w:val="00A95672"/>
    <w:rsid w:val="00A97C74"/>
    <w:rsid w:val="00A97C9A"/>
    <w:rsid w:val="00AA0C3F"/>
    <w:rsid w:val="00AA0D13"/>
    <w:rsid w:val="00AA1B70"/>
    <w:rsid w:val="00AA1F23"/>
    <w:rsid w:val="00AA22D5"/>
    <w:rsid w:val="00AA3FFB"/>
    <w:rsid w:val="00AA47C9"/>
    <w:rsid w:val="00AA5128"/>
    <w:rsid w:val="00AA6EFA"/>
    <w:rsid w:val="00AA6F02"/>
    <w:rsid w:val="00AA6FAB"/>
    <w:rsid w:val="00AB061A"/>
    <w:rsid w:val="00AB0C8A"/>
    <w:rsid w:val="00AB18D4"/>
    <w:rsid w:val="00AB19C4"/>
    <w:rsid w:val="00AB2A8D"/>
    <w:rsid w:val="00AB2BE3"/>
    <w:rsid w:val="00AB3DFE"/>
    <w:rsid w:val="00AB49A5"/>
    <w:rsid w:val="00AB4AD4"/>
    <w:rsid w:val="00AB4BBA"/>
    <w:rsid w:val="00AB4E91"/>
    <w:rsid w:val="00AB52CF"/>
    <w:rsid w:val="00AB5D5E"/>
    <w:rsid w:val="00AB6C45"/>
    <w:rsid w:val="00AC0E51"/>
    <w:rsid w:val="00AC184D"/>
    <w:rsid w:val="00AC3142"/>
    <w:rsid w:val="00AC342B"/>
    <w:rsid w:val="00AC3564"/>
    <w:rsid w:val="00AC3814"/>
    <w:rsid w:val="00AC3A16"/>
    <w:rsid w:val="00AC3A6A"/>
    <w:rsid w:val="00AC6442"/>
    <w:rsid w:val="00AC6B04"/>
    <w:rsid w:val="00AC6BAC"/>
    <w:rsid w:val="00AC725E"/>
    <w:rsid w:val="00AC74DE"/>
    <w:rsid w:val="00AD0083"/>
    <w:rsid w:val="00AD0949"/>
    <w:rsid w:val="00AD0B49"/>
    <w:rsid w:val="00AD0DB6"/>
    <w:rsid w:val="00AD106D"/>
    <w:rsid w:val="00AD12F1"/>
    <w:rsid w:val="00AD1B33"/>
    <w:rsid w:val="00AD1B8C"/>
    <w:rsid w:val="00AD1D72"/>
    <w:rsid w:val="00AD2022"/>
    <w:rsid w:val="00AD225D"/>
    <w:rsid w:val="00AD233B"/>
    <w:rsid w:val="00AD55EB"/>
    <w:rsid w:val="00AD582F"/>
    <w:rsid w:val="00AD673E"/>
    <w:rsid w:val="00AD7469"/>
    <w:rsid w:val="00AD7FA5"/>
    <w:rsid w:val="00AE2037"/>
    <w:rsid w:val="00AE2755"/>
    <w:rsid w:val="00AE27DC"/>
    <w:rsid w:val="00AE2DE8"/>
    <w:rsid w:val="00AE3435"/>
    <w:rsid w:val="00AE34E0"/>
    <w:rsid w:val="00AE44C4"/>
    <w:rsid w:val="00AE4575"/>
    <w:rsid w:val="00AE567A"/>
    <w:rsid w:val="00AE6274"/>
    <w:rsid w:val="00AE6428"/>
    <w:rsid w:val="00AE6B5B"/>
    <w:rsid w:val="00AF0317"/>
    <w:rsid w:val="00AF04EC"/>
    <w:rsid w:val="00AF0562"/>
    <w:rsid w:val="00AF07AB"/>
    <w:rsid w:val="00AF164A"/>
    <w:rsid w:val="00AF182B"/>
    <w:rsid w:val="00AF1968"/>
    <w:rsid w:val="00AF276D"/>
    <w:rsid w:val="00AF2B64"/>
    <w:rsid w:val="00AF3ECC"/>
    <w:rsid w:val="00AF3F58"/>
    <w:rsid w:val="00AF409C"/>
    <w:rsid w:val="00AF4276"/>
    <w:rsid w:val="00AF439C"/>
    <w:rsid w:val="00AF4509"/>
    <w:rsid w:val="00AF4705"/>
    <w:rsid w:val="00AF5F1A"/>
    <w:rsid w:val="00AF77FD"/>
    <w:rsid w:val="00AF7853"/>
    <w:rsid w:val="00B01D8B"/>
    <w:rsid w:val="00B0242E"/>
    <w:rsid w:val="00B0282F"/>
    <w:rsid w:val="00B04B52"/>
    <w:rsid w:val="00B04C2A"/>
    <w:rsid w:val="00B04FFF"/>
    <w:rsid w:val="00B05669"/>
    <w:rsid w:val="00B063D3"/>
    <w:rsid w:val="00B10FB2"/>
    <w:rsid w:val="00B11761"/>
    <w:rsid w:val="00B11DEF"/>
    <w:rsid w:val="00B12F8D"/>
    <w:rsid w:val="00B131E9"/>
    <w:rsid w:val="00B139E7"/>
    <w:rsid w:val="00B14DFE"/>
    <w:rsid w:val="00B152A8"/>
    <w:rsid w:val="00B1658A"/>
    <w:rsid w:val="00B16E7B"/>
    <w:rsid w:val="00B203D6"/>
    <w:rsid w:val="00B2094C"/>
    <w:rsid w:val="00B21400"/>
    <w:rsid w:val="00B227CC"/>
    <w:rsid w:val="00B22A9A"/>
    <w:rsid w:val="00B22D33"/>
    <w:rsid w:val="00B23C6F"/>
    <w:rsid w:val="00B2459E"/>
    <w:rsid w:val="00B258B9"/>
    <w:rsid w:val="00B25C55"/>
    <w:rsid w:val="00B264C2"/>
    <w:rsid w:val="00B2667F"/>
    <w:rsid w:val="00B26E1A"/>
    <w:rsid w:val="00B26F2C"/>
    <w:rsid w:val="00B272FA"/>
    <w:rsid w:val="00B27373"/>
    <w:rsid w:val="00B3029B"/>
    <w:rsid w:val="00B30B7F"/>
    <w:rsid w:val="00B3101D"/>
    <w:rsid w:val="00B31582"/>
    <w:rsid w:val="00B31A92"/>
    <w:rsid w:val="00B32091"/>
    <w:rsid w:val="00B325FE"/>
    <w:rsid w:val="00B32AB6"/>
    <w:rsid w:val="00B32D71"/>
    <w:rsid w:val="00B33AE0"/>
    <w:rsid w:val="00B3786A"/>
    <w:rsid w:val="00B409E4"/>
    <w:rsid w:val="00B415E0"/>
    <w:rsid w:val="00B41AC9"/>
    <w:rsid w:val="00B42CF0"/>
    <w:rsid w:val="00B44135"/>
    <w:rsid w:val="00B445EA"/>
    <w:rsid w:val="00B44CFE"/>
    <w:rsid w:val="00B4513E"/>
    <w:rsid w:val="00B4553B"/>
    <w:rsid w:val="00B457D4"/>
    <w:rsid w:val="00B5089C"/>
    <w:rsid w:val="00B50D5E"/>
    <w:rsid w:val="00B51392"/>
    <w:rsid w:val="00B5268D"/>
    <w:rsid w:val="00B52720"/>
    <w:rsid w:val="00B54887"/>
    <w:rsid w:val="00B54EA5"/>
    <w:rsid w:val="00B54EB1"/>
    <w:rsid w:val="00B55568"/>
    <w:rsid w:val="00B55BD1"/>
    <w:rsid w:val="00B57187"/>
    <w:rsid w:val="00B57955"/>
    <w:rsid w:val="00B61EDF"/>
    <w:rsid w:val="00B62BDD"/>
    <w:rsid w:val="00B62C32"/>
    <w:rsid w:val="00B63535"/>
    <w:rsid w:val="00B63957"/>
    <w:rsid w:val="00B64130"/>
    <w:rsid w:val="00B646B7"/>
    <w:rsid w:val="00B64B5F"/>
    <w:rsid w:val="00B658AE"/>
    <w:rsid w:val="00B66A33"/>
    <w:rsid w:val="00B673F6"/>
    <w:rsid w:val="00B6751F"/>
    <w:rsid w:val="00B6792D"/>
    <w:rsid w:val="00B7238E"/>
    <w:rsid w:val="00B72C33"/>
    <w:rsid w:val="00B7608B"/>
    <w:rsid w:val="00B762D0"/>
    <w:rsid w:val="00B764E7"/>
    <w:rsid w:val="00B76956"/>
    <w:rsid w:val="00B771D5"/>
    <w:rsid w:val="00B80276"/>
    <w:rsid w:val="00B810B5"/>
    <w:rsid w:val="00B821A2"/>
    <w:rsid w:val="00B822F6"/>
    <w:rsid w:val="00B82A5A"/>
    <w:rsid w:val="00B82A90"/>
    <w:rsid w:val="00B83AC8"/>
    <w:rsid w:val="00B83B70"/>
    <w:rsid w:val="00B83CBD"/>
    <w:rsid w:val="00B83DC5"/>
    <w:rsid w:val="00B844FF"/>
    <w:rsid w:val="00B852CF"/>
    <w:rsid w:val="00B85371"/>
    <w:rsid w:val="00B85CC4"/>
    <w:rsid w:val="00B8618A"/>
    <w:rsid w:val="00B870B5"/>
    <w:rsid w:val="00B90427"/>
    <w:rsid w:val="00B91C70"/>
    <w:rsid w:val="00B92831"/>
    <w:rsid w:val="00B93201"/>
    <w:rsid w:val="00B946D4"/>
    <w:rsid w:val="00B94768"/>
    <w:rsid w:val="00B957D6"/>
    <w:rsid w:val="00B95ABF"/>
    <w:rsid w:val="00B964EC"/>
    <w:rsid w:val="00B96BC5"/>
    <w:rsid w:val="00B96F48"/>
    <w:rsid w:val="00B970EE"/>
    <w:rsid w:val="00BA231A"/>
    <w:rsid w:val="00BA3075"/>
    <w:rsid w:val="00BA3B3E"/>
    <w:rsid w:val="00BA3D5B"/>
    <w:rsid w:val="00BA4C2E"/>
    <w:rsid w:val="00BA5A39"/>
    <w:rsid w:val="00BA5B8A"/>
    <w:rsid w:val="00BA63C1"/>
    <w:rsid w:val="00BA6AFD"/>
    <w:rsid w:val="00BA6BF9"/>
    <w:rsid w:val="00BA7408"/>
    <w:rsid w:val="00BA748F"/>
    <w:rsid w:val="00BA7AFE"/>
    <w:rsid w:val="00BB0385"/>
    <w:rsid w:val="00BB18FB"/>
    <w:rsid w:val="00BB1E00"/>
    <w:rsid w:val="00BB4EFF"/>
    <w:rsid w:val="00BB69CE"/>
    <w:rsid w:val="00BB78E8"/>
    <w:rsid w:val="00BC048F"/>
    <w:rsid w:val="00BC09A2"/>
    <w:rsid w:val="00BC0E99"/>
    <w:rsid w:val="00BC1030"/>
    <w:rsid w:val="00BC152C"/>
    <w:rsid w:val="00BC1F2E"/>
    <w:rsid w:val="00BC3806"/>
    <w:rsid w:val="00BC3D69"/>
    <w:rsid w:val="00BC4433"/>
    <w:rsid w:val="00BC4BCD"/>
    <w:rsid w:val="00BC57BF"/>
    <w:rsid w:val="00BC5CB1"/>
    <w:rsid w:val="00BC5F3C"/>
    <w:rsid w:val="00BC6054"/>
    <w:rsid w:val="00BC661F"/>
    <w:rsid w:val="00BC668E"/>
    <w:rsid w:val="00BC766E"/>
    <w:rsid w:val="00BC78A7"/>
    <w:rsid w:val="00BD0213"/>
    <w:rsid w:val="00BD270E"/>
    <w:rsid w:val="00BD477E"/>
    <w:rsid w:val="00BD4C2B"/>
    <w:rsid w:val="00BD7492"/>
    <w:rsid w:val="00BD7D59"/>
    <w:rsid w:val="00BE038A"/>
    <w:rsid w:val="00BE1C56"/>
    <w:rsid w:val="00BE1CDA"/>
    <w:rsid w:val="00BE2543"/>
    <w:rsid w:val="00BE4BD1"/>
    <w:rsid w:val="00BE6342"/>
    <w:rsid w:val="00BE6761"/>
    <w:rsid w:val="00BE698D"/>
    <w:rsid w:val="00BE7365"/>
    <w:rsid w:val="00BE7ED1"/>
    <w:rsid w:val="00BF0043"/>
    <w:rsid w:val="00BF0D44"/>
    <w:rsid w:val="00BF14DE"/>
    <w:rsid w:val="00BF2661"/>
    <w:rsid w:val="00BF2880"/>
    <w:rsid w:val="00BF2F49"/>
    <w:rsid w:val="00BF3538"/>
    <w:rsid w:val="00BF37F1"/>
    <w:rsid w:val="00BF3C97"/>
    <w:rsid w:val="00BF42A6"/>
    <w:rsid w:val="00BF4D6E"/>
    <w:rsid w:val="00BF5367"/>
    <w:rsid w:val="00BF56CC"/>
    <w:rsid w:val="00BF6CF1"/>
    <w:rsid w:val="00C00E56"/>
    <w:rsid w:val="00C02439"/>
    <w:rsid w:val="00C03D87"/>
    <w:rsid w:val="00C04656"/>
    <w:rsid w:val="00C0483F"/>
    <w:rsid w:val="00C04E5D"/>
    <w:rsid w:val="00C06348"/>
    <w:rsid w:val="00C0774E"/>
    <w:rsid w:val="00C07817"/>
    <w:rsid w:val="00C07C3F"/>
    <w:rsid w:val="00C11AA2"/>
    <w:rsid w:val="00C122E6"/>
    <w:rsid w:val="00C12407"/>
    <w:rsid w:val="00C12DFD"/>
    <w:rsid w:val="00C13531"/>
    <w:rsid w:val="00C14F72"/>
    <w:rsid w:val="00C14F86"/>
    <w:rsid w:val="00C15513"/>
    <w:rsid w:val="00C15F4E"/>
    <w:rsid w:val="00C16604"/>
    <w:rsid w:val="00C168C8"/>
    <w:rsid w:val="00C16ACE"/>
    <w:rsid w:val="00C17046"/>
    <w:rsid w:val="00C174B4"/>
    <w:rsid w:val="00C1754C"/>
    <w:rsid w:val="00C205A9"/>
    <w:rsid w:val="00C208AD"/>
    <w:rsid w:val="00C20986"/>
    <w:rsid w:val="00C2110E"/>
    <w:rsid w:val="00C213B2"/>
    <w:rsid w:val="00C22109"/>
    <w:rsid w:val="00C225F9"/>
    <w:rsid w:val="00C24ACB"/>
    <w:rsid w:val="00C250C4"/>
    <w:rsid w:val="00C2527F"/>
    <w:rsid w:val="00C267EE"/>
    <w:rsid w:val="00C26845"/>
    <w:rsid w:val="00C27514"/>
    <w:rsid w:val="00C277AF"/>
    <w:rsid w:val="00C3036A"/>
    <w:rsid w:val="00C317EB"/>
    <w:rsid w:val="00C33F31"/>
    <w:rsid w:val="00C35622"/>
    <w:rsid w:val="00C367CA"/>
    <w:rsid w:val="00C36C9B"/>
    <w:rsid w:val="00C36D1E"/>
    <w:rsid w:val="00C37BB0"/>
    <w:rsid w:val="00C4099D"/>
    <w:rsid w:val="00C40AD1"/>
    <w:rsid w:val="00C40D87"/>
    <w:rsid w:val="00C41FA4"/>
    <w:rsid w:val="00C42819"/>
    <w:rsid w:val="00C43EA5"/>
    <w:rsid w:val="00C44177"/>
    <w:rsid w:val="00C448B6"/>
    <w:rsid w:val="00C44D6D"/>
    <w:rsid w:val="00C450ED"/>
    <w:rsid w:val="00C452FC"/>
    <w:rsid w:val="00C46067"/>
    <w:rsid w:val="00C4744F"/>
    <w:rsid w:val="00C47606"/>
    <w:rsid w:val="00C47D8D"/>
    <w:rsid w:val="00C50BB3"/>
    <w:rsid w:val="00C513C7"/>
    <w:rsid w:val="00C51484"/>
    <w:rsid w:val="00C51EB6"/>
    <w:rsid w:val="00C52629"/>
    <w:rsid w:val="00C529D6"/>
    <w:rsid w:val="00C53CA0"/>
    <w:rsid w:val="00C53DC6"/>
    <w:rsid w:val="00C549E3"/>
    <w:rsid w:val="00C54DF4"/>
    <w:rsid w:val="00C569E6"/>
    <w:rsid w:val="00C5769E"/>
    <w:rsid w:val="00C57905"/>
    <w:rsid w:val="00C57D65"/>
    <w:rsid w:val="00C57DE2"/>
    <w:rsid w:val="00C57E3A"/>
    <w:rsid w:val="00C57F41"/>
    <w:rsid w:val="00C601AF"/>
    <w:rsid w:val="00C60271"/>
    <w:rsid w:val="00C6215E"/>
    <w:rsid w:val="00C62286"/>
    <w:rsid w:val="00C62387"/>
    <w:rsid w:val="00C6238C"/>
    <w:rsid w:val="00C631F2"/>
    <w:rsid w:val="00C63661"/>
    <w:rsid w:val="00C63A08"/>
    <w:rsid w:val="00C63B86"/>
    <w:rsid w:val="00C64315"/>
    <w:rsid w:val="00C64ABF"/>
    <w:rsid w:val="00C66C28"/>
    <w:rsid w:val="00C67635"/>
    <w:rsid w:val="00C705E9"/>
    <w:rsid w:val="00C71005"/>
    <w:rsid w:val="00C72669"/>
    <w:rsid w:val="00C7274C"/>
    <w:rsid w:val="00C72E43"/>
    <w:rsid w:val="00C74654"/>
    <w:rsid w:val="00C747A0"/>
    <w:rsid w:val="00C751D4"/>
    <w:rsid w:val="00C7529E"/>
    <w:rsid w:val="00C7680A"/>
    <w:rsid w:val="00C769EA"/>
    <w:rsid w:val="00C801FA"/>
    <w:rsid w:val="00C80356"/>
    <w:rsid w:val="00C8055D"/>
    <w:rsid w:val="00C8291D"/>
    <w:rsid w:val="00C840ED"/>
    <w:rsid w:val="00C84164"/>
    <w:rsid w:val="00C85379"/>
    <w:rsid w:val="00C8557A"/>
    <w:rsid w:val="00C856A9"/>
    <w:rsid w:val="00C85D2B"/>
    <w:rsid w:val="00C85DE0"/>
    <w:rsid w:val="00C860AE"/>
    <w:rsid w:val="00C872B4"/>
    <w:rsid w:val="00C874BF"/>
    <w:rsid w:val="00C878B0"/>
    <w:rsid w:val="00C87C30"/>
    <w:rsid w:val="00C87C97"/>
    <w:rsid w:val="00C905B2"/>
    <w:rsid w:val="00C90F33"/>
    <w:rsid w:val="00C90FDB"/>
    <w:rsid w:val="00C93207"/>
    <w:rsid w:val="00C93876"/>
    <w:rsid w:val="00C93D6E"/>
    <w:rsid w:val="00C93E80"/>
    <w:rsid w:val="00C945CE"/>
    <w:rsid w:val="00C94768"/>
    <w:rsid w:val="00C94807"/>
    <w:rsid w:val="00C94945"/>
    <w:rsid w:val="00C94AB2"/>
    <w:rsid w:val="00C95D0B"/>
    <w:rsid w:val="00C95F48"/>
    <w:rsid w:val="00C97859"/>
    <w:rsid w:val="00C97AF0"/>
    <w:rsid w:val="00C97EEE"/>
    <w:rsid w:val="00CA06E7"/>
    <w:rsid w:val="00CA0B2F"/>
    <w:rsid w:val="00CA2CC1"/>
    <w:rsid w:val="00CA2E90"/>
    <w:rsid w:val="00CA3C5B"/>
    <w:rsid w:val="00CA3C5C"/>
    <w:rsid w:val="00CA750C"/>
    <w:rsid w:val="00CA77EB"/>
    <w:rsid w:val="00CA7A5E"/>
    <w:rsid w:val="00CA7F9E"/>
    <w:rsid w:val="00CB0812"/>
    <w:rsid w:val="00CB0AD4"/>
    <w:rsid w:val="00CB18E5"/>
    <w:rsid w:val="00CB1E81"/>
    <w:rsid w:val="00CB1F5B"/>
    <w:rsid w:val="00CB3217"/>
    <w:rsid w:val="00CB3AF0"/>
    <w:rsid w:val="00CB464D"/>
    <w:rsid w:val="00CB4CF2"/>
    <w:rsid w:val="00CB6256"/>
    <w:rsid w:val="00CB6722"/>
    <w:rsid w:val="00CB6D2D"/>
    <w:rsid w:val="00CB78A0"/>
    <w:rsid w:val="00CC0A67"/>
    <w:rsid w:val="00CC1CC6"/>
    <w:rsid w:val="00CC4006"/>
    <w:rsid w:val="00CC65E4"/>
    <w:rsid w:val="00CC675C"/>
    <w:rsid w:val="00CC7CA1"/>
    <w:rsid w:val="00CD0511"/>
    <w:rsid w:val="00CD149D"/>
    <w:rsid w:val="00CD2C43"/>
    <w:rsid w:val="00CD3CD9"/>
    <w:rsid w:val="00CD4052"/>
    <w:rsid w:val="00CD463F"/>
    <w:rsid w:val="00CD4A8B"/>
    <w:rsid w:val="00CD56AF"/>
    <w:rsid w:val="00CD796F"/>
    <w:rsid w:val="00CE0B71"/>
    <w:rsid w:val="00CE0EE8"/>
    <w:rsid w:val="00CE1878"/>
    <w:rsid w:val="00CE4ABC"/>
    <w:rsid w:val="00CE602C"/>
    <w:rsid w:val="00CE7C7C"/>
    <w:rsid w:val="00CF0120"/>
    <w:rsid w:val="00CF04A6"/>
    <w:rsid w:val="00CF0D3C"/>
    <w:rsid w:val="00CF0F98"/>
    <w:rsid w:val="00CF1587"/>
    <w:rsid w:val="00CF26CE"/>
    <w:rsid w:val="00CF4BE3"/>
    <w:rsid w:val="00CF562E"/>
    <w:rsid w:val="00CF63F9"/>
    <w:rsid w:val="00CF68DC"/>
    <w:rsid w:val="00CF6AF1"/>
    <w:rsid w:val="00CF72DB"/>
    <w:rsid w:val="00D0005F"/>
    <w:rsid w:val="00D01308"/>
    <w:rsid w:val="00D01BDA"/>
    <w:rsid w:val="00D025D3"/>
    <w:rsid w:val="00D029AD"/>
    <w:rsid w:val="00D02D53"/>
    <w:rsid w:val="00D032B3"/>
    <w:rsid w:val="00D04468"/>
    <w:rsid w:val="00D04B16"/>
    <w:rsid w:val="00D055B7"/>
    <w:rsid w:val="00D057ED"/>
    <w:rsid w:val="00D05B3C"/>
    <w:rsid w:val="00D0614C"/>
    <w:rsid w:val="00D07064"/>
    <w:rsid w:val="00D10124"/>
    <w:rsid w:val="00D101CB"/>
    <w:rsid w:val="00D118DD"/>
    <w:rsid w:val="00D1230D"/>
    <w:rsid w:val="00D12917"/>
    <w:rsid w:val="00D12C1D"/>
    <w:rsid w:val="00D12FFC"/>
    <w:rsid w:val="00D14EF2"/>
    <w:rsid w:val="00D15540"/>
    <w:rsid w:val="00D160BA"/>
    <w:rsid w:val="00D1625B"/>
    <w:rsid w:val="00D1655C"/>
    <w:rsid w:val="00D16859"/>
    <w:rsid w:val="00D16C41"/>
    <w:rsid w:val="00D1754F"/>
    <w:rsid w:val="00D20525"/>
    <w:rsid w:val="00D2063F"/>
    <w:rsid w:val="00D210C0"/>
    <w:rsid w:val="00D219C5"/>
    <w:rsid w:val="00D21F6B"/>
    <w:rsid w:val="00D223A5"/>
    <w:rsid w:val="00D22ED4"/>
    <w:rsid w:val="00D2321F"/>
    <w:rsid w:val="00D23CA4"/>
    <w:rsid w:val="00D259A2"/>
    <w:rsid w:val="00D25C2F"/>
    <w:rsid w:val="00D2652A"/>
    <w:rsid w:val="00D2694E"/>
    <w:rsid w:val="00D279FC"/>
    <w:rsid w:val="00D3004A"/>
    <w:rsid w:val="00D300E5"/>
    <w:rsid w:val="00D3074C"/>
    <w:rsid w:val="00D3155F"/>
    <w:rsid w:val="00D3187A"/>
    <w:rsid w:val="00D31EBD"/>
    <w:rsid w:val="00D322F3"/>
    <w:rsid w:val="00D33DD7"/>
    <w:rsid w:val="00D348A2"/>
    <w:rsid w:val="00D355A6"/>
    <w:rsid w:val="00D35FF4"/>
    <w:rsid w:val="00D36653"/>
    <w:rsid w:val="00D3674A"/>
    <w:rsid w:val="00D37059"/>
    <w:rsid w:val="00D37490"/>
    <w:rsid w:val="00D402D5"/>
    <w:rsid w:val="00D403A6"/>
    <w:rsid w:val="00D4126D"/>
    <w:rsid w:val="00D421F7"/>
    <w:rsid w:val="00D424BF"/>
    <w:rsid w:val="00D42EDB"/>
    <w:rsid w:val="00D44BE5"/>
    <w:rsid w:val="00D46D92"/>
    <w:rsid w:val="00D47436"/>
    <w:rsid w:val="00D50735"/>
    <w:rsid w:val="00D5094E"/>
    <w:rsid w:val="00D5139C"/>
    <w:rsid w:val="00D515BF"/>
    <w:rsid w:val="00D5218D"/>
    <w:rsid w:val="00D523F8"/>
    <w:rsid w:val="00D52472"/>
    <w:rsid w:val="00D5393A"/>
    <w:rsid w:val="00D542E7"/>
    <w:rsid w:val="00D552A5"/>
    <w:rsid w:val="00D557DE"/>
    <w:rsid w:val="00D55ADD"/>
    <w:rsid w:val="00D57336"/>
    <w:rsid w:val="00D57C98"/>
    <w:rsid w:val="00D60093"/>
    <w:rsid w:val="00D60909"/>
    <w:rsid w:val="00D60F01"/>
    <w:rsid w:val="00D62C6D"/>
    <w:rsid w:val="00D63A4C"/>
    <w:rsid w:val="00D645A6"/>
    <w:rsid w:val="00D6485F"/>
    <w:rsid w:val="00D66C70"/>
    <w:rsid w:val="00D67345"/>
    <w:rsid w:val="00D67BD9"/>
    <w:rsid w:val="00D70056"/>
    <w:rsid w:val="00D7137D"/>
    <w:rsid w:val="00D71AB3"/>
    <w:rsid w:val="00D71BE2"/>
    <w:rsid w:val="00D7375E"/>
    <w:rsid w:val="00D753C8"/>
    <w:rsid w:val="00D75895"/>
    <w:rsid w:val="00D769C6"/>
    <w:rsid w:val="00D76AB9"/>
    <w:rsid w:val="00D802B0"/>
    <w:rsid w:val="00D8049D"/>
    <w:rsid w:val="00D80ABD"/>
    <w:rsid w:val="00D8179A"/>
    <w:rsid w:val="00D82165"/>
    <w:rsid w:val="00D82B07"/>
    <w:rsid w:val="00D838C1"/>
    <w:rsid w:val="00D84C67"/>
    <w:rsid w:val="00D8544F"/>
    <w:rsid w:val="00D862F2"/>
    <w:rsid w:val="00D86A9A"/>
    <w:rsid w:val="00D87062"/>
    <w:rsid w:val="00D870AD"/>
    <w:rsid w:val="00D871C1"/>
    <w:rsid w:val="00D872E5"/>
    <w:rsid w:val="00D87A23"/>
    <w:rsid w:val="00D90124"/>
    <w:rsid w:val="00D9055B"/>
    <w:rsid w:val="00D90A16"/>
    <w:rsid w:val="00D90D6B"/>
    <w:rsid w:val="00D9175D"/>
    <w:rsid w:val="00D922D3"/>
    <w:rsid w:val="00D930F1"/>
    <w:rsid w:val="00D9313E"/>
    <w:rsid w:val="00D93227"/>
    <w:rsid w:val="00D93BC1"/>
    <w:rsid w:val="00D93E65"/>
    <w:rsid w:val="00D9495B"/>
    <w:rsid w:val="00D956A3"/>
    <w:rsid w:val="00D95720"/>
    <w:rsid w:val="00D959AC"/>
    <w:rsid w:val="00D96074"/>
    <w:rsid w:val="00D9650D"/>
    <w:rsid w:val="00D96D93"/>
    <w:rsid w:val="00D96F78"/>
    <w:rsid w:val="00D975D3"/>
    <w:rsid w:val="00D9764F"/>
    <w:rsid w:val="00DA064E"/>
    <w:rsid w:val="00DA0FA6"/>
    <w:rsid w:val="00DA1419"/>
    <w:rsid w:val="00DA1966"/>
    <w:rsid w:val="00DA2140"/>
    <w:rsid w:val="00DA2867"/>
    <w:rsid w:val="00DA35C9"/>
    <w:rsid w:val="00DA370A"/>
    <w:rsid w:val="00DA6EDD"/>
    <w:rsid w:val="00DA7163"/>
    <w:rsid w:val="00DA7A6F"/>
    <w:rsid w:val="00DA7C69"/>
    <w:rsid w:val="00DB0373"/>
    <w:rsid w:val="00DB064D"/>
    <w:rsid w:val="00DB0712"/>
    <w:rsid w:val="00DB0979"/>
    <w:rsid w:val="00DB161E"/>
    <w:rsid w:val="00DB1CE3"/>
    <w:rsid w:val="00DB1E45"/>
    <w:rsid w:val="00DB2B4B"/>
    <w:rsid w:val="00DB40D9"/>
    <w:rsid w:val="00DB55FD"/>
    <w:rsid w:val="00DB6B0A"/>
    <w:rsid w:val="00DB6FE0"/>
    <w:rsid w:val="00DB70D9"/>
    <w:rsid w:val="00DB7AC8"/>
    <w:rsid w:val="00DB7B1C"/>
    <w:rsid w:val="00DB7EA4"/>
    <w:rsid w:val="00DC0281"/>
    <w:rsid w:val="00DC0A3A"/>
    <w:rsid w:val="00DC0E96"/>
    <w:rsid w:val="00DC3156"/>
    <w:rsid w:val="00DC3F5F"/>
    <w:rsid w:val="00DC43AE"/>
    <w:rsid w:val="00DC4D59"/>
    <w:rsid w:val="00DC5A6C"/>
    <w:rsid w:val="00DC5EB5"/>
    <w:rsid w:val="00DC5EC8"/>
    <w:rsid w:val="00DC6018"/>
    <w:rsid w:val="00DC67CD"/>
    <w:rsid w:val="00DC6CED"/>
    <w:rsid w:val="00DC7C4D"/>
    <w:rsid w:val="00DC7EC2"/>
    <w:rsid w:val="00DD053F"/>
    <w:rsid w:val="00DD134A"/>
    <w:rsid w:val="00DD1CA7"/>
    <w:rsid w:val="00DD245D"/>
    <w:rsid w:val="00DD2D6A"/>
    <w:rsid w:val="00DD33DF"/>
    <w:rsid w:val="00DD4915"/>
    <w:rsid w:val="00DD5851"/>
    <w:rsid w:val="00DD5A1F"/>
    <w:rsid w:val="00DD6D62"/>
    <w:rsid w:val="00DD749B"/>
    <w:rsid w:val="00DE0E9D"/>
    <w:rsid w:val="00DE0EB6"/>
    <w:rsid w:val="00DE1293"/>
    <w:rsid w:val="00DE149B"/>
    <w:rsid w:val="00DE2966"/>
    <w:rsid w:val="00DE3086"/>
    <w:rsid w:val="00DE399F"/>
    <w:rsid w:val="00DE4D7F"/>
    <w:rsid w:val="00DE522D"/>
    <w:rsid w:val="00DE6B84"/>
    <w:rsid w:val="00DE7B47"/>
    <w:rsid w:val="00DF0474"/>
    <w:rsid w:val="00DF10CC"/>
    <w:rsid w:val="00DF155A"/>
    <w:rsid w:val="00DF1C4B"/>
    <w:rsid w:val="00DF2422"/>
    <w:rsid w:val="00DF2EB5"/>
    <w:rsid w:val="00DF2FC9"/>
    <w:rsid w:val="00DF30A7"/>
    <w:rsid w:val="00DF350F"/>
    <w:rsid w:val="00DF4521"/>
    <w:rsid w:val="00DF56F8"/>
    <w:rsid w:val="00DF605E"/>
    <w:rsid w:val="00DF66D6"/>
    <w:rsid w:val="00DF70BE"/>
    <w:rsid w:val="00E008D9"/>
    <w:rsid w:val="00E011B2"/>
    <w:rsid w:val="00E0160D"/>
    <w:rsid w:val="00E021EE"/>
    <w:rsid w:val="00E02292"/>
    <w:rsid w:val="00E024B4"/>
    <w:rsid w:val="00E02C90"/>
    <w:rsid w:val="00E04958"/>
    <w:rsid w:val="00E06318"/>
    <w:rsid w:val="00E0648A"/>
    <w:rsid w:val="00E06679"/>
    <w:rsid w:val="00E07513"/>
    <w:rsid w:val="00E0763A"/>
    <w:rsid w:val="00E0770E"/>
    <w:rsid w:val="00E07A26"/>
    <w:rsid w:val="00E07FEF"/>
    <w:rsid w:val="00E11FFF"/>
    <w:rsid w:val="00E126EC"/>
    <w:rsid w:val="00E128F0"/>
    <w:rsid w:val="00E12E95"/>
    <w:rsid w:val="00E13221"/>
    <w:rsid w:val="00E1534C"/>
    <w:rsid w:val="00E156AC"/>
    <w:rsid w:val="00E15780"/>
    <w:rsid w:val="00E15C1F"/>
    <w:rsid w:val="00E160A3"/>
    <w:rsid w:val="00E16155"/>
    <w:rsid w:val="00E169C3"/>
    <w:rsid w:val="00E17028"/>
    <w:rsid w:val="00E172AC"/>
    <w:rsid w:val="00E217FE"/>
    <w:rsid w:val="00E2216F"/>
    <w:rsid w:val="00E2272D"/>
    <w:rsid w:val="00E2311B"/>
    <w:rsid w:val="00E24AA5"/>
    <w:rsid w:val="00E25687"/>
    <w:rsid w:val="00E25CD5"/>
    <w:rsid w:val="00E2627A"/>
    <w:rsid w:val="00E2634F"/>
    <w:rsid w:val="00E265B4"/>
    <w:rsid w:val="00E27E78"/>
    <w:rsid w:val="00E30AF7"/>
    <w:rsid w:val="00E30C6E"/>
    <w:rsid w:val="00E31030"/>
    <w:rsid w:val="00E31761"/>
    <w:rsid w:val="00E31B9B"/>
    <w:rsid w:val="00E320A4"/>
    <w:rsid w:val="00E33CF9"/>
    <w:rsid w:val="00E352A7"/>
    <w:rsid w:val="00E35ADB"/>
    <w:rsid w:val="00E37074"/>
    <w:rsid w:val="00E408A7"/>
    <w:rsid w:val="00E4095C"/>
    <w:rsid w:val="00E4177B"/>
    <w:rsid w:val="00E41CBC"/>
    <w:rsid w:val="00E42843"/>
    <w:rsid w:val="00E4386B"/>
    <w:rsid w:val="00E43DEB"/>
    <w:rsid w:val="00E441A0"/>
    <w:rsid w:val="00E44DA8"/>
    <w:rsid w:val="00E458D6"/>
    <w:rsid w:val="00E462B5"/>
    <w:rsid w:val="00E464A7"/>
    <w:rsid w:val="00E46D4A"/>
    <w:rsid w:val="00E46F8F"/>
    <w:rsid w:val="00E47C42"/>
    <w:rsid w:val="00E50567"/>
    <w:rsid w:val="00E508F5"/>
    <w:rsid w:val="00E533FD"/>
    <w:rsid w:val="00E54355"/>
    <w:rsid w:val="00E544FA"/>
    <w:rsid w:val="00E54657"/>
    <w:rsid w:val="00E552A0"/>
    <w:rsid w:val="00E55725"/>
    <w:rsid w:val="00E56438"/>
    <w:rsid w:val="00E56B67"/>
    <w:rsid w:val="00E56F9E"/>
    <w:rsid w:val="00E5701D"/>
    <w:rsid w:val="00E5794A"/>
    <w:rsid w:val="00E57E9F"/>
    <w:rsid w:val="00E60271"/>
    <w:rsid w:val="00E605DF"/>
    <w:rsid w:val="00E617A3"/>
    <w:rsid w:val="00E62BB9"/>
    <w:rsid w:val="00E63F57"/>
    <w:rsid w:val="00E6529E"/>
    <w:rsid w:val="00E658AF"/>
    <w:rsid w:val="00E661C3"/>
    <w:rsid w:val="00E664D5"/>
    <w:rsid w:val="00E6657F"/>
    <w:rsid w:val="00E66DD9"/>
    <w:rsid w:val="00E66ECD"/>
    <w:rsid w:val="00E6757B"/>
    <w:rsid w:val="00E67732"/>
    <w:rsid w:val="00E67990"/>
    <w:rsid w:val="00E67AB5"/>
    <w:rsid w:val="00E67E82"/>
    <w:rsid w:val="00E67F34"/>
    <w:rsid w:val="00E700DF"/>
    <w:rsid w:val="00E7044B"/>
    <w:rsid w:val="00E7276D"/>
    <w:rsid w:val="00E729F5"/>
    <w:rsid w:val="00E72E66"/>
    <w:rsid w:val="00E7315C"/>
    <w:rsid w:val="00E757C9"/>
    <w:rsid w:val="00E758DE"/>
    <w:rsid w:val="00E76317"/>
    <w:rsid w:val="00E7639B"/>
    <w:rsid w:val="00E77240"/>
    <w:rsid w:val="00E77962"/>
    <w:rsid w:val="00E80242"/>
    <w:rsid w:val="00E812CC"/>
    <w:rsid w:val="00E827C5"/>
    <w:rsid w:val="00E84BF2"/>
    <w:rsid w:val="00E8501B"/>
    <w:rsid w:val="00E85749"/>
    <w:rsid w:val="00E85EB8"/>
    <w:rsid w:val="00E87078"/>
    <w:rsid w:val="00E904C0"/>
    <w:rsid w:val="00E90573"/>
    <w:rsid w:val="00E90B1E"/>
    <w:rsid w:val="00E9132B"/>
    <w:rsid w:val="00E916BF"/>
    <w:rsid w:val="00E92769"/>
    <w:rsid w:val="00E92D8F"/>
    <w:rsid w:val="00E931D5"/>
    <w:rsid w:val="00E93652"/>
    <w:rsid w:val="00E937AB"/>
    <w:rsid w:val="00E93D27"/>
    <w:rsid w:val="00E94314"/>
    <w:rsid w:val="00E94550"/>
    <w:rsid w:val="00E94AB3"/>
    <w:rsid w:val="00E956CB"/>
    <w:rsid w:val="00E95DB7"/>
    <w:rsid w:val="00E9667C"/>
    <w:rsid w:val="00E96BA3"/>
    <w:rsid w:val="00E96DA8"/>
    <w:rsid w:val="00E9731C"/>
    <w:rsid w:val="00E97889"/>
    <w:rsid w:val="00E97983"/>
    <w:rsid w:val="00EA0129"/>
    <w:rsid w:val="00EA02C3"/>
    <w:rsid w:val="00EA0A02"/>
    <w:rsid w:val="00EA0C2A"/>
    <w:rsid w:val="00EA118A"/>
    <w:rsid w:val="00EA1517"/>
    <w:rsid w:val="00EA1785"/>
    <w:rsid w:val="00EA1D80"/>
    <w:rsid w:val="00EA1F24"/>
    <w:rsid w:val="00EA2275"/>
    <w:rsid w:val="00EA2659"/>
    <w:rsid w:val="00EA2D0A"/>
    <w:rsid w:val="00EA401C"/>
    <w:rsid w:val="00EA46C8"/>
    <w:rsid w:val="00EA485E"/>
    <w:rsid w:val="00EA5870"/>
    <w:rsid w:val="00EA6EDB"/>
    <w:rsid w:val="00EA70E8"/>
    <w:rsid w:val="00EB0C24"/>
    <w:rsid w:val="00EB1404"/>
    <w:rsid w:val="00EB1E0C"/>
    <w:rsid w:val="00EB3139"/>
    <w:rsid w:val="00EB3833"/>
    <w:rsid w:val="00EB3A84"/>
    <w:rsid w:val="00EB3BFF"/>
    <w:rsid w:val="00EB4F8E"/>
    <w:rsid w:val="00EB62C9"/>
    <w:rsid w:val="00EB6E1A"/>
    <w:rsid w:val="00EB77E2"/>
    <w:rsid w:val="00EC0677"/>
    <w:rsid w:val="00EC0EF0"/>
    <w:rsid w:val="00EC14AE"/>
    <w:rsid w:val="00EC1D79"/>
    <w:rsid w:val="00EC22E5"/>
    <w:rsid w:val="00EC2F16"/>
    <w:rsid w:val="00EC470A"/>
    <w:rsid w:val="00EC480C"/>
    <w:rsid w:val="00EC4E6B"/>
    <w:rsid w:val="00EC545E"/>
    <w:rsid w:val="00EC548F"/>
    <w:rsid w:val="00EC5AFB"/>
    <w:rsid w:val="00EC5D8E"/>
    <w:rsid w:val="00EC60CA"/>
    <w:rsid w:val="00EC6778"/>
    <w:rsid w:val="00EC6E9D"/>
    <w:rsid w:val="00EC7EED"/>
    <w:rsid w:val="00ED0935"/>
    <w:rsid w:val="00ED0D23"/>
    <w:rsid w:val="00ED0D4D"/>
    <w:rsid w:val="00ED1474"/>
    <w:rsid w:val="00ED22DD"/>
    <w:rsid w:val="00ED2672"/>
    <w:rsid w:val="00ED3597"/>
    <w:rsid w:val="00ED36F4"/>
    <w:rsid w:val="00ED4107"/>
    <w:rsid w:val="00ED44C9"/>
    <w:rsid w:val="00ED5FD0"/>
    <w:rsid w:val="00ED6F61"/>
    <w:rsid w:val="00ED769F"/>
    <w:rsid w:val="00ED78E5"/>
    <w:rsid w:val="00EE0BAB"/>
    <w:rsid w:val="00EE1262"/>
    <w:rsid w:val="00EE1273"/>
    <w:rsid w:val="00EE1409"/>
    <w:rsid w:val="00EE1EEE"/>
    <w:rsid w:val="00EE3565"/>
    <w:rsid w:val="00EE3568"/>
    <w:rsid w:val="00EE3D71"/>
    <w:rsid w:val="00EE3F5F"/>
    <w:rsid w:val="00EE4BE0"/>
    <w:rsid w:val="00EE57DA"/>
    <w:rsid w:val="00EE5DA3"/>
    <w:rsid w:val="00EE5F5A"/>
    <w:rsid w:val="00EE7B3F"/>
    <w:rsid w:val="00EF096D"/>
    <w:rsid w:val="00EF0B82"/>
    <w:rsid w:val="00EF1914"/>
    <w:rsid w:val="00EF3002"/>
    <w:rsid w:val="00EF33F9"/>
    <w:rsid w:val="00EF34D0"/>
    <w:rsid w:val="00EF38C9"/>
    <w:rsid w:val="00EF3C2F"/>
    <w:rsid w:val="00EF5497"/>
    <w:rsid w:val="00EF56E6"/>
    <w:rsid w:val="00EF5993"/>
    <w:rsid w:val="00EF7609"/>
    <w:rsid w:val="00EF79E0"/>
    <w:rsid w:val="00F00289"/>
    <w:rsid w:val="00F00E67"/>
    <w:rsid w:val="00F014D5"/>
    <w:rsid w:val="00F0351A"/>
    <w:rsid w:val="00F04A3E"/>
    <w:rsid w:val="00F0630C"/>
    <w:rsid w:val="00F06533"/>
    <w:rsid w:val="00F065B4"/>
    <w:rsid w:val="00F06EEC"/>
    <w:rsid w:val="00F07860"/>
    <w:rsid w:val="00F11BA1"/>
    <w:rsid w:val="00F11BBE"/>
    <w:rsid w:val="00F12637"/>
    <w:rsid w:val="00F1373E"/>
    <w:rsid w:val="00F13C5D"/>
    <w:rsid w:val="00F13CF0"/>
    <w:rsid w:val="00F15B6F"/>
    <w:rsid w:val="00F17750"/>
    <w:rsid w:val="00F201D5"/>
    <w:rsid w:val="00F20B75"/>
    <w:rsid w:val="00F21D3C"/>
    <w:rsid w:val="00F21DDB"/>
    <w:rsid w:val="00F21F63"/>
    <w:rsid w:val="00F22078"/>
    <w:rsid w:val="00F22E35"/>
    <w:rsid w:val="00F22F61"/>
    <w:rsid w:val="00F233E6"/>
    <w:rsid w:val="00F234B7"/>
    <w:rsid w:val="00F238F4"/>
    <w:rsid w:val="00F23FF7"/>
    <w:rsid w:val="00F24623"/>
    <w:rsid w:val="00F24EB2"/>
    <w:rsid w:val="00F24FEC"/>
    <w:rsid w:val="00F25051"/>
    <w:rsid w:val="00F276CA"/>
    <w:rsid w:val="00F30AA0"/>
    <w:rsid w:val="00F31758"/>
    <w:rsid w:val="00F324DB"/>
    <w:rsid w:val="00F3265A"/>
    <w:rsid w:val="00F32B88"/>
    <w:rsid w:val="00F33130"/>
    <w:rsid w:val="00F3353F"/>
    <w:rsid w:val="00F33C94"/>
    <w:rsid w:val="00F35657"/>
    <w:rsid w:val="00F35ACE"/>
    <w:rsid w:val="00F3661E"/>
    <w:rsid w:val="00F374BB"/>
    <w:rsid w:val="00F40466"/>
    <w:rsid w:val="00F40558"/>
    <w:rsid w:val="00F40AED"/>
    <w:rsid w:val="00F40B8D"/>
    <w:rsid w:val="00F425E8"/>
    <w:rsid w:val="00F441EF"/>
    <w:rsid w:val="00F4486A"/>
    <w:rsid w:val="00F4535B"/>
    <w:rsid w:val="00F45668"/>
    <w:rsid w:val="00F4585B"/>
    <w:rsid w:val="00F458CB"/>
    <w:rsid w:val="00F46EEA"/>
    <w:rsid w:val="00F47687"/>
    <w:rsid w:val="00F4773B"/>
    <w:rsid w:val="00F5029B"/>
    <w:rsid w:val="00F50388"/>
    <w:rsid w:val="00F50A07"/>
    <w:rsid w:val="00F50D2D"/>
    <w:rsid w:val="00F51D28"/>
    <w:rsid w:val="00F51D6E"/>
    <w:rsid w:val="00F51E99"/>
    <w:rsid w:val="00F52874"/>
    <w:rsid w:val="00F5291C"/>
    <w:rsid w:val="00F535AE"/>
    <w:rsid w:val="00F54D12"/>
    <w:rsid w:val="00F55E44"/>
    <w:rsid w:val="00F566A9"/>
    <w:rsid w:val="00F56D66"/>
    <w:rsid w:val="00F57119"/>
    <w:rsid w:val="00F6001E"/>
    <w:rsid w:val="00F60219"/>
    <w:rsid w:val="00F60ECC"/>
    <w:rsid w:val="00F61EAA"/>
    <w:rsid w:val="00F61F3E"/>
    <w:rsid w:val="00F625FF"/>
    <w:rsid w:val="00F629DC"/>
    <w:rsid w:val="00F63BDD"/>
    <w:rsid w:val="00F63D0B"/>
    <w:rsid w:val="00F644A1"/>
    <w:rsid w:val="00F645C9"/>
    <w:rsid w:val="00F65427"/>
    <w:rsid w:val="00F6646F"/>
    <w:rsid w:val="00F670D7"/>
    <w:rsid w:val="00F675D2"/>
    <w:rsid w:val="00F6792D"/>
    <w:rsid w:val="00F71608"/>
    <w:rsid w:val="00F7223A"/>
    <w:rsid w:val="00F72C5A"/>
    <w:rsid w:val="00F7348E"/>
    <w:rsid w:val="00F73B11"/>
    <w:rsid w:val="00F74E24"/>
    <w:rsid w:val="00F75017"/>
    <w:rsid w:val="00F75032"/>
    <w:rsid w:val="00F750AC"/>
    <w:rsid w:val="00F75266"/>
    <w:rsid w:val="00F758C6"/>
    <w:rsid w:val="00F7642A"/>
    <w:rsid w:val="00F769F4"/>
    <w:rsid w:val="00F76C69"/>
    <w:rsid w:val="00F77958"/>
    <w:rsid w:val="00F77C13"/>
    <w:rsid w:val="00F800F0"/>
    <w:rsid w:val="00F80395"/>
    <w:rsid w:val="00F80F68"/>
    <w:rsid w:val="00F813D9"/>
    <w:rsid w:val="00F81855"/>
    <w:rsid w:val="00F82F6B"/>
    <w:rsid w:val="00F82FAA"/>
    <w:rsid w:val="00F83EE7"/>
    <w:rsid w:val="00F83F60"/>
    <w:rsid w:val="00F84FCE"/>
    <w:rsid w:val="00F863B9"/>
    <w:rsid w:val="00F87534"/>
    <w:rsid w:val="00F8763D"/>
    <w:rsid w:val="00F877F7"/>
    <w:rsid w:val="00F87842"/>
    <w:rsid w:val="00F9068F"/>
    <w:rsid w:val="00F90FFF"/>
    <w:rsid w:val="00F91013"/>
    <w:rsid w:val="00F9130F"/>
    <w:rsid w:val="00F91401"/>
    <w:rsid w:val="00F916F5"/>
    <w:rsid w:val="00F92B70"/>
    <w:rsid w:val="00F92E45"/>
    <w:rsid w:val="00F93671"/>
    <w:rsid w:val="00F93A7E"/>
    <w:rsid w:val="00F94234"/>
    <w:rsid w:val="00F945DB"/>
    <w:rsid w:val="00F95A18"/>
    <w:rsid w:val="00F97867"/>
    <w:rsid w:val="00FA0ED2"/>
    <w:rsid w:val="00FA1420"/>
    <w:rsid w:val="00FA162B"/>
    <w:rsid w:val="00FA2B48"/>
    <w:rsid w:val="00FA2DFA"/>
    <w:rsid w:val="00FA309A"/>
    <w:rsid w:val="00FA3334"/>
    <w:rsid w:val="00FA3993"/>
    <w:rsid w:val="00FA3C3C"/>
    <w:rsid w:val="00FA400C"/>
    <w:rsid w:val="00FA5118"/>
    <w:rsid w:val="00FA5FC8"/>
    <w:rsid w:val="00FA631D"/>
    <w:rsid w:val="00FA758A"/>
    <w:rsid w:val="00FB03BC"/>
    <w:rsid w:val="00FB08B5"/>
    <w:rsid w:val="00FB0E57"/>
    <w:rsid w:val="00FB1D84"/>
    <w:rsid w:val="00FB20F9"/>
    <w:rsid w:val="00FB28B2"/>
    <w:rsid w:val="00FB35C1"/>
    <w:rsid w:val="00FB3E40"/>
    <w:rsid w:val="00FB3F01"/>
    <w:rsid w:val="00FB4AAA"/>
    <w:rsid w:val="00FB4F01"/>
    <w:rsid w:val="00FB58F8"/>
    <w:rsid w:val="00FB5B1A"/>
    <w:rsid w:val="00FB741E"/>
    <w:rsid w:val="00FC0BBC"/>
    <w:rsid w:val="00FC0DC8"/>
    <w:rsid w:val="00FC1195"/>
    <w:rsid w:val="00FC1EC6"/>
    <w:rsid w:val="00FC2302"/>
    <w:rsid w:val="00FC2A22"/>
    <w:rsid w:val="00FC32E4"/>
    <w:rsid w:val="00FC3737"/>
    <w:rsid w:val="00FC5819"/>
    <w:rsid w:val="00FC72E3"/>
    <w:rsid w:val="00FC763F"/>
    <w:rsid w:val="00FD09F6"/>
    <w:rsid w:val="00FD10BE"/>
    <w:rsid w:val="00FD11B1"/>
    <w:rsid w:val="00FD1896"/>
    <w:rsid w:val="00FD1FA7"/>
    <w:rsid w:val="00FD21B4"/>
    <w:rsid w:val="00FD2279"/>
    <w:rsid w:val="00FD23BA"/>
    <w:rsid w:val="00FD270C"/>
    <w:rsid w:val="00FD2900"/>
    <w:rsid w:val="00FD2A95"/>
    <w:rsid w:val="00FD3475"/>
    <w:rsid w:val="00FD371E"/>
    <w:rsid w:val="00FD3E00"/>
    <w:rsid w:val="00FD3F71"/>
    <w:rsid w:val="00FD41FF"/>
    <w:rsid w:val="00FD4AAB"/>
    <w:rsid w:val="00FD5159"/>
    <w:rsid w:val="00FD5767"/>
    <w:rsid w:val="00FD5A4D"/>
    <w:rsid w:val="00FD5BFD"/>
    <w:rsid w:val="00FD6683"/>
    <w:rsid w:val="00FD70AF"/>
    <w:rsid w:val="00FD7542"/>
    <w:rsid w:val="00FD7593"/>
    <w:rsid w:val="00FE0970"/>
    <w:rsid w:val="00FE113A"/>
    <w:rsid w:val="00FE1BF9"/>
    <w:rsid w:val="00FE21A4"/>
    <w:rsid w:val="00FE246F"/>
    <w:rsid w:val="00FE3B68"/>
    <w:rsid w:val="00FE454A"/>
    <w:rsid w:val="00FE59E5"/>
    <w:rsid w:val="00FE6173"/>
    <w:rsid w:val="00FE6CA7"/>
    <w:rsid w:val="00FE732B"/>
    <w:rsid w:val="00FE79AD"/>
    <w:rsid w:val="00FF0007"/>
    <w:rsid w:val="00FF052A"/>
    <w:rsid w:val="00FF09D6"/>
    <w:rsid w:val="00FF0F49"/>
    <w:rsid w:val="00FF11C8"/>
    <w:rsid w:val="00FF1B63"/>
    <w:rsid w:val="00FF1EDE"/>
    <w:rsid w:val="00FF206E"/>
    <w:rsid w:val="00FF2E64"/>
    <w:rsid w:val="00FF3ECA"/>
    <w:rsid w:val="00FF51EF"/>
    <w:rsid w:val="00FF5907"/>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4C"/>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1D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41D83"/>
    <w:rPr>
      <w:rFonts w:asciiTheme="majorHAnsi" w:eastAsiaTheme="majorEastAsia" w:hAnsiTheme="majorHAnsi" w:cstheme="majorBidi"/>
      <w:color w:val="243F60" w:themeColor="accent1" w:themeShade="7F"/>
      <w:sz w:val="24"/>
      <w:szCs w:val="24"/>
      <w:lang w:val="en-US" w:eastAsia="en-US"/>
    </w:rPr>
  </w:style>
  <w:style w:type="paragraph" w:customStyle="1" w:styleId="paragraph">
    <w:name w:val="paragraph"/>
    <w:basedOn w:val="Normal"/>
    <w:rsid w:val="005D1AB8"/>
    <w:pPr>
      <w:spacing w:before="100" w:beforeAutospacing="1" w:after="100" w:afterAutospacing="1"/>
    </w:pPr>
    <w:rPr>
      <w:rFonts w:ascii="Calibri" w:eastAsia="Calibri" w:hAnsi="Calibri" w:cs="Calibri"/>
      <w:sz w:val="22"/>
      <w:szCs w:val="22"/>
      <w:lang w:val="en-GB" w:eastAsia="en-GB"/>
    </w:rPr>
  </w:style>
  <w:style w:type="paragraph" w:styleId="NoSpacing">
    <w:name w:val="No Spacing"/>
    <w:basedOn w:val="Normal"/>
    <w:uiPriority w:val="1"/>
    <w:qFormat/>
    <w:rsid w:val="00B51392"/>
    <w:rPr>
      <w:rFonts w:ascii="Calibri" w:eastAsiaTheme="minorHAnsi" w:hAnsi="Calibri" w:cs="Calibri"/>
      <w:sz w:val="22"/>
      <w:szCs w:val="22"/>
      <w:lang w:val="en-GB"/>
    </w:rPr>
  </w:style>
  <w:style w:type="paragraph" w:customStyle="1" w:styleId="bodytext0">
    <w:name w:val="bodytext"/>
    <w:basedOn w:val="Normal"/>
    <w:rsid w:val="00EA2D0A"/>
    <w:pPr>
      <w:spacing w:before="100" w:beforeAutospacing="1" w:after="100" w:afterAutospacing="1"/>
    </w:pPr>
    <w:rPr>
      <w:lang w:val="en-GB" w:eastAsia="en-GB"/>
    </w:rPr>
  </w:style>
  <w:style w:type="paragraph" w:customStyle="1" w:styleId="p1">
    <w:name w:val="p1"/>
    <w:basedOn w:val="Normal"/>
    <w:rsid w:val="00C36C9B"/>
    <w:pPr>
      <w:spacing w:before="100" w:beforeAutospacing="1" w:after="100" w:afterAutospacing="1"/>
    </w:pPr>
    <w:rPr>
      <w:lang w:val="en-GB" w:eastAsia="en-GB"/>
    </w:rPr>
  </w:style>
  <w:style w:type="paragraph" w:customStyle="1" w:styleId="Default">
    <w:name w:val="Default"/>
    <w:rsid w:val="00DC7EC2"/>
    <w:pPr>
      <w:autoSpaceDE w:val="0"/>
      <w:autoSpaceDN w:val="0"/>
      <w:adjustRightInd w:val="0"/>
    </w:pPr>
    <w:rPr>
      <w:rFonts w:ascii="Arial" w:hAnsi="Arial" w:cs="Arial"/>
      <w:color w:val="000000"/>
      <w:sz w:val="24"/>
      <w:szCs w:val="24"/>
    </w:rPr>
  </w:style>
  <w:style w:type="character" w:customStyle="1" w:styleId="eop">
    <w:name w:val="eop"/>
    <w:basedOn w:val="DefaultParagraphFont"/>
    <w:rsid w:val="0044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605">
      <w:bodyDiv w:val="1"/>
      <w:marLeft w:val="0"/>
      <w:marRight w:val="0"/>
      <w:marTop w:val="0"/>
      <w:marBottom w:val="0"/>
      <w:divBdr>
        <w:top w:val="none" w:sz="0" w:space="0" w:color="auto"/>
        <w:left w:val="none" w:sz="0" w:space="0" w:color="auto"/>
        <w:bottom w:val="none" w:sz="0" w:space="0" w:color="auto"/>
        <w:right w:val="none" w:sz="0" w:space="0" w:color="auto"/>
      </w:divBdr>
    </w:div>
    <w:div w:id="6173894">
      <w:bodyDiv w:val="1"/>
      <w:marLeft w:val="0"/>
      <w:marRight w:val="0"/>
      <w:marTop w:val="0"/>
      <w:marBottom w:val="0"/>
      <w:divBdr>
        <w:top w:val="none" w:sz="0" w:space="0" w:color="auto"/>
        <w:left w:val="none" w:sz="0" w:space="0" w:color="auto"/>
        <w:bottom w:val="none" w:sz="0" w:space="0" w:color="auto"/>
        <w:right w:val="none" w:sz="0" w:space="0" w:color="auto"/>
      </w:divBdr>
    </w:div>
    <w:div w:id="10841451">
      <w:bodyDiv w:val="1"/>
      <w:marLeft w:val="0"/>
      <w:marRight w:val="0"/>
      <w:marTop w:val="0"/>
      <w:marBottom w:val="0"/>
      <w:divBdr>
        <w:top w:val="none" w:sz="0" w:space="0" w:color="auto"/>
        <w:left w:val="none" w:sz="0" w:space="0" w:color="auto"/>
        <w:bottom w:val="none" w:sz="0" w:space="0" w:color="auto"/>
        <w:right w:val="none" w:sz="0" w:space="0" w:color="auto"/>
      </w:divBdr>
    </w:div>
    <w:div w:id="15355355">
      <w:bodyDiv w:val="1"/>
      <w:marLeft w:val="0"/>
      <w:marRight w:val="0"/>
      <w:marTop w:val="0"/>
      <w:marBottom w:val="0"/>
      <w:divBdr>
        <w:top w:val="none" w:sz="0" w:space="0" w:color="auto"/>
        <w:left w:val="none" w:sz="0" w:space="0" w:color="auto"/>
        <w:bottom w:val="none" w:sz="0" w:space="0" w:color="auto"/>
        <w:right w:val="none" w:sz="0" w:space="0" w:color="auto"/>
      </w:divBdr>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2948934">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49307064">
      <w:bodyDiv w:val="1"/>
      <w:marLeft w:val="0"/>
      <w:marRight w:val="0"/>
      <w:marTop w:val="0"/>
      <w:marBottom w:val="0"/>
      <w:divBdr>
        <w:top w:val="none" w:sz="0" w:space="0" w:color="auto"/>
        <w:left w:val="none" w:sz="0" w:space="0" w:color="auto"/>
        <w:bottom w:val="none" w:sz="0" w:space="0" w:color="auto"/>
        <w:right w:val="none" w:sz="0" w:space="0" w:color="auto"/>
      </w:divBdr>
    </w:div>
    <w:div w:id="53356877">
      <w:bodyDiv w:val="1"/>
      <w:marLeft w:val="0"/>
      <w:marRight w:val="0"/>
      <w:marTop w:val="0"/>
      <w:marBottom w:val="0"/>
      <w:divBdr>
        <w:top w:val="none" w:sz="0" w:space="0" w:color="auto"/>
        <w:left w:val="none" w:sz="0" w:space="0" w:color="auto"/>
        <w:bottom w:val="none" w:sz="0" w:space="0" w:color="auto"/>
        <w:right w:val="none" w:sz="0" w:space="0" w:color="auto"/>
      </w:divBdr>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286274">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78017064">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63428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0">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08941631">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19960668">
      <w:bodyDiv w:val="1"/>
      <w:marLeft w:val="0"/>
      <w:marRight w:val="0"/>
      <w:marTop w:val="0"/>
      <w:marBottom w:val="0"/>
      <w:divBdr>
        <w:top w:val="none" w:sz="0" w:space="0" w:color="auto"/>
        <w:left w:val="none" w:sz="0" w:space="0" w:color="auto"/>
        <w:bottom w:val="none" w:sz="0" w:space="0" w:color="auto"/>
        <w:right w:val="none" w:sz="0" w:space="0" w:color="auto"/>
      </w:divBdr>
    </w:div>
    <w:div w:id="120271690">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31795946">
      <w:bodyDiv w:val="1"/>
      <w:marLeft w:val="0"/>
      <w:marRight w:val="0"/>
      <w:marTop w:val="0"/>
      <w:marBottom w:val="0"/>
      <w:divBdr>
        <w:top w:val="none" w:sz="0" w:space="0" w:color="auto"/>
        <w:left w:val="none" w:sz="0" w:space="0" w:color="auto"/>
        <w:bottom w:val="none" w:sz="0" w:space="0" w:color="auto"/>
        <w:right w:val="none" w:sz="0" w:space="0" w:color="auto"/>
      </w:divBdr>
    </w:div>
    <w:div w:id="132186347">
      <w:bodyDiv w:val="1"/>
      <w:marLeft w:val="0"/>
      <w:marRight w:val="0"/>
      <w:marTop w:val="0"/>
      <w:marBottom w:val="0"/>
      <w:divBdr>
        <w:top w:val="none" w:sz="0" w:space="0" w:color="auto"/>
        <w:left w:val="none" w:sz="0" w:space="0" w:color="auto"/>
        <w:bottom w:val="none" w:sz="0" w:space="0" w:color="auto"/>
        <w:right w:val="none" w:sz="0" w:space="0" w:color="auto"/>
      </w:divBdr>
      <w:divsChild>
        <w:div w:id="486172533">
          <w:marLeft w:val="0"/>
          <w:marRight w:val="0"/>
          <w:marTop w:val="0"/>
          <w:marBottom w:val="0"/>
          <w:divBdr>
            <w:top w:val="none" w:sz="0" w:space="0" w:color="auto"/>
            <w:left w:val="none" w:sz="0" w:space="0" w:color="auto"/>
            <w:bottom w:val="none" w:sz="0" w:space="0" w:color="auto"/>
            <w:right w:val="none" w:sz="0" w:space="0" w:color="auto"/>
          </w:divBdr>
        </w:div>
        <w:div w:id="360858842">
          <w:marLeft w:val="0"/>
          <w:marRight w:val="0"/>
          <w:marTop w:val="0"/>
          <w:marBottom w:val="0"/>
          <w:divBdr>
            <w:top w:val="none" w:sz="0" w:space="0" w:color="auto"/>
            <w:left w:val="none" w:sz="0" w:space="0" w:color="auto"/>
            <w:bottom w:val="none" w:sz="0" w:space="0" w:color="auto"/>
            <w:right w:val="none" w:sz="0" w:space="0" w:color="auto"/>
          </w:divBdr>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64825158">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84248717">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5091150">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26839998">
      <w:bodyDiv w:val="1"/>
      <w:marLeft w:val="0"/>
      <w:marRight w:val="0"/>
      <w:marTop w:val="0"/>
      <w:marBottom w:val="0"/>
      <w:divBdr>
        <w:top w:val="none" w:sz="0" w:space="0" w:color="auto"/>
        <w:left w:val="none" w:sz="0" w:space="0" w:color="auto"/>
        <w:bottom w:val="none" w:sz="0" w:space="0" w:color="auto"/>
        <w:right w:val="none" w:sz="0" w:space="0" w:color="auto"/>
      </w:divBdr>
    </w:div>
    <w:div w:id="228854779">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53251819">
      <w:bodyDiv w:val="1"/>
      <w:marLeft w:val="0"/>
      <w:marRight w:val="0"/>
      <w:marTop w:val="0"/>
      <w:marBottom w:val="0"/>
      <w:divBdr>
        <w:top w:val="none" w:sz="0" w:space="0" w:color="auto"/>
        <w:left w:val="none" w:sz="0" w:space="0" w:color="auto"/>
        <w:bottom w:val="none" w:sz="0" w:space="0" w:color="auto"/>
        <w:right w:val="none" w:sz="0" w:space="0" w:color="auto"/>
      </w:divBdr>
    </w:div>
    <w:div w:id="256401491">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098560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28350">
      <w:bodyDiv w:val="1"/>
      <w:marLeft w:val="0"/>
      <w:marRight w:val="0"/>
      <w:marTop w:val="0"/>
      <w:marBottom w:val="0"/>
      <w:divBdr>
        <w:top w:val="none" w:sz="0" w:space="0" w:color="auto"/>
        <w:left w:val="none" w:sz="0" w:space="0" w:color="auto"/>
        <w:bottom w:val="none" w:sz="0" w:space="0" w:color="auto"/>
        <w:right w:val="none" w:sz="0" w:space="0" w:color="auto"/>
      </w:divBdr>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17849831">
      <w:bodyDiv w:val="1"/>
      <w:marLeft w:val="0"/>
      <w:marRight w:val="0"/>
      <w:marTop w:val="0"/>
      <w:marBottom w:val="0"/>
      <w:divBdr>
        <w:top w:val="none" w:sz="0" w:space="0" w:color="auto"/>
        <w:left w:val="none" w:sz="0" w:space="0" w:color="auto"/>
        <w:bottom w:val="none" w:sz="0" w:space="0" w:color="auto"/>
        <w:right w:val="none" w:sz="0" w:space="0" w:color="auto"/>
      </w:divBdr>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30105495">
      <w:bodyDiv w:val="1"/>
      <w:marLeft w:val="0"/>
      <w:marRight w:val="0"/>
      <w:marTop w:val="0"/>
      <w:marBottom w:val="0"/>
      <w:divBdr>
        <w:top w:val="none" w:sz="0" w:space="0" w:color="auto"/>
        <w:left w:val="none" w:sz="0" w:space="0" w:color="auto"/>
        <w:bottom w:val="none" w:sz="0" w:space="0" w:color="auto"/>
        <w:right w:val="none" w:sz="0" w:space="0" w:color="auto"/>
      </w:divBdr>
    </w:div>
    <w:div w:id="33338259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56471484">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83069214">
      <w:bodyDiv w:val="1"/>
      <w:marLeft w:val="0"/>
      <w:marRight w:val="0"/>
      <w:marTop w:val="0"/>
      <w:marBottom w:val="0"/>
      <w:divBdr>
        <w:top w:val="none" w:sz="0" w:space="0" w:color="auto"/>
        <w:left w:val="none" w:sz="0" w:space="0" w:color="auto"/>
        <w:bottom w:val="none" w:sz="0" w:space="0" w:color="auto"/>
        <w:right w:val="none" w:sz="0" w:space="0" w:color="auto"/>
      </w:divBdr>
    </w:div>
    <w:div w:id="388383722">
      <w:bodyDiv w:val="1"/>
      <w:marLeft w:val="0"/>
      <w:marRight w:val="0"/>
      <w:marTop w:val="0"/>
      <w:marBottom w:val="0"/>
      <w:divBdr>
        <w:top w:val="none" w:sz="0" w:space="0" w:color="auto"/>
        <w:left w:val="none" w:sz="0" w:space="0" w:color="auto"/>
        <w:bottom w:val="none" w:sz="0" w:space="0" w:color="auto"/>
        <w:right w:val="none" w:sz="0" w:space="0" w:color="auto"/>
      </w:divBdr>
    </w:div>
    <w:div w:id="393937060">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398764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11707533">
      <w:bodyDiv w:val="1"/>
      <w:marLeft w:val="0"/>
      <w:marRight w:val="0"/>
      <w:marTop w:val="0"/>
      <w:marBottom w:val="0"/>
      <w:divBdr>
        <w:top w:val="none" w:sz="0" w:space="0" w:color="auto"/>
        <w:left w:val="none" w:sz="0" w:space="0" w:color="auto"/>
        <w:bottom w:val="none" w:sz="0" w:space="0" w:color="auto"/>
        <w:right w:val="none" w:sz="0" w:space="0" w:color="auto"/>
      </w:divBdr>
    </w:div>
    <w:div w:id="421797158">
      <w:bodyDiv w:val="1"/>
      <w:marLeft w:val="0"/>
      <w:marRight w:val="0"/>
      <w:marTop w:val="0"/>
      <w:marBottom w:val="0"/>
      <w:divBdr>
        <w:top w:val="none" w:sz="0" w:space="0" w:color="auto"/>
        <w:left w:val="none" w:sz="0" w:space="0" w:color="auto"/>
        <w:bottom w:val="none" w:sz="0" w:space="0" w:color="auto"/>
        <w:right w:val="none" w:sz="0" w:space="0" w:color="auto"/>
      </w:divBdr>
    </w:div>
    <w:div w:id="431706194">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77843092">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17237090">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572">
      <w:bodyDiv w:val="1"/>
      <w:marLeft w:val="0"/>
      <w:marRight w:val="0"/>
      <w:marTop w:val="0"/>
      <w:marBottom w:val="0"/>
      <w:divBdr>
        <w:top w:val="none" w:sz="0" w:space="0" w:color="auto"/>
        <w:left w:val="none" w:sz="0" w:space="0" w:color="auto"/>
        <w:bottom w:val="none" w:sz="0" w:space="0" w:color="auto"/>
        <w:right w:val="none" w:sz="0" w:space="0" w:color="auto"/>
      </w:divBdr>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4640">
      <w:bodyDiv w:val="1"/>
      <w:marLeft w:val="0"/>
      <w:marRight w:val="0"/>
      <w:marTop w:val="0"/>
      <w:marBottom w:val="0"/>
      <w:divBdr>
        <w:top w:val="none" w:sz="0" w:space="0" w:color="auto"/>
        <w:left w:val="none" w:sz="0" w:space="0" w:color="auto"/>
        <w:bottom w:val="none" w:sz="0" w:space="0" w:color="auto"/>
        <w:right w:val="none" w:sz="0" w:space="0" w:color="auto"/>
      </w:divBdr>
    </w:div>
    <w:div w:id="577641550">
      <w:bodyDiv w:val="1"/>
      <w:marLeft w:val="0"/>
      <w:marRight w:val="0"/>
      <w:marTop w:val="0"/>
      <w:marBottom w:val="0"/>
      <w:divBdr>
        <w:top w:val="none" w:sz="0" w:space="0" w:color="auto"/>
        <w:left w:val="none" w:sz="0" w:space="0" w:color="auto"/>
        <w:bottom w:val="none" w:sz="0" w:space="0" w:color="auto"/>
        <w:right w:val="none" w:sz="0" w:space="0" w:color="auto"/>
      </w:divBdr>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4923900">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89507855">
      <w:bodyDiv w:val="1"/>
      <w:marLeft w:val="0"/>
      <w:marRight w:val="0"/>
      <w:marTop w:val="0"/>
      <w:marBottom w:val="0"/>
      <w:divBdr>
        <w:top w:val="none" w:sz="0" w:space="0" w:color="auto"/>
        <w:left w:val="none" w:sz="0" w:space="0" w:color="auto"/>
        <w:bottom w:val="none" w:sz="0" w:space="0" w:color="auto"/>
        <w:right w:val="none" w:sz="0" w:space="0" w:color="auto"/>
      </w:divBdr>
    </w:div>
    <w:div w:id="590891694">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0527795">
      <w:bodyDiv w:val="1"/>
      <w:marLeft w:val="0"/>
      <w:marRight w:val="0"/>
      <w:marTop w:val="0"/>
      <w:marBottom w:val="0"/>
      <w:divBdr>
        <w:top w:val="none" w:sz="0" w:space="0" w:color="auto"/>
        <w:left w:val="none" w:sz="0" w:space="0" w:color="auto"/>
        <w:bottom w:val="none" w:sz="0" w:space="0" w:color="auto"/>
        <w:right w:val="none" w:sz="0" w:space="0" w:color="auto"/>
      </w:divBdr>
    </w:div>
    <w:div w:id="601105454">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1765415">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9846">
      <w:bodyDiv w:val="1"/>
      <w:marLeft w:val="0"/>
      <w:marRight w:val="0"/>
      <w:marTop w:val="0"/>
      <w:marBottom w:val="0"/>
      <w:divBdr>
        <w:top w:val="none" w:sz="0" w:space="0" w:color="auto"/>
        <w:left w:val="none" w:sz="0" w:space="0" w:color="auto"/>
        <w:bottom w:val="none" w:sz="0" w:space="0" w:color="auto"/>
        <w:right w:val="none" w:sz="0" w:space="0" w:color="auto"/>
      </w:divBdr>
    </w:div>
    <w:div w:id="71338410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89">
          <w:marLeft w:val="0"/>
          <w:marRight w:val="0"/>
          <w:marTop w:val="480"/>
          <w:marBottom w:val="480"/>
          <w:divBdr>
            <w:top w:val="none" w:sz="0" w:space="0" w:color="auto"/>
            <w:left w:val="none" w:sz="0" w:space="0" w:color="auto"/>
            <w:bottom w:val="none" w:sz="0" w:space="0" w:color="auto"/>
            <w:right w:val="none" w:sz="0" w:space="0" w:color="auto"/>
          </w:divBdr>
        </w:div>
      </w:divsChild>
    </w:div>
    <w:div w:id="718167612">
      <w:bodyDiv w:val="1"/>
      <w:marLeft w:val="0"/>
      <w:marRight w:val="0"/>
      <w:marTop w:val="0"/>
      <w:marBottom w:val="0"/>
      <w:divBdr>
        <w:top w:val="none" w:sz="0" w:space="0" w:color="auto"/>
        <w:left w:val="none" w:sz="0" w:space="0" w:color="auto"/>
        <w:bottom w:val="none" w:sz="0" w:space="0" w:color="auto"/>
        <w:right w:val="none" w:sz="0" w:space="0" w:color="auto"/>
      </w:divBdr>
      <w:divsChild>
        <w:div w:id="667827230">
          <w:marLeft w:val="0"/>
          <w:marRight w:val="0"/>
          <w:marTop w:val="0"/>
          <w:marBottom w:val="0"/>
          <w:divBdr>
            <w:top w:val="none" w:sz="0" w:space="0" w:color="auto"/>
            <w:left w:val="none" w:sz="0" w:space="0" w:color="auto"/>
            <w:bottom w:val="none" w:sz="0" w:space="0" w:color="auto"/>
            <w:right w:val="none" w:sz="0" w:space="0" w:color="auto"/>
          </w:divBdr>
        </w:div>
        <w:div w:id="1887905879">
          <w:marLeft w:val="0"/>
          <w:marRight w:val="0"/>
          <w:marTop w:val="0"/>
          <w:marBottom w:val="0"/>
          <w:divBdr>
            <w:top w:val="none" w:sz="0" w:space="0" w:color="auto"/>
            <w:left w:val="none" w:sz="0" w:space="0" w:color="auto"/>
            <w:bottom w:val="none" w:sz="0" w:space="0" w:color="auto"/>
            <w:right w:val="none" w:sz="0" w:space="0" w:color="auto"/>
          </w:divBdr>
        </w:div>
      </w:divsChild>
    </w:div>
    <w:div w:id="722407321">
      <w:bodyDiv w:val="1"/>
      <w:marLeft w:val="0"/>
      <w:marRight w:val="0"/>
      <w:marTop w:val="0"/>
      <w:marBottom w:val="0"/>
      <w:divBdr>
        <w:top w:val="none" w:sz="0" w:space="0" w:color="auto"/>
        <w:left w:val="none" w:sz="0" w:space="0" w:color="auto"/>
        <w:bottom w:val="none" w:sz="0" w:space="0" w:color="auto"/>
        <w:right w:val="none" w:sz="0" w:space="0" w:color="auto"/>
      </w:divBdr>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1368597">
      <w:bodyDiv w:val="1"/>
      <w:marLeft w:val="0"/>
      <w:marRight w:val="0"/>
      <w:marTop w:val="0"/>
      <w:marBottom w:val="0"/>
      <w:divBdr>
        <w:top w:val="none" w:sz="0" w:space="0" w:color="auto"/>
        <w:left w:val="none" w:sz="0" w:space="0" w:color="auto"/>
        <w:bottom w:val="none" w:sz="0" w:space="0" w:color="auto"/>
        <w:right w:val="none" w:sz="0" w:space="0" w:color="auto"/>
      </w:divBdr>
    </w:div>
    <w:div w:id="744499507">
      <w:bodyDiv w:val="1"/>
      <w:marLeft w:val="0"/>
      <w:marRight w:val="0"/>
      <w:marTop w:val="0"/>
      <w:marBottom w:val="0"/>
      <w:divBdr>
        <w:top w:val="none" w:sz="0" w:space="0" w:color="auto"/>
        <w:left w:val="none" w:sz="0" w:space="0" w:color="auto"/>
        <w:bottom w:val="none" w:sz="0" w:space="0" w:color="auto"/>
        <w:right w:val="none" w:sz="0" w:space="0" w:color="auto"/>
      </w:divBdr>
      <w:divsChild>
        <w:div w:id="1761829983">
          <w:marLeft w:val="0"/>
          <w:marRight w:val="0"/>
          <w:marTop w:val="0"/>
          <w:marBottom w:val="0"/>
          <w:divBdr>
            <w:top w:val="none" w:sz="0" w:space="0" w:color="auto"/>
            <w:left w:val="none" w:sz="0" w:space="0" w:color="auto"/>
            <w:bottom w:val="none" w:sz="0" w:space="0" w:color="auto"/>
            <w:right w:val="none" w:sz="0" w:space="0" w:color="auto"/>
          </w:divBdr>
        </w:div>
        <w:div w:id="1091468872">
          <w:marLeft w:val="0"/>
          <w:marRight w:val="0"/>
          <w:marTop w:val="0"/>
          <w:marBottom w:val="0"/>
          <w:divBdr>
            <w:top w:val="none" w:sz="0" w:space="0" w:color="auto"/>
            <w:left w:val="none" w:sz="0" w:space="0" w:color="auto"/>
            <w:bottom w:val="none" w:sz="0" w:space="0" w:color="auto"/>
            <w:right w:val="none" w:sz="0" w:space="0" w:color="auto"/>
          </w:divBdr>
        </w:div>
      </w:divsChild>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75519660">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85733338">
      <w:bodyDiv w:val="1"/>
      <w:marLeft w:val="0"/>
      <w:marRight w:val="0"/>
      <w:marTop w:val="0"/>
      <w:marBottom w:val="0"/>
      <w:divBdr>
        <w:top w:val="none" w:sz="0" w:space="0" w:color="auto"/>
        <w:left w:val="none" w:sz="0" w:space="0" w:color="auto"/>
        <w:bottom w:val="none" w:sz="0" w:space="0" w:color="auto"/>
        <w:right w:val="none" w:sz="0" w:space="0" w:color="auto"/>
      </w:divBdr>
    </w:div>
    <w:div w:id="786392195">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795100241">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273">
      <w:bodyDiv w:val="1"/>
      <w:marLeft w:val="0"/>
      <w:marRight w:val="0"/>
      <w:marTop w:val="0"/>
      <w:marBottom w:val="0"/>
      <w:divBdr>
        <w:top w:val="none" w:sz="0" w:space="0" w:color="auto"/>
        <w:left w:val="none" w:sz="0" w:space="0" w:color="auto"/>
        <w:bottom w:val="none" w:sz="0" w:space="0" w:color="auto"/>
        <w:right w:val="none" w:sz="0" w:space="0" w:color="auto"/>
      </w:divBdr>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476">
      <w:bodyDiv w:val="1"/>
      <w:marLeft w:val="0"/>
      <w:marRight w:val="0"/>
      <w:marTop w:val="0"/>
      <w:marBottom w:val="0"/>
      <w:divBdr>
        <w:top w:val="none" w:sz="0" w:space="0" w:color="auto"/>
        <w:left w:val="none" w:sz="0" w:space="0" w:color="auto"/>
        <w:bottom w:val="none" w:sz="0" w:space="0" w:color="auto"/>
        <w:right w:val="none" w:sz="0" w:space="0" w:color="auto"/>
      </w:divBdr>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86194">
      <w:bodyDiv w:val="1"/>
      <w:marLeft w:val="0"/>
      <w:marRight w:val="0"/>
      <w:marTop w:val="0"/>
      <w:marBottom w:val="0"/>
      <w:divBdr>
        <w:top w:val="none" w:sz="0" w:space="0" w:color="auto"/>
        <w:left w:val="none" w:sz="0" w:space="0" w:color="auto"/>
        <w:bottom w:val="none" w:sz="0" w:space="0" w:color="auto"/>
        <w:right w:val="none" w:sz="0" w:space="0" w:color="auto"/>
      </w:divBdr>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47452219">
      <w:bodyDiv w:val="1"/>
      <w:marLeft w:val="0"/>
      <w:marRight w:val="0"/>
      <w:marTop w:val="0"/>
      <w:marBottom w:val="0"/>
      <w:divBdr>
        <w:top w:val="none" w:sz="0" w:space="0" w:color="auto"/>
        <w:left w:val="none" w:sz="0" w:space="0" w:color="auto"/>
        <w:bottom w:val="none" w:sz="0" w:space="0" w:color="auto"/>
        <w:right w:val="none" w:sz="0" w:space="0" w:color="auto"/>
      </w:divBdr>
    </w:div>
    <w:div w:id="848716309">
      <w:bodyDiv w:val="1"/>
      <w:marLeft w:val="0"/>
      <w:marRight w:val="0"/>
      <w:marTop w:val="0"/>
      <w:marBottom w:val="0"/>
      <w:divBdr>
        <w:top w:val="none" w:sz="0" w:space="0" w:color="auto"/>
        <w:left w:val="none" w:sz="0" w:space="0" w:color="auto"/>
        <w:bottom w:val="none" w:sz="0" w:space="0" w:color="auto"/>
        <w:right w:val="none" w:sz="0" w:space="0" w:color="auto"/>
      </w:divBdr>
    </w:div>
    <w:div w:id="852886247">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8801">
      <w:bodyDiv w:val="1"/>
      <w:marLeft w:val="0"/>
      <w:marRight w:val="0"/>
      <w:marTop w:val="0"/>
      <w:marBottom w:val="0"/>
      <w:divBdr>
        <w:top w:val="none" w:sz="0" w:space="0" w:color="auto"/>
        <w:left w:val="none" w:sz="0" w:space="0" w:color="auto"/>
        <w:bottom w:val="none" w:sz="0" w:space="0" w:color="auto"/>
        <w:right w:val="none" w:sz="0" w:space="0" w:color="auto"/>
      </w:divBdr>
    </w:div>
    <w:div w:id="880284648">
      <w:bodyDiv w:val="1"/>
      <w:marLeft w:val="0"/>
      <w:marRight w:val="0"/>
      <w:marTop w:val="0"/>
      <w:marBottom w:val="0"/>
      <w:divBdr>
        <w:top w:val="none" w:sz="0" w:space="0" w:color="auto"/>
        <w:left w:val="none" w:sz="0" w:space="0" w:color="auto"/>
        <w:bottom w:val="none" w:sz="0" w:space="0" w:color="auto"/>
        <w:right w:val="none" w:sz="0" w:space="0" w:color="auto"/>
      </w:divBdr>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35098024">
      <w:bodyDiv w:val="1"/>
      <w:marLeft w:val="0"/>
      <w:marRight w:val="0"/>
      <w:marTop w:val="0"/>
      <w:marBottom w:val="0"/>
      <w:divBdr>
        <w:top w:val="none" w:sz="0" w:space="0" w:color="auto"/>
        <w:left w:val="none" w:sz="0" w:space="0" w:color="auto"/>
        <w:bottom w:val="none" w:sz="0" w:space="0" w:color="auto"/>
        <w:right w:val="none" w:sz="0" w:space="0" w:color="auto"/>
      </w:divBdr>
    </w:div>
    <w:div w:id="937560692">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5468">
      <w:bodyDiv w:val="1"/>
      <w:marLeft w:val="0"/>
      <w:marRight w:val="0"/>
      <w:marTop w:val="0"/>
      <w:marBottom w:val="0"/>
      <w:divBdr>
        <w:top w:val="none" w:sz="0" w:space="0" w:color="auto"/>
        <w:left w:val="none" w:sz="0" w:space="0" w:color="auto"/>
        <w:bottom w:val="none" w:sz="0" w:space="0" w:color="auto"/>
        <w:right w:val="none" w:sz="0" w:space="0" w:color="auto"/>
      </w:divBdr>
    </w:div>
    <w:div w:id="954021669">
      <w:bodyDiv w:val="1"/>
      <w:marLeft w:val="0"/>
      <w:marRight w:val="0"/>
      <w:marTop w:val="0"/>
      <w:marBottom w:val="0"/>
      <w:divBdr>
        <w:top w:val="none" w:sz="0" w:space="0" w:color="auto"/>
        <w:left w:val="none" w:sz="0" w:space="0" w:color="auto"/>
        <w:bottom w:val="none" w:sz="0" w:space="0" w:color="auto"/>
        <w:right w:val="none" w:sz="0" w:space="0" w:color="auto"/>
      </w:divBdr>
    </w:div>
    <w:div w:id="955596292">
      <w:bodyDiv w:val="1"/>
      <w:marLeft w:val="0"/>
      <w:marRight w:val="0"/>
      <w:marTop w:val="0"/>
      <w:marBottom w:val="0"/>
      <w:divBdr>
        <w:top w:val="none" w:sz="0" w:space="0" w:color="auto"/>
        <w:left w:val="none" w:sz="0" w:space="0" w:color="auto"/>
        <w:bottom w:val="none" w:sz="0" w:space="0" w:color="auto"/>
        <w:right w:val="none" w:sz="0" w:space="0" w:color="auto"/>
      </w:divBdr>
    </w:div>
    <w:div w:id="965622392">
      <w:bodyDiv w:val="1"/>
      <w:marLeft w:val="0"/>
      <w:marRight w:val="0"/>
      <w:marTop w:val="0"/>
      <w:marBottom w:val="0"/>
      <w:divBdr>
        <w:top w:val="none" w:sz="0" w:space="0" w:color="auto"/>
        <w:left w:val="none" w:sz="0" w:space="0" w:color="auto"/>
        <w:bottom w:val="none" w:sz="0" w:space="0" w:color="auto"/>
        <w:right w:val="none" w:sz="0" w:space="0" w:color="auto"/>
      </w:divBdr>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67516633">
      <w:bodyDiv w:val="1"/>
      <w:marLeft w:val="0"/>
      <w:marRight w:val="0"/>
      <w:marTop w:val="0"/>
      <w:marBottom w:val="0"/>
      <w:divBdr>
        <w:top w:val="none" w:sz="0" w:space="0" w:color="auto"/>
        <w:left w:val="none" w:sz="0" w:space="0" w:color="auto"/>
        <w:bottom w:val="none" w:sz="0" w:space="0" w:color="auto"/>
        <w:right w:val="none" w:sz="0" w:space="0" w:color="auto"/>
      </w:divBdr>
    </w:div>
    <w:div w:id="969282534">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88637387">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77569">
      <w:bodyDiv w:val="1"/>
      <w:marLeft w:val="0"/>
      <w:marRight w:val="0"/>
      <w:marTop w:val="0"/>
      <w:marBottom w:val="0"/>
      <w:divBdr>
        <w:top w:val="none" w:sz="0" w:space="0" w:color="auto"/>
        <w:left w:val="none" w:sz="0" w:space="0" w:color="auto"/>
        <w:bottom w:val="none" w:sz="0" w:space="0" w:color="auto"/>
        <w:right w:val="none" w:sz="0" w:space="0" w:color="auto"/>
      </w:divBdr>
      <w:divsChild>
        <w:div w:id="1785073781">
          <w:marLeft w:val="0"/>
          <w:marRight w:val="0"/>
          <w:marTop w:val="0"/>
          <w:marBottom w:val="0"/>
          <w:divBdr>
            <w:top w:val="none" w:sz="0" w:space="0" w:color="auto"/>
            <w:left w:val="none" w:sz="0" w:space="0" w:color="auto"/>
            <w:bottom w:val="none" w:sz="0" w:space="0" w:color="auto"/>
            <w:right w:val="none" w:sz="0" w:space="0" w:color="auto"/>
          </w:divBdr>
        </w:div>
        <w:div w:id="1693649505">
          <w:marLeft w:val="0"/>
          <w:marRight w:val="0"/>
          <w:marTop w:val="0"/>
          <w:marBottom w:val="0"/>
          <w:divBdr>
            <w:top w:val="none" w:sz="0" w:space="0" w:color="auto"/>
            <w:left w:val="none" w:sz="0" w:space="0" w:color="auto"/>
            <w:bottom w:val="none" w:sz="0" w:space="0" w:color="auto"/>
            <w:right w:val="none" w:sz="0" w:space="0" w:color="auto"/>
          </w:divBdr>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1809234">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59282699">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8501766">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29392839">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736783533">
          <w:marLeft w:val="0"/>
          <w:marRight w:val="0"/>
          <w:marTop w:val="0"/>
          <w:marBottom w:val="0"/>
          <w:divBdr>
            <w:top w:val="none" w:sz="0" w:space="0" w:color="auto"/>
            <w:left w:val="none" w:sz="0" w:space="0" w:color="auto"/>
            <w:bottom w:val="none" w:sz="0" w:space="0" w:color="auto"/>
            <w:right w:val="none" w:sz="0" w:space="0" w:color="auto"/>
          </w:divBdr>
        </w:div>
        <w:div w:id="365062433">
          <w:marLeft w:val="0"/>
          <w:marRight w:val="0"/>
          <w:marTop w:val="0"/>
          <w:marBottom w:val="0"/>
          <w:divBdr>
            <w:top w:val="none" w:sz="0" w:space="0" w:color="auto"/>
            <w:left w:val="none" w:sz="0" w:space="0" w:color="auto"/>
            <w:bottom w:val="none" w:sz="0" w:space="0" w:color="auto"/>
            <w:right w:val="none" w:sz="0" w:space="0" w:color="auto"/>
          </w:divBdr>
        </w:div>
      </w:divsChild>
    </w:div>
    <w:div w:id="1165128433">
      <w:bodyDiv w:val="1"/>
      <w:marLeft w:val="0"/>
      <w:marRight w:val="0"/>
      <w:marTop w:val="0"/>
      <w:marBottom w:val="0"/>
      <w:divBdr>
        <w:top w:val="none" w:sz="0" w:space="0" w:color="auto"/>
        <w:left w:val="none" w:sz="0" w:space="0" w:color="auto"/>
        <w:bottom w:val="none" w:sz="0" w:space="0" w:color="auto"/>
        <w:right w:val="none" w:sz="0" w:space="0" w:color="auto"/>
      </w:divBdr>
    </w:div>
    <w:div w:id="1165586816">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3742334">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196384863">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10268">
      <w:bodyDiv w:val="1"/>
      <w:marLeft w:val="0"/>
      <w:marRight w:val="0"/>
      <w:marTop w:val="0"/>
      <w:marBottom w:val="0"/>
      <w:divBdr>
        <w:top w:val="none" w:sz="0" w:space="0" w:color="auto"/>
        <w:left w:val="none" w:sz="0" w:space="0" w:color="auto"/>
        <w:bottom w:val="none" w:sz="0" w:space="0" w:color="auto"/>
        <w:right w:val="none" w:sz="0" w:space="0" w:color="auto"/>
      </w:divBdr>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320">
      <w:bodyDiv w:val="1"/>
      <w:marLeft w:val="0"/>
      <w:marRight w:val="0"/>
      <w:marTop w:val="0"/>
      <w:marBottom w:val="0"/>
      <w:divBdr>
        <w:top w:val="none" w:sz="0" w:space="0" w:color="auto"/>
        <w:left w:val="none" w:sz="0" w:space="0" w:color="auto"/>
        <w:bottom w:val="none" w:sz="0" w:space="0" w:color="auto"/>
        <w:right w:val="none" w:sz="0" w:space="0" w:color="auto"/>
      </w:divBdr>
    </w:div>
    <w:div w:id="1216042029">
      <w:bodyDiv w:val="1"/>
      <w:marLeft w:val="0"/>
      <w:marRight w:val="0"/>
      <w:marTop w:val="0"/>
      <w:marBottom w:val="0"/>
      <w:divBdr>
        <w:top w:val="none" w:sz="0" w:space="0" w:color="auto"/>
        <w:left w:val="none" w:sz="0" w:space="0" w:color="auto"/>
        <w:bottom w:val="none" w:sz="0" w:space="0" w:color="auto"/>
        <w:right w:val="none" w:sz="0" w:space="0" w:color="auto"/>
      </w:divBdr>
    </w:div>
    <w:div w:id="1227062998">
      <w:bodyDiv w:val="1"/>
      <w:marLeft w:val="0"/>
      <w:marRight w:val="0"/>
      <w:marTop w:val="0"/>
      <w:marBottom w:val="0"/>
      <w:divBdr>
        <w:top w:val="none" w:sz="0" w:space="0" w:color="auto"/>
        <w:left w:val="none" w:sz="0" w:space="0" w:color="auto"/>
        <w:bottom w:val="none" w:sz="0" w:space="0" w:color="auto"/>
        <w:right w:val="none" w:sz="0" w:space="0" w:color="auto"/>
      </w:divBdr>
    </w:div>
    <w:div w:id="1251550588">
      <w:bodyDiv w:val="1"/>
      <w:marLeft w:val="0"/>
      <w:marRight w:val="0"/>
      <w:marTop w:val="0"/>
      <w:marBottom w:val="0"/>
      <w:divBdr>
        <w:top w:val="none" w:sz="0" w:space="0" w:color="auto"/>
        <w:left w:val="none" w:sz="0" w:space="0" w:color="auto"/>
        <w:bottom w:val="none" w:sz="0" w:space="0" w:color="auto"/>
        <w:right w:val="none" w:sz="0" w:space="0" w:color="auto"/>
      </w:divBdr>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74903380">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1377296">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34142903">
      <w:bodyDiv w:val="1"/>
      <w:marLeft w:val="0"/>
      <w:marRight w:val="0"/>
      <w:marTop w:val="0"/>
      <w:marBottom w:val="0"/>
      <w:divBdr>
        <w:top w:val="none" w:sz="0" w:space="0" w:color="auto"/>
        <w:left w:val="none" w:sz="0" w:space="0" w:color="auto"/>
        <w:bottom w:val="none" w:sz="0" w:space="0" w:color="auto"/>
        <w:right w:val="none" w:sz="0" w:space="0" w:color="auto"/>
      </w:divBdr>
    </w:div>
    <w:div w:id="1334797040">
      <w:bodyDiv w:val="1"/>
      <w:marLeft w:val="0"/>
      <w:marRight w:val="0"/>
      <w:marTop w:val="0"/>
      <w:marBottom w:val="0"/>
      <w:divBdr>
        <w:top w:val="none" w:sz="0" w:space="0" w:color="auto"/>
        <w:left w:val="none" w:sz="0" w:space="0" w:color="auto"/>
        <w:bottom w:val="none" w:sz="0" w:space="0" w:color="auto"/>
        <w:right w:val="none" w:sz="0" w:space="0" w:color="auto"/>
      </w:divBdr>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1680710">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5313">
      <w:bodyDiv w:val="1"/>
      <w:marLeft w:val="0"/>
      <w:marRight w:val="0"/>
      <w:marTop w:val="0"/>
      <w:marBottom w:val="0"/>
      <w:divBdr>
        <w:top w:val="none" w:sz="0" w:space="0" w:color="auto"/>
        <w:left w:val="none" w:sz="0" w:space="0" w:color="auto"/>
        <w:bottom w:val="none" w:sz="0" w:space="0" w:color="auto"/>
        <w:right w:val="none" w:sz="0" w:space="0" w:color="auto"/>
      </w:divBdr>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032742">
      <w:bodyDiv w:val="1"/>
      <w:marLeft w:val="0"/>
      <w:marRight w:val="0"/>
      <w:marTop w:val="0"/>
      <w:marBottom w:val="0"/>
      <w:divBdr>
        <w:top w:val="none" w:sz="0" w:space="0" w:color="auto"/>
        <w:left w:val="none" w:sz="0" w:space="0" w:color="auto"/>
        <w:bottom w:val="none" w:sz="0" w:space="0" w:color="auto"/>
        <w:right w:val="none" w:sz="0" w:space="0" w:color="auto"/>
      </w:divBdr>
    </w:div>
    <w:div w:id="1414010959">
      <w:bodyDiv w:val="1"/>
      <w:marLeft w:val="0"/>
      <w:marRight w:val="0"/>
      <w:marTop w:val="0"/>
      <w:marBottom w:val="0"/>
      <w:divBdr>
        <w:top w:val="none" w:sz="0" w:space="0" w:color="auto"/>
        <w:left w:val="none" w:sz="0" w:space="0" w:color="auto"/>
        <w:bottom w:val="none" w:sz="0" w:space="0" w:color="auto"/>
        <w:right w:val="none" w:sz="0" w:space="0" w:color="auto"/>
      </w:divBdr>
    </w:div>
    <w:div w:id="1414547731">
      <w:bodyDiv w:val="1"/>
      <w:marLeft w:val="0"/>
      <w:marRight w:val="0"/>
      <w:marTop w:val="0"/>
      <w:marBottom w:val="0"/>
      <w:divBdr>
        <w:top w:val="none" w:sz="0" w:space="0" w:color="auto"/>
        <w:left w:val="none" w:sz="0" w:space="0" w:color="auto"/>
        <w:bottom w:val="none" w:sz="0" w:space="0" w:color="auto"/>
        <w:right w:val="none" w:sz="0" w:space="0" w:color="auto"/>
      </w:divBdr>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77186843">
      <w:bodyDiv w:val="1"/>
      <w:marLeft w:val="0"/>
      <w:marRight w:val="0"/>
      <w:marTop w:val="0"/>
      <w:marBottom w:val="0"/>
      <w:divBdr>
        <w:top w:val="none" w:sz="0" w:space="0" w:color="auto"/>
        <w:left w:val="none" w:sz="0" w:space="0" w:color="auto"/>
        <w:bottom w:val="none" w:sz="0" w:space="0" w:color="auto"/>
        <w:right w:val="none" w:sz="0" w:space="0" w:color="auto"/>
      </w:divBdr>
    </w:div>
    <w:div w:id="14826977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586">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sChild>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00777240">
      <w:bodyDiv w:val="1"/>
      <w:marLeft w:val="0"/>
      <w:marRight w:val="0"/>
      <w:marTop w:val="0"/>
      <w:marBottom w:val="0"/>
      <w:divBdr>
        <w:top w:val="none" w:sz="0" w:space="0" w:color="auto"/>
        <w:left w:val="none" w:sz="0" w:space="0" w:color="auto"/>
        <w:bottom w:val="none" w:sz="0" w:space="0" w:color="auto"/>
        <w:right w:val="none" w:sz="0" w:space="0" w:color="auto"/>
      </w:divBdr>
    </w:div>
    <w:div w:id="1501696804">
      <w:bodyDiv w:val="1"/>
      <w:marLeft w:val="0"/>
      <w:marRight w:val="0"/>
      <w:marTop w:val="0"/>
      <w:marBottom w:val="0"/>
      <w:divBdr>
        <w:top w:val="none" w:sz="0" w:space="0" w:color="auto"/>
        <w:left w:val="none" w:sz="0" w:space="0" w:color="auto"/>
        <w:bottom w:val="none" w:sz="0" w:space="0" w:color="auto"/>
        <w:right w:val="none" w:sz="0" w:space="0" w:color="auto"/>
      </w:divBdr>
    </w:div>
    <w:div w:id="1517428003">
      <w:bodyDiv w:val="1"/>
      <w:marLeft w:val="0"/>
      <w:marRight w:val="0"/>
      <w:marTop w:val="0"/>
      <w:marBottom w:val="0"/>
      <w:divBdr>
        <w:top w:val="none" w:sz="0" w:space="0" w:color="auto"/>
        <w:left w:val="none" w:sz="0" w:space="0" w:color="auto"/>
        <w:bottom w:val="none" w:sz="0" w:space="0" w:color="auto"/>
        <w:right w:val="none" w:sz="0" w:space="0" w:color="auto"/>
      </w:divBdr>
    </w:div>
    <w:div w:id="1518041424">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64556884">
      <w:bodyDiv w:val="1"/>
      <w:marLeft w:val="0"/>
      <w:marRight w:val="0"/>
      <w:marTop w:val="0"/>
      <w:marBottom w:val="0"/>
      <w:divBdr>
        <w:top w:val="none" w:sz="0" w:space="0" w:color="auto"/>
        <w:left w:val="none" w:sz="0" w:space="0" w:color="auto"/>
        <w:bottom w:val="none" w:sz="0" w:space="0" w:color="auto"/>
        <w:right w:val="none" w:sz="0" w:space="0" w:color="auto"/>
      </w:divBdr>
    </w:div>
    <w:div w:id="1572808076">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1520493">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85340817">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2473843">
      <w:bodyDiv w:val="1"/>
      <w:marLeft w:val="0"/>
      <w:marRight w:val="0"/>
      <w:marTop w:val="0"/>
      <w:marBottom w:val="0"/>
      <w:divBdr>
        <w:top w:val="none" w:sz="0" w:space="0" w:color="auto"/>
        <w:left w:val="none" w:sz="0" w:space="0" w:color="auto"/>
        <w:bottom w:val="none" w:sz="0" w:space="0" w:color="auto"/>
        <w:right w:val="none" w:sz="0" w:space="0" w:color="auto"/>
      </w:divBdr>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594704851">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7583">
      <w:bodyDiv w:val="1"/>
      <w:marLeft w:val="0"/>
      <w:marRight w:val="0"/>
      <w:marTop w:val="0"/>
      <w:marBottom w:val="0"/>
      <w:divBdr>
        <w:top w:val="none" w:sz="0" w:space="0" w:color="auto"/>
        <w:left w:val="none" w:sz="0" w:space="0" w:color="auto"/>
        <w:bottom w:val="none" w:sz="0" w:space="0" w:color="auto"/>
        <w:right w:val="none" w:sz="0" w:space="0" w:color="auto"/>
      </w:divBdr>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3749910">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678574225">
      <w:bodyDiv w:val="1"/>
      <w:marLeft w:val="0"/>
      <w:marRight w:val="0"/>
      <w:marTop w:val="0"/>
      <w:marBottom w:val="0"/>
      <w:divBdr>
        <w:top w:val="none" w:sz="0" w:space="0" w:color="auto"/>
        <w:left w:val="none" w:sz="0" w:space="0" w:color="auto"/>
        <w:bottom w:val="none" w:sz="0" w:space="0" w:color="auto"/>
        <w:right w:val="none" w:sz="0" w:space="0" w:color="auto"/>
      </w:divBdr>
    </w:div>
    <w:div w:id="1690594631">
      <w:bodyDiv w:val="1"/>
      <w:marLeft w:val="0"/>
      <w:marRight w:val="0"/>
      <w:marTop w:val="0"/>
      <w:marBottom w:val="0"/>
      <w:divBdr>
        <w:top w:val="none" w:sz="0" w:space="0" w:color="auto"/>
        <w:left w:val="none" w:sz="0" w:space="0" w:color="auto"/>
        <w:bottom w:val="none" w:sz="0" w:space="0" w:color="auto"/>
        <w:right w:val="none" w:sz="0" w:space="0" w:color="auto"/>
      </w:divBdr>
    </w:div>
    <w:div w:id="1691760872">
      <w:bodyDiv w:val="1"/>
      <w:marLeft w:val="0"/>
      <w:marRight w:val="0"/>
      <w:marTop w:val="0"/>
      <w:marBottom w:val="0"/>
      <w:divBdr>
        <w:top w:val="none" w:sz="0" w:space="0" w:color="auto"/>
        <w:left w:val="none" w:sz="0" w:space="0" w:color="auto"/>
        <w:bottom w:val="none" w:sz="0" w:space="0" w:color="auto"/>
        <w:right w:val="none" w:sz="0" w:space="0" w:color="auto"/>
      </w:divBdr>
    </w:div>
    <w:div w:id="1696152959">
      <w:bodyDiv w:val="1"/>
      <w:marLeft w:val="0"/>
      <w:marRight w:val="0"/>
      <w:marTop w:val="0"/>
      <w:marBottom w:val="0"/>
      <w:divBdr>
        <w:top w:val="none" w:sz="0" w:space="0" w:color="auto"/>
        <w:left w:val="none" w:sz="0" w:space="0" w:color="auto"/>
        <w:bottom w:val="none" w:sz="0" w:space="0" w:color="auto"/>
        <w:right w:val="none" w:sz="0" w:space="0" w:color="auto"/>
      </w:divBdr>
      <w:divsChild>
        <w:div w:id="266618238">
          <w:marLeft w:val="0"/>
          <w:marRight w:val="0"/>
          <w:marTop w:val="0"/>
          <w:marBottom w:val="0"/>
          <w:divBdr>
            <w:top w:val="none" w:sz="0" w:space="0" w:color="auto"/>
            <w:left w:val="none" w:sz="0" w:space="0" w:color="auto"/>
            <w:bottom w:val="none" w:sz="0" w:space="0" w:color="auto"/>
            <w:right w:val="none" w:sz="0" w:space="0" w:color="auto"/>
          </w:divBdr>
        </w:div>
        <w:div w:id="503013082">
          <w:marLeft w:val="0"/>
          <w:marRight w:val="0"/>
          <w:marTop w:val="0"/>
          <w:marBottom w:val="0"/>
          <w:divBdr>
            <w:top w:val="none" w:sz="0" w:space="0" w:color="auto"/>
            <w:left w:val="none" w:sz="0" w:space="0" w:color="auto"/>
            <w:bottom w:val="none" w:sz="0" w:space="0" w:color="auto"/>
            <w:right w:val="none" w:sz="0" w:space="0" w:color="auto"/>
          </w:divBdr>
        </w:div>
      </w:divsChild>
    </w:div>
    <w:div w:id="1696735361">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02239784">
      <w:bodyDiv w:val="1"/>
      <w:marLeft w:val="0"/>
      <w:marRight w:val="0"/>
      <w:marTop w:val="0"/>
      <w:marBottom w:val="0"/>
      <w:divBdr>
        <w:top w:val="none" w:sz="0" w:space="0" w:color="auto"/>
        <w:left w:val="none" w:sz="0" w:space="0" w:color="auto"/>
        <w:bottom w:val="none" w:sz="0" w:space="0" w:color="auto"/>
        <w:right w:val="none" w:sz="0" w:space="0" w:color="auto"/>
      </w:divBdr>
    </w:div>
    <w:div w:id="1704790985">
      <w:bodyDiv w:val="1"/>
      <w:marLeft w:val="0"/>
      <w:marRight w:val="0"/>
      <w:marTop w:val="0"/>
      <w:marBottom w:val="0"/>
      <w:divBdr>
        <w:top w:val="none" w:sz="0" w:space="0" w:color="auto"/>
        <w:left w:val="none" w:sz="0" w:space="0" w:color="auto"/>
        <w:bottom w:val="none" w:sz="0" w:space="0" w:color="auto"/>
        <w:right w:val="none" w:sz="0" w:space="0" w:color="auto"/>
      </w:divBdr>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49576854">
      <w:bodyDiv w:val="1"/>
      <w:marLeft w:val="0"/>
      <w:marRight w:val="0"/>
      <w:marTop w:val="0"/>
      <w:marBottom w:val="0"/>
      <w:divBdr>
        <w:top w:val="none" w:sz="0" w:space="0" w:color="auto"/>
        <w:left w:val="none" w:sz="0" w:space="0" w:color="auto"/>
        <w:bottom w:val="none" w:sz="0" w:space="0" w:color="auto"/>
        <w:right w:val="none" w:sz="0" w:space="0" w:color="auto"/>
      </w:divBdr>
    </w:div>
    <w:div w:id="1752701313">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59058036">
      <w:bodyDiv w:val="1"/>
      <w:marLeft w:val="0"/>
      <w:marRight w:val="0"/>
      <w:marTop w:val="0"/>
      <w:marBottom w:val="0"/>
      <w:divBdr>
        <w:top w:val="none" w:sz="0" w:space="0" w:color="auto"/>
        <w:left w:val="none" w:sz="0" w:space="0" w:color="auto"/>
        <w:bottom w:val="none" w:sz="0" w:space="0" w:color="auto"/>
        <w:right w:val="none" w:sz="0" w:space="0" w:color="auto"/>
      </w:divBdr>
      <w:divsChild>
        <w:div w:id="2029674489">
          <w:marLeft w:val="0"/>
          <w:marRight w:val="0"/>
          <w:marTop w:val="0"/>
          <w:marBottom w:val="0"/>
          <w:divBdr>
            <w:top w:val="none" w:sz="0" w:space="0" w:color="auto"/>
            <w:left w:val="none" w:sz="0" w:space="0" w:color="auto"/>
            <w:bottom w:val="none" w:sz="0" w:space="0" w:color="auto"/>
            <w:right w:val="none" w:sz="0" w:space="0" w:color="auto"/>
          </w:divBdr>
        </w:div>
        <w:div w:id="841511229">
          <w:marLeft w:val="0"/>
          <w:marRight w:val="0"/>
          <w:marTop w:val="0"/>
          <w:marBottom w:val="0"/>
          <w:divBdr>
            <w:top w:val="none" w:sz="0" w:space="0" w:color="auto"/>
            <w:left w:val="none" w:sz="0" w:space="0" w:color="auto"/>
            <w:bottom w:val="none" w:sz="0" w:space="0" w:color="auto"/>
            <w:right w:val="none" w:sz="0" w:space="0" w:color="auto"/>
          </w:divBdr>
          <w:divsChild>
            <w:div w:id="1765761886">
              <w:marLeft w:val="0"/>
              <w:marRight w:val="0"/>
              <w:marTop w:val="0"/>
              <w:marBottom w:val="240"/>
              <w:divBdr>
                <w:top w:val="single" w:sz="24" w:space="18" w:color="DCDCDC"/>
                <w:left w:val="none" w:sz="0" w:space="0" w:color="auto"/>
                <w:bottom w:val="none" w:sz="0" w:space="0" w:color="auto"/>
                <w:right w:val="none" w:sz="0" w:space="0" w:color="auto"/>
              </w:divBdr>
            </w:div>
          </w:divsChild>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02039">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2542">
      <w:bodyDiv w:val="1"/>
      <w:marLeft w:val="0"/>
      <w:marRight w:val="0"/>
      <w:marTop w:val="0"/>
      <w:marBottom w:val="0"/>
      <w:divBdr>
        <w:top w:val="none" w:sz="0" w:space="0" w:color="auto"/>
        <w:left w:val="none" w:sz="0" w:space="0" w:color="auto"/>
        <w:bottom w:val="none" w:sz="0" w:space="0" w:color="auto"/>
        <w:right w:val="none" w:sz="0" w:space="0" w:color="auto"/>
      </w:divBdr>
    </w:div>
    <w:div w:id="1773821965">
      <w:bodyDiv w:val="1"/>
      <w:marLeft w:val="0"/>
      <w:marRight w:val="0"/>
      <w:marTop w:val="0"/>
      <w:marBottom w:val="0"/>
      <w:divBdr>
        <w:top w:val="none" w:sz="0" w:space="0" w:color="auto"/>
        <w:left w:val="none" w:sz="0" w:space="0" w:color="auto"/>
        <w:bottom w:val="none" w:sz="0" w:space="0" w:color="auto"/>
        <w:right w:val="none" w:sz="0" w:space="0" w:color="auto"/>
      </w:divBdr>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798641072">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1813448782">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752197">
      <w:bodyDiv w:val="1"/>
      <w:marLeft w:val="0"/>
      <w:marRight w:val="0"/>
      <w:marTop w:val="0"/>
      <w:marBottom w:val="0"/>
      <w:divBdr>
        <w:top w:val="none" w:sz="0" w:space="0" w:color="auto"/>
        <w:left w:val="none" w:sz="0" w:space="0" w:color="auto"/>
        <w:bottom w:val="none" w:sz="0" w:space="0" w:color="auto"/>
        <w:right w:val="none" w:sz="0" w:space="0" w:color="auto"/>
      </w:divBdr>
      <w:divsChild>
        <w:div w:id="648897815">
          <w:marLeft w:val="0"/>
          <w:marRight w:val="0"/>
          <w:marTop w:val="0"/>
          <w:marBottom w:val="0"/>
          <w:divBdr>
            <w:top w:val="none" w:sz="0" w:space="0" w:color="auto"/>
            <w:left w:val="none" w:sz="0" w:space="0" w:color="auto"/>
            <w:bottom w:val="none" w:sz="0" w:space="0" w:color="auto"/>
            <w:right w:val="none" w:sz="0" w:space="0" w:color="auto"/>
          </w:divBdr>
        </w:div>
        <w:div w:id="1393891663">
          <w:marLeft w:val="0"/>
          <w:marRight w:val="0"/>
          <w:marTop w:val="0"/>
          <w:marBottom w:val="0"/>
          <w:divBdr>
            <w:top w:val="none" w:sz="0" w:space="0" w:color="auto"/>
            <w:left w:val="none" w:sz="0" w:space="0" w:color="auto"/>
            <w:bottom w:val="none" w:sz="0" w:space="0" w:color="auto"/>
            <w:right w:val="none" w:sz="0" w:space="0" w:color="auto"/>
          </w:divBdr>
          <w:divsChild>
            <w:div w:id="28191812">
              <w:marLeft w:val="0"/>
              <w:marRight w:val="300"/>
              <w:marTop w:val="0"/>
              <w:marBottom w:val="420"/>
              <w:divBdr>
                <w:top w:val="none" w:sz="0" w:space="0" w:color="auto"/>
                <w:left w:val="none" w:sz="0" w:space="0" w:color="auto"/>
                <w:bottom w:val="none" w:sz="0" w:space="0" w:color="auto"/>
                <w:right w:val="none" w:sz="0" w:space="0" w:color="auto"/>
              </w:divBdr>
              <w:divsChild>
                <w:div w:id="10196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268">
      <w:bodyDiv w:val="1"/>
      <w:marLeft w:val="0"/>
      <w:marRight w:val="0"/>
      <w:marTop w:val="0"/>
      <w:marBottom w:val="0"/>
      <w:divBdr>
        <w:top w:val="none" w:sz="0" w:space="0" w:color="auto"/>
        <w:left w:val="none" w:sz="0" w:space="0" w:color="auto"/>
        <w:bottom w:val="none" w:sz="0" w:space="0" w:color="auto"/>
        <w:right w:val="none" w:sz="0" w:space="0" w:color="auto"/>
      </w:divBdr>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25138364">
      <w:bodyDiv w:val="1"/>
      <w:marLeft w:val="0"/>
      <w:marRight w:val="0"/>
      <w:marTop w:val="0"/>
      <w:marBottom w:val="0"/>
      <w:divBdr>
        <w:top w:val="none" w:sz="0" w:space="0" w:color="auto"/>
        <w:left w:val="none" w:sz="0" w:space="0" w:color="auto"/>
        <w:bottom w:val="none" w:sz="0" w:space="0" w:color="auto"/>
        <w:right w:val="none" w:sz="0" w:space="0" w:color="auto"/>
      </w:divBdr>
    </w:div>
    <w:div w:id="1926920117">
      <w:bodyDiv w:val="1"/>
      <w:marLeft w:val="0"/>
      <w:marRight w:val="0"/>
      <w:marTop w:val="0"/>
      <w:marBottom w:val="0"/>
      <w:divBdr>
        <w:top w:val="none" w:sz="0" w:space="0" w:color="auto"/>
        <w:left w:val="none" w:sz="0" w:space="0" w:color="auto"/>
        <w:bottom w:val="none" w:sz="0" w:space="0" w:color="auto"/>
        <w:right w:val="none" w:sz="0" w:space="0" w:color="auto"/>
      </w:divBdr>
      <w:divsChild>
        <w:div w:id="1154106159">
          <w:marLeft w:val="0"/>
          <w:marRight w:val="0"/>
          <w:marTop w:val="0"/>
          <w:marBottom w:val="630"/>
          <w:divBdr>
            <w:top w:val="none" w:sz="0" w:space="0" w:color="auto"/>
            <w:left w:val="none" w:sz="0" w:space="0" w:color="auto"/>
            <w:bottom w:val="none" w:sz="0" w:space="0" w:color="auto"/>
            <w:right w:val="none" w:sz="0" w:space="0" w:color="auto"/>
          </w:divBdr>
          <w:divsChild>
            <w:div w:id="1633244468">
              <w:marLeft w:val="0"/>
              <w:marRight w:val="0"/>
              <w:marTop w:val="0"/>
              <w:marBottom w:val="0"/>
              <w:divBdr>
                <w:top w:val="single" w:sz="24" w:space="0" w:color="DCDCDC"/>
                <w:left w:val="none" w:sz="0" w:space="0" w:color="auto"/>
                <w:bottom w:val="none" w:sz="0" w:space="0" w:color="auto"/>
                <w:right w:val="none" w:sz="0" w:space="0" w:color="auto"/>
              </w:divBdr>
              <w:divsChild>
                <w:div w:id="1157307089">
                  <w:marLeft w:val="0"/>
                  <w:marRight w:val="0"/>
                  <w:marTop w:val="0"/>
                  <w:marBottom w:val="0"/>
                  <w:divBdr>
                    <w:top w:val="none" w:sz="0" w:space="0" w:color="auto"/>
                    <w:left w:val="none" w:sz="0" w:space="0" w:color="auto"/>
                    <w:bottom w:val="none" w:sz="0" w:space="0" w:color="auto"/>
                    <w:right w:val="none" w:sz="0" w:space="0" w:color="auto"/>
                  </w:divBdr>
                  <w:divsChild>
                    <w:div w:id="177789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9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4311272">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1012350">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2441108">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57776629">
      <w:bodyDiv w:val="1"/>
      <w:marLeft w:val="0"/>
      <w:marRight w:val="0"/>
      <w:marTop w:val="0"/>
      <w:marBottom w:val="0"/>
      <w:divBdr>
        <w:top w:val="none" w:sz="0" w:space="0" w:color="auto"/>
        <w:left w:val="none" w:sz="0" w:space="0" w:color="auto"/>
        <w:bottom w:val="none" w:sz="0" w:space="0" w:color="auto"/>
        <w:right w:val="none" w:sz="0" w:space="0" w:color="auto"/>
      </w:divBdr>
    </w:div>
    <w:div w:id="2059551650">
      <w:bodyDiv w:val="1"/>
      <w:marLeft w:val="0"/>
      <w:marRight w:val="0"/>
      <w:marTop w:val="0"/>
      <w:marBottom w:val="0"/>
      <w:divBdr>
        <w:top w:val="none" w:sz="0" w:space="0" w:color="auto"/>
        <w:left w:val="none" w:sz="0" w:space="0" w:color="auto"/>
        <w:bottom w:val="none" w:sz="0" w:space="0" w:color="auto"/>
        <w:right w:val="none" w:sz="0" w:space="0" w:color="auto"/>
      </w:divBdr>
    </w:div>
    <w:div w:id="2074885741">
      <w:bodyDiv w:val="1"/>
      <w:marLeft w:val="0"/>
      <w:marRight w:val="0"/>
      <w:marTop w:val="0"/>
      <w:marBottom w:val="0"/>
      <w:divBdr>
        <w:top w:val="none" w:sz="0" w:space="0" w:color="auto"/>
        <w:left w:val="none" w:sz="0" w:space="0" w:color="auto"/>
        <w:bottom w:val="none" w:sz="0" w:space="0" w:color="auto"/>
        <w:right w:val="none" w:sz="0" w:space="0" w:color="auto"/>
      </w:divBdr>
    </w:div>
    <w:div w:id="2079935072">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2289922">
      <w:bodyDiv w:val="1"/>
      <w:marLeft w:val="0"/>
      <w:marRight w:val="0"/>
      <w:marTop w:val="0"/>
      <w:marBottom w:val="0"/>
      <w:divBdr>
        <w:top w:val="none" w:sz="0" w:space="0" w:color="auto"/>
        <w:left w:val="none" w:sz="0" w:space="0" w:color="auto"/>
        <w:bottom w:val="none" w:sz="0" w:space="0" w:color="auto"/>
        <w:right w:val="none" w:sz="0" w:space="0" w:color="auto"/>
      </w:divBdr>
    </w:div>
    <w:div w:id="2082754915">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2554588">
      <w:bodyDiv w:val="1"/>
      <w:marLeft w:val="0"/>
      <w:marRight w:val="0"/>
      <w:marTop w:val="0"/>
      <w:marBottom w:val="0"/>
      <w:divBdr>
        <w:top w:val="none" w:sz="0" w:space="0" w:color="auto"/>
        <w:left w:val="none" w:sz="0" w:space="0" w:color="auto"/>
        <w:bottom w:val="none" w:sz="0" w:space="0" w:color="auto"/>
        <w:right w:val="none" w:sz="0" w:space="0" w:color="auto"/>
      </w:divBdr>
      <w:divsChild>
        <w:div w:id="471990279">
          <w:marLeft w:val="0"/>
          <w:marRight w:val="0"/>
          <w:marTop w:val="0"/>
          <w:marBottom w:val="0"/>
          <w:divBdr>
            <w:top w:val="none" w:sz="0" w:space="0" w:color="auto"/>
            <w:left w:val="none" w:sz="0" w:space="0" w:color="auto"/>
            <w:bottom w:val="none" w:sz="0" w:space="0" w:color="auto"/>
            <w:right w:val="none" w:sz="0" w:space="0" w:color="auto"/>
          </w:divBdr>
        </w:div>
        <w:div w:id="378238677">
          <w:marLeft w:val="0"/>
          <w:marRight w:val="0"/>
          <w:marTop w:val="0"/>
          <w:marBottom w:val="0"/>
          <w:divBdr>
            <w:top w:val="none" w:sz="0" w:space="0" w:color="auto"/>
            <w:left w:val="none" w:sz="0" w:space="0" w:color="auto"/>
            <w:bottom w:val="none" w:sz="0" w:space="0" w:color="auto"/>
            <w:right w:val="none" w:sz="0" w:space="0" w:color="auto"/>
          </w:divBdr>
        </w:div>
      </w:divsChild>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27187950">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wp-content/uploads/2022/11/B0508-i-National-standards-for-healthcare-food-and-drink-Nove-2022.pdf" TargetMode="External"/><Relationship Id="rId21" Type="http://schemas.openxmlformats.org/officeDocument/2006/relationships/hyperlink" Target="https://www.england.nhs.uk/publication/addendum-to-your-statutory-duties-reference-guide-for-nhs-foundation-trust-governors/" TargetMode="External"/><Relationship Id="rId42" Type="http://schemas.openxmlformats.org/officeDocument/2006/relationships/hyperlink" Target="https://nhsproviders.org/resources/briefings/on-the-day-briefing-cqc-report-on-the-state-of-health-care-and-adult-social-care-in-england-202122" TargetMode="External"/><Relationship Id="rId47" Type="http://schemas.openxmlformats.org/officeDocument/2006/relationships/hyperlink" Target="https://www.centreformentalhealth.org.uk/publications/working-partnership" TargetMode="External"/><Relationship Id="rId63" Type="http://schemas.openxmlformats.org/officeDocument/2006/relationships/hyperlink" Target="https://www.nhsconfed.org/publications/renewed-vision-nhs"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land.nhs.uk/publication/consultation-on-the-revised-nhs-enforcement-guidance/" TargetMode="External"/><Relationship Id="rId29" Type="http://schemas.openxmlformats.org/officeDocument/2006/relationships/hyperlink" Target="https://www.cqc.org.uk/press-release/cqc-finds-improvement-hertfordshire-partnerships-child-and-adolescent-mental-health" TargetMode="External"/><Relationship Id="rId11" Type="http://schemas.openxmlformats.org/officeDocument/2006/relationships/image" Target="media/image1.png"/><Relationship Id="rId24" Type="http://schemas.openxmlformats.org/officeDocument/2006/relationships/hyperlink" Target="https://www.nhsconfed.org/publications/state-care-report?utm_campaign=1103331_Chairs%20and%20non-executives%20bulletin%20-%2031%20October%202022&amp;utm_medium=email&amp;utm_source=NHS%20Confederation&amp;dm_i=6OI9,NNC3,4L0ZPM,2XBTO,1" TargetMode="External"/><Relationship Id="rId32" Type="http://schemas.openxmlformats.org/officeDocument/2006/relationships/hyperlink" Target="https://www.cqc.org.uk/press-release/cqc-finds-improvements-forensic-inpatient-or-secure-wards-tees-esk-and-wear-valleys" TargetMode="External"/><Relationship Id="rId37" Type="http://schemas.openxmlformats.org/officeDocument/2006/relationships/hyperlink" Target="https://www.nmc.org.uk/news/news-and-updates/20212022-healthcare-professional-regulators-whistleblowing-report-published/" TargetMode="External"/><Relationship Id="rId40" Type="http://schemas.openxmlformats.org/officeDocument/2006/relationships/hyperlink" Target="https://www.lexology.com/library/detail.aspx?g=e2a113a3-475e-469f-8f34-ca857173df74" TargetMode="External"/><Relationship Id="rId45" Type="http://schemas.openxmlformats.org/officeDocument/2006/relationships/hyperlink" Target="https://nhssurveys.org/all-files/05-community-mental-health/05-benchmarks-reports/2022/" TargetMode="External"/><Relationship Id="rId53" Type="http://schemas.openxmlformats.org/officeDocument/2006/relationships/hyperlink" Target="https://www.gov.uk/government/news/health-and-social-care-secretary-sets-out-plan-for-patients-with-new-funding-to-bolster-social-care-over-winter" TargetMode="External"/><Relationship Id="rId58" Type="http://schemas.openxmlformats.org/officeDocument/2006/relationships/hyperlink" Target="https://www.bma.org.uk/advice-and-support/nhs-delivery-and-workforce/pressures/mental-health-pressures-data-analysis"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od-governance.org.uk/publications/news/building-better-health-exploring-opportunities-for-healthcare-estate-under-integrated-care-systems" TargetMode="External"/><Relationship Id="rId19" Type="http://schemas.openxmlformats.org/officeDocument/2006/relationships/hyperlink" Target="https://www.england.nhs.uk/publication/code-of-governance-for-nhs-provider-trusts/" TargetMode="External"/><Relationship Id="rId14" Type="http://schemas.openxmlformats.org/officeDocument/2006/relationships/hyperlink" Target="https://nhsproviders.org/media/694395/2022-10-28-next-day-briefing-provider-licence-etc.pdf?utm_campaign=1115969_Next%20day%20briefing%3A%20NHS%20England%20consultations%20on%20changes%20to%20provider%20licence%20and%20on%20revised%20NHS%20enforcement%20guidance%2C%20and%20published%20governance%20documents&amp;utm_medium=email&amp;utm_source=NHS%20Providers%20%28Policy%20and%20networks%29&amp;Organisation=Oxford%20Health%20NHS%20Foundation%20Trust&amp;dm_i=52PX,NX35,13C8U6,2W6GF,1" TargetMode="External"/><Relationship Id="rId22" Type="http://schemas.openxmlformats.org/officeDocument/2006/relationships/hyperlink" Target="https://www.england.nhs.uk/system-and-organisational-oversight/assuring-and-supporting-complex-change/" TargetMode="External"/><Relationship Id="rId27" Type="http://schemas.openxmlformats.org/officeDocument/2006/relationships/hyperlink" Target="https://www.nhsrho.org/publications/policy-briefing-the-ockenden-review/" TargetMode="External"/><Relationship Id="rId30" Type="http://schemas.openxmlformats.org/officeDocument/2006/relationships/hyperlink" Target="https://www.cqc.org.uk/press-release/cqc-publishes-reports-mental-health-services-children-and-young-people-sheffield" TargetMode="External"/><Relationship Id="rId35" Type="http://schemas.openxmlformats.org/officeDocument/2006/relationships/hyperlink" Target="https://www.cqc.org.uk/news/listening-learning-responding-concerns-review-update" TargetMode="External"/><Relationship Id="rId43" Type="http://schemas.openxmlformats.org/officeDocument/2006/relationships/hyperlink" Target="https://www.cqc.org.uk/press-release/cqc-survey-reports-deteriorating-experiences-nhs-community-mental-health-services" TargetMode="External"/><Relationship Id="rId48" Type="http://schemas.openxmlformats.org/officeDocument/2006/relationships/hyperlink" Target="https://www.england.nhs.uk/publication/improving-experience-of-care-a-shared-commitment-for-those-working-in-health-and-care-systems/" TargetMode="External"/><Relationship Id="rId56" Type="http://schemas.openxmlformats.org/officeDocument/2006/relationships/hyperlink" Target="https://www.cqc.org.uk/publication/cto-focused-visits" TargetMode="External"/><Relationship Id="rId64" Type="http://schemas.openxmlformats.org/officeDocument/2006/relationships/hyperlink" Target="https://www.hsj.co.uk/the-christie-nhs-foundation-trust/multiple-failings-in-trusts-handling-of-20m-roche-deal-leak-reveals/7029220.article"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ngland.nhs.uk/publication/autistic-peoples-healthcare-information-strategy-for-england/" TargetMode="External"/><Relationship Id="rId3" Type="http://schemas.openxmlformats.org/officeDocument/2006/relationships/customXml" Target="../customXml/item3.xml"/><Relationship Id="rId12" Type="http://schemas.openxmlformats.org/officeDocument/2006/relationships/hyperlink" Target="https://nhsproviders.org/media/694540/autumn-2022-otdb.pdf" TargetMode="External"/><Relationship Id="rId17" Type="http://schemas.openxmlformats.org/officeDocument/2006/relationships/hyperlink" Target="https://www.england.nhs.uk/publication/nhs-enforcement-guidance-draft/" TargetMode="External"/><Relationship Id="rId25" Type="http://schemas.openxmlformats.org/officeDocument/2006/relationships/hyperlink" Target="https://www.bbc.co.uk/news/uk-63045298" TargetMode="External"/><Relationship Id="rId33" Type="http://schemas.openxmlformats.org/officeDocument/2006/relationships/hyperlink" Target="https://www.cqc.org.uk/press-release/cqc-tells-tees-esk-and-wear-valleys-nhs-foundation-trust-make-improvements-wards" TargetMode="External"/><Relationship Id="rId38" Type="http://schemas.openxmlformats.org/officeDocument/2006/relationships/hyperlink" Target="https://www.gov.uk/government/publications/maternity-and-neonatal-services-in-east-kent-reading-the-signals-report" TargetMode="External"/><Relationship Id="rId46" Type="http://schemas.openxmlformats.org/officeDocument/2006/relationships/hyperlink" Target="https://nhsproviders.org/resources/briefings/next-day-briefing-cqc-community-mental-health-survey-and-annual-mental-health-act-statistics" TargetMode="External"/><Relationship Id="rId59" Type="http://schemas.openxmlformats.org/officeDocument/2006/relationships/hyperlink" Target="https://www.professionalstandards.org.uk/docs/default-source/publications/thought-paper/safer-care-for-all-solutions-from-professional-regulation-and-beyond.pdf?sfvrsn=9364b20_4" TargetMode="External"/><Relationship Id="rId67" Type="http://schemas.openxmlformats.org/officeDocument/2006/relationships/header" Target="header1.xml"/><Relationship Id="rId20" Type="http://schemas.openxmlformats.org/officeDocument/2006/relationships/hyperlink" Target="https://www.gov.uk/government/publications/nhs-foundation-trusts-code-of-governance" TargetMode="External"/><Relationship Id="rId41" Type="http://schemas.openxmlformats.org/officeDocument/2006/relationships/hyperlink" Target="https://www.cqc.org.uk/publications/major-report/state-care" TargetMode="External"/><Relationship Id="rId54" Type="http://schemas.openxmlformats.org/officeDocument/2006/relationships/hyperlink" Target="https://nhsproviders.org/resources/briefings/next-day-briefing-government-policy-paper-our-plan-for-patients" TargetMode="External"/><Relationship Id="rId62" Type="http://schemas.openxmlformats.org/officeDocument/2006/relationships/hyperlink" Target="https://www.nao.org.uk/reports/introducing-integrated-care-systems-joining-up-local-services-to-improve-health-outcom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age.england.nhs.uk/consultation/changes-to-the-nhs-provider-licence/?utm_campaign=1115969_Next%20day%20briefing%3A%20NHS%20England%20consultations%20on%20changes%20to%20provider%20licence%20and%20on%20revised%20NHS%20enforcement%20guidance%2C%20and%20published%20governance%20documents&amp;utm_medium=email&amp;utm_source=NHS%20Providers%20%28Policy%20and%20networks%29&amp;Organisation=Oxford%20Health%20NHS%20Foundation%20Trust&amp;dm_i=52PX,NX35,13C8U6,2W60K,1" TargetMode="External"/><Relationship Id="rId23" Type="http://schemas.openxmlformats.org/officeDocument/2006/relationships/hyperlink" Target="https://nhsproviders.org/resources/briefings/on-the-day-briefing-guidance-for-delegation-and-joint-working-arrangements" TargetMode="External"/><Relationship Id="rId28" Type="http://schemas.openxmlformats.org/officeDocument/2006/relationships/hyperlink" Target="https://www.gov.uk/government/publications/the-procurement-bill-summary-guide-to-the-provisions" TargetMode="External"/><Relationship Id="rId36" Type="http://schemas.openxmlformats.org/officeDocument/2006/relationships/hyperlink" Target="https://www.cqc.org.uk/news/independent-review-handling-protected-disclosures-announced-alongside-wider-review" TargetMode="External"/><Relationship Id="rId49" Type="http://schemas.openxmlformats.org/officeDocument/2006/relationships/hyperlink" Target="https://nhsproviders.org/rising-living-costs-the-impact-on-nhs-staff-and-patients" TargetMode="External"/><Relationship Id="rId57" Type="http://schemas.openxmlformats.org/officeDocument/2006/relationships/hyperlink" Target="https://www.cqc.org.uk/news/mental-health-act-community-treatments-orders-focused-visits-report" TargetMode="External"/><Relationship Id="rId10" Type="http://schemas.openxmlformats.org/officeDocument/2006/relationships/endnotes" Target="endnotes.xml"/><Relationship Id="rId31" Type="http://schemas.openxmlformats.org/officeDocument/2006/relationships/hyperlink" Target="https://www.cqc.org.uk/location/RPGAB" TargetMode="External"/><Relationship Id="rId44" Type="http://schemas.openxmlformats.org/officeDocument/2006/relationships/hyperlink" Target="https://www.cqc.org.uk/publications/surveys/community-mental-health-survey" TargetMode="External"/><Relationship Id="rId52" Type="http://schemas.openxmlformats.org/officeDocument/2006/relationships/hyperlink" Target="https://www.gov.uk/government/publications/our-plan-for-patients" TargetMode="External"/><Relationship Id="rId60" Type="http://schemas.openxmlformats.org/officeDocument/2006/relationships/hyperlink" Target="https://www.lexology.com/library/detail.aspx?g=974df1f8-fa1b-4b10-a86f-dcc255562d0a" TargetMode="External"/><Relationship Id="rId65" Type="http://schemas.openxmlformats.org/officeDocument/2006/relationships/hyperlink" Target="https://www.hsj.co.uk/expert-briefings/north-by-north-west-long-awaited-nhse-report-fails-to-answer-key-question/7031808.artic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sproviders.org/resources/briefings/on-the-day-briefing-nhs-englands-new-operating-framework" TargetMode="External"/><Relationship Id="rId18" Type="http://schemas.openxmlformats.org/officeDocument/2006/relationships/hyperlink" Target="https://www.england.nhs.uk/publication/guidance-on-good-governance-and-collaboration/" TargetMode="External"/><Relationship Id="rId39" Type="http://schemas.openxmlformats.org/officeDocument/2006/relationships/hyperlink" Target="https://www.england.nhs.uk/publication/report-following-the-independent-investigation-into-east-kent-maternity-and-neonatal-services/" TargetMode="External"/><Relationship Id="rId34" Type="http://schemas.openxmlformats.org/officeDocument/2006/relationships/hyperlink" Target="https://www.cqc.org.uk/press-release/university-hospitals-birmingham-nhs-foundation-trust-pays-fixed-penalties-ps8000" TargetMode="External"/><Relationship Id="rId50" Type="http://schemas.openxmlformats.org/officeDocument/2006/relationships/hyperlink" Target="https://www.nhsemployers.org/articles/good-practice-examples-support-staff-cost-living" TargetMode="External"/><Relationship Id="rId55" Type="http://schemas.openxmlformats.org/officeDocument/2006/relationships/hyperlink" Target="https://www.health.org.uk/publications/long-reads/building-an-organisational-culture-of-continuous-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2.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customXml/itemProps4.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16</Pages>
  <Words>5226</Words>
  <Characters>40348</Characters>
  <Application>Microsoft Office Word</Application>
  <DocSecurity>0</DocSecurity>
  <Lines>2882</Lines>
  <Paragraphs>843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277</cp:revision>
  <cp:lastPrinted>2014-03-17T14:55:00Z</cp:lastPrinted>
  <dcterms:created xsi:type="dcterms:W3CDTF">2022-11-26T10:40:00Z</dcterms:created>
  <dcterms:modified xsi:type="dcterms:W3CDTF">2022-11-27T23:11:00Z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