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5AFB9" w14:textId="578228D2" w:rsidR="00A07C84" w:rsidRDefault="00A07C84" w:rsidP="00A07C84">
      <w:pPr>
        <w:jc w:val="right"/>
        <w:rPr>
          <w:rFonts w:ascii="Arial" w:hAnsi="Arial" w:cs="Arial"/>
          <w:b/>
          <w:bCs/>
          <w:sz w:val="24"/>
          <w:szCs w:val="24"/>
        </w:rPr>
      </w:pPr>
      <w:r>
        <w:rPr>
          <w:rFonts w:ascii="Arial" w:hAnsi="Arial" w:cs="Arial"/>
          <w:b/>
          <w:bCs/>
          <w:noProof/>
          <w:sz w:val="24"/>
          <w:szCs w:val="24"/>
        </w:rPr>
        <w:drawing>
          <wp:inline distT="0" distB="0" distL="0" distR="0" wp14:anchorId="7FFCB94A" wp14:editId="27FE07E8">
            <wp:extent cx="1548765" cy="8045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765" cy="804545"/>
                    </a:xfrm>
                    <a:prstGeom prst="rect">
                      <a:avLst/>
                    </a:prstGeom>
                    <a:noFill/>
                  </pic:spPr>
                </pic:pic>
              </a:graphicData>
            </a:graphic>
          </wp:inline>
        </w:drawing>
      </w:r>
    </w:p>
    <w:p w14:paraId="4214E4BF" w14:textId="77777777" w:rsidR="002A7846" w:rsidRPr="0093597C" w:rsidRDefault="002A7846" w:rsidP="002A7846">
      <w:pPr>
        <w:ind w:right="17"/>
        <w:jc w:val="center"/>
        <w:outlineLvl w:val="0"/>
        <w:rPr>
          <w:rFonts w:ascii="Segoe UI" w:hAnsi="Segoe UI" w:cs="Segoe UI"/>
          <w:b/>
          <w:bCs/>
          <w:sz w:val="28"/>
          <w:szCs w:val="28"/>
        </w:rPr>
      </w:pPr>
    </w:p>
    <w:p w14:paraId="5660A049" w14:textId="77777777" w:rsidR="00E25A8B" w:rsidRPr="0093597C" w:rsidRDefault="00475878" w:rsidP="002A7846">
      <w:pPr>
        <w:ind w:right="17"/>
        <w:jc w:val="center"/>
        <w:outlineLvl w:val="0"/>
        <w:rPr>
          <w:rFonts w:ascii="Segoe UI" w:hAnsi="Segoe UI" w:cs="Segoe UI"/>
          <w:b/>
          <w:bCs/>
          <w:sz w:val="28"/>
          <w:szCs w:val="28"/>
        </w:rPr>
      </w:pPr>
      <w:r w:rsidRPr="0093597C">
        <w:rPr>
          <w:rFonts w:ascii="Segoe UI" w:hAnsi="Segoe UI" w:cs="Segoe UI"/>
          <w:b/>
          <w:bCs/>
          <w:sz w:val="28"/>
          <w:szCs w:val="28"/>
        </w:rPr>
        <w:t xml:space="preserve">Report to </w:t>
      </w:r>
      <w:r w:rsidR="00E25A8B" w:rsidRPr="0093597C">
        <w:rPr>
          <w:rFonts w:ascii="Segoe UI" w:hAnsi="Segoe UI" w:cs="Segoe UI"/>
          <w:b/>
          <w:bCs/>
          <w:sz w:val="28"/>
          <w:szCs w:val="28"/>
        </w:rPr>
        <w:t xml:space="preserve">the </w:t>
      </w:r>
      <w:r w:rsidR="002A7846" w:rsidRPr="0093597C">
        <w:rPr>
          <w:rFonts w:ascii="Segoe UI" w:hAnsi="Segoe UI" w:cs="Segoe UI"/>
          <w:b/>
          <w:bCs/>
          <w:sz w:val="28"/>
          <w:szCs w:val="28"/>
        </w:rPr>
        <w:t xml:space="preserve">Annual Members’ Meeting </w:t>
      </w:r>
    </w:p>
    <w:p w14:paraId="4FDAA272" w14:textId="77777777" w:rsidR="00E25A8B" w:rsidRPr="0093597C" w:rsidRDefault="002A7846" w:rsidP="00E25A8B">
      <w:pPr>
        <w:ind w:right="17"/>
        <w:jc w:val="center"/>
        <w:rPr>
          <w:rFonts w:ascii="Segoe UI" w:hAnsi="Segoe UI" w:cs="Segoe UI"/>
          <w:b/>
          <w:bCs/>
          <w:sz w:val="28"/>
          <w:szCs w:val="28"/>
        </w:rPr>
      </w:pPr>
      <w:r w:rsidRPr="0093597C">
        <w:rPr>
          <w:rFonts w:ascii="Segoe UI" w:hAnsi="Segoe UI" w:cs="Segoe UI"/>
          <w:b/>
          <w:bCs/>
          <w:sz w:val="28"/>
          <w:szCs w:val="28"/>
        </w:rPr>
        <w:t>&amp; Annual General Meeting (AMM &amp; AGM)</w:t>
      </w:r>
      <w:r w:rsidR="00E25A8B" w:rsidRPr="0093597C">
        <w:rPr>
          <w:rFonts w:ascii="Segoe UI" w:hAnsi="Segoe UI" w:cs="Segoe UI"/>
          <w:b/>
          <w:bCs/>
          <w:sz w:val="28"/>
          <w:szCs w:val="28"/>
        </w:rPr>
        <w:t xml:space="preserve"> </w:t>
      </w:r>
    </w:p>
    <w:p w14:paraId="250CE967" w14:textId="5CC73B7B" w:rsidR="002A7846" w:rsidRPr="0093597C" w:rsidRDefault="00E25A8B" w:rsidP="00E25A8B">
      <w:pPr>
        <w:ind w:right="17"/>
        <w:jc w:val="center"/>
        <w:rPr>
          <w:rFonts w:ascii="Segoe UI" w:hAnsi="Segoe UI" w:cs="Segoe UI"/>
          <w:b/>
          <w:bCs/>
          <w:sz w:val="28"/>
          <w:szCs w:val="28"/>
        </w:rPr>
      </w:pPr>
      <w:r w:rsidRPr="0093597C">
        <w:rPr>
          <w:rFonts w:ascii="Segoe UI" w:hAnsi="Segoe UI" w:cs="Segoe UI"/>
          <w:b/>
          <w:bCs/>
          <w:sz w:val="28"/>
          <w:szCs w:val="28"/>
        </w:rPr>
        <w:t xml:space="preserve">of </w:t>
      </w:r>
      <w:r w:rsidRPr="0093597C">
        <w:rPr>
          <w:rFonts w:ascii="Segoe UI" w:hAnsi="Segoe UI" w:cs="Segoe UI"/>
          <w:b/>
          <w:bCs/>
          <w:noProof/>
          <w:sz w:val="28"/>
          <w:szCs w:val="28"/>
          <w:lang w:val="en-US" w:eastAsia="zh-TW"/>
        </w:rPr>
        <w:t>Oxford Health</w:t>
      </w:r>
      <w:r w:rsidRPr="0093597C">
        <w:rPr>
          <w:rFonts w:ascii="Segoe UI" w:hAnsi="Segoe UI" w:cs="Segoe UI"/>
          <w:b/>
          <w:sz w:val="28"/>
          <w:szCs w:val="28"/>
        </w:rPr>
        <w:t xml:space="preserve"> NHS Foundation Trust</w:t>
      </w:r>
    </w:p>
    <w:p w14:paraId="6241B905" w14:textId="77777777" w:rsidR="00E25A8B" w:rsidRPr="00E25A8B" w:rsidRDefault="00E25A8B" w:rsidP="00E25A8B">
      <w:pPr>
        <w:ind w:right="17"/>
        <w:jc w:val="center"/>
        <w:rPr>
          <w:rFonts w:ascii="Segoe UI" w:hAnsi="Segoe UI" w:cs="Segoe UI"/>
          <w:b/>
          <w:bCs/>
          <w:sz w:val="28"/>
          <w:szCs w:val="28"/>
          <w:u w:val="single"/>
        </w:rPr>
      </w:pPr>
    </w:p>
    <w:p w14:paraId="1A41CF58" w14:textId="020A7E31" w:rsidR="002A7846" w:rsidRDefault="002A7846" w:rsidP="002A7846">
      <w:pPr>
        <w:pStyle w:val="BodyText3"/>
        <w:outlineLvl w:val="0"/>
        <w:rPr>
          <w:rFonts w:ascii="Segoe UI" w:hAnsi="Segoe UI" w:cs="Segoe UI"/>
        </w:rPr>
      </w:pPr>
      <w:r>
        <w:rPr>
          <w:rFonts w:ascii="Segoe UI" w:hAnsi="Segoe UI" w:cs="Segoe UI"/>
        </w:rPr>
        <w:t xml:space="preserve">22 </w:t>
      </w:r>
      <w:r w:rsidRPr="0031098C">
        <w:rPr>
          <w:rFonts w:ascii="Segoe UI" w:hAnsi="Segoe UI" w:cs="Segoe UI"/>
        </w:rPr>
        <w:t>September 20</w:t>
      </w:r>
      <w:r>
        <w:rPr>
          <w:rFonts w:ascii="Segoe UI" w:hAnsi="Segoe UI" w:cs="Segoe UI"/>
        </w:rPr>
        <w:t>21</w:t>
      </w:r>
      <w:r w:rsidRPr="0031098C">
        <w:rPr>
          <w:rFonts w:ascii="Segoe UI" w:hAnsi="Segoe UI" w:cs="Segoe UI"/>
        </w:rPr>
        <w:t xml:space="preserve"> </w:t>
      </w:r>
    </w:p>
    <w:p w14:paraId="6797D76B" w14:textId="473017DD" w:rsidR="003D1122" w:rsidRDefault="003D1122" w:rsidP="002A7846">
      <w:pPr>
        <w:pStyle w:val="BodyText3"/>
        <w:outlineLvl w:val="0"/>
        <w:rPr>
          <w:rFonts w:ascii="Segoe UI" w:hAnsi="Segoe UI" w:cs="Segoe UI"/>
        </w:rPr>
      </w:pPr>
    </w:p>
    <w:p w14:paraId="4B59E727" w14:textId="77777777" w:rsidR="0093597C" w:rsidRDefault="0093597C" w:rsidP="002A7846">
      <w:pPr>
        <w:pStyle w:val="BodyText3"/>
        <w:outlineLvl w:val="0"/>
        <w:rPr>
          <w:rFonts w:ascii="Segoe UI" w:hAnsi="Segoe UI" w:cs="Segoe UI"/>
        </w:rPr>
      </w:pPr>
      <w:r>
        <w:rPr>
          <w:rFonts w:ascii="Segoe UI" w:hAnsi="Segoe UI" w:cs="Segoe UI"/>
        </w:rPr>
        <w:t xml:space="preserve">Approval of Changes to the Constitution </w:t>
      </w:r>
    </w:p>
    <w:p w14:paraId="1B104AA9" w14:textId="7C9E2D69" w:rsidR="003D1122" w:rsidRDefault="0093597C" w:rsidP="002A7846">
      <w:pPr>
        <w:pStyle w:val="BodyText3"/>
        <w:outlineLvl w:val="0"/>
        <w:rPr>
          <w:rFonts w:ascii="Segoe UI" w:hAnsi="Segoe UI" w:cs="Segoe UI"/>
        </w:rPr>
      </w:pPr>
      <w:r>
        <w:rPr>
          <w:rFonts w:ascii="Segoe UI" w:hAnsi="Segoe UI" w:cs="Segoe UI"/>
        </w:rPr>
        <w:t xml:space="preserve"> Lead Governor’s report </w:t>
      </w:r>
    </w:p>
    <w:p w14:paraId="23830D41" w14:textId="77777777" w:rsidR="00A07C84" w:rsidRDefault="00A07C84" w:rsidP="008D52F5">
      <w:pPr>
        <w:jc w:val="both"/>
        <w:rPr>
          <w:rFonts w:ascii="Arial" w:hAnsi="Arial" w:cs="Arial"/>
          <w:b/>
          <w:bCs/>
          <w:sz w:val="24"/>
          <w:szCs w:val="24"/>
        </w:rPr>
      </w:pPr>
    </w:p>
    <w:p w14:paraId="211DC454" w14:textId="56EB7F64" w:rsidR="00FC5DEB" w:rsidRPr="00387ADC" w:rsidRDefault="00FC5DEB" w:rsidP="008D52F5">
      <w:pPr>
        <w:jc w:val="both"/>
        <w:rPr>
          <w:rFonts w:ascii="Arial" w:hAnsi="Arial" w:cs="Arial"/>
          <w:b/>
          <w:bCs/>
          <w:sz w:val="24"/>
          <w:szCs w:val="24"/>
        </w:rPr>
      </w:pPr>
      <w:r w:rsidRPr="00387ADC">
        <w:rPr>
          <w:rFonts w:ascii="Arial" w:hAnsi="Arial" w:cs="Arial"/>
          <w:b/>
          <w:bCs/>
          <w:sz w:val="24"/>
          <w:szCs w:val="24"/>
        </w:rPr>
        <w:t>Background</w:t>
      </w:r>
    </w:p>
    <w:p w14:paraId="5FB456D4" w14:textId="4E321606" w:rsidR="008B1BE0" w:rsidRPr="001361EB" w:rsidRDefault="008B1BE0" w:rsidP="008D52F5">
      <w:pPr>
        <w:jc w:val="both"/>
        <w:rPr>
          <w:rFonts w:ascii="Arial" w:hAnsi="Arial" w:cs="Arial"/>
        </w:rPr>
      </w:pPr>
      <w:r w:rsidRPr="00521EC4">
        <w:rPr>
          <w:rFonts w:ascii="Arial" w:hAnsi="Arial" w:cs="Arial"/>
        </w:rPr>
        <w:t xml:space="preserve">The Constitution represents the </w:t>
      </w:r>
      <w:r>
        <w:rPr>
          <w:rFonts w:ascii="Arial" w:hAnsi="Arial" w:cs="Arial"/>
        </w:rPr>
        <w:t>c</w:t>
      </w:r>
      <w:r w:rsidRPr="00521EC4">
        <w:rPr>
          <w:rFonts w:ascii="Arial" w:hAnsi="Arial" w:cs="Arial"/>
        </w:rPr>
        <w:t>onstitution of Oxford Health NHS Foundation Trust and sets out the powers and functions of the Trust</w:t>
      </w:r>
      <w:r w:rsidR="000301AE">
        <w:rPr>
          <w:rFonts w:ascii="Arial" w:hAnsi="Arial" w:cs="Arial"/>
        </w:rPr>
        <w:t xml:space="preserve"> and how its governance operates</w:t>
      </w:r>
      <w:r w:rsidRPr="00521EC4">
        <w:rPr>
          <w:rFonts w:ascii="Arial" w:hAnsi="Arial" w:cs="Arial"/>
        </w:rPr>
        <w:t xml:space="preserve">.  </w:t>
      </w:r>
    </w:p>
    <w:p w14:paraId="434F0C03" w14:textId="77CF3026" w:rsidR="008B1BE0" w:rsidRDefault="00B24110" w:rsidP="008D52F5">
      <w:pPr>
        <w:jc w:val="both"/>
        <w:rPr>
          <w:rFonts w:ascii="Arial" w:hAnsi="Arial" w:cs="Arial"/>
        </w:rPr>
      </w:pPr>
      <w:r w:rsidRPr="00B24110">
        <w:rPr>
          <w:rFonts w:ascii="Arial" w:hAnsi="Arial" w:cs="Arial"/>
        </w:rPr>
        <w:t xml:space="preserve">Changes to the </w:t>
      </w:r>
      <w:r>
        <w:rPr>
          <w:rFonts w:ascii="Arial" w:hAnsi="Arial" w:cs="Arial"/>
        </w:rPr>
        <w:t>T</w:t>
      </w:r>
      <w:r w:rsidRPr="00B24110">
        <w:rPr>
          <w:rFonts w:ascii="Arial" w:hAnsi="Arial" w:cs="Arial"/>
        </w:rPr>
        <w:t xml:space="preserve">rust’s constitution can take effect only if the amendments are approved by both: </w:t>
      </w:r>
      <w:proofErr w:type="spellStart"/>
      <w:r w:rsidRPr="00B24110">
        <w:rPr>
          <w:rFonts w:ascii="Arial" w:hAnsi="Arial" w:cs="Arial"/>
        </w:rPr>
        <w:t>i</w:t>
      </w:r>
      <w:proofErr w:type="spellEnd"/>
      <w:r w:rsidRPr="00B24110">
        <w:rPr>
          <w:rFonts w:ascii="Arial" w:hAnsi="Arial" w:cs="Arial"/>
        </w:rPr>
        <w:t xml:space="preserve">) more than half of the members of the </w:t>
      </w:r>
      <w:r w:rsidR="008E55D3">
        <w:rPr>
          <w:rFonts w:ascii="Arial" w:hAnsi="Arial" w:cs="Arial"/>
        </w:rPr>
        <w:t>B</w:t>
      </w:r>
      <w:r w:rsidRPr="00B24110">
        <w:rPr>
          <w:rFonts w:ascii="Arial" w:hAnsi="Arial" w:cs="Arial"/>
        </w:rPr>
        <w:t xml:space="preserve">oard of </w:t>
      </w:r>
      <w:r w:rsidR="008E55D3">
        <w:rPr>
          <w:rFonts w:ascii="Arial" w:hAnsi="Arial" w:cs="Arial"/>
        </w:rPr>
        <w:t>D</w:t>
      </w:r>
      <w:r w:rsidRPr="00B24110">
        <w:rPr>
          <w:rFonts w:ascii="Arial" w:hAnsi="Arial" w:cs="Arial"/>
        </w:rPr>
        <w:t xml:space="preserve">irectors of the trust voting; and ii) more than half of the members of the </w:t>
      </w:r>
      <w:r w:rsidR="008E55D3">
        <w:rPr>
          <w:rFonts w:ascii="Arial" w:hAnsi="Arial" w:cs="Arial"/>
        </w:rPr>
        <w:t>C</w:t>
      </w:r>
      <w:r w:rsidRPr="00B24110">
        <w:rPr>
          <w:rFonts w:ascii="Arial" w:hAnsi="Arial" w:cs="Arial"/>
        </w:rPr>
        <w:t xml:space="preserve">ouncil of </w:t>
      </w:r>
      <w:r w:rsidR="008E55D3">
        <w:rPr>
          <w:rFonts w:ascii="Arial" w:hAnsi="Arial" w:cs="Arial"/>
        </w:rPr>
        <w:t>G</w:t>
      </w:r>
      <w:r w:rsidRPr="00B24110">
        <w:rPr>
          <w:rFonts w:ascii="Arial" w:hAnsi="Arial" w:cs="Arial"/>
        </w:rPr>
        <w:t xml:space="preserve">overnors of the </w:t>
      </w:r>
      <w:r w:rsidR="008E55D3">
        <w:rPr>
          <w:rFonts w:ascii="Arial" w:hAnsi="Arial" w:cs="Arial"/>
        </w:rPr>
        <w:t>T</w:t>
      </w:r>
      <w:r w:rsidRPr="00B24110">
        <w:rPr>
          <w:rFonts w:ascii="Arial" w:hAnsi="Arial" w:cs="Arial"/>
        </w:rPr>
        <w:t>rust voting.</w:t>
      </w:r>
    </w:p>
    <w:p w14:paraId="128CFFC0" w14:textId="25D3DD30" w:rsidR="00727378" w:rsidRPr="00727378" w:rsidRDefault="00727378" w:rsidP="008D52F5">
      <w:pPr>
        <w:jc w:val="both"/>
        <w:rPr>
          <w:rFonts w:ascii="Arial" w:hAnsi="Arial" w:cs="Arial"/>
        </w:rPr>
      </w:pPr>
      <w:r w:rsidRPr="00727378">
        <w:rPr>
          <w:rFonts w:ascii="Arial" w:hAnsi="Arial" w:cs="Arial"/>
        </w:rPr>
        <w:t>Where there ha</w:t>
      </w:r>
      <w:r>
        <w:rPr>
          <w:rFonts w:ascii="Arial" w:hAnsi="Arial" w:cs="Arial"/>
        </w:rPr>
        <w:t>ve</w:t>
      </w:r>
      <w:r w:rsidRPr="00727378">
        <w:rPr>
          <w:rFonts w:ascii="Arial" w:hAnsi="Arial" w:cs="Arial"/>
        </w:rPr>
        <w:t xml:space="preserve"> been amendment</w:t>
      </w:r>
      <w:r>
        <w:rPr>
          <w:rFonts w:ascii="Arial" w:hAnsi="Arial" w:cs="Arial"/>
        </w:rPr>
        <w:t>s</w:t>
      </w:r>
      <w:r w:rsidRPr="00727378">
        <w:rPr>
          <w:rFonts w:ascii="Arial" w:hAnsi="Arial" w:cs="Arial"/>
        </w:rPr>
        <w:t xml:space="preserve"> to the </w:t>
      </w:r>
      <w:r>
        <w:rPr>
          <w:rFonts w:ascii="Arial" w:hAnsi="Arial" w:cs="Arial"/>
        </w:rPr>
        <w:t>C</w:t>
      </w:r>
      <w:r w:rsidRPr="00727378">
        <w:rPr>
          <w:rFonts w:ascii="Arial" w:hAnsi="Arial" w:cs="Arial"/>
        </w:rPr>
        <w:t xml:space="preserve">onstitution which relate to the powers, </w:t>
      </w:r>
      <w:proofErr w:type="gramStart"/>
      <w:r w:rsidRPr="00727378">
        <w:rPr>
          <w:rFonts w:ascii="Arial" w:hAnsi="Arial" w:cs="Arial"/>
        </w:rPr>
        <w:t>duties</w:t>
      </w:r>
      <w:proofErr w:type="gramEnd"/>
      <w:r w:rsidRPr="00727378">
        <w:rPr>
          <w:rFonts w:ascii="Arial" w:hAnsi="Arial" w:cs="Arial"/>
        </w:rPr>
        <w:t xml:space="preserve"> or roles of the </w:t>
      </w:r>
      <w:r w:rsidR="0037543B">
        <w:rPr>
          <w:rFonts w:ascii="Arial" w:hAnsi="Arial" w:cs="Arial"/>
        </w:rPr>
        <w:t>C</w:t>
      </w:r>
      <w:r w:rsidRPr="00727378">
        <w:rPr>
          <w:rFonts w:ascii="Arial" w:hAnsi="Arial" w:cs="Arial"/>
        </w:rPr>
        <w:t xml:space="preserve">ouncil of </w:t>
      </w:r>
      <w:r w:rsidR="0037543B">
        <w:rPr>
          <w:rFonts w:ascii="Arial" w:hAnsi="Arial" w:cs="Arial"/>
        </w:rPr>
        <w:t>G</w:t>
      </w:r>
      <w:r w:rsidRPr="00727378">
        <w:rPr>
          <w:rFonts w:ascii="Arial" w:hAnsi="Arial" w:cs="Arial"/>
        </w:rPr>
        <w:t>overnors, at least one governor must attend the next annual members’ meeting and present the amendment to members. Members have the right to vote on and veto these types of constitutional amendments.</w:t>
      </w:r>
    </w:p>
    <w:p w14:paraId="6AE963D4" w14:textId="297CF1A9" w:rsidR="00FC5DEB" w:rsidRPr="008D52F5" w:rsidRDefault="0037543B" w:rsidP="008D52F5">
      <w:pPr>
        <w:jc w:val="both"/>
        <w:rPr>
          <w:rFonts w:ascii="Arial" w:hAnsi="Arial" w:cs="Arial"/>
        </w:rPr>
      </w:pPr>
      <w:r w:rsidRPr="004C6EAC">
        <w:rPr>
          <w:rFonts w:ascii="Arial" w:hAnsi="Arial" w:cs="Arial"/>
        </w:rPr>
        <w:t xml:space="preserve">The purpose </w:t>
      </w:r>
      <w:r w:rsidR="007B07C1" w:rsidRPr="004C6EAC">
        <w:rPr>
          <w:rFonts w:ascii="Arial" w:hAnsi="Arial" w:cs="Arial"/>
        </w:rPr>
        <w:t>o</w:t>
      </w:r>
      <w:r w:rsidRPr="004C6EAC">
        <w:rPr>
          <w:rFonts w:ascii="Arial" w:hAnsi="Arial" w:cs="Arial"/>
        </w:rPr>
        <w:t>f this report is to present</w:t>
      </w:r>
      <w:r w:rsidR="007B07C1" w:rsidRPr="004C6EAC">
        <w:rPr>
          <w:rFonts w:ascii="Arial" w:hAnsi="Arial" w:cs="Arial"/>
        </w:rPr>
        <w:t xml:space="preserve"> to the Members, </w:t>
      </w:r>
      <w:r w:rsidR="007B07C1" w:rsidRPr="00407A26">
        <w:rPr>
          <w:rFonts w:ascii="Arial" w:hAnsi="Arial" w:cs="Arial"/>
          <w:b/>
          <w:bCs/>
        </w:rPr>
        <w:t>for approval</w:t>
      </w:r>
      <w:r w:rsidR="007B07C1" w:rsidRPr="004C6EAC">
        <w:rPr>
          <w:rFonts w:ascii="Arial" w:hAnsi="Arial" w:cs="Arial"/>
        </w:rPr>
        <w:t xml:space="preserve">, recent amendments to the Constitution, which were </w:t>
      </w:r>
      <w:r w:rsidR="004C6EAC" w:rsidRPr="004C6EAC">
        <w:rPr>
          <w:rFonts w:ascii="Arial" w:hAnsi="Arial" w:cs="Arial"/>
        </w:rPr>
        <w:t xml:space="preserve">approved at a meeting of the Council of Governors on </w:t>
      </w:r>
      <w:r w:rsidR="00A03AF7">
        <w:rPr>
          <w:rFonts w:ascii="Arial" w:hAnsi="Arial" w:cs="Arial"/>
        </w:rPr>
        <w:t>18</w:t>
      </w:r>
      <w:r w:rsidR="00E97B45">
        <w:rPr>
          <w:rFonts w:ascii="Arial" w:hAnsi="Arial" w:cs="Arial"/>
        </w:rPr>
        <w:t xml:space="preserve"> </w:t>
      </w:r>
      <w:r w:rsidR="004C6EAC" w:rsidRPr="004C6EAC">
        <w:rPr>
          <w:rFonts w:ascii="Arial" w:hAnsi="Arial" w:cs="Arial"/>
        </w:rPr>
        <w:t xml:space="preserve">November 2020 and in a meeting of the Board on </w:t>
      </w:r>
      <w:r w:rsidR="00E97B45">
        <w:rPr>
          <w:rFonts w:ascii="Arial" w:hAnsi="Arial" w:cs="Arial"/>
        </w:rPr>
        <w:t>27</w:t>
      </w:r>
      <w:r w:rsidR="004C6EAC" w:rsidRPr="004C6EAC">
        <w:rPr>
          <w:rFonts w:ascii="Arial" w:hAnsi="Arial" w:cs="Arial"/>
        </w:rPr>
        <w:t xml:space="preserve"> January 2021.</w:t>
      </w:r>
    </w:p>
    <w:p w14:paraId="780A99D4" w14:textId="2D18D3CF" w:rsidR="00521EC4" w:rsidRPr="00387ADC" w:rsidRDefault="00B5461F" w:rsidP="008D52F5">
      <w:pPr>
        <w:jc w:val="both"/>
        <w:rPr>
          <w:rFonts w:ascii="Arial" w:hAnsi="Arial" w:cs="Arial"/>
          <w:b/>
          <w:bCs/>
          <w:sz w:val="24"/>
          <w:szCs w:val="24"/>
        </w:rPr>
      </w:pPr>
      <w:r w:rsidRPr="00387ADC">
        <w:rPr>
          <w:rFonts w:ascii="Arial" w:hAnsi="Arial" w:cs="Arial"/>
          <w:b/>
          <w:bCs/>
          <w:sz w:val="24"/>
          <w:szCs w:val="24"/>
        </w:rPr>
        <w:t>Amendments</w:t>
      </w:r>
      <w:r w:rsidR="00521EC4" w:rsidRPr="00387ADC">
        <w:rPr>
          <w:rFonts w:ascii="Arial" w:hAnsi="Arial" w:cs="Arial"/>
          <w:b/>
          <w:bCs/>
          <w:sz w:val="24"/>
          <w:szCs w:val="24"/>
        </w:rPr>
        <w:t xml:space="preserve"> to the Constitution</w:t>
      </w:r>
    </w:p>
    <w:p w14:paraId="57E3FEDA" w14:textId="1A8EF083" w:rsidR="00521EC4" w:rsidRPr="001361EB" w:rsidRDefault="00521EC4" w:rsidP="008D52F5">
      <w:pPr>
        <w:jc w:val="both"/>
        <w:rPr>
          <w:rFonts w:ascii="Arial" w:hAnsi="Arial" w:cs="Arial"/>
        </w:rPr>
      </w:pPr>
      <w:proofErr w:type="gramStart"/>
      <w:r w:rsidRPr="001361EB">
        <w:rPr>
          <w:rFonts w:ascii="Arial" w:hAnsi="Arial" w:cs="Arial"/>
        </w:rPr>
        <w:t>A number of</w:t>
      </w:r>
      <w:proofErr w:type="gramEnd"/>
      <w:r w:rsidRPr="00521EC4">
        <w:rPr>
          <w:rFonts w:ascii="Arial" w:hAnsi="Arial" w:cs="Arial"/>
        </w:rPr>
        <w:t xml:space="preserve"> substantive changes to the Constitution were approved by the Council of Governors </w:t>
      </w:r>
      <w:r w:rsidR="008245A5">
        <w:rPr>
          <w:rFonts w:ascii="Arial" w:hAnsi="Arial" w:cs="Arial"/>
        </w:rPr>
        <w:t>o</w:t>
      </w:r>
      <w:r w:rsidRPr="00521EC4">
        <w:rPr>
          <w:rFonts w:ascii="Arial" w:hAnsi="Arial" w:cs="Arial"/>
        </w:rPr>
        <w:t xml:space="preserve">n </w:t>
      </w:r>
      <w:r w:rsidR="008245A5">
        <w:rPr>
          <w:rFonts w:ascii="Arial" w:hAnsi="Arial" w:cs="Arial"/>
        </w:rPr>
        <w:t xml:space="preserve">18 </w:t>
      </w:r>
      <w:r w:rsidRPr="00521EC4">
        <w:rPr>
          <w:rFonts w:ascii="Arial" w:hAnsi="Arial" w:cs="Arial"/>
        </w:rPr>
        <w:t xml:space="preserve">November 2020, and the Board </w:t>
      </w:r>
      <w:r w:rsidR="008245A5">
        <w:rPr>
          <w:rFonts w:ascii="Arial" w:hAnsi="Arial" w:cs="Arial"/>
        </w:rPr>
        <w:t>o</w:t>
      </w:r>
      <w:r w:rsidRPr="00521EC4">
        <w:rPr>
          <w:rFonts w:ascii="Arial" w:hAnsi="Arial" w:cs="Arial"/>
        </w:rPr>
        <w:t xml:space="preserve">n </w:t>
      </w:r>
      <w:r w:rsidR="008245A5">
        <w:rPr>
          <w:rFonts w:ascii="Arial" w:hAnsi="Arial" w:cs="Arial"/>
        </w:rPr>
        <w:t xml:space="preserve">27 </w:t>
      </w:r>
      <w:r w:rsidRPr="00521EC4">
        <w:rPr>
          <w:rFonts w:ascii="Arial" w:hAnsi="Arial" w:cs="Arial"/>
        </w:rPr>
        <w:t>January 2021</w:t>
      </w:r>
      <w:r w:rsidRPr="001361EB">
        <w:rPr>
          <w:rFonts w:ascii="Arial" w:hAnsi="Arial" w:cs="Arial"/>
        </w:rPr>
        <w:t xml:space="preserve">.  These changes are detailed in subsections 1 – 5 below. </w:t>
      </w:r>
    </w:p>
    <w:p w14:paraId="60B4CDF4" w14:textId="21E60467" w:rsidR="00521EC4" w:rsidRPr="001361EB" w:rsidRDefault="00521EC4" w:rsidP="008D52F5">
      <w:pPr>
        <w:jc w:val="both"/>
        <w:rPr>
          <w:rFonts w:ascii="Arial" w:hAnsi="Arial" w:cs="Arial"/>
        </w:rPr>
      </w:pPr>
      <w:r w:rsidRPr="00521EC4">
        <w:rPr>
          <w:rFonts w:ascii="Arial" w:hAnsi="Arial" w:cs="Arial"/>
        </w:rPr>
        <w:t>Various desirable housekeeping changes</w:t>
      </w:r>
      <w:r w:rsidRPr="001361EB">
        <w:rPr>
          <w:rFonts w:ascii="Arial" w:hAnsi="Arial" w:cs="Arial"/>
        </w:rPr>
        <w:t xml:space="preserve"> have also been made</w:t>
      </w:r>
      <w:r w:rsidRPr="00521EC4">
        <w:rPr>
          <w:rFonts w:ascii="Arial" w:hAnsi="Arial" w:cs="Arial"/>
        </w:rPr>
        <w:t xml:space="preserve">, </w:t>
      </w:r>
      <w:proofErr w:type="gramStart"/>
      <w:r w:rsidRPr="00521EC4">
        <w:rPr>
          <w:rFonts w:ascii="Arial" w:hAnsi="Arial" w:cs="Arial"/>
        </w:rPr>
        <w:t>e.g.</w:t>
      </w:r>
      <w:proofErr w:type="gramEnd"/>
      <w:r w:rsidRPr="00521EC4">
        <w:rPr>
          <w:rFonts w:ascii="Arial" w:hAnsi="Arial" w:cs="Arial"/>
        </w:rPr>
        <w:t xml:space="preserve"> </w:t>
      </w:r>
      <w:r w:rsidRPr="001361EB">
        <w:rPr>
          <w:rFonts w:ascii="Arial" w:hAnsi="Arial" w:cs="Arial"/>
        </w:rPr>
        <w:t xml:space="preserve">correcting </w:t>
      </w:r>
      <w:r w:rsidRPr="00521EC4">
        <w:rPr>
          <w:rFonts w:ascii="Arial" w:hAnsi="Arial" w:cs="Arial"/>
        </w:rPr>
        <w:t xml:space="preserve">typos, updates to reflect changes to </w:t>
      </w:r>
      <w:r w:rsidRPr="001361EB">
        <w:rPr>
          <w:rFonts w:ascii="Arial" w:hAnsi="Arial" w:cs="Arial"/>
        </w:rPr>
        <w:t xml:space="preserve">senior managers’ </w:t>
      </w:r>
      <w:r w:rsidRPr="00521EC4">
        <w:rPr>
          <w:rFonts w:ascii="Arial" w:hAnsi="Arial" w:cs="Arial"/>
        </w:rPr>
        <w:t>job</w:t>
      </w:r>
      <w:r w:rsidRPr="001361EB">
        <w:rPr>
          <w:rFonts w:ascii="Arial" w:hAnsi="Arial" w:cs="Arial"/>
        </w:rPr>
        <w:t xml:space="preserve"> </w:t>
      </w:r>
      <w:r w:rsidRPr="00521EC4">
        <w:rPr>
          <w:rFonts w:ascii="Arial" w:hAnsi="Arial" w:cs="Arial"/>
        </w:rPr>
        <w:t>titles</w:t>
      </w:r>
      <w:r w:rsidRPr="001361EB">
        <w:rPr>
          <w:rFonts w:ascii="Arial" w:hAnsi="Arial" w:cs="Arial"/>
        </w:rPr>
        <w:t xml:space="preserve"> and </w:t>
      </w:r>
      <w:r w:rsidRPr="00521EC4">
        <w:rPr>
          <w:rFonts w:ascii="Arial" w:hAnsi="Arial" w:cs="Arial"/>
        </w:rPr>
        <w:t>committee names, paragraph number sequencing</w:t>
      </w:r>
      <w:r w:rsidRPr="001361EB">
        <w:rPr>
          <w:rFonts w:ascii="Arial" w:hAnsi="Arial" w:cs="Arial"/>
        </w:rPr>
        <w:t>, and</w:t>
      </w:r>
      <w:r w:rsidRPr="00521EC4">
        <w:rPr>
          <w:rFonts w:ascii="Arial" w:hAnsi="Arial" w:cs="Arial"/>
        </w:rPr>
        <w:t xml:space="preserve"> formatting.</w:t>
      </w:r>
      <w:r w:rsidR="008245A5">
        <w:rPr>
          <w:rFonts w:ascii="Arial" w:hAnsi="Arial" w:cs="Arial"/>
        </w:rPr>
        <w:t xml:space="preserve"> These do not require the approval of the Members.</w:t>
      </w:r>
    </w:p>
    <w:p w14:paraId="134E04E7" w14:textId="2D524F50" w:rsidR="001361EB" w:rsidRDefault="001361EB" w:rsidP="008D52F5">
      <w:pPr>
        <w:jc w:val="both"/>
        <w:rPr>
          <w:rFonts w:ascii="Arial" w:hAnsi="Arial" w:cs="Arial"/>
        </w:rPr>
      </w:pPr>
      <w:r w:rsidRPr="001361EB">
        <w:rPr>
          <w:rFonts w:ascii="Arial" w:hAnsi="Arial" w:cs="Arial"/>
        </w:rPr>
        <w:t xml:space="preserve">The updated Constitution (clean copy) can be found at </w:t>
      </w:r>
      <w:hyperlink r:id="rId6" w:history="1">
        <w:r w:rsidRPr="00031F75">
          <w:rPr>
            <w:rStyle w:val="Hyperlink"/>
            <w:rFonts w:ascii="Arial" w:hAnsi="Arial" w:cs="Arial"/>
          </w:rPr>
          <w:t>Appendix 1</w:t>
        </w:r>
      </w:hyperlink>
      <w:r w:rsidRPr="001361EB">
        <w:rPr>
          <w:rFonts w:ascii="Arial" w:hAnsi="Arial" w:cs="Arial"/>
        </w:rPr>
        <w:t xml:space="preserve"> to this report.  </w:t>
      </w:r>
      <w:hyperlink r:id="rId7" w:history="1">
        <w:r w:rsidRPr="00031F75">
          <w:rPr>
            <w:rStyle w:val="Hyperlink"/>
            <w:rFonts w:ascii="Arial" w:hAnsi="Arial" w:cs="Arial"/>
          </w:rPr>
          <w:t>Appendix 1A</w:t>
        </w:r>
      </w:hyperlink>
      <w:r w:rsidRPr="001361EB">
        <w:rPr>
          <w:rFonts w:ascii="Arial" w:hAnsi="Arial" w:cs="Arial"/>
        </w:rPr>
        <w:t xml:space="preserve"> is the new constitution with substantive changes highlighted.     </w:t>
      </w:r>
    </w:p>
    <w:p w14:paraId="1BB7DEA5" w14:textId="77777777" w:rsidR="00413772" w:rsidRPr="00521EC4" w:rsidRDefault="00413772" w:rsidP="008D52F5">
      <w:pPr>
        <w:jc w:val="both"/>
        <w:rPr>
          <w:rFonts w:ascii="Arial" w:hAnsi="Arial" w:cs="Arial"/>
        </w:rPr>
      </w:pPr>
    </w:p>
    <w:p w14:paraId="331EBDAD" w14:textId="77777777" w:rsidR="00521EC4" w:rsidRPr="001361EB" w:rsidRDefault="00521EC4" w:rsidP="008D52F5">
      <w:pPr>
        <w:jc w:val="both"/>
        <w:rPr>
          <w:rFonts w:ascii="Arial" w:hAnsi="Arial" w:cs="Arial"/>
          <w:i/>
          <w:iCs/>
        </w:rPr>
      </w:pPr>
      <w:r w:rsidRPr="001361EB">
        <w:rPr>
          <w:rFonts w:ascii="Arial" w:hAnsi="Arial" w:cs="Arial"/>
          <w:b/>
          <w:bCs/>
          <w:i/>
          <w:iCs/>
        </w:rPr>
        <w:lastRenderedPageBreak/>
        <w:t>1. Changes to the composition of the Council of Governors</w:t>
      </w:r>
    </w:p>
    <w:p w14:paraId="47DA9F3B" w14:textId="08511ADF" w:rsidR="00C51FA0" w:rsidRDefault="00521EC4" w:rsidP="008D52F5">
      <w:pPr>
        <w:jc w:val="both"/>
        <w:rPr>
          <w:rFonts w:ascii="Arial" w:hAnsi="Arial" w:cs="Arial"/>
        </w:rPr>
      </w:pPr>
      <w:r w:rsidRPr="00521EC4">
        <w:rPr>
          <w:rFonts w:ascii="Arial" w:hAnsi="Arial" w:cs="Arial"/>
        </w:rPr>
        <w:t xml:space="preserve">The composition Council of Governors has changed, increasing the number of service user governors </w:t>
      </w:r>
      <w:r w:rsidR="00C51FA0">
        <w:rPr>
          <w:rFonts w:ascii="Arial" w:hAnsi="Arial" w:cs="Arial"/>
        </w:rPr>
        <w:t>(from 7 to 11</w:t>
      </w:r>
      <w:proofErr w:type="gramStart"/>
      <w:r w:rsidR="00C51FA0">
        <w:rPr>
          <w:rFonts w:ascii="Arial" w:hAnsi="Arial" w:cs="Arial"/>
        </w:rPr>
        <w:t>)</w:t>
      </w:r>
      <w:proofErr w:type="gramEnd"/>
      <w:r w:rsidR="00C51FA0">
        <w:rPr>
          <w:rFonts w:ascii="Arial" w:hAnsi="Arial" w:cs="Arial"/>
        </w:rPr>
        <w:t xml:space="preserve"> </w:t>
      </w:r>
      <w:r w:rsidRPr="00521EC4">
        <w:rPr>
          <w:rFonts w:ascii="Arial" w:hAnsi="Arial" w:cs="Arial"/>
        </w:rPr>
        <w:t>and proportionately reducing the number of public governors</w:t>
      </w:r>
      <w:r w:rsidR="00C51FA0">
        <w:rPr>
          <w:rFonts w:ascii="Arial" w:hAnsi="Arial" w:cs="Arial"/>
        </w:rPr>
        <w:t xml:space="preserve"> (from 12 to 8).  The relevant part of the Constitution now reads:</w:t>
      </w:r>
    </w:p>
    <w:p w14:paraId="7A88B9AF" w14:textId="769430EB" w:rsidR="00521EC4" w:rsidRPr="00521EC4" w:rsidRDefault="00C51FA0" w:rsidP="008D52F5">
      <w:pPr>
        <w:jc w:val="both"/>
        <w:rPr>
          <w:rFonts w:ascii="Arial" w:hAnsi="Arial" w:cs="Arial"/>
        </w:rPr>
      </w:pPr>
      <w:r w:rsidRPr="001361EB">
        <w:rPr>
          <w:rFonts w:ascii="Arial" w:hAnsi="Arial" w:cs="Arial"/>
          <w:noProof/>
        </w:rPr>
        <mc:AlternateContent>
          <mc:Choice Requires="wps">
            <w:drawing>
              <wp:anchor distT="0" distB="0" distL="114300" distR="114300" simplePos="0" relativeHeight="251659264" behindDoc="0" locked="0" layoutInCell="1" allowOverlap="1" wp14:anchorId="0F3ED78D" wp14:editId="388D0D72">
                <wp:simplePos x="0" y="0"/>
                <wp:positionH relativeFrom="margin">
                  <wp:align>right</wp:align>
                </wp:positionH>
                <wp:positionV relativeFrom="paragraph">
                  <wp:posOffset>-4445</wp:posOffset>
                </wp:positionV>
                <wp:extent cx="5772150" cy="2886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72150" cy="2886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4CAB" id="Rectangle 1" o:spid="_x0000_s1026" style="position:absolute;margin-left:403.3pt;margin-top:-.35pt;width:454.5pt;height:22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" filled="f" strokecolor="#1f3763 [1604]" strokeweight="1pt">
                <w10:wrap anchorx="margin"/>
              </v:rect>
            </w:pict>
          </mc:Fallback>
        </mc:AlternateContent>
      </w:r>
      <w:r w:rsidR="001361EB">
        <w:rPr>
          <w:rFonts w:ascii="Arial" w:hAnsi="Arial" w:cs="Arial"/>
          <w:i/>
          <w:iCs/>
        </w:rPr>
        <w:t xml:space="preserve">7.1.1 </w:t>
      </w:r>
      <w:r w:rsidR="00521EC4" w:rsidRPr="00521EC4">
        <w:rPr>
          <w:rFonts w:ascii="Arial" w:hAnsi="Arial" w:cs="Arial"/>
          <w:i/>
          <w:iCs/>
        </w:rPr>
        <w:t>The Trust shall have a Council of Governors which shall consist of Elected Governors and Appointed Governors (as set out in paragraph 7.1.2).</w:t>
      </w:r>
    </w:p>
    <w:p w14:paraId="6A487225" w14:textId="77777777" w:rsidR="00521EC4" w:rsidRPr="00521EC4" w:rsidRDefault="00521EC4" w:rsidP="008D52F5">
      <w:pPr>
        <w:jc w:val="both"/>
        <w:rPr>
          <w:rFonts w:ascii="Arial" w:hAnsi="Arial" w:cs="Arial"/>
        </w:rPr>
      </w:pPr>
      <w:r w:rsidRPr="00521EC4">
        <w:rPr>
          <w:rFonts w:ascii="Arial" w:hAnsi="Arial" w:cs="Arial"/>
          <w:i/>
          <w:iCs/>
        </w:rPr>
        <w:t>7.1.2 The composition of the Council of Governors shall be:</w:t>
      </w:r>
    </w:p>
    <w:p w14:paraId="784FF424" w14:textId="47DB98D7" w:rsidR="00521EC4" w:rsidRPr="00521EC4" w:rsidRDefault="001361EB" w:rsidP="008D52F5">
      <w:pPr>
        <w:jc w:val="both"/>
        <w:rPr>
          <w:rFonts w:ascii="Arial" w:hAnsi="Arial" w:cs="Arial"/>
        </w:rPr>
      </w:pPr>
      <w:r>
        <w:rPr>
          <w:rFonts w:ascii="Arial" w:hAnsi="Arial" w:cs="Arial"/>
          <w:i/>
          <w:iCs/>
        </w:rPr>
        <w:tab/>
      </w:r>
      <w:r w:rsidR="00521EC4" w:rsidRPr="00521EC4">
        <w:rPr>
          <w:rFonts w:ascii="Arial" w:hAnsi="Arial" w:cs="Arial"/>
          <w:i/>
          <w:iCs/>
        </w:rPr>
        <w:t xml:space="preserve">7.1.2.1     twelve </w:t>
      </w:r>
      <w:r w:rsidR="00521EC4" w:rsidRPr="00521EC4">
        <w:rPr>
          <w:rFonts w:ascii="Arial" w:hAnsi="Arial" w:cs="Arial"/>
          <w:i/>
          <w:iCs/>
          <w:strike/>
        </w:rPr>
        <w:t>(12)</w:t>
      </w:r>
      <w:r w:rsidR="00521EC4" w:rsidRPr="00521EC4">
        <w:rPr>
          <w:rFonts w:ascii="Arial" w:hAnsi="Arial" w:cs="Arial"/>
          <w:i/>
          <w:iCs/>
        </w:rPr>
        <w:t xml:space="preserve"> </w:t>
      </w:r>
      <w:r w:rsidR="00521EC4" w:rsidRPr="00521EC4">
        <w:rPr>
          <w:rFonts w:ascii="Arial" w:hAnsi="Arial" w:cs="Arial"/>
          <w:i/>
          <w:iCs/>
          <w:highlight w:val="yellow"/>
        </w:rPr>
        <w:t>(8)</w:t>
      </w:r>
      <w:r w:rsidR="00521EC4" w:rsidRPr="00521EC4">
        <w:rPr>
          <w:rFonts w:ascii="Arial" w:hAnsi="Arial" w:cs="Arial"/>
          <w:i/>
          <w:iCs/>
        </w:rPr>
        <w:t xml:space="preserve"> Public Governors representing the Public Constituency </w:t>
      </w:r>
      <w:r>
        <w:rPr>
          <w:rFonts w:ascii="Arial" w:hAnsi="Arial" w:cs="Arial"/>
          <w:i/>
          <w:iCs/>
        </w:rPr>
        <w:tab/>
      </w:r>
      <w:r w:rsidR="00521EC4" w:rsidRPr="00521EC4">
        <w:rPr>
          <w:rFonts w:ascii="Arial" w:hAnsi="Arial" w:cs="Arial"/>
          <w:i/>
          <w:iCs/>
        </w:rPr>
        <w:t xml:space="preserve">Classes as set out in Annex </w:t>
      </w:r>
      <w:proofErr w:type="gramStart"/>
      <w:r w:rsidR="00521EC4" w:rsidRPr="00521EC4">
        <w:rPr>
          <w:rFonts w:ascii="Arial" w:hAnsi="Arial" w:cs="Arial"/>
          <w:i/>
          <w:iCs/>
        </w:rPr>
        <w:t>1;</w:t>
      </w:r>
      <w:proofErr w:type="gramEnd"/>
    </w:p>
    <w:p w14:paraId="2E560F34" w14:textId="1EF4CC5D" w:rsidR="00521EC4" w:rsidRPr="00521EC4" w:rsidRDefault="001361EB" w:rsidP="008D52F5">
      <w:pPr>
        <w:jc w:val="both"/>
        <w:rPr>
          <w:rFonts w:ascii="Arial" w:hAnsi="Arial" w:cs="Arial"/>
        </w:rPr>
      </w:pPr>
      <w:r>
        <w:rPr>
          <w:rFonts w:ascii="Arial" w:hAnsi="Arial" w:cs="Arial"/>
          <w:i/>
          <w:iCs/>
        </w:rPr>
        <w:tab/>
      </w:r>
      <w:r w:rsidR="00521EC4" w:rsidRPr="00521EC4">
        <w:rPr>
          <w:rFonts w:ascii="Arial" w:hAnsi="Arial" w:cs="Arial"/>
          <w:i/>
          <w:iCs/>
        </w:rPr>
        <w:t xml:space="preserve">7.1.2.2     nine (9) </w:t>
      </w:r>
      <w:r w:rsidR="00521EC4" w:rsidRPr="00521EC4">
        <w:rPr>
          <w:rFonts w:ascii="Arial" w:hAnsi="Arial" w:cs="Arial"/>
          <w:i/>
          <w:iCs/>
          <w:strike/>
        </w:rPr>
        <w:t>or ten (10)</w:t>
      </w:r>
      <w:r w:rsidR="00521EC4" w:rsidRPr="00521EC4">
        <w:rPr>
          <w:rFonts w:ascii="Arial" w:hAnsi="Arial" w:cs="Arial"/>
          <w:i/>
          <w:iCs/>
        </w:rPr>
        <w:t xml:space="preserve"> Staff Governors representing the Staff Classes as set </w:t>
      </w:r>
      <w:r>
        <w:rPr>
          <w:rFonts w:ascii="Arial" w:hAnsi="Arial" w:cs="Arial"/>
          <w:i/>
          <w:iCs/>
        </w:rPr>
        <w:tab/>
      </w:r>
      <w:r w:rsidR="00521EC4" w:rsidRPr="00521EC4">
        <w:rPr>
          <w:rFonts w:ascii="Arial" w:hAnsi="Arial" w:cs="Arial"/>
          <w:i/>
          <w:iCs/>
        </w:rPr>
        <w:t xml:space="preserve">out in Annex </w:t>
      </w:r>
      <w:proofErr w:type="gramStart"/>
      <w:r w:rsidR="00521EC4" w:rsidRPr="00521EC4">
        <w:rPr>
          <w:rFonts w:ascii="Arial" w:hAnsi="Arial" w:cs="Arial"/>
          <w:i/>
          <w:iCs/>
        </w:rPr>
        <w:t>2;</w:t>
      </w:r>
      <w:proofErr w:type="gramEnd"/>
    </w:p>
    <w:p w14:paraId="3691F6C3" w14:textId="25C333A2" w:rsidR="00521EC4" w:rsidRPr="00521EC4" w:rsidRDefault="001361EB" w:rsidP="008D52F5">
      <w:pPr>
        <w:jc w:val="both"/>
        <w:rPr>
          <w:rFonts w:ascii="Arial" w:hAnsi="Arial" w:cs="Arial"/>
        </w:rPr>
      </w:pPr>
      <w:r>
        <w:rPr>
          <w:rFonts w:ascii="Arial" w:hAnsi="Arial" w:cs="Arial"/>
          <w:i/>
          <w:iCs/>
        </w:rPr>
        <w:tab/>
      </w:r>
      <w:r w:rsidR="00521EC4" w:rsidRPr="00521EC4">
        <w:rPr>
          <w:rFonts w:ascii="Arial" w:hAnsi="Arial" w:cs="Arial"/>
          <w:i/>
          <w:iCs/>
        </w:rPr>
        <w:t xml:space="preserve">7.1.2.3    seven </w:t>
      </w:r>
      <w:r w:rsidR="00521EC4" w:rsidRPr="00521EC4">
        <w:rPr>
          <w:rFonts w:ascii="Arial" w:hAnsi="Arial" w:cs="Arial"/>
          <w:i/>
          <w:iCs/>
          <w:strike/>
        </w:rPr>
        <w:t>(7)</w:t>
      </w:r>
      <w:r w:rsidR="00521EC4" w:rsidRPr="00521EC4">
        <w:rPr>
          <w:rFonts w:ascii="Arial" w:hAnsi="Arial" w:cs="Arial"/>
          <w:i/>
          <w:iCs/>
        </w:rPr>
        <w:t xml:space="preserve"> </w:t>
      </w:r>
      <w:r w:rsidR="00521EC4" w:rsidRPr="00521EC4">
        <w:rPr>
          <w:rFonts w:ascii="Arial" w:hAnsi="Arial" w:cs="Arial"/>
          <w:i/>
          <w:iCs/>
          <w:highlight w:val="yellow"/>
        </w:rPr>
        <w:t>(11)</w:t>
      </w:r>
      <w:r w:rsidR="00521EC4" w:rsidRPr="00521EC4">
        <w:rPr>
          <w:rFonts w:ascii="Arial" w:hAnsi="Arial" w:cs="Arial"/>
          <w:i/>
          <w:iCs/>
        </w:rPr>
        <w:t xml:space="preserve"> Patient Governors representing the Patient Classes as set </w:t>
      </w:r>
      <w:r>
        <w:rPr>
          <w:rFonts w:ascii="Arial" w:hAnsi="Arial" w:cs="Arial"/>
          <w:i/>
          <w:iCs/>
        </w:rPr>
        <w:tab/>
      </w:r>
      <w:r w:rsidR="00521EC4" w:rsidRPr="00521EC4">
        <w:rPr>
          <w:rFonts w:ascii="Arial" w:hAnsi="Arial" w:cs="Arial"/>
          <w:i/>
          <w:iCs/>
        </w:rPr>
        <w:t xml:space="preserve">out in Annex </w:t>
      </w:r>
      <w:proofErr w:type="gramStart"/>
      <w:r w:rsidR="00521EC4" w:rsidRPr="00521EC4">
        <w:rPr>
          <w:rFonts w:ascii="Arial" w:hAnsi="Arial" w:cs="Arial"/>
          <w:i/>
          <w:iCs/>
        </w:rPr>
        <w:t>3;</w:t>
      </w:r>
      <w:proofErr w:type="gramEnd"/>
    </w:p>
    <w:p w14:paraId="18B46B83" w14:textId="4CA095DB" w:rsidR="00521EC4" w:rsidRPr="00521EC4" w:rsidRDefault="001361EB" w:rsidP="008D52F5">
      <w:pPr>
        <w:jc w:val="both"/>
        <w:rPr>
          <w:rFonts w:ascii="Arial" w:hAnsi="Arial" w:cs="Arial"/>
        </w:rPr>
      </w:pPr>
      <w:r>
        <w:rPr>
          <w:rFonts w:ascii="Arial" w:hAnsi="Arial" w:cs="Arial"/>
          <w:i/>
          <w:iCs/>
        </w:rPr>
        <w:tab/>
      </w:r>
      <w:r w:rsidR="00521EC4" w:rsidRPr="00521EC4">
        <w:rPr>
          <w:rFonts w:ascii="Arial" w:hAnsi="Arial" w:cs="Arial"/>
          <w:i/>
          <w:iCs/>
        </w:rPr>
        <w:t xml:space="preserve">7.1.2.4    one (1) CCG </w:t>
      </w:r>
      <w:proofErr w:type="gramStart"/>
      <w:r w:rsidR="00521EC4" w:rsidRPr="00521EC4">
        <w:rPr>
          <w:rFonts w:ascii="Arial" w:hAnsi="Arial" w:cs="Arial"/>
          <w:i/>
          <w:iCs/>
        </w:rPr>
        <w:t>Governor;</w:t>
      </w:r>
      <w:proofErr w:type="gramEnd"/>
    </w:p>
    <w:p w14:paraId="5C8D3DCE" w14:textId="47A1E1C1" w:rsidR="00521EC4" w:rsidRPr="00521EC4" w:rsidRDefault="001361EB" w:rsidP="008D52F5">
      <w:pPr>
        <w:jc w:val="both"/>
        <w:rPr>
          <w:rFonts w:ascii="Arial" w:hAnsi="Arial" w:cs="Arial"/>
        </w:rPr>
      </w:pPr>
      <w:r>
        <w:rPr>
          <w:rFonts w:ascii="Arial" w:hAnsi="Arial" w:cs="Arial"/>
          <w:i/>
          <w:iCs/>
        </w:rPr>
        <w:tab/>
      </w:r>
      <w:r w:rsidR="00521EC4" w:rsidRPr="00521EC4">
        <w:rPr>
          <w:rFonts w:ascii="Arial" w:hAnsi="Arial" w:cs="Arial"/>
          <w:i/>
          <w:iCs/>
        </w:rPr>
        <w:t>7.1.2.5    two (2) Local Authority Governors; and</w:t>
      </w:r>
    </w:p>
    <w:p w14:paraId="3188F109" w14:textId="285E71DF" w:rsidR="00521EC4" w:rsidRPr="001361EB" w:rsidRDefault="001361EB" w:rsidP="008D52F5">
      <w:pPr>
        <w:jc w:val="both"/>
        <w:rPr>
          <w:rFonts w:ascii="Arial" w:hAnsi="Arial" w:cs="Arial"/>
        </w:rPr>
      </w:pPr>
      <w:r>
        <w:rPr>
          <w:rFonts w:ascii="Arial" w:hAnsi="Arial" w:cs="Arial"/>
          <w:i/>
          <w:iCs/>
        </w:rPr>
        <w:tab/>
      </w:r>
      <w:r w:rsidR="00521EC4" w:rsidRPr="00521EC4">
        <w:rPr>
          <w:rFonts w:ascii="Arial" w:hAnsi="Arial" w:cs="Arial"/>
          <w:i/>
          <w:iCs/>
        </w:rPr>
        <w:t>7.1.2.6    five (5) Other Partnership Governors.</w:t>
      </w:r>
    </w:p>
    <w:p w14:paraId="44B280B5" w14:textId="77777777" w:rsidR="00970560" w:rsidRDefault="00970560" w:rsidP="008D52F5">
      <w:pPr>
        <w:jc w:val="both"/>
        <w:rPr>
          <w:rFonts w:ascii="Arial" w:hAnsi="Arial" w:cs="Arial"/>
          <w:b/>
          <w:bCs/>
          <w:i/>
          <w:iCs/>
        </w:rPr>
      </w:pPr>
    </w:p>
    <w:p w14:paraId="6D93C101" w14:textId="69322B42" w:rsidR="00521EC4" w:rsidRPr="001361EB" w:rsidRDefault="00521EC4" w:rsidP="008D52F5">
      <w:pPr>
        <w:jc w:val="both"/>
        <w:rPr>
          <w:rFonts w:ascii="Arial" w:hAnsi="Arial" w:cs="Arial"/>
          <w:b/>
          <w:bCs/>
          <w:i/>
          <w:iCs/>
        </w:rPr>
      </w:pPr>
      <w:r w:rsidRPr="001361EB">
        <w:rPr>
          <w:rFonts w:ascii="Arial" w:hAnsi="Arial" w:cs="Arial"/>
          <w:b/>
          <w:bCs/>
          <w:i/>
          <w:iCs/>
        </w:rPr>
        <w:t>2. Inclusion of a defined term for the position of Lead Governor</w:t>
      </w:r>
    </w:p>
    <w:p w14:paraId="5860424A" w14:textId="00BA0BEC" w:rsidR="00521EC4" w:rsidRPr="00521EC4" w:rsidRDefault="001361EB" w:rsidP="008D52F5">
      <w:pPr>
        <w:jc w:val="both"/>
        <w:rPr>
          <w:rFonts w:ascii="Arial" w:hAnsi="Arial" w:cs="Arial"/>
        </w:rPr>
      </w:pPr>
      <w:r w:rsidRPr="001361EB">
        <w:rPr>
          <w:rFonts w:ascii="Arial" w:hAnsi="Arial" w:cs="Arial"/>
          <w:noProof/>
        </w:rPr>
        <mc:AlternateContent>
          <mc:Choice Requires="wps">
            <w:drawing>
              <wp:anchor distT="0" distB="0" distL="114300" distR="114300" simplePos="0" relativeHeight="251660288" behindDoc="0" locked="0" layoutInCell="1" allowOverlap="1" wp14:anchorId="010C04E9" wp14:editId="4EFB2365">
                <wp:simplePos x="0" y="0"/>
                <wp:positionH relativeFrom="column">
                  <wp:posOffset>-57150</wp:posOffset>
                </wp:positionH>
                <wp:positionV relativeFrom="paragraph">
                  <wp:posOffset>400685</wp:posOffset>
                </wp:positionV>
                <wp:extent cx="5810250" cy="457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81025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40069" id="Rectangle 2" o:spid="_x0000_s1026" style="position:absolute;margin-left:-4.5pt;margin-top:31.55pt;width:457.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" filled="f" strokecolor="#1f3763 [1604]" strokeweight="1pt"/>
            </w:pict>
          </mc:Fallback>
        </mc:AlternateContent>
      </w:r>
      <w:r w:rsidR="00521EC4" w:rsidRPr="00521EC4">
        <w:rPr>
          <w:rFonts w:ascii="Arial" w:hAnsi="Arial" w:cs="Arial"/>
        </w:rPr>
        <w:t>A defined term for the position of Lead Governor has been added.</w:t>
      </w:r>
      <w:r w:rsidR="00521EC4" w:rsidRPr="001361EB">
        <w:rPr>
          <w:rFonts w:ascii="Arial" w:hAnsi="Arial" w:cs="Arial"/>
        </w:rPr>
        <w:t xml:space="preserve"> </w:t>
      </w:r>
      <w:r w:rsidR="00521EC4" w:rsidRPr="00521EC4">
        <w:rPr>
          <w:rFonts w:ascii="Arial" w:hAnsi="Arial" w:cs="Arial"/>
        </w:rPr>
        <w:t>The relevant part of the constitution now reads (new addition highlighted):</w:t>
      </w:r>
    </w:p>
    <w:p w14:paraId="2E45A154" w14:textId="0CA508B1" w:rsidR="001361EB" w:rsidRPr="008D52F5" w:rsidRDefault="00521EC4" w:rsidP="008D52F5">
      <w:pPr>
        <w:jc w:val="both"/>
        <w:rPr>
          <w:rFonts w:ascii="Arial" w:hAnsi="Arial" w:cs="Arial"/>
        </w:rPr>
      </w:pPr>
      <w:r w:rsidRPr="00521EC4">
        <w:rPr>
          <w:rFonts w:ascii="Arial" w:hAnsi="Arial" w:cs="Arial"/>
          <w:i/>
          <w:iCs/>
        </w:rPr>
        <w:t xml:space="preserve">7.1.3 The Council of Governors shall nominate a Governor to be the Trust’s Lead Governor </w:t>
      </w:r>
      <w:r w:rsidRPr="00521EC4">
        <w:rPr>
          <w:rFonts w:ascii="Arial" w:hAnsi="Arial" w:cs="Arial"/>
          <w:i/>
          <w:iCs/>
          <w:highlight w:val="yellow"/>
        </w:rPr>
        <w:t>for up to 3 years as aligned with tenures and as determined by the Council</w:t>
      </w:r>
    </w:p>
    <w:p w14:paraId="1530115B" w14:textId="77777777" w:rsidR="001361EB" w:rsidRDefault="001361EB" w:rsidP="008D52F5">
      <w:pPr>
        <w:jc w:val="both"/>
        <w:rPr>
          <w:rFonts w:ascii="Arial" w:hAnsi="Arial" w:cs="Arial"/>
          <w:b/>
          <w:bCs/>
          <w:i/>
          <w:iCs/>
        </w:rPr>
      </w:pPr>
    </w:p>
    <w:p w14:paraId="36D35E53" w14:textId="404AEB42" w:rsidR="00521EC4" w:rsidRPr="001361EB" w:rsidRDefault="00521EC4" w:rsidP="008D52F5">
      <w:pPr>
        <w:jc w:val="both"/>
        <w:rPr>
          <w:rFonts w:ascii="Arial" w:hAnsi="Arial" w:cs="Arial"/>
          <w:b/>
          <w:bCs/>
          <w:i/>
          <w:iCs/>
        </w:rPr>
      </w:pPr>
      <w:r w:rsidRPr="001361EB">
        <w:rPr>
          <w:rFonts w:ascii="Arial" w:hAnsi="Arial" w:cs="Arial"/>
          <w:b/>
          <w:bCs/>
          <w:i/>
          <w:iCs/>
        </w:rPr>
        <w:t>3. Removal of Governor disqualification criteria</w:t>
      </w:r>
    </w:p>
    <w:p w14:paraId="65D655EA" w14:textId="46CDB2E2" w:rsidR="00521EC4" w:rsidRPr="00521EC4" w:rsidRDefault="001361EB" w:rsidP="008D52F5">
      <w:pPr>
        <w:jc w:val="both"/>
        <w:rPr>
          <w:rFonts w:ascii="Arial" w:hAnsi="Arial" w:cs="Arial"/>
        </w:rPr>
      </w:pPr>
      <w:r>
        <w:rPr>
          <w:rFonts w:ascii="Arial" w:hAnsi="Arial" w:cs="Arial"/>
          <w:i/>
          <w:iCs/>
          <w:noProof/>
        </w:rPr>
        <mc:AlternateContent>
          <mc:Choice Requires="wps">
            <w:drawing>
              <wp:anchor distT="0" distB="0" distL="114300" distR="114300" simplePos="0" relativeHeight="251661312" behindDoc="0" locked="0" layoutInCell="1" allowOverlap="1" wp14:anchorId="6A4824A8" wp14:editId="1940CF8A">
                <wp:simplePos x="0" y="0"/>
                <wp:positionH relativeFrom="margin">
                  <wp:posOffset>-57151</wp:posOffset>
                </wp:positionH>
                <wp:positionV relativeFrom="paragraph">
                  <wp:posOffset>401320</wp:posOffset>
                </wp:positionV>
                <wp:extent cx="5876925" cy="533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876925"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212C0" id="Rectangle 3" o:spid="_x0000_s1026" style="position:absolute;margin-left:-4.5pt;margin-top:31.6pt;width:462.7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" filled="f" strokecolor="#1f3763 [1604]" strokeweight="1pt">
                <w10:wrap anchorx="margin"/>
              </v:rect>
            </w:pict>
          </mc:Fallback>
        </mc:AlternateContent>
      </w:r>
      <w:r w:rsidR="00521EC4" w:rsidRPr="00521EC4">
        <w:rPr>
          <w:rFonts w:ascii="Arial" w:hAnsi="Arial" w:cs="Arial"/>
        </w:rPr>
        <w:t>Two historic disqualifying criteria for governors have been removed.</w:t>
      </w:r>
      <w:r w:rsidR="00521EC4" w:rsidRPr="001361EB">
        <w:rPr>
          <w:rFonts w:ascii="Arial" w:hAnsi="Arial" w:cs="Arial"/>
          <w:b/>
          <w:bCs/>
        </w:rPr>
        <w:t xml:space="preserve">  </w:t>
      </w:r>
      <w:r w:rsidR="00521EC4" w:rsidRPr="00521EC4">
        <w:rPr>
          <w:rFonts w:ascii="Arial" w:hAnsi="Arial" w:cs="Arial"/>
        </w:rPr>
        <w:t>The following</w:t>
      </w:r>
      <w:r>
        <w:rPr>
          <w:rFonts w:ascii="Arial" w:hAnsi="Arial" w:cs="Arial"/>
        </w:rPr>
        <w:t xml:space="preserve"> </w:t>
      </w:r>
      <w:r w:rsidR="00521EC4" w:rsidRPr="00521EC4">
        <w:rPr>
          <w:rFonts w:ascii="Arial" w:hAnsi="Arial" w:cs="Arial"/>
        </w:rPr>
        <w:t>disqualifying criteria for governors have been removed entirely:</w:t>
      </w:r>
    </w:p>
    <w:p w14:paraId="6AAAE1F3" w14:textId="66FEE02B" w:rsidR="00521EC4" w:rsidRPr="00521EC4" w:rsidRDefault="00521EC4" w:rsidP="008D52F5">
      <w:pPr>
        <w:jc w:val="both"/>
        <w:rPr>
          <w:rFonts w:ascii="Arial" w:hAnsi="Arial" w:cs="Arial"/>
        </w:rPr>
      </w:pPr>
      <w:r w:rsidRPr="00521EC4">
        <w:rPr>
          <w:rFonts w:ascii="Arial" w:hAnsi="Arial" w:cs="Arial"/>
          <w:i/>
          <w:iCs/>
        </w:rPr>
        <w:t>7.12.3.9    is an individual who is a governor of another NHS foundation trust</w:t>
      </w:r>
    </w:p>
    <w:p w14:paraId="38AB0F5A" w14:textId="77777777" w:rsidR="00521EC4" w:rsidRPr="001361EB" w:rsidRDefault="00521EC4" w:rsidP="008D52F5">
      <w:pPr>
        <w:jc w:val="both"/>
        <w:rPr>
          <w:rFonts w:ascii="Arial" w:hAnsi="Arial" w:cs="Arial"/>
          <w:i/>
          <w:iCs/>
        </w:rPr>
      </w:pPr>
      <w:r w:rsidRPr="00521EC4">
        <w:rPr>
          <w:rFonts w:ascii="Arial" w:hAnsi="Arial" w:cs="Arial"/>
          <w:i/>
          <w:iCs/>
        </w:rPr>
        <w:t>7.12.3.16    is a member of the Trust’s Patients’ Forum</w:t>
      </w:r>
    </w:p>
    <w:p w14:paraId="123A819A" w14:textId="77777777" w:rsidR="001361EB" w:rsidRDefault="001361EB" w:rsidP="008D52F5">
      <w:pPr>
        <w:jc w:val="both"/>
        <w:rPr>
          <w:rFonts w:ascii="Arial" w:hAnsi="Arial" w:cs="Arial"/>
          <w:b/>
          <w:bCs/>
          <w:i/>
          <w:iCs/>
        </w:rPr>
      </w:pPr>
    </w:p>
    <w:p w14:paraId="1578D500" w14:textId="693E3314" w:rsidR="00521EC4" w:rsidRPr="001361EB" w:rsidRDefault="00521EC4" w:rsidP="008D52F5">
      <w:pPr>
        <w:jc w:val="both"/>
        <w:rPr>
          <w:rFonts w:ascii="Arial" w:hAnsi="Arial" w:cs="Arial"/>
          <w:b/>
          <w:bCs/>
          <w:i/>
          <w:iCs/>
        </w:rPr>
      </w:pPr>
      <w:r w:rsidRPr="001361EB">
        <w:rPr>
          <w:rFonts w:ascii="Arial" w:hAnsi="Arial" w:cs="Arial"/>
          <w:b/>
          <w:bCs/>
          <w:i/>
          <w:iCs/>
        </w:rPr>
        <w:t>4. Removal of Director disqualification criteria</w:t>
      </w:r>
    </w:p>
    <w:p w14:paraId="57902AA7" w14:textId="06F82E59" w:rsidR="00521EC4" w:rsidRPr="00521EC4" w:rsidRDefault="001361EB" w:rsidP="008D52F5">
      <w:pPr>
        <w:jc w:val="both"/>
        <w:rPr>
          <w:rFonts w:ascii="Arial" w:hAnsi="Arial" w:cs="Arial"/>
        </w:rPr>
      </w:pPr>
      <w:r>
        <w:rPr>
          <w:rFonts w:ascii="Arial" w:hAnsi="Arial" w:cs="Arial"/>
          <w:i/>
          <w:iCs/>
          <w:noProof/>
        </w:rPr>
        <mc:AlternateContent>
          <mc:Choice Requires="wps">
            <w:drawing>
              <wp:anchor distT="0" distB="0" distL="114300" distR="114300" simplePos="0" relativeHeight="251662336" behindDoc="0" locked="0" layoutInCell="1" allowOverlap="1" wp14:anchorId="270A2E02" wp14:editId="71033994">
                <wp:simplePos x="0" y="0"/>
                <wp:positionH relativeFrom="margin">
                  <wp:posOffset>-38100</wp:posOffset>
                </wp:positionH>
                <wp:positionV relativeFrom="paragraph">
                  <wp:posOffset>396240</wp:posOffset>
                </wp:positionV>
                <wp:extent cx="5848350" cy="647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848350" cy="64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4B1D" id="Rectangle 4" o:spid="_x0000_s1026" style="position:absolute;margin-left:-3pt;margin-top:31.2pt;width:460.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" filled="f" strokecolor="#1f3763 [1604]" strokeweight="1pt">
                <w10:wrap anchorx="margin"/>
              </v:rect>
            </w:pict>
          </mc:Fallback>
        </mc:AlternateContent>
      </w:r>
      <w:r w:rsidR="00521EC4" w:rsidRPr="00521EC4">
        <w:rPr>
          <w:rFonts w:ascii="Arial" w:hAnsi="Arial" w:cs="Arial"/>
        </w:rPr>
        <w:t>An historic disqualifying criterion for non-executive directors has been removed.</w:t>
      </w:r>
      <w:r w:rsidR="00521EC4" w:rsidRPr="00521EC4">
        <w:rPr>
          <w:rFonts w:ascii="Arial" w:hAnsi="Arial" w:cs="Arial"/>
          <w:b/>
          <w:bCs/>
        </w:rPr>
        <w:t xml:space="preserve"> </w:t>
      </w:r>
      <w:r w:rsidR="00521EC4" w:rsidRPr="00521EC4">
        <w:rPr>
          <w:rFonts w:ascii="Arial" w:hAnsi="Arial" w:cs="Arial"/>
        </w:rPr>
        <w:t xml:space="preserve">The following disqualifying criteria for NEDs </w:t>
      </w:r>
      <w:proofErr w:type="gramStart"/>
      <w:r w:rsidR="00521EC4" w:rsidRPr="00521EC4">
        <w:rPr>
          <w:rFonts w:ascii="Arial" w:hAnsi="Arial" w:cs="Arial"/>
        </w:rPr>
        <w:t>has</w:t>
      </w:r>
      <w:proofErr w:type="gramEnd"/>
      <w:r w:rsidR="00521EC4" w:rsidRPr="00521EC4">
        <w:rPr>
          <w:rFonts w:ascii="Arial" w:hAnsi="Arial" w:cs="Arial"/>
        </w:rPr>
        <w:t xml:space="preserve"> been removed entirely:</w:t>
      </w:r>
    </w:p>
    <w:p w14:paraId="50C137B6" w14:textId="4631FE5E" w:rsidR="00521EC4" w:rsidRDefault="00521EC4" w:rsidP="008D52F5">
      <w:pPr>
        <w:jc w:val="both"/>
        <w:rPr>
          <w:rFonts w:ascii="Arial" w:hAnsi="Arial" w:cs="Arial"/>
          <w:i/>
          <w:iCs/>
        </w:rPr>
      </w:pPr>
      <w:r w:rsidRPr="00521EC4">
        <w:rPr>
          <w:rFonts w:ascii="Arial" w:hAnsi="Arial" w:cs="Arial"/>
          <w:i/>
          <w:iCs/>
        </w:rPr>
        <w:t xml:space="preserve">8.8.1.8     is an executive or non-executive director of another NHS Foundation Trust, or an executive director, non-executive director, chairman, chief executive officer of another Health Service </w:t>
      </w:r>
      <w:proofErr w:type="gramStart"/>
      <w:r w:rsidRPr="00521EC4">
        <w:rPr>
          <w:rFonts w:ascii="Arial" w:hAnsi="Arial" w:cs="Arial"/>
          <w:i/>
          <w:iCs/>
        </w:rPr>
        <w:t>Body;</w:t>
      </w:r>
      <w:proofErr w:type="gramEnd"/>
    </w:p>
    <w:p w14:paraId="0D8165BA" w14:textId="26E50958" w:rsidR="001361EB" w:rsidRDefault="001361EB" w:rsidP="008D52F5">
      <w:pPr>
        <w:jc w:val="both"/>
        <w:rPr>
          <w:rFonts w:ascii="Arial" w:hAnsi="Arial" w:cs="Arial"/>
          <w:i/>
          <w:iCs/>
        </w:rPr>
      </w:pPr>
    </w:p>
    <w:p w14:paraId="3BA443B8" w14:textId="77777777" w:rsidR="00722EE4" w:rsidRPr="001361EB" w:rsidRDefault="00722EE4" w:rsidP="008D52F5">
      <w:pPr>
        <w:jc w:val="both"/>
        <w:rPr>
          <w:rFonts w:ascii="Arial" w:hAnsi="Arial" w:cs="Arial"/>
          <w:i/>
          <w:iCs/>
        </w:rPr>
      </w:pPr>
    </w:p>
    <w:p w14:paraId="1F83224D" w14:textId="77777777" w:rsidR="00521EC4" w:rsidRPr="001361EB" w:rsidRDefault="00521EC4" w:rsidP="008D52F5">
      <w:pPr>
        <w:jc w:val="both"/>
        <w:rPr>
          <w:rFonts w:ascii="Arial" w:hAnsi="Arial" w:cs="Arial"/>
          <w:b/>
          <w:bCs/>
          <w:i/>
          <w:iCs/>
        </w:rPr>
      </w:pPr>
      <w:r w:rsidRPr="001361EB">
        <w:rPr>
          <w:rFonts w:ascii="Arial" w:hAnsi="Arial" w:cs="Arial"/>
          <w:b/>
          <w:bCs/>
          <w:i/>
          <w:iCs/>
        </w:rPr>
        <w:lastRenderedPageBreak/>
        <w:t>5. Significant transactions</w:t>
      </w:r>
    </w:p>
    <w:p w14:paraId="04C7AE01" w14:textId="100D3362" w:rsidR="00521EC4" w:rsidRPr="00521EC4" w:rsidRDefault="001361EB" w:rsidP="008D52F5">
      <w:pPr>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578FC22" wp14:editId="0FF81CA1">
                <wp:simplePos x="0" y="0"/>
                <wp:positionH relativeFrom="margin">
                  <wp:posOffset>-57150</wp:posOffset>
                </wp:positionH>
                <wp:positionV relativeFrom="paragraph">
                  <wp:posOffset>576580</wp:posOffset>
                </wp:positionV>
                <wp:extent cx="5867400" cy="2133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867400" cy="213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DA505" id="Rectangle 5" o:spid="_x0000_s1026" style="position:absolute;margin-left:-4.5pt;margin-top:45.4pt;width:462pt;height:16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" filled="f" strokecolor="#1f3763 [1604]" strokeweight="1pt">
                <w10:wrap anchorx="margin"/>
              </v:rect>
            </w:pict>
          </mc:Fallback>
        </mc:AlternateContent>
      </w:r>
      <w:r w:rsidR="00521EC4" w:rsidRPr="00521EC4">
        <w:rPr>
          <w:rFonts w:ascii="Arial" w:hAnsi="Arial" w:cs="Arial"/>
        </w:rPr>
        <w:t>Specific reference has been added to the addendum to Trust's Engagement Policy, which describes the matters which will be deemed to be 'significant transactions' (requiring the Trust to seek approval for the transaction from the Council of Governors)</w:t>
      </w:r>
      <w:r w:rsidR="00521EC4" w:rsidRPr="001361EB">
        <w:rPr>
          <w:rFonts w:ascii="Arial" w:hAnsi="Arial" w:cs="Arial"/>
        </w:rPr>
        <w:t>.</w:t>
      </w:r>
    </w:p>
    <w:p w14:paraId="7B6B2185" w14:textId="77777777" w:rsidR="00521EC4" w:rsidRPr="00521EC4" w:rsidRDefault="00521EC4" w:rsidP="008D52F5">
      <w:pPr>
        <w:jc w:val="both"/>
        <w:rPr>
          <w:rFonts w:ascii="Arial" w:hAnsi="Arial" w:cs="Arial"/>
        </w:rPr>
      </w:pPr>
      <w:r w:rsidRPr="00521EC4">
        <w:rPr>
          <w:rFonts w:ascii="Arial" w:hAnsi="Arial" w:cs="Arial"/>
          <w:b/>
          <w:bCs/>
          <w:i/>
          <w:iCs/>
        </w:rPr>
        <w:t xml:space="preserve">16.  Mergers, Significant </w:t>
      </w:r>
      <w:proofErr w:type="gramStart"/>
      <w:r w:rsidRPr="00521EC4">
        <w:rPr>
          <w:rFonts w:ascii="Arial" w:hAnsi="Arial" w:cs="Arial"/>
          <w:b/>
          <w:bCs/>
          <w:i/>
          <w:iCs/>
        </w:rPr>
        <w:t>Transactions</w:t>
      </w:r>
      <w:proofErr w:type="gramEnd"/>
      <w:r w:rsidRPr="00521EC4">
        <w:rPr>
          <w:rFonts w:ascii="Arial" w:hAnsi="Arial" w:cs="Arial"/>
          <w:b/>
          <w:bCs/>
          <w:i/>
          <w:iCs/>
        </w:rPr>
        <w:t xml:space="preserve"> and other transaction requirements</w:t>
      </w:r>
    </w:p>
    <w:p w14:paraId="57F1DE41" w14:textId="77777777" w:rsidR="00521EC4" w:rsidRPr="00521EC4" w:rsidRDefault="00521EC4" w:rsidP="008D52F5">
      <w:pPr>
        <w:jc w:val="both"/>
        <w:rPr>
          <w:rFonts w:ascii="Arial" w:hAnsi="Arial" w:cs="Arial"/>
        </w:rPr>
      </w:pPr>
      <w:proofErr w:type="gramStart"/>
      <w:r w:rsidRPr="00521EC4">
        <w:rPr>
          <w:rFonts w:ascii="Arial" w:hAnsi="Arial" w:cs="Arial"/>
          <w:i/>
          <w:iCs/>
        </w:rPr>
        <w:t>16.1  The</w:t>
      </w:r>
      <w:proofErr w:type="gramEnd"/>
      <w:r w:rsidRPr="00521EC4">
        <w:rPr>
          <w:rFonts w:ascii="Arial" w:hAnsi="Arial" w:cs="Arial"/>
          <w:i/>
          <w:iCs/>
        </w:rPr>
        <w:t xml:space="preserve"> Trust may only apply for a merger, acquisition, separation or dissolution with the approval of more than half of the members of the Council of Governors.</w:t>
      </w:r>
    </w:p>
    <w:p w14:paraId="74E85607" w14:textId="77777777" w:rsidR="00521EC4" w:rsidRPr="00521EC4" w:rsidRDefault="00521EC4" w:rsidP="008D52F5">
      <w:pPr>
        <w:jc w:val="both"/>
        <w:rPr>
          <w:rFonts w:ascii="Arial" w:hAnsi="Arial" w:cs="Arial"/>
        </w:rPr>
      </w:pPr>
      <w:proofErr w:type="gramStart"/>
      <w:r w:rsidRPr="00521EC4">
        <w:rPr>
          <w:rFonts w:ascii="Arial" w:hAnsi="Arial" w:cs="Arial"/>
          <w:i/>
          <w:iCs/>
        </w:rPr>
        <w:t>16.2  The</w:t>
      </w:r>
      <w:proofErr w:type="gramEnd"/>
      <w:r w:rsidRPr="00521EC4">
        <w:rPr>
          <w:rFonts w:ascii="Arial" w:hAnsi="Arial" w:cs="Arial"/>
          <w:i/>
          <w:iCs/>
        </w:rPr>
        <w:t xml:space="preserve"> Trust may enter into a Significant Transaction only if more than half of the members of the Council of Governors voting approve entering into the transaction.</w:t>
      </w:r>
    </w:p>
    <w:p w14:paraId="10393266" w14:textId="77777777" w:rsidR="00521EC4" w:rsidRPr="00521EC4" w:rsidRDefault="00521EC4" w:rsidP="008D52F5">
      <w:pPr>
        <w:jc w:val="both"/>
        <w:rPr>
          <w:rFonts w:ascii="Arial" w:hAnsi="Arial" w:cs="Arial"/>
        </w:rPr>
      </w:pPr>
      <w:proofErr w:type="gramStart"/>
      <w:r w:rsidRPr="00521EC4">
        <w:rPr>
          <w:rFonts w:ascii="Arial" w:hAnsi="Arial" w:cs="Arial"/>
          <w:i/>
          <w:iCs/>
        </w:rPr>
        <w:t xml:space="preserve">16.3  </w:t>
      </w:r>
      <w:r w:rsidRPr="00707A7F">
        <w:rPr>
          <w:rFonts w:ascii="Arial" w:hAnsi="Arial" w:cs="Arial"/>
          <w:i/>
          <w:iCs/>
          <w:strike/>
        </w:rPr>
        <w:t>The</w:t>
      </w:r>
      <w:proofErr w:type="gramEnd"/>
      <w:r w:rsidRPr="00707A7F">
        <w:rPr>
          <w:rFonts w:ascii="Arial" w:hAnsi="Arial" w:cs="Arial"/>
          <w:i/>
          <w:iCs/>
          <w:strike/>
        </w:rPr>
        <w:t xml:space="preserve"> Constitution does not contain any descriptions of the term ‘significant transaction’ for the purposes of section 51A of the 2006 Act (Significant Transactions).</w:t>
      </w:r>
      <w:r w:rsidRPr="00521EC4">
        <w:rPr>
          <w:rFonts w:ascii="Arial" w:hAnsi="Arial" w:cs="Arial"/>
          <w:i/>
          <w:iCs/>
        </w:rPr>
        <w:t xml:space="preserve">  </w:t>
      </w:r>
      <w:r w:rsidRPr="00707A7F">
        <w:rPr>
          <w:rFonts w:ascii="Arial" w:hAnsi="Arial" w:cs="Arial"/>
          <w:i/>
          <w:iCs/>
          <w:highlight w:val="yellow"/>
        </w:rPr>
        <w:t xml:space="preserve">The Engagement </w:t>
      </w:r>
      <w:proofErr w:type="gramStart"/>
      <w:r w:rsidRPr="00707A7F">
        <w:rPr>
          <w:rFonts w:ascii="Arial" w:hAnsi="Arial" w:cs="Arial"/>
          <w:i/>
          <w:iCs/>
          <w:highlight w:val="yellow"/>
        </w:rPr>
        <w:t>Policy  includes</w:t>
      </w:r>
      <w:proofErr w:type="gramEnd"/>
      <w:r w:rsidRPr="00707A7F">
        <w:rPr>
          <w:rFonts w:ascii="Arial" w:hAnsi="Arial" w:cs="Arial"/>
          <w:i/>
          <w:iCs/>
          <w:highlight w:val="yellow"/>
        </w:rPr>
        <w:t xml:space="preserve"> an addendum which describes those matters which will be deemed to be Significant Transactions for the purposes of section 51A of the 2006 Act (significant Transactions).</w:t>
      </w:r>
    </w:p>
    <w:p w14:paraId="11CBB618" w14:textId="77777777" w:rsidR="001361EB" w:rsidRDefault="001361EB" w:rsidP="008D52F5">
      <w:pPr>
        <w:jc w:val="both"/>
        <w:rPr>
          <w:rFonts w:ascii="Arial" w:hAnsi="Arial" w:cs="Arial"/>
          <w:b/>
          <w:bCs/>
        </w:rPr>
      </w:pPr>
    </w:p>
    <w:p w14:paraId="7D4F1D3C" w14:textId="721B0640" w:rsidR="00521EC4" w:rsidRPr="00387ADC" w:rsidRDefault="00521EC4" w:rsidP="008D52F5">
      <w:pPr>
        <w:jc w:val="both"/>
        <w:rPr>
          <w:rFonts w:ascii="Arial" w:hAnsi="Arial" w:cs="Arial"/>
          <w:b/>
          <w:bCs/>
          <w:sz w:val="24"/>
          <w:szCs w:val="24"/>
        </w:rPr>
      </w:pPr>
      <w:r w:rsidRPr="00387ADC">
        <w:rPr>
          <w:rFonts w:ascii="Arial" w:hAnsi="Arial" w:cs="Arial"/>
          <w:b/>
          <w:bCs/>
          <w:sz w:val="24"/>
          <w:szCs w:val="24"/>
        </w:rPr>
        <w:t>Updates to the Engagement Policy</w:t>
      </w:r>
    </w:p>
    <w:p w14:paraId="5F21911D" w14:textId="77777777" w:rsidR="00521EC4" w:rsidRPr="00521EC4" w:rsidRDefault="00521EC4" w:rsidP="008D52F5">
      <w:pPr>
        <w:jc w:val="both"/>
        <w:rPr>
          <w:rFonts w:ascii="Arial" w:hAnsi="Arial" w:cs="Arial"/>
        </w:rPr>
      </w:pPr>
      <w:r w:rsidRPr="00521EC4">
        <w:rPr>
          <w:rFonts w:ascii="Arial" w:hAnsi="Arial" w:cs="Arial"/>
        </w:rPr>
        <w:t>The Engagement Policy addresses interaction between the Board of Directors and the Council of Governors. Updates made to the Policy include:</w:t>
      </w:r>
    </w:p>
    <w:p w14:paraId="25C8EB5D" w14:textId="7E1C7B5D" w:rsidR="001361EB" w:rsidRPr="001361EB" w:rsidRDefault="00521EC4" w:rsidP="008D52F5">
      <w:pPr>
        <w:numPr>
          <w:ilvl w:val="0"/>
          <w:numId w:val="2"/>
        </w:numPr>
        <w:jc w:val="both"/>
        <w:rPr>
          <w:rFonts w:ascii="Arial" w:hAnsi="Arial" w:cs="Arial"/>
        </w:rPr>
      </w:pPr>
      <w:r w:rsidRPr="00521EC4">
        <w:rPr>
          <w:rFonts w:ascii="Arial" w:hAnsi="Arial" w:cs="Arial"/>
        </w:rPr>
        <w:t>A</w:t>
      </w:r>
      <w:r w:rsidRPr="001361EB">
        <w:rPr>
          <w:rFonts w:ascii="Arial" w:hAnsi="Arial" w:cs="Arial"/>
        </w:rPr>
        <w:t>n a</w:t>
      </w:r>
      <w:r w:rsidRPr="00521EC4">
        <w:rPr>
          <w:rFonts w:ascii="Arial" w:hAnsi="Arial" w:cs="Arial"/>
        </w:rPr>
        <w:t xml:space="preserve">ddendum </w:t>
      </w:r>
      <w:r w:rsidRPr="001361EB">
        <w:rPr>
          <w:rFonts w:ascii="Arial" w:hAnsi="Arial" w:cs="Arial"/>
        </w:rPr>
        <w:t xml:space="preserve">has been </w:t>
      </w:r>
      <w:r w:rsidRPr="00521EC4">
        <w:rPr>
          <w:rFonts w:ascii="Arial" w:hAnsi="Arial" w:cs="Arial"/>
        </w:rPr>
        <w:t xml:space="preserve">added to describe those matters which will be deemed to be 'significant transactions’.  The Trust is required to seek the approval of the Council of Governor for transactions which are </w:t>
      </w:r>
      <w:proofErr w:type="gramStart"/>
      <w:r w:rsidRPr="00521EC4">
        <w:rPr>
          <w:rFonts w:ascii="Arial" w:hAnsi="Arial" w:cs="Arial"/>
        </w:rPr>
        <w:t>significant</w:t>
      </w:r>
      <w:r w:rsidR="001361EB" w:rsidRPr="001361EB">
        <w:rPr>
          <w:rFonts w:ascii="Arial" w:hAnsi="Arial" w:cs="Arial"/>
        </w:rPr>
        <w:t>;</w:t>
      </w:r>
      <w:proofErr w:type="gramEnd"/>
    </w:p>
    <w:p w14:paraId="27FA22DB" w14:textId="5AE9A603" w:rsidR="00521EC4" w:rsidRPr="00521EC4" w:rsidRDefault="00521EC4" w:rsidP="008D52F5">
      <w:pPr>
        <w:numPr>
          <w:ilvl w:val="0"/>
          <w:numId w:val="2"/>
        </w:numPr>
        <w:jc w:val="both"/>
        <w:rPr>
          <w:rFonts w:ascii="Arial" w:hAnsi="Arial" w:cs="Arial"/>
        </w:rPr>
      </w:pPr>
      <w:r w:rsidRPr="00521EC4">
        <w:rPr>
          <w:rFonts w:ascii="Arial" w:hAnsi="Arial" w:cs="Arial"/>
        </w:rPr>
        <w:t xml:space="preserve">Various desirable housekeeping changes, </w:t>
      </w:r>
      <w:proofErr w:type="gramStart"/>
      <w:r w:rsidRPr="00521EC4">
        <w:rPr>
          <w:rFonts w:ascii="Arial" w:hAnsi="Arial" w:cs="Arial"/>
        </w:rPr>
        <w:t>e.g.</w:t>
      </w:r>
      <w:proofErr w:type="gramEnd"/>
      <w:r w:rsidRPr="00521EC4">
        <w:rPr>
          <w:rFonts w:ascii="Arial" w:hAnsi="Arial" w:cs="Arial"/>
        </w:rPr>
        <w:t xml:space="preserve"> </w:t>
      </w:r>
      <w:r w:rsidR="001361EB" w:rsidRPr="001361EB">
        <w:rPr>
          <w:rFonts w:ascii="Arial" w:hAnsi="Arial" w:cs="Arial"/>
        </w:rPr>
        <w:t xml:space="preserve">correcting </w:t>
      </w:r>
      <w:r w:rsidRPr="00521EC4">
        <w:rPr>
          <w:rFonts w:ascii="Arial" w:hAnsi="Arial" w:cs="Arial"/>
        </w:rPr>
        <w:t xml:space="preserve">typos, updates to reflect changes to </w:t>
      </w:r>
      <w:r w:rsidR="001361EB" w:rsidRPr="001361EB">
        <w:rPr>
          <w:rFonts w:ascii="Arial" w:hAnsi="Arial" w:cs="Arial"/>
        </w:rPr>
        <w:t xml:space="preserve">senior managers’ </w:t>
      </w:r>
      <w:r w:rsidRPr="00521EC4">
        <w:rPr>
          <w:rFonts w:ascii="Arial" w:hAnsi="Arial" w:cs="Arial"/>
        </w:rPr>
        <w:t>job</w:t>
      </w:r>
      <w:r w:rsidR="001361EB" w:rsidRPr="001361EB">
        <w:rPr>
          <w:rFonts w:ascii="Arial" w:hAnsi="Arial" w:cs="Arial"/>
        </w:rPr>
        <w:t xml:space="preserve"> </w:t>
      </w:r>
      <w:r w:rsidRPr="00521EC4">
        <w:rPr>
          <w:rFonts w:ascii="Arial" w:hAnsi="Arial" w:cs="Arial"/>
        </w:rPr>
        <w:t>titles</w:t>
      </w:r>
      <w:r w:rsidR="001361EB" w:rsidRPr="001361EB">
        <w:rPr>
          <w:rFonts w:ascii="Arial" w:hAnsi="Arial" w:cs="Arial"/>
        </w:rPr>
        <w:t xml:space="preserve"> and </w:t>
      </w:r>
      <w:r w:rsidRPr="00521EC4">
        <w:rPr>
          <w:rFonts w:ascii="Arial" w:hAnsi="Arial" w:cs="Arial"/>
        </w:rPr>
        <w:t>committee names, paragraph number sequencing</w:t>
      </w:r>
      <w:r w:rsidR="001361EB" w:rsidRPr="001361EB">
        <w:rPr>
          <w:rFonts w:ascii="Arial" w:hAnsi="Arial" w:cs="Arial"/>
        </w:rPr>
        <w:t>, and</w:t>
      </w:r>
      <w:r w:rsidRPr="00521EC4">
        <w:rPr>
          <w:rFonts w:ascii="Arial" w:hAnsi="Arial" w:cs="Arial"/>
        </w:rPr>
        <w:t xml:space="preserve"> formatting.</w:t>
      </w:r>
      <w:r w:rsidR="00722EE4">
        <w:rPr>
          <w:rFonts w:ascii="Arial" w:hAnsi="Arial" w:cs="Arial"/>
        </w:rPr>
        <w:t xml:space="preserve">  These do not require the approval of the Members. </w:t>
      </w:r>
    </w:p>
    <w:p w14:paraId="4217FDC1" w14:textId="77777777" w:rsidR="00521EC4" w:rsidRPr="001361EB" w:rsidRDefault="00521EC4" w:rsidP="008D52F5">
      <w:pPr>
        <w:jc w:val="both"/>
        <w:rPr>
          <w:rFonts w:ascii="Arial" w:hAnsi="Arial" w:cs="Arial"/>
        </w:rPr>
      </w:pPr>
      <w:r w:rsidRPr="00521EC4">
        <w:rPr>
          <w:rFonts w:ascii="Arial" w:hAnsi="Arial" w:cs="Arial"/>
        </w:rPr>
        <w:t>The addition of the Addendum and its substantive content were approved by the Council of Governors in November 2020, and the Board in January 2021.</w:t>
      </w:r>
    </w:p>
    <w:p w14:paraId="2D6EB8EB" w14:textId="4CFC7A09" w:rsidR="001361EB" w:rsidRDefault="001361EB" w:rsidP="008D52F5">
      <w:pPr>
        <w:jc w:val="both"/>
        <w:rPr>
          <w:rFonts w:ascii="Arial" w:hAnsi="Arial" w:cs="Arial"/>
        </w:rPr>
      </w:pPr>
      <w:r w:rsidRPr="001361EB">
        <w:rPr>
          <w:rFonts w:ascii="Arial" w:hAnsi="Arial" w:cs="Arial"/>
        </w:rPr>
        <w:t xml:space="preserve">The Engagement Policy, with new addendum can be found at </w:t>
      </w:r>
      <w:hyperlink r:id="rId8" w:history="1">
        <w:r w:rsidRPr="00031F75">
          <w:rPr>
            <w:rStyle w:val="Hyperlink"/>
            <w:rFonts w:ascii="Arial" w:hAnsi="Arial" w:cs="Arial"/>
          </w:rPr>
          <w:t>Appendix 2</w:t>
        </w:r>
      </w:hyperlink>
      <w:r w:rsidRPr="001361EB">
        <w:rPr>
          <w:rFonts w:ascii="Arial" w:hAnsi="Arial" w:cs="Arial"/>
        </w:rPr>
        <w:t xml:space="preserve"> to this report. </w:t>
      </w:r>
    </w:p>
    <w:p w14:paraId="2D37E971" w14:textId="262E488E" w:rsidR="00C52EE9" w:rsidRPr="00D22125" w:rsidRDefault="00C52EE9" w:rsidP="008D52F5">
      <w:pPr>
        <w:jc w:val="both"/>
        <w:rPr>
          <w:rFonts w:ascii="Arial" w:hAnsi="Arial" w:cs="Arial"/>
          <w:b/>
          <w:bCs/>
          <w:sz w:val="24"/>
          <w:szCs w:val="24"/>
        </w:rPr>
      </w:pPr>
      <w:r w:rsidRPr="00D22125">
        <w:rPr>
          <w:rFonts w:ascii="Arial" w:hAnsi="Arial" w:cs="Arial"/>
          <w:b/>
          <w:bCs/>
          <w:sz w:val="24"/>
          <w:szCs w:val="24"/>
        </w:rPr>
        <w:t>Recommendation</w:t>
      </w:r>
    </w:p>
    <w:p w14:paraId="58A23D6F" w14:textId="32F9A481" w:rsidR="00C52EE9" w:rsidRDefault="00C52EE9" w:rsidP="008D52F5">
      <w:pPr>
        <w:jc w:val="both"/>
        <w:rPr>
          <w:rFonts w:ascii="Arial" w:hAnsi="Arial" w:cs="Arial"/>
        </w:rPr>
      </w:pPr>
      <w:r>
        <w:rPr>
          <w:rFonts w:ascii="Arial" w:hAnsi="Arial" w:cs="Arial"/>
        </w:rPr>
        <w:t xml:space="preserve">The Members are </w:t>
      </w:r>
      <w:r w:rsidR="00D22125">
        <w:rPr>
          <w:rFonts w:ascii="Arial" w:hAnsi="Arial" w:cs="Arial"/>
        </w:rPr>
        <w:t xml:space="preserve">invited to approve the above changes to the Constitution and Engagement Policy. </w:t>
      </w:r>
    </w:p>
    <w:p w14:paraId="7CE85E8B" w14:textId="693E7099" w:rsidR="00B20A80" w:rsidRPr="00B20A80" w:rsidRDefault="00085C3F" w:rsidP="00B20A80">
      <w:pPr>
        <w:rPr>
          <w:rFonts w:ascii="Arial" w:hAnsi="Arial" w:cs="Arial"/>
          <w:b/>
          <w:bCs/>
          <w:lang w:val="en-US" w:eastAsia="en-GB"/>
        </w:rPr>
      </w:pPr>
      <w:r w:rsidRPr="00B20A80">
        <w:rPr>
          <w:rFonts w:ascii="Arial" w:hAnsi="Arial" w:cs="Arial"/>
          <w:b/>
        </w:rPr>
        <w:t xml:space="preserve">Author(s) and Title(s): </w:t>
      </w:r>
      <w:r w:rsidRPr="00B20A80">
        <w:rPr>
          <w:rFonts w:ascii="Arial" w:hAnsi="Arial" w:cs="Arial"/>
          <w:b/>
        </w:rPr>
        <w:tab/>
      </w:r>
      <w:r w:rsidR="00B20A80" w:rsidRPr="00B20A80">
        <w:rPr>
          <w:rFonts w:ascii="Arial" w:hAnsi="Arial" w:cs="Arial"/>
          <w:b/>
          <w:bCs/>
          <w:lang w:val="en-US" w:eastAsia="en-GB"/>
        </w:rPr>
        <w:t>Hannah Wright</w:t>
      </w:r>
      <w:r w:rsidR="00B20A80">
        <w:rPr>
          <w:rFonts w:ascii="Arial" w:hAnsi="Arial" w:cs="Arial"/>
          <w:b/>
          <w:bCs/>
          <w:lang w:val="en-US" w:eastAsia="en-GB"/>
        </w:rPr>
        <w:t>,</w:t>
      </w:r>
      <w:r w:rsidR="00B20A80" w:rsidRPr="00B20A80">
        <w:rPr>
          <w:rFonts w:ascii="Arial" w:hAnsi="Arial" w:cs="Arial"/>
          <w:b/>
          <w:bCs/>
          <w:lang w:val="en-US" w:eastAsia="en-GB"/>
        </w:rPr>
        <w:t> Risk Manager</w:t>
      </w:r>
    </w:p>
    <w:p w14:paraId="1F2DE7FB" w14:textId="57DA355F" w:rsidR="00085C3F" w:rsidRDefault="00085C3F" w:rsidP="00085C3F">
      <w:pPr>
        <w:ind w:left="1440" w:hanging="1440"/>
        <w:jc w:val="both"/>
        <w:rPr>
          <w:rFonts w:ascii="Segoe UI" w:hAnsi="Segoe UI" w:cs="Segoe UI"/>
          <w:b/>
        </w:rPr>
      </w:pPr>
    </w:p>
    <w:p w14:paraId="70128812" w14:textId="77777777" w:rsidR="00085C3F" w:rsidRPr="00521EC4" w:rsidRDefault="00085C3F" w:rsidP="008D52F5">
      <w:pPr>
        <w:jc w:val="both"/>
        <w:rPr>
          <w:rFonts w:ascii="Arial" w:hAnsi="Arial" w:cs="Arial"/>
        </w:rPr>
      </w:pPr>
    </w:p>
    <w:p w14:paraId="0BB8E71E" w14:textId="77777777" w:rsidR="00521EC4" w:rsidRPr="00521EC4" w:rsidRDefault="00521EC4" w:rsidP="008D52F5">
      <w:pPr>
        <w:jc w:val="both"/>
        <w:rPr>
          <w:rFonts w:ascii="Arial" w:hAnsi="Arial" w:cs="Arial"/>
        </w:rPr>
      </w:pPr>
    </w:p>
    <w:p w14:paraId="4F8711E9" w14:textId="77777777" w:rsidR="00521EC4" w:rsidRPr="00521EC4" w:rsidRDefault="00521EC4" w:rsidP="008D52F5">
      <w:pPr>
        <w:jc w:val="both"/>
        <w:rPr>
          <w:rFonts w:ascii="Arial" w:hAnsi="Arial" w:cs="Arial"/>
        </w:rPr>
      </w:pPr>
    </w:p>
    <w:p w14:paraId="0BC6F156" w14:textId="77777777" w:rsidR="00521EC4" w:rsidRPr="00521EC4" w:rsidRDefault="00521EC4" w:rsidP="008D52F5">
      <w:pPr>
        <w:jc w:val="both"/>
        <w:rPr>
          <w:rFonts w:ascii="Arial" w:hAnsi="Arial" w:cs="Arial"/>
        </w:rPr>
      </w:pPr>
    </w:p>
    <w:p w14:paraId="6A2533FA" w14:textId="77777777" w:rsidR="00521EC4" w:rsidRDefault="00521EC4" w:rsidP="008D52F5">
      <w:pPr>
        <w:jc w:val="both"/>
      </w:pPr>
    </w:p>
    <w:sectPr w:rsidR="00521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5404"/>
    <w:multiLevelType w:val="hybridMultilevel"/>
    <w:tmpl w:val="E61445C2"/>
    <w:lvl w:ilvl="0" w:tplc="8AA8E6C0">
      <w:start w:val="1"/>
      <w:numFmt w:val="decimal"/>
      <w:lvlText w:val="%1."/>
      <w:lvlJc w:val="left"/>
      <w:pPr>
        <w:tabs>
          <w:tab w:val="num" w:pos="720"/>
        </w:tabs>
        <w:ind w:left="720" w:hanging="360"/>
      </w:pPr>
    </w:lvl>
    <w:lvl w:ilvl="1" w:tplc="E7008732" w:tentative="1">
      <w:start w:val="1"/>
      <w:numFmt w:val="decimal"/>
      <w:lvlText w:val="%2."/>
      <w:lvlJc w:val="left"/>
      <w:pPr>
        <w:tabs>
          <w:tab w:val="num" w:pos="1440"/>
        </w:tabs>
        <w:ind w:left="1440" w:hanging="360"/>
      </w:pPr>
    </w:lvl>
    <w:lvl w:ilvl="2" w:tplc="343405A8" w:tentative="1">
      <w:start w:val="1"/>
      <w:numFmt w:val="decimal"/>
      <w:lvlText w:val="%3."/>
      <w:lvlJc w:val="left"/>
      <w:pPr>
        <w:tabs>
          <w:tab w:val="num" w:pos="2160"/>
        </w:tabs>
        <w:ind w:left="2160" w:hanging="360"/>
      </w:pPr>
    </w:lvl>
    <w:lvl w:ilvl="3" w:tplc="55224B00" w:tentative="1">
      <w:start w:val="1"/>
      <w:numFmt w:val="decimal"/>
      <w:lvlText w:val="%4."/>
      <w:lvlJc w:val="left"/>
      <w:pPr>
        <w:tabs>
          <w:tab w:val="num" w:pos="2880"/>
        </w:tabs>
        <w:ind w:left="2880" w:hanging="360"/>
      </w:pPr>
    </w:lvl>
    <w:lvl w:ilvl="4" w:tplc="92F0746E" w:tentative="1">
      <w:start w:val="1"/>
      <w:numFmt w:val="decimal"/>
      <w:lvlText w:val="%5."/>
      <w:lvlJc w:val="left"/>
      <w:pPr>
        <w:tabs>
          <w:tab w:val="num" w:pos="3600"/>
        </w:tabs>
        <w:ind w:left="3600" w:hanging="360"/>
      </w:pPr>
    </w:lvl>
    <w:lvl w:ilvl="5" w:tplc="25906FF8" w:tentative="1">
      <w:start w:val="1"/>
      <w:numFmt w:val="decimal"/>
      <w:lvlText w:val="%6."/>
      <w:lvlJc w:val="left"/>
      <w:pPr>
        <w:tabs>
          <w:tab w:val="num" w:pos="4320"/>
        </w:tabs>
        <w:ind w:left="4320" w:hanging="360"/>
      </w:pPr>
    </w:lvl>
    <w:lvl w:ilvl="6" w:tplc="F2A68020" w:tentative="1">
      <w:start w:val="1"/>
      <w:numFmt w:val="decimal"/>
      <w:lvlText w:val="%7."/>
      <w:lvlJc w:val="left"/>
      <w:pPr>
        <w:tabs>
          <w:tab w:val="num" w:pos="5040"/>
        </w:tabs>
        <w:ind w:left="5040" w:hanging="360"/>
      </w:pPr>
    </w:lvl>
    <w:lvl w:ilvl="7" w:tplc="D4A2DB36" w:tentative="1">
      <w:start w:val="1"/>
      <w:numFmt w:val="decimal"/>
      <w:lvlText w:val="%8."/>
      <w:lvlJc w:val="left"/>
      <w:pPr>
        <w:tabs>
          <w:tab w:val="num" w:pos="5760"/>
        </w:tabs>
        <w:ind w:left="5760" w:hanging="360"/>
      </w:pPr>
    </w:lvl>
    <w:lvl w:ilvl="8" w:tplc="6858880E" w:tentative="1">
      <w:start w:val="1"/>
      <w:numFmt w:val="decimal"/>
      <w:lvlText w:val="%9."/>
      <w:lvlJc w:val="left"/>
      <w:pPr>
        <w:tabs>
          <w:tab w:val="num" w:pos="6480"/>
        </w:tabs>
        <w:ind w:left="6480" w:hanging="360"/>
      </w:pPr>
    </w:lvl>
  </w:abstractNum>
  <w:abstractNum w:abstractNumId="1" w15:restartNumberingAfterBreak="0">
    <w:nsid w:val="516D1AB7"/>
    <w:multiLevelType w:val="hybridMultilevel"/>
    <w:tmpl w:val="385EECAA"/>
    <w:lvl w:ilvl="0" w:tplc="C6542A04">
      <w:start w:val="1"/>
      <w:numFmt w:val="decimal"/>
      <w:lvlText w:val="%1."/>
      <w:lvlJc w:val="left"/>
      <w:pPr>
        <w:tabs>
          <w:tab w:val="num" w:pos="720"/>
        </w:tabs>
        <w:ind w:left="720" w:hanging="360"/>
      </w:pPr>
    </w:lvl>
    <w:lvl w:ilvl="1" w:tplc="2AFA2E1C" w:tentative="1">
      <w:start w:val="1"/>
      <w:numFmt w:val="decimal"/>
      <w:lvlText w:val="%2."/>
      <w:lvlJc w:val="left"/>
      <w:pPr>
        <w:tabs>
          <w:tab w:val="num" w:pos="1440"/>
        </w:tabs>
        <w:ind w:left="1440" w:hanging="360"/>
      </w:pPr>
    </w:lvl>
    <w:lvl w:ilvl="2" w:tplc="789C8D2C" w:tentative="1">
      <w:start w:val="1"/>
      <w:numFmt w:val="decimal"/>
      <w:lvlText w:val="%3."/>
      <w:lvlJc w:val="left"/>
      <w:pPr>
        <w:tabs>
          <w:tab w:val="num" w:pos="2160"/>
        </w:tabs>
        <w:ind w:left="2160" w:hanging="360"/>
      </w:pPr>
    </w:lvl>
    <w:lvl w:ilvl="3" w:tplc="4E768BF6" w:tentative="1">
      <w:start w:val="1"/>
      <w:numFmt w:val="decimal"/>
      <w:lvlText w:val="%4."/>
      <w:lvlJc w:val="left"/>
      <w:pPr>
        <w:tabs>
          <w:tab w:val="num" w:pos="2880"/>
        </w:tabs>
        <w:ind w:left="2880" w:hanging="360"/>
      </w:pPr>
    </w:lvl>
    <w:lvl w:ilvl="4" w:tplc="DD14F494" w:tentative="1">
      <w:start w:val="1"/>
      <w:numFmt w:val="decimal"/>
      <w:lvlText w:val="%5."/>
      <w:lvlJc w:val="left"/>
      <w:pPr>
        <w:tabs>
          <w:tab w:val="num" w:pos="3600"/>
        </w:tabs>
        <w:ind w:left="3600" w:hanging="360"/>
      </w:pPr>
    </w:lvl>
    <w:lvl w:ilvl="5" w:tplc="6D62CED0" w:tentative="1">
      <w:start w:val="1"/>
      <w:numFmt w:val="decimal"/>
      <w:lvlText w:val="%6."/>
      <w:lvlJc w:val="left"/>
      <w:pPr>
        <w:tabs>
          <w:tab w:val="num" w:pos="4320"/>
        </w:tabs>
        <w:ind w:left="4320" w:hanging="360"/>
      </w:pPr>
    </w:lvl>
    <w:lvl w:ilvl="6" w:tplc="A9083DC0" w:tentative="1">
      <w:start w:val="1"/>
      <w:numFmt w:val="decimal"/>
      <w:lvlText w:val="%7."/>
      <w:lvlJc w:val="left"/>
      <w:pPr>
        <w:tabs>
          <w:tab w:val="num" w:pos="5040"/>
        </w:tabs>
        <w:ind w:left="5040" w:hanging="360"/>
      </w:pPr>
    </w:lvl>
    <w:lvl w:ilvl="7" w:tplc="4F82C39E" w:tentative="1">
      <w:start w:val="1"/>
      <w:numFmt w:val="decimal"/>
      <w:lvlText w:val="%8."/>
      <w:lvlJc w:val="left"/>
      <w:pPr>
        <w:tabs>
          <w:tab w:val="num" w:pos="5760"/>
        </w:tabs>
        <w:ind w:left="5760" w:hanging="360"/>
      </w:pPr>
    </w:lvl>
    <w:lvl w:ilvl="8" w:tplc="39D4FF6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C4"/>
    <w:rsid w:val="000301AE"/>
    <w:rsid w:val="00031F75"/>
    <w:rsid w:val="00085C3F"/>
    <w:rsid w:val="001361EB"/>
    <w:rsid w:val="0020511A"/>
    <w:rsid w:val="002A7846"/>
    <w:rsid w:val="0037543B"/>
    <w:rsid w:val="00387ADC"/>
    <w:rsid w:val="003D1122"/>
    <w:rsid w:val="00407A26"/>
    <w:rsid w:val="00413772"/>
    <w:rsid w:val="00475878"/>
    <w:rsid w:val="004C6EAC"/>
    <w:rsid w:val="00521EC4"/>
    <w:rsid w:val="0062425B"/>
    <w:rsid w:val="00707A7F"/>
    <w:rsid w:val="00722EE4"/>
    <w:rsid w:val="00727378"/>
    <w:rsid w:val="007B07C1"/>
    <w:rsid w:val="008245A5"/>
    <w:rsid w:val="008B1BE0"/>
    <w:rsid w:val="008D52F5"/>
    <w:rsid w:val="008E55D3"/>
    <w:rsid w:val="0093597C"/>
    <w:rsid w:val="00970560"/>
    <w:rsid w:val="00A03AF7"/>
    <w:rsid w:val="00A07C84"/>
    <w:rsid w:val="00A9379D"/>
    <w:rsid w:val="00B20A80"/>
    <w:rsid w:val="00B24110"/>
    <w:rsid w:val="00B5461F"/>
    <w:rsid w:val="00B54F4A"/>
    <w:rsid w:val="00C51FA0"/>
    <w:rsid w:val="00C52EE9"/>
    <w:rsid w:val="00D22125"/>
    <w:rsid w:val="00E25A8B"/>
    <w:rsid w:val="00E97B45"/>
    <w:rsid w:val="00EE7DBA"/>
    <w:rsid w:val="00FA7F43"/>
    <w:rsid w:val="00FC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A0AC"/>
  <w15:chartTrackingRefBased/>
  <w15:docId w15:val="{94FC8E3C-B316-4788-B097-23F3F2A7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A7846"/>
    <w:pPr>
      <w:spacing w:after="0" w:line="240" w:lineRule="auto"/>
      <w:jc w:val="center"/>
    </w:pPr>
    <w:rPr>
      <w:rFonts w:ascii="Arial" w:eastAsia="Times New Roman" w:hAnsi="Arial" w:cs="Arial"/>
      <w:b/>
      <w:sz w:val="28"/>
      <w:szCs w:val="24"/>
      <w:lang w:val="en-US"/>
    </w:rPr>
  </w:style>
  <w:style w:type="character" w:customStyle="1" w:styleId="BodyText3Char">
    <w:name w:val="Body Text 3 Char"/>
    <w:basedOn w:val="DefaultParagraphFont"/>
    <w:link w:val="BodyText3"/>
    <w:rsid w:val="002A7846"/>
    <w:rPr>
      <w:rFonts w:ascii="Arial" w:eastAsia="Times New Roman" w:hAnsi="Arial" w:cs="Arial"/>
      <w:b/>
      <w:sz w:val="28"/>
      <w:szCs w:val="24"/>
      <w:lang w:val="en-US"/>
    </w:rPr>
  </w:style>
  <w:style w:type="character" w:styleId="Hyperlink">
    <w:name w:val="Hyperlink"/>
    <w:basedOn w:val="DefaultParagraphFont"/>
    <w:uiPriority w:val="99"/>
    <w:unhideWhenUsed/>
    <w:rsid w:val="00031F75"/>
    <w:rPr>
      <w:color w:val="0563C1" w:themeColor="hyperlink"/>
      <w:u w:val="single"/>
    </w:rPr>
  </w:style>
  <w:style w:type="character" w:styleId="UnresolvedMention">
    <w:name w:val="Unresolved Mention"/>
    <w:basedOn w:val="DefaultParagraphFont"/>
    <w:uiPriority w:val="99"/>
    <w:semiHidden/>
    <w:unhideWhenUsed/>
    <w:rsid w:val="0003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4692">
      <w:bodyDiv w:val="1"/>
      <w:marLeft w:val="0"/>
      <w:marRight w:val="0"/>
      <w:marTop w:val="0"/>
      <w:marBottom w:val="0"/>
      <w:divBdr>
        <w:top w:val="none" w:sz="0" w:space="0" w:color="auto"/>
        <w:left w:val="none" w:sz="0" w:space="0" w:color="auto"/>
        <w:bottom w:val="none" w:sz="0" w:space="0" w:color="auto"/>
        <w:right w:val="none" w:sz="0" w:space="0" w:color="auto"/>
      </w:divBdr>
    </w:div>
    <w:div w:id="394548677">
      <w:bodyDiv w:val="1"/>
      <w:marLeft w:val="0"/>
      <w:marRight w:val="0"/>
      <w:marTop w:val="0"/>
      <w:marBottom w:val="0"/>
      <w:divBdr>
        <w:top w:val="none" w:sz="0" w:space="0" w:color="auto"/>
        <w:left w:val="none" w:sz="0" w:space="0" w:color="auto"/>
        <w:bottom w:val="none" w:sz="0" w:space="0" w:color="auto"/>
        <w:right w:val="none" w:sz="0" w:space="0" w:color="auto"/>
      </w:divBdr>
    </w:div>
    <w:div w:id="627394483">
      <w:bodyDiv w:val="1"/>
      <w:marLeft w:val="0"/>
      <w:marRight w:val="0"/>
      <w:marTop w:val="0"/>
      <w:marBottom w:val="0"/>
      <w:divBdr>
        <w:top w:val="none" w:sz="0" w:space="0" w:color="auto"/>
        <w:left w:val="none" w:sz="0" w:space="0" w:color="auto"/>
        <w:bottom w:val="none" w:sz="0" w:space="0" w:color="auto"/>
        <w:right w:val="none" w:sz="0" w:space="0" w:color="auto"/>
      </w:divBdr>
      <w:divsChild>
        <w:div w:id="145705592">
          <w:marLeft w:val="547"/>
          <w:marRight w:val="0"/>
          <w:marTop w:val="0"/>
          <w:marBottom w:val="0"/>
          <w:divBdr>
            <w:top w:val="none" w:sz="0" w:space="0" w:color="auto"/>
            <w:left w:val="none" w:sz="0" w:space="0" w:color="auto"/>
            <w:bottom w:val="none" w:sz="0" w:space="0" w:color="auto"/>
            <w:right w:val="none" w:sz="0" w:space="0" w:color="auto"/>
          </w:divBdr>
        </w:div>
        <w:div w:id="80370819">
          <w:marLeft w:val="547"/>
          <w:marRight w:val="0"/>
          <w:marTop w:val="0"/>
          <w:marBottom w:val="0"/>
          <w:divBdr>
            <w:top w:val="none" w:sz="0" w:space="0" w:color="auto"/>
            <w:left w:val="none" w:sz="0" w:space="0" w:color="auto"/>
            <w:bottom w:val="none" w:sz="0" w:space="0" w:color="auto"/>
            <w:right w:val="none" w:sz="0" w:space="0" w:color="auto"/>
          </w:divBdr>
        </w:div>
      </w:divsChild>
    </w:div>
    <w:div w:id="696197350">
      <w:bodyDiv w:val="1"/>
      <w:marLeft w:val="0"/>
      <w:marRight w:val="0"/>
      <w:marTop w:val="0"/>
      <w:marBottom w:val="0"/>
      <w:divBdr>
        <w:top w:val="none" w:sz="0" w:space="0" w:color="auto"/>
        <w:left w:val="none" w:sz="0" w:space="0" w:color="auto"/>
        <w:bottom w:val="none" w:sz="0" w:space="0" w:color="auto"/>
        <w:right w:val="none" w:sz="0" w:space="0" w:color="auto"/>
      </w:divBdr>
      <w:divsChild>
        <w:div w:id="1216815291">
          <w:marLeft w:val="547"/>
          <w:marRight w:val="0"/>
          <w:marTop w:val="0"/>
          <w:marBottom w:val="0"/>
          <w:divBdr>
            <w:top w:val="none" w:sz="0" w:space="0" w:color="auto"/>
            <w:left w:val="none" w:sz="0" w:space="0" w:color="auto"/>
            <w:bottom w:val="none" w:sz="0" w:space="0" w:color="auto"/>
            <w:right w:val="none" w:sz="0" w:space="0" w:color="auto"/>
          </w:divBdr>
        </w:div>
      </w:divsChild>
    </w:div>
    <w:div w:id="795834840">
      <w:bodyDiv w:val="1"/>
      <w:marLeft w:val="0"/>
      <w:marRight w:val="0"/>
      <w:marTop w:val="0"/>
      <w:marBottom w:val="0"/>
      <w:divBdr>
        <w:top w:val="none" w:sz="0" w:space="0" w:color="auto"/>
        <w:left w:val="none" w:sz="0" w:space="0" w:color="auto"/>
        <w:bottom w:val="none" w:sz="0" w:space="0" w:color="auto"/>
        <w:right w:val="none" w:sz="0" w:space="0" w:color="auto"/>
      </w:divBdr>
    </w:div>
    <w:div w:id="1106460591">
      <w:bodyDiv w:val="1"/>
      <w:marLeft w:val="0"/>
      <w:marRight w:val="0"/>
      <w:marTop w:val="0"/>
      <w:marBottom w:val="0"/>
      <w:divBdr>
        <w:top w:val="none" w:sz="0" w:space="0" w:color="auto"/>
        <w:left w:val="none" w:sz="0" w:space="0" w:color="auto"/>
        <w:bottom w:val="none" w:sz="0" w:space="0" w:color="auto"/>
        <w:right w:val="none" w:sz="0" w:space="0" w:color="auto"/>
      </w:divBdr>
    </w:div>
    <w:div w:id="1130627992">
      <w:bodyDiv w:val="1"/>
      <w:marLeft w:val="0"/>
      <w:marRight w:val="0"/>
      <w:marTop w:val="0"/>
      <w:marBottom w:val="0"/>
      <w:divBdr>
        <w:top w:val="none" w:sz="0" w:space="0" w:color="auto"/>
        <w:left w:val="none" w:sz="0" w:space="0" w:color="auto"/>
        <w:bottom w:val="none" w:sz="0" w:space="0" w:color="auto"/>
        <w:right w:val="none" w:sz="0" w:space="0" w:color="auto"/>
      </w:divBdr>
    </w:div>
    <w:div w:id="1605264502">
      <w:bodyDiv w:val="1"/>
      <w:marLeft w:val="0"/>
      <w:marRight w:val="0"/>
      <w:marTop w:val="0"/>
      <w:marBottom w:val="0"/>
      <w:divBdr>
        <w:top w:val="none" w:sz="0" w:space="0" w:color="auto"/>
        <w:left w:val="none" w:sz="0" w:space="0" w:color="auto"/>
        <w:bottom w:val="none" w:sz="0" w:space="0" w:color="auto"/>
        <w:right w:val="none" w:sz="0" w:space="0" w:color="auto"/>
      </w:divBdr>
    </w:div>
    <w:div w:id="18534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xfordhealth.nhs.uk/wp-content/uploads/2021/09/AGM-AMM_Appendix-2_Lead-Governors-Report_Engagement-Policy-Significant-Transactions-addendum.docx" TargetMode="External"/><Relationship Id="rId3" Type="http://schemas.openxmlformats.org/officeDocument/2006/relationships/settings" Target="settings.xml"/><Relationship Id="rId7" Type="http://schemas.openxmlformats.org/officeDocument/2006/relationships/hyperlink" Target="https://www.oxfordhealth.nhs.uk/wp-content/uploads/2021/09/AGM-AMM_Appendix-1A_Lead-Governors-Report_Constitution-changes-highlighted.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health.nhs.uk/wp-content/uploads/2021/09/AGM-AMM_Appendix-1_Lead-Governors-Report_Constitution_as-amended-Sept-2021-clean-copy-2.doc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Hannah (RNU) Oxford Health</dc:creator>
  <cp:keywords/>
  <dc:description/>
  <cp:lastModifiedBy>Smith Hannah (RNU) Oxford Health</cp:lastModifiedBy>
  <cp:revision>2</cp:revision>
  <dcterms:created xsi:type="dcterms:W3CDTF">2021-09-21T18:04:00Z</dcterms:created>
  <dcterms:modified xsi:type="dcterms:W3CDTF">2021-09-21T18:04:00Z</dcterms:modified>
</cp:coreProperties>
</file>