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C64654">
      <w:pPr>
        <w:ind w:right="-900"/>
        <w:rPr>
          <w:rFonts w:ascii="Segoe UI" w:hAnsi="Segoe UI" w:cs="Segoe UI"/>
          <w:lang w:val="en-GB"/>
        </w:rPr>
      </w:pPr>
      <w:r w:rsidRPr="00913639">
        <w:rPr>
          <w:noProof/>
          <w:color w:val="2B579A"/>
          <w:shd w:val="clear" w:color="auto" w:fill="E6E6E6"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1A5AC" w14:textId="77777777" w:rsidR="00A80A9A" w:rsidRDefault="00A80A9A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19FDD6EA" w14:textId="55D916EF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149DEF20" w:rsidR="002821F8" w:rsidRPr="00FA3993" w:rsidRDefault="00EF171A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0419" wp14:editId="12AC34C4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13716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2A55AE9C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FC4DE4">
                              <w:rPr>
                                <w:rFonts w:ascii="Segoe UI" w:hAnsi="Segoe UI" w:cs="Segoe UI"/>
                                <w:b/>
                              </w:rPr>
                              <w:t>17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4DE4">
                              <w:rPr>
                                <w:rFonts w:ascii="Segoe UI" w:hAnsi="Segoe UI" w:cs="Segoe UI"/>
                                <w:b/>
                              </w:rPr>
                              <w:t>3</w:t>
                            </w:r>
                          </w:p>
                          <w:p w14:paraId="6C95D97C" w14:textId="0FC67B75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FC4DE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9(a)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" o:spid="_x0000_s1026" style="position:absolute;left:0;text-align:left;margin-left:56.8pt;margin-top:16pt;width:108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">
                <v:textbox inset="0,0,0,0">
                  <w:txbxContent>
                    <w:p w14:paraId="7E71BE13" w14:textId="2A55AE9C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FC4DE4">
                        <w:rPr>
                          <w:rFonts w:ascii="Segoe UI" w:hAnsi="Segoe UI" w:cs="Segoe UI"/>
                          <w:b/>
                        </w:rPr>
                        <w:t>17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4DE4">
                        <w:rPr>
                          <w:rFonts w:ascii="Segoe UI" w:hAnsi="Segoe UI" w:cs="Segoe UI"/>
                          <w:b/>
                        </w:rPr>
                        <w:t>3</w:t>
                      </w:r>
                    </w:p>
                    <w:p w14:paraId="6C95D97C" w14:textId="0FC67B75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FC4DE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9(a)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173A759C" w:rsidR="005D3499" w:rsidRPr="00FA3993" w:rsidRDefault="00B35320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</w:t>
      </w:r>
      <w:r w:rsidR="005151B9" w:rsidRPr="005151B9">
        <w:rPr>
          <w:rFonts w:ascii="Segoe UI" w:hAnsi="Segoe UI" w:cs="Segoe UI"/>
          <w:b/>
          <w:vertAlign w:val="superscript"/>
        </w:rPr>
        <w:t>th</w:t>
      </w:r>
      <w:r w:rsidR="005151B9">
        <w:rPr>
          <w:rFonts w:ascii="Segoe UI" w:hAnsi="Segoe UI" w:cs="Segoe UI"/>
          <w:b/>
        </w:rPr>
        <w:t xml:space="preserve"> </w:t>
      </w:r>
      <w:r w:rsidR="00116E79">
        <w:rPr>
          <w:rFonts w:ascii="Segoe UI" w:hAnsi="Segoe UI" w:cs="Segoe UI"/>
          <w:b/>
        </w:rPr>
        <w:t>March</w:t>
      </w:r>
      <w:r w:rsidR="005151B9">
        <w:rPr>
          <w:rFonts w:ascii="Segoe UI" w:hAnsi="Segoe UI" w:cs="Segoe UI"/>
          <w:b/>
        </w:rPr>
        <w:t xml:space="preserve"> 2023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6729CDAA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</w:t>
      </w: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612FD757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</w:t>
      </w:r>
      <w:r w:rsidR="00F941AF">
        <w:rPr>
          <w:rFonts w:ascii="Arial" w:hAnsi="Arial" w:cs="Arial"/>
        </w:rPr>
        <w:t xml:space="preserve">n integrated </w:t>
      </w:r>
      <w:r w:rsidR="004E5389">
        <w:rPr>
          <w:rFonts w:ascii="Arial" w:hAnsi="Arial" w:cs="Arial"/>
        </w:rPr>
        <w:t>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227354">
        <w:rPr>
          <w:rFonts w:ascii="Arial" w:hAnsi="Arial" w:cs="Arial"/>
        </w:rPr>
        <w:t xml:space="preserve">.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56F3CCE1" w14:textId="6CF346C2" w:rsidR="00EB5C3A" w:rsidRPr="00FF5475" w:rsidRDefault="007535CA" w:rsidP="00D90129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 xml:space="preserve">IPR </w:t>
      </w:r>
      <w:r w:rsidR="00896E0E" w:rsidRPr="00FF5475">
        <w:rPr>
          <w:rFonts w:ascii="Arial" w:hAnsi="Arial" w:cs="Arial"/>
          <w:b/>
          <w:bCs/>
          <w:u w:val="single"/>
        </w:rPr>
        <w:t xml:space="preserve">- </w:t>
      </w:r>
      <w:r w:rsidR="00EB5C3A" w:rsidRPr="00FF5475">
        <w:rPr>
          <w:rFonts w:ascii="Arial" w:hAnsi="Arial" w:cs="Arial"/>
          <w:b/>
          <w:bCs/>
          <w:u w:val="single"/>
        </w:rPr>
        <w:t>Performance Summary</w:t>
      </w:r>
    </w:p>
    <w:p w14:paraId="409B7A8F" w14:textId="1F4E28AA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147AC87E" w14:textId="174E8009" w:rsidR="001933A1" w:rsidRPr="00E765F4" w:rsidRDefault="00632969" w:rsidP="00E765F4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 w:rsidRPr="00E765F4">
        <w:rPr>
          <w:rFonts w:ascii="Arial" w:hAnsi="Arial" w:cs="Arial"/>
          <w:b/>
          <w:bCs/>
        </w:rPr>
        <w:t>Delivery o</w:t>
      </w:r>
      <w:r w:rsidR="001933A1" w:rsidRPr="00E765F4">
        <w:rPr>
          <w:rFonts w:ascii="Arial" w:hAnsi="Arial" w:cs="Arial"/>
          <w:b/>
          <w:bCs/>
        </w:rPr>
        <w:t xml:space="preserve">f the </w:t>
      </w:r>
      <w:r w:rsidR="00923166" w:rsidRPr="00E765F4">
        <w:rPr>
          <w:rFonts w:ascii="Arial" w:hAnsi="Arial" w:cs="Arial"/>
          <w:b/>
          <w:bCs/>
        </w:rPr>
        <w:t>NHS</w:t>
      </w:r>
      <w:r w:rsidR="001933A1" w:rsidRPr="00E765F4">
        <w:rPr>
          <w:rFonts w:ascii="Arial" w:hAnsi="Arial" w:cs="Arial"/>
          <w:b/>
          <w:bCs/>
        </w:rPr>
        <w:t xml:space="preserve"> National Oversight Framework</w:t>
      </w:r>
    </w:p>
    <w:p w14:paraId="367FCFDC" w14:textId="6056061C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4C1FFEDB" w14:textId="16AB8E34" w:rsidR="002157CF" w:rsidRPr="002157CF" w:rsidRDefault="001933A1" w:rsidP="00AB7250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BD137B">
        <w:rPr>
          <w:rFonts w:ascii="Arial" w:hAnsi="Arial" w:cs="Arial"/>
        </w:rPr>
        <w:t>continues to perform</w:t>
      </w:r>
      <w:r w:rsidR="0063336D" w:rsidRPr="00372D77">
        <w:rPr>
          <w:rFonts w:ascii="Arial" w:hAnsi="Arial" w:cs="Arial"/>
        </w:rPr>
        <w:t xml:space="preserve"> well against </w:t>
      </w:r>
      <w:r w:rsidR="00086151">
        <w:rPr>
          <w:rFonts w:ascii="Arial" w:hAnsi="Arial" w:cs="Arial"/>
        </w:rPr>
        <w:t>the</w:t>
      </w:r>
      <w:r w:rsidR="0063336D" w:rsidRPr="00372D77">
        <w:rPr>
          <w:rFonts w:ascii="Arial" w:hAnsi="Arial" w:cs="Arial"/>
        </w:rPr>
        <w:t xml:space="preserve"> </w:t>
      </w:r>
      <w:r w:rsidR="00AE7742" w:rsidRPr="00372D77">
        <w:rPr>
          <w:rFonts w:ascii="Arial" w:hAnsi="Arial" w:cs="Arial"/>
        </w:rPr>
        <w:t xml:space="preserve">targeted metrics </w:t>
      </w:r>
      <w:proofErr w:type="gramStart"/>
      <w:r w:rsidR="00AE7742" w:rsidRPr="00372D77">
        <w:rPr>
          <w:rFonts w:ascii="Arial" w:hAnsi="Arial" w:cs="Arial"/>
        </w:rPr>
        <w:t>with the exception of</w:t>
      </w:r>
      <w:proofErr w:type="gramEnd"/>
      <w:r w:rsidR="00AB7250">
        <w:rPr>
          <w:rFonts w:ascii="Arial" w:hAnsi="Arial" w:cs="Arial"/>
        </w:rPr>
        <w:t xml:space="preserve"> </w:t>
      </w:r>
      <w:r w:rsidR="006A5736" w:rsidRPr="002157CF">
        <w:rPr>
          <w:rFonts w:ascii="Arial" w:hAnsi="Arial" w:cs="Arial"/>
        </w:rPr>
        <w:t>Inappropriate OAP</w:t>
      </w:r>
      <w:r w:rsidR="00447DDF" w:rsidRPr="002157CF">
        <w:rPr>
          <w:rFonts w:ascii="Arial" w:hAnsi="Arial" w:cs="Arial"/>
        </w:rPr>
        <w:t>s</w:t>
      </w:r>
      <w:r w:rsidR="006A5736" w:rsidRPr="002157CF">
        <w:rPr>
          <w:rFonts w:ascii="Arial" w:hAnsi="Arial" w:cs="Arial"/>
        </w:rPr>
        <w:t xml:space="preserve"> bed days use</w:t>
      </w:r>
      <w:r w:rsidR="002157CF" w:rsidRPr="002157CF">
        <w:rPr>
          <w:rFonts w:ascii="Arial" w:hAnsi="Arial" w:cs="Arial"/>
        </w:rPr>
        <w:t>d</w:t>
      </w:r>
      <w:r w:rsidR="00AB7250">
        <w:rPr>
          <w:rFonts w:ascii="Arial" w:hAnsi="Arial" w:cs="Arial"/>
        </w:rPr>
        <w:t>.</w:t>
      </w:r>
    </w:p>
    <w:p w14:paraId="78A7938B" w14:textId="77777777" w:rsidR="00071A7A" w:rsidRDefault="00071A7A" w:rsidP="00071A7A">
      <w:pPr>
        <w:pStyle w:val="ListParagraph"/>
        <w:rPr>
          <w:rFonts w:ascii="Arial" w:hAnsi="Arial" w:cs="Arial"/>
          <w:b/>
          <w:bCs/>
        </w:rPr>
      </w:pPr>
    </w:p>
    <w:p w14:paraId="3DB65C8C" w14:textId="45BFC501" w:rsidR="005D13FD" w:rsidRDefault="00CE1D0A" w:rsidP="00D90129">
      <w:pPr>
        <w:rPr>
          <w:rFonts w:ascii="Arial" w:hAnsi="Arial" w:cs="Arial"/>
        </w:rPr>
      </w:pPr>
      <w:r w:rsidRPr="005D13FD">
        <w:rPr>
          <w:rFonts w:ascii="Arial" w:hAnsi="Arial" w:cs="Arial"/>
        </w:rPr>
        <w:t xml:space="preserve">The Trust </w:t>
      </w:r>
      <w:r w:rsidR="00AF49EF" w:rsidRPr="005D13FD">
        <w:rPr>
          <w:rFonts w:ascii="Arial" w:hAnsi="Arial" w:cs="Arial"/>
        </w:rPr>
        <w:t>used</w:t>
      </w:r>
      <w:r w:rsidR="00A44118" w:rsidRPr="005D13FD">
        <w:rPr>
          <w:rFonts w:ascii="Arial" w:hAnsi="Arial" w:cs="Arial"/>
        </w:rPr>
        <w:t xml:space="preserve"> </w:t>
      </w:r>
      <w:r w:rsidR="00861E1B">
        <w:rPr>
          <w:rFonts w:ascii="Arial" w:hAnsi="Arial" w:cs="Arial"/>
          <w:b/>
          <w:bCs/>
        </w:rPr>
        <w:t>168</w:t>
      </w:r>
      <w:r w:rsidR="005D13FD" w:rsidRPr="005D13FD">
        <w:rPr>
          <w:rFonts w:ascii="Arial" w:hAnsi="Arial" w:cs="Arial"/>
          <w:b/>
          <w:bCs/>
        </w:rPr>
        <w:t xml:space="preserve"> inappropriate OAP Bed days in </w:t>
      </w:r>
      <w:r w:rsidR="001F4BAE">
        <w:rPr>
          <w:rFonts w:ascii="Arial" w:hAnsi="Arial" w:cs="Arial"/>
          <w:b/>
          <w:bCs/>
        </w:rPr>
        <w:t>February 2023</w:t>
      </w:r>
      <w:r w:rsidR="00EE7E12" w:rsidRPr="005D13FD">
        <w:rPr>
          <w:rFonts w:ascii="Arial" w:hAnsi="Arial" w:cs="Arial"/>
        </w:rPr>
        <w:t xml:space="preserve"> </w:t>
      </w:r>
      <w:r w:rsidR="001F4BAE">
        <w:rPr>
          <w:rFonts w:ascii="Arial" w:hAnsi="Arial" w:cs="Arial"/>
        </w:rPr>
        <w:t xml:space="preserve">(67 </w:t>
      </w:r>
      <w:r w:rsidR="00EE7E12" w:rsidRPr="005D13FD">
        <w:rPr>
          <w:rFonts w:ascii="Arial" w:hAnsi="Arial" w:cs="Arial"/>
        </w:rPr>
        <w:t xml:space="preserve">inappropriate OAP bed days in Bucks, and </w:t>
      </w:r>
      <w:r w:rsidR="001F4BAE">
        <w:rPr>
          <w:rFonts w:ascii="Arial" w:hAnsi="Arial" w:cs="Arial"/>
        </w:rPr>
        <w:t>101</w:t>
      </w:r>
      <w:r w:rsidR="00EE7E12" w:rsidRPr="005D13FD">
        <w:rPr>
          <w:rFonts w:ascii="Arial" w:hAnsi="Arial" w:cs="Arial"/>
        </w:rPr>
        <w:t xml:space="preserve"> inappropriate OAP bed days in Oxon)</w:t>
      </w:r>
      <w:r w:rsidR="007B4AC1">
        <w:rPr>
          <w:rFonts w:ascii="Arial" w:hAnsi="Arial" w:cs="Arial"/>
        </w:rPr>
        <w:t>.</w:t>
      </w:r>
    </w:p>
    <w:p w14:paraId="345797F8" w14:textId="1C16201E" w:rsidR="005D13FD" w:rsidRDefault="005D13FD" w:rsidP="00D90129">
      <w:pPr>
        <w:rPr>
          <w:rFonts w:ascii="Arial" w:hAnsi="Arial" w:cs="Arial"/>
        </w:rPr>
      </w:pPr>
    </w:p>
    <w:p w14:paraId="1ABF625C" w14:textId="3B5A44FB" w:rsidR="007B4AC1" w:rsidRPr="007B4AC1" w:rsidRDefault="007B4AC1" w:rsidP="007B4AC1">
      <w:pPr>
        <w:rPr>
          <w:rFonts w:ascii="Arial" w:hAnsi="Arial" w:cs="Arial"/>
          <w:lang w:val="en-GB"/>
        </w:rPr>
      </w:pPr>
      <w:r w:rsidRPr="007B4AC1">
        <w:rPr>
          <w:rFonts w:ascii="Arial" w:hAnsi="Arial" w:cs="Arial"/>
          <w:lang w:val="en-GB"/>
        </w:rPr>
        <w:t>Th</w:t>
      </w:r>
      <w:r w:rsidR="000A0507">
        <w:rPr>
          <w:rFonts w:ascii="Arial" w:hAnsi="Arial" w:cs="Arial"/>
          <w:lang w:val="en-GB"/>
        </w:rPr>
        <w:t xml:space="preserve">is is an improvement following directorate </w:t>
      </w:r>
      <w:r w:rsidRPr="007B4AC1">
        <w:rPr>
          <w:rFonts w:ascii="Arial" w:hAnsi="Arial" w:cs="Arial"/>
          <w:lang w:val="en-GB"/>
        </w:rPr>
        <w:t xml:space="preserve">focus on reducing the use of OAPs to improve the quality of patient care and improve cost control. </w:t>
      </w:r>
      <w:r w:rsidR="00432F38">
        <w:rPr>
          <w:rFonts w:ascii="Arial" w:hAnsi="Arial" w:cs="Arial"/>
          <w:lang w:val="en-GB"/>
        </w:rPr>
        <w:t xml:space="preserve"> </w:t>
      </w:r>
    </w:p>
    <w:p w14:paraId="17DAD24D" w14:textId="77777777" w:rsidR="007B4AC1" w:rsidRDefault="007B4AC1" w:rsidP="00D90129">
      <w:pPr>
        <w:rPr>
          <w:rFonts w:ascii="Arial" w:hAnsi="Arial" w:cs="Arial"/>
        </w:rPr>
      </w:pPr>
    </w:p>
    <w:p w14:paraId="5505A8E2" w14:textId="58C8F317" w:rsidR="005D13FD" w:rsidRDefault="00D31344" w:rsidP="00502FD0">
      <w:pPr>
        <w:jc w:val="center"/>
        <w:rPr>
          <w:rFonts w:ascii="Arial" w:hAnsi="Arial" w:cs="Arial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022A8DA" wp14:editId="2AF8ACA3">
            <wp:extent cx="5341874" cy="1837022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3122" cy="18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7E47" w14:textId="1F6DDEB6" w:rsidR="00227A3F" w:rsidRDefault="00B91DD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7A3F" w:rsidRPr="00227A3F">
        <w:rPr>
          <w:rFonts w:ascii="Arial" w:hAnsi="Arial" w:cs="Arial"/>
        </w:rPr>
        <w:t xml:space="preserve">  </w:t>
      </w:r>
    </w:p>
    <w:p w14:paraId="29457BA1" w14:textId="77777777" w:rsidR="40D1B86D" w:rsidRDefault="40D1B86D" w:rsidP="40D1B86D">
      <w:pPr>
        <w:rPr>
          <w:rFonts w:ascii="Arial" w:hAnsi="Arial" w:cs="Arial"/>
          <w:lang w:val="en-GB"/>
        </w:rPr>
      </w:pPr>
    </w:p>
    <w:p w14:paraId="7F77C803" w14:textId="77777777" w:rsidR="00BE4A91" w:rsidRPr="00BE4A91" w:rsidRDefault="00BE4A91" w:rsidP="005C231E">
      <w:pPr>
        <w:pStyle w:val="ListParagraph"/>
        <w:rPr>
          <w:rFonts w:ascii="Arial" w:hAnsi="Arial" w:cs="Arial"/>
          <w:lang w:val="en-GB"/>
        </w:rPr>
      </w:pPr>
    </w:p>
    <w:p w14:paraId="2AC194B3" w14:textId="40C9F441" w:rsidR="003E0F7E" w:rsidRPr="00E765F4" w:rsidRDefault="00274347" w:rsidP="00E765F4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 w:rsidRPr="00E765F4">
        <w:rPr>
          <w:rFonts w:ascii="Arial" w:hAnsi="Arial" w:cs="Arial"/>
          <w:b/>
          <w:bCs/>
        </w:rPr>
        <w:t>Delivery of strategic objective</w:t>
      </w:r>
      <w:r w:rsidR="007674AA" w:rsidRPr="00E765F4">
        <w:rPr>
          <w:rFonts w:ascii="Arial" w:hAnsi="Arial" w:cs="Arial"/>
          <w:b/>
          <w:bCs/>
        </w:rPr>
        <w:t>s</w:t>
      </w:r>
      <w:r w:rsidRPr="00E765F4">
        <w:rPr>
          <w:rFonts w:ascii="Arial" w:hAnsi="Arial" w:cs="Arial"/>
          <w:b/>
          <w:bCs/>
        </w:rPr>
        <w:t xml:space="preserve"> (O</w:t>
      </w:r>
      <w:r w:rsidR="007674AA" w:rsidRPr="00E765F4">
        <w:rPr>
          <w:rFonts w:ascii="Arial" w:hAnsi="Arial" w:cs="Arial"/>
          <w:b/>
          <w:bCs/>
        </w:rPr>
        <w:t>bjective Key Results (OKRs</w:t>
      </w:r>
      <w:r w:rsidRPr="00E765F4">
        <w:rPr>
          <w:rFonts w:ascii="Arial" w:hAnsi="Arial" w:cs="Arial"/>
          <w:b/>
          <w:bCs/>
        </w:rPr>
        <w:t>)</w:t>
      </w:r>
    </w:p>
    <w:p w14:paraId="6DC19EC3" w14:textId="3DEF3780" w:rsidR="00E74196" w:rsidRDefault="00E74196" w:rsidP="00D90129">
      <w:pPr>
        <w:rPr>
          <w:rFonts w:ascii="Arial" w:hAnsi="Arial" w:cs="Arial"/>
          <w:b/>
          <w:bCs/>
        </w:rPr>
      </w:pPr>
    </w:p>
    <w:p w14:paraId="69B8B3F6" w14:textId="3A659CDD" w:rsidR="791C66E6" w:rsidRDefault="791C66E6" w:rsidP="1C13EA72">
      <w:pPr>
        <w:rPr>
          <w:rFonts w:ascii="Arial" w:hAnsi="Arial" w:cs="Arial"/>
        </w:rPr>
      </w:pPr>
      <w:r w:rsidRPr="1C13EA72">
        <w:rPr>
          <w:rFonts w:ascii="Arial" w:hAnsi="Arial" w:cs="Arial"/>
        </w:rPr>
        <w:t xml:space="preserve">The Trust has </w:t>
      </w:r>
      <w:r w:rsidR="5C48E9AF" w:rsidRPr="1C13EA72">
        <w:rPr>
          <w:rFonts w:ascii="Arial" w:hAnsi="Arial" w:cs="Arial"/>
        </w:rPr>
        <w:t>32 OKR</w:t>
      </w:r>
      <w:r w:rsidR="3813A05C" w:rsidRPr="1C13EA72">
        <w:rPr>
          <w:rFonts w:ascii="Arial" w:hAnsi="Arial" w:cs="Arial"/>
        </w:rPr>
        <w:t xml:space="preserve">.  </w:t>
      </w:r>
      <w:r w:rsidR="4324C33D" w:rsidRPr="1C13EA72">
        <w:rPr>
          <w:rFonts w:ascii="Arial" w:hAnsi="Arial" w:cs="Arial"/>
        </w:rPr>
        <w:t xml:space="preserve">21 </w:t>
      </w:r>
      <w:r w:rsidR="3E4358CB" w:rsidRPr="1C13EA72">
        <w:rPr>
          <w:rFonts w:ascii="Arial" w:hAnsi="Arial" w:cs="Arial"/>
        </w:rPr>
        <w:t>of the OKRs h</w:t>
      </w:r>
      <w:r w:rsidR="4324C33D" w:rsidRPr="1C13EA72">
        <w:rPr>
          <w:rFonts w:ascii="Arial" w:hAnsi="Arial" w:cs="Arial"/>
        </w:rPr>
        <w:t>ave targets</w:t>
      </w:r>
      <w:r w:rsidR="39EAC08B" w:rsidRPr="1C13EA72">
        <w:rPr>
          <w:rFonts w:ascii="Arial" w:hAnsi="Arial" w:cs="Arial"/>
        </w:rPr>
        <w:t xml:space="preserve"> attached to </w:t>
      </w:r>
      <w:proofErr w:type="gramStart"/>
      <w:r w:rsidR="39EAC08B" w:rsidRPr="1C13EA72">
        <w:rPr>
          <w:rFonts w:ascii="Arial" w:hAnsi="Arial" w:cs="Arial"/>
        </w:rPr>
        <w:t>them</w:t>
      </w:r>
      <w:proofErr w:type="gramEnd"/>
    </w:p>
    <w:p w14:paraId="1C535D3F" w14:textId="0618B576" w:rsidR="1C13EA72" w:rsidRDefault="1C13EA72" w:rsidP="1C13EA72">
      <w:pPr>
        <w:rPr>
          <w:rFonts w:ascii="Arial" w:hAnsi="Arial" w:cs="Arial"/>
        </w:rPr>
      </w:pPr>
    </w:p>
    <w:p w14:paraId="5EE641D3" w14:textId="014AA2D7" w:rsidR="034C624B" w:rsidRDefault="034C624B" w:rsidP="1C13EA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C13EA72">
        <w:rPr>
          <w:rFonts w:ascii="Arial" w:hAnsi="Arial" w:cs="Arial"/>
        </w:rPr>
        <w:t xml:space="preserve">Quality – </w:t>
      </w:r>
      <w:r w:rsidR="5C48E9AF" w:rsidRPr="1C13EA72">
        <w:rPr>
          <w:rFonts w:ascii="Arial" w:hAnsi="Arial" w:cs="Arial"/>
        </w:rPr>
        <w:t>18</w:t>
      </w:r>
      <w:r w:rsidR="2F1219D1" w:rsidRPr="1C13EA72">
        <w:rPr>
          <w:rFonts w:ascii="Arial" w:hAnsi="Arial" w:cs="Arial"/>
        </w:rPr>
        <w:t xml:space="preserve"> OKRs (8 have targets)</w:t>
      </w:r>
    </w:p>
    <w:p w14:paraId="10C1317A" w14:textId="4C36BFBA" w:rsidR="3433DD82" w:rsidRDefault="3433DD82" w:rsidP="1C13EA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C13EA72">
        <w:rPr>
          <w:rFonts w:ascii="Arial" w:hAnsi="Arial" w:cs="Arial"/>
        </w:rPr>
        <w:t xml:space="preserve">People - </w:t>
      </w:r>
      <w:r w:rsidR="5C48E9AF" w:rsidRPr="1C13EA72">
        <w:rPr>
          <w:rFonts w:ascii="Arial" w:hAnsi="Arial" w:cs="Arial"/>
        </w:rPr>
        <w:t xml:space="preserve">9 </w:t>
      </w:r>
      <w:r w:rsidR="124E04A4" w:rsidRPr="1C13EA72">
        <w:rPr>
          <w:rFonts w:ascii="Arial" w:hAnsi="Arial" w:cs="Arial"/>
        </w:rPr>
        <w:t>OKRs (8 have targets)</w:t>
      </w:r>
    </w:p>
    <w:p w14:paraId="1546E451" w14:textId="75A752F8" w:rsidR="5EA726C0" w:rsidRDefault="5EA726C0" w:rsidP="1C13EA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C13EA72">
        <w:rPr>
          <w:rFonts w:ascii="Arial" w:hAnsi="Arial" w:cs="Arial"/>
        </w:rPr>
        <w:t xml:space="preserve">Sustainability - </w:t>
      </w:r>
      <w:r w:rsidR="5C48E9AF" w:rsidRPr="1C13EA72">
        <w:rPr>
          <w:rFonts w:ascii="Arial" w:hAnsi="Arial" w:cs="Arial"/>
        </w:rPr>
        <w:t xml:space="preserve">5 </w:t>
      </w:r>
      <w:r w:rsidR="3576734F" w:rsidRPr="1C13EA72">
        <w:rPr>
          <w:rFonts w:ascii="Arial" w:hAnsi="Arial" w:cs="Arial"/>
        </w:rPr>
        <w:t>(all have targets)</w:t>
      </w:r>
    </w:p>
    <w:p w14:paraId="359B3FC4" w14:textId="5310317A" w:rsidR="1C13EA72" w:rsidRDefault="1C13EA72" w:rsidP="1C13EA72">
      <w:pPr>
        <w:rPr>
          <w:rFonts w:ascii="Arial" w:hAnsi="Arial" w:cs="Arial"/>
        </w:rPr>
      </w:pPr>
    </w:p>
    <w:p w14:paraId="6956E9D3" w14:textId="5C5806D0" w:rsidR="005C1CBA" w:rsidRPr="00700C38" w:rsidRDefault="50F2E9D5" w:rsidP="00700C38">
      <w:pPr>
        <w:rPr>
          <w:rFonts w:ascii="Arial" w:hAnsi="Arial" w:cs="Arial"/>
        </w:rPr>
      </w:pPr>
      <w:r w:rsidRPr="1C13EA72">
        <w:rPr>
          <w:rFonts w:ascii="Arial" w:hAnsi="Arial" w:cs="Arial"/>
        </w:rPr>
        <w:t xml:space="preserve">The Trust is achieving 29% (6 out of 21) of its OKRs.  </w:t>
      </w:r>
      <w:r w:rsidR="3A7C353E" w:rsidRPr="1C13EA72">
        <w:rPr>
          <w:rFonts w:ascii="Arial" w:hAnsi="Arial" w:cs="Arial"/>
        </w:rPr>
        <w:t xml:space="preserve">The table below provides an overview of the </w:t>
      </w:r>
      <w:r w:rsidR="611F2269" w:rsidRPr="1C13EA72">
        <w:rPr>
          <w:rFonts w:ascii="Arial" w:hAnsi="Arial" w:cs="Arial"/>
        </w:rPr>
        <w:t>1</w:t>
      </w:r>
      <w:r w:rsidR="6008733C" w:rsidRPr="1C13EA72">
        <w:rPr>
          <w:rFonts w:ascii="Arial" w:hAnsi="Arial" w:cs="Arial"/>
        </w:rPr>
        <w:t>5</w:t>
      </w:r>
      <w:r w:rsidR="611F2269" w:rsidRPr="1C13EA72">
        <w:rPr>
          <w:rFonts w:ascii="Arial" w:hAnsi="Arial" w:cs="Arial"/>
        </w:rPr>
        <w:t xml:space="preserve"> </w:t>
      </w:r>
      <w:r w:rsidR="3A7C353E" w:rsidRPr="1C13EA72">
        <w:rPr>
          <w:rFonts w:ascii="Arial" w:hAnsi="Arial" w:cs="Arial"/>
        </w:rPr>
        <w:t>OKRs</w:t>
      </w:r>
      <w:r w:rsidR="2BBF0ABF" w:rsidRPr="1C13EA72">
        <w:rPr>
          <w:rFonts w:ascii="Arial" w:hAnsi="Arial" w:cs="Arial"/>
        </w:rPr>
        <w:t xml:space="preserve"> </w:t>
      </w:r>
      <w:r w:rsidR="3A7C353E" w:rsidRPr="1C13EA72">
        <w:rPr>
          <w:rFonts w:ascii="Arial" w:hAnsi="Arial" w:cs="Arial"/>
        </w:rPr>
        <w:t xml:space="preserve">that </w:t>
      </w:r>
      <w:r w:rsidR="1BFC1684" w:rsidRPr="1C13EA72">
        <w:rPr>
          <w:rFonts w:ascii="Arial" w:hAnsi="Arial" w:cs="Arial"/>
        </w:rPr>
        <w:t xml:space="preserve">are </w:t>
      </w:r>
      <w:r w:rsidR="4A07D688" w:rsidRPr="1C13EA72">
        <w:rPr>
          <w:rFonts w:ascii="Arial" w:hAnsi="Arial" w:cs="Arial"/>
          <w:b/>
          <w:bCs/>
        </w:rPr>
        <w:t xml:space="preserve">currently </w:t>
      </w:r>
      <w:r w:rsidR="5AA5BF3F" w:rsidRPr="1C13EA72">
        <w:rPr>
          <w:rFonts w:ascii="Arial" w:hAnsi="Arial" w:cs="Arial"/>
          <w:b/>
          <w:bCs/>
        </w:rPr>
        <w:t>not achieving target</w:t>
      </w:r>
      <w:r w:rsidR="30455C6E" w:rsidRPr="1C13EA72">
        <w:rPr>
          <w:rFonts w:ascii="Arial" w:hAnsi="Arial" w:cs="Arial"/>
          <w:b/>
          <w:bCs/>
        </w:rPr>
        <w:t xml:space="preserve">, </w:t>
      </w:r>
      <w:r w:rsidR="1BFC1684" w:rsidRPr="1C13EA72">
        <w:rPr>
          <w:rFonts w:ascii="Arial" w:hAnsi="Arial" w:cs="Arial"/>
        </w:rPr>
        <w:t>their performance compared to last month</w:t>
      </w:r>
      <w:r w:rsidR="7CFF1635" w:rsidRPr="1C13EA72">
        <w:rPr>
          <w:rFonts w:ascii="Arial" w:hAnsi="Arial" w:cs="Arial"/>
        </w:rPr>
        <w:t xml:space="preserve"> and the trend (</w:t>
      </w:r>
      <w:proofErr w:type="gramStart"/>
      <w:r w:rsidR="7CFF1635" w:rsidRPr="1C13EA72">
        <w:rPr>
          <w:rFonts w:ascii="Arial" w:hAnsi="Arial" w:cs="Arial"/>
        </w:rPr>
        <w:t>I.e.</w:t>
      </w:r>
      <w:proofErr w:type="gramEnd"/>
      <w:r w:rsidR="7CFF1635" w:rsidRPr="1C13EA72">
        <w:rPr>
          <w:rFonts w:ascii="Arial" w:hAnsi="Arial" w:cs="Arial"/>
        </w:rPr>
        <w:t xml:space="preserve"> whether performance is improving or worsening)</w:t>
      </w:r>
    </w:p>
    <w:p w14:paraId="735B0BDC" w14:textId="77777777" w:rsidR="008F5FE1" w:rsidRDefault="008F5FE1" w:rsidP="00D90129">
      <w:pPr>
        <w:rPr>
          <w:rFonts w:ascii="Arial" w:hAnsi="Arial" w:cs="Arial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47"/>
        <w:gridCol w:w="2245"/>
        <w:gridCol w:w="1201"/>
        <w:gridCol w:w="2017"/>
        <w:gridCol w:w="1694"/>
        <w:gridCol w:w="1397"/>
      </w:tblGrid>
      <w:tr w:rsidR="009B1A87" w14:paraId="69CFFB51" w14:textId="3C58FD0A" w:rsidTr="00EA4C8A">
        <w:tc>
          <w:tcPr>
            <w:tcW w:w="1555" w:type="dxa"/>
            <w:shd w:val="clear" w:color="auto" w:fill="DBE5F1" w:themeFill="accent1" w:themeFillTint="33"/>
          </w:tcPr>
          <w:p w14:paraId="18CB2F71" w14:textId="6BF9BF3A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2278" w:type="dxa"/>
            <w:shd w:val="clear" w:color="auto" w:fill="DBE5F1" w:themeFill="accent1" w:themeFillTint="33"/>
          </w:tcPr>
          <w:p w14:paraId="45E7C869" w14:textId="2B9A037C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OKR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14:paraId="25EF111A" w14:textId="32EEEC40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21A40C8D" w14:textId="152A511F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Last month’s performance</w:t>
            </w:r>
            <w:r w:rsidR="00EF7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unless stated otherwise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8002D1F" w14:textId="4C639983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This month’s performance</w:t>
            </w:r>
            <w:r w:rsidR="00EF7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unless stated otherwise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F02FBE" w14:textId="04C889E2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  <w:r w:rsidR="00EB699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A0E2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B699F">
              <w:rPr>
                <w:rFonts w:ascii="Arial" w:hAnsi="Arial" w:cs="Arial"/>
                <w:b/>
                <w:bCs/>
                <w:sz w:val="22"/>
                <w:szCs w:val="22"/>
              </w:rPr>
              <w:t>Trend</w:t>
            </w:r>
          </w:p>
        </w:tc>
      </w:tr>
      <w:tr w:rsidR="006F2A0D" w:rsidRPr="00DF071F" w14:paraId="178991D5" w14:textId="7801BD45" w:rsidTr="00EA4C8A">
        <w:tc>
          <w:tcPr>
            <w:tcW w:w="1555" w:type="dxa"/>
          </w:tcPr>
          <w:p w14:paraId="322C2901" w14:textId="6A5F33AB" w:rsidR="004E58FB" w:rsidRPr="000E0F84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0F84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632DCE7F" w14:textId="665FC11F" w:rsidR="004E58FB" w:rsidRPr="000E0F8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E0F84">
              <w:rPr>
                <w:rFonts w:ascii="Arial" w:hAnsi="Arial" w:cs="Arial"/>
                <w:sz w:val="22"/>
                <w:szCs w:val="22"/>
              </w:rPr>
              <w:t>Clinical supervision compliance</w:t>
            </w:r>
          </w:p>
        </w:tc>
        <w:tc>
          <w:tcPr>
            <w:tcW w:w="1212" w:type="dxa"/>
          </w:tcPr>
          <w:p w14:paraId="0ADE4CC5" w14:textId="2C2AF01B" w:rsidR="004E58FB" w:rsidRPr="000E0F8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E0F84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2038" w:type="dxa"/>
          </w:tcPr>
          <w:p w14:paraId="53A5CCD9" w14:textId="654F23CE" w:rsidR="004E58FB" w:rsidRPr="000E0F84" w:rsidRDefault="00830004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57.8%</w:t>
            </w:r>
          </w:p>
        </w:tc>
        <w:tc>
          <w:tcPr>
            <w:tcW w:w="1701" w:type="dxa"/>
            <w:shd w:val="clear" w:color="auto" w:fill="FF4343"/>
          </w:tcPr>
          <w:p w14:paraId="6F57D4BF" w14:textId="14355672" w:rsidR="004E58FB" w:rsidRPr="000E0F84" w:rsidRDefault="00172AF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57%</w:t>
            </w:r>
          </w:p>
        </w:tc>
        <w:tc>
          <w:tcPr>
            <w:tcW w:w="1417" w:type="dxa"/>
            <w:shd w:val="clear" w:color="auto" w:fill="auto"/>
          </w:tcPr>
          <w:p w14:paraId="75C6F03B" w14:textId="755E3BA8" w:rsidR="004E58FB" w:rsidRPr="001A4FC9" w:rsidRDefault="001A4FC9" w:rsidP="001A4FC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A4FC9">
              <w:rPr>
                <w:rFonts w:ascii="Wingdings" w:eastAsia="Wingdings" w:hAnsi="Wingdings" w:cs="Wingdings"/>
                <w:b/>
                <w:bCs/>
                <w:color w:val="FF0000"/>
                <w:sz w:val="28"/>
                <w:szCs w:val="28"/>
                <w:lang w:val="en-GB"/>
              </w:rPr>
              <w:t>è</w:t>
            </w:r>
          </w:p>
        </w:tc>
      </w:tr>
      <w:tr w:rsidR="006F2A0D" w:rsidRPr="00540D97" w14:paraId="7198D372" w14:textId="77777777" w:rsidTr="00EA4C8A">
        <w:tc>
          <w:tcPr>
            <w:tcW w:w="1555" w:type="dxa"/>
          </w:tcPr>
          <w:p w14:paraId="30947894" w14:textId="26C96B9E" w:rsidR="003128FA" w:rsidRPr="00EE10B4" w:rsidRDefault="003128FA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4AE28455" w14:textId="51FC2B88" w:rsidR="003128FA" w:rsidRPr="00EE10B4" w:rsidRDefault="003128FA" w:rsidP="00312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use of prone restraint</w:t>
            </w:r>
          </w:p>
        </w:tc>
        <w:tc>
          <w:tcPr>
            <w:tcW w:w="1212" w:type="dxa"/>
          </w:tcPr>
          <w:p w14:paraId="6EFB7E0D" w14:textId="339FE58F" w:rsidR="003128FA" w:rsidRPr="00EE10B4" w:rsidRDefault="00A82AC4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 YE</w:t>
            </w:r>
          </w:p>
        </w:tc>
        <w:tc>
          <w:tcPr>
            <w:tcW w:w="2038" w:type="dxa"/>
          </w:tcPr>
          <w:p w14:paraId="411FBC5F" w14:textId="749BED5D" w:rsidR="003128FA" w:rsidRPr="00B41069" w:rsidRDefault="00A82AC4" w:rsidP="004E58FB">
            <w:pPr>
              <w:rPr>
                <w:rFonts w:ascii="Arial" w:hAnsi="Arial" w:cs="Arial"/>
                <w:sz w:val="20"/>
                <w:szCs w:val="20"/>
              </w:rPr>
            </w:pPr>
            <w:r w:rsidRPr="00B41069">
              <w:rPr>
                <w:rFonts w:ascii="Arial" w:hAnsi="Arial" w:cs="Arial"/>
                <w:sz w:val="20"/>
                <w:szCs w:val="20"/>
              </w:rPr>
              <w:t>Not known due to change in reporting approach</w:t>
            </w:r>
          </w:p>
        </w:tc>
        <w:tc>
          <w:tcPr>
            <w:tcW w:w="1701" w:type="dxa"/>
            <w:shd w:val="clear" w:color="auto" w:fill="FF4343"/>
          </w:tcPr>
          <w:p w14:paraId="798A67E4" w14:textId="5FA3B154" w:rsidR="003128FA" w:rsidRPr="00EE10B4" w:rsidRDefault="00A82AC4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 YTD</w:t>
            </w:r>
          </w:p>
        </w:tc>
        <w:tc>
          <w:tcPr>
            <w:tcW w:w="1417" w:type="dxa"/>
            <w:shd w:val="clear" w:color="auto" w:fill="auto"/>
          </w:tcPr>
          <w:p w14:paraId="4DC09ECC" w14:textId="6E2B5EC2" w:rsidR="003128FA" w:rsidRDefault="001A4FC9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2A0D" w:rsidRPr="00540D97" w14:paraId="0BB92129" w14:textId="77777777" w:rsidTr="00EA4C8A">
        <w:tc>
          <w:tcPr>
            <w:tcW w:w="1555" w:type="dxa"/>
          </w:tcPr>
          <w:p w14:paraId="720ECBBE" w14:textId="357B4004" w:rsidR="00453E32" w:rsidRPr="00D15928" w:rsidRDefault="00453E32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928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3CAB28F1" w14:textId="5E894610" w:rsidR="00453E32" w:rsidRPr="00D15928" w:rsidRDefault="00453E32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Patient safety partners employed</w:t>
            </w:r>
          </w:p>
        </w:tc>
        <w:tc>
          <w:tcPr>
            <w:tcW w:w="1212" w:type="dxa"/>
          </w:tcPr>
          <w:p w14:paraId="0D4E7534" w14:textId="2268054E" w:rsidR="00453E32" w:rsidRPr="00D15928" w:rsidRDefault="00453E3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2 YE</w:t>
            </w:r>
          </w:p>
        </w:tc>
        <w:tc>
          <w:tcPr>
            <w:tcW w:w="2038" w:type="dxa"/>
          </w:tcPr>
          <w:p w14:paraId="15F30297" w14:textId="348DE6B6" w:rsidR="00453E32" w:rsidRPr="00D15928" w:rsidRDefault="00453E3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C000"/>
          </w:tcPr>
          <w:p w14:paraId="26B72543" w14:textId="0BA044DA" w:rsidR="00453E32" w:rsidRPr="00D15928" w:rsidRDefault="00453E3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B1D3CFA" w14:textId="067442A3" w:rsidR="00453E32" w:rsidRDefault="007C6988" w:rsidP="007C6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FC9">
              <w:rPr>
                <w:rFonts w:ascii="Wingdings" w:eastAsia="Wingdings" w:hAnsi="Wingdings" w:cs="Wingdings"/>
                <w:b/>
                <w:bCs/>
                <w:color w:val="FFC000"/>
                <w:sz w:val="28"/>
                <w:szCs w:val="28"/>
                <w:lang w:val="en-GB"/>
              </w:rPr>
              <w:t>è</w:t>
            </w:r>
          </w:p>
        </w:tc>
      </w:tr>
      <w:tr w:rsidR="003374ED" w:rsidRPr="00540D97" w14:paraId="73CF1277" w14:textId="77777777" w:rsidTr="00EA4C8A">
        <w:tc>
          <w:tcPr>
            <w:tcW w:w="1555" w:type="dxa"/>
          </w:tcPr>
          <w:p w14:paraId="71B22E78" w14:textId="7067825E" w:rsidR="004E58FB" w:rsidRPr="00EE10B4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B4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5BADB59E" w14:textId="1D6F040C" w:rsidR="004E58FB" w:rsidRPr="00EE10B4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Lester Tool completion in the community</w:t>
            </w:r>
          </w:p>
        </w:tc>
        <w:tc>
          <w:tcPr>
            <w:tcW w:w="1212" w:type="dxa"/>
          </w:tcPr>
          <w:p w14:paraId="653FE702" w14:textId="3FCEC451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2038" w:type="dxa"/>
          </w:tcPr>
          <w:p w14:paraId="321D4A56" w14:textId="19DCE945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4343"/>
          </w:tcPr>
          <w:p w14:paraId="28B99A36" w14:textId="28FC84D3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64%</w:t>
            </w:r>
            <w:r w:rsidR="00EF76FA" w:rsidRPr="00EE1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6FA" w:rsidRPr="009B24DB">
              <w:rPr>
                <w:rFonts w:ascii="Arial" w:hAnsi="Arial" w:cs="Arial"/>
                <w:sz w:val="20"/>
                <w:szCs w:val="20"/>
              </w:rPr>
              <w:t>(July</w:t>
            </w:r>
            <w:r w:rsidR="009B24DB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417" w:type="dxa"/>
            <w:shd w:val="clear" w:color="auto" w:fill="auto"/>
          </w:tcPr>
          <w:p w14:paraId="735DE2B4" w14:textId="3D200BFE" w:rsidR="004E58FB" w:rsidRPr="00B41069" w:rsidRDefault="00D06AA3" w:rsidP="004E58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1069">
              <w:rPr>
                <w:rFonts w:ascii="Arial" w:hAnsi="Arial" w:cs="Arial"/>
                <w:sz w:val="20"/>
                <w:szCs w:val="20"/>
              </w:rPr>
              <w:t>Current s</w:t>
            </w:r>
            <w:r w:rsidR="00BA0B84" w:rsidRPr="00B41069">
              <w:rPr>
                <w:rFonts w:ascii="Arial" w:hAnsi="Arial" w:cs="Arial"/>
                <w:sz w:val="20"/>
                <w:szCs w:val="20"/>
              </w:rPr>
              <w:t>tatus</w:t>
            </w:r>
            <w:proofErr w:type="gramEnd"/>
            <w:r w:rsidR="00BA0B84" w:rsidRPr="00B41069">
              <w:rPr>
                <w:rFonts w:ascii="Arial" w:hAnsi="Arial" w:cs="Arial"/>
                <w:sz w:val="20"/>
                <w:szCs w:val="20"/>
              </w:rPr>
              <w:t xml:space="preserve"> not known </w:t>
            </w:r>
          </w:p>
        </w:tc>
      </w:tr>
      <w:tr w:rsidR="003374ED" w:rsidRPr="00540D97" w14:paraId="7566C33F" w14:textId="77777777" w:rsidTr="00EA4C8A">
        <w:tc>
          <w:tcPr>
            <w:tcW w:w="1555" w:type="dxa"/>
          </w:tcPr>
          <w:p w14:paraId="650BC19C" w14:textId="77777777" w:rsidR="004E58FB" w:rsidRPr="00EE10B4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B4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0F0F7C61" w14:textId="14029919" w:rsidR="004E58FB" w:rsidRPr="00EE10B4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Lester Tool completion in the EIP service</w:t>
            </w:r>
          </w:p>
        </w:tc>
        <w:tc>
          <w:tcPr>
            <w:tcW w:w="1212" w:type="dxa"/>
          </w:tcPr>
          <w:p w14:paraId="60234EA2" w14:textId="37809618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2038" w:type="dxa"/>
          </w:tcPr>
          <w:p w14:paraId="458C7BF0" w14:textId="1EB24A43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4343"/>
          </w:tcPr>
          <w:p w14:paraId="397B6CEC" w14:textId="4A206759" w:rsidR="004E58FB" w:rsidRPr="00EE10B4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E10B4">
              <w:rPr>
                <w:rFonts w:ascii="Arial" w:hAnsi="Arial" w:cs="Arial"/>
                <w:sz w:val="22"/>
                <w:szCs w:val="22"/>
              </w:rPr>
              <w:t>80.5%</w:t>
            </w:r>
            <w:r w:rsidR="005A134E" w:rsidRPr="00EE1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34E" w:rsidRPr="009B24DB">
              <w:rPr>
                <w:rFonts w:ascii="Arial" w:hAnsi="Arial" w:cs="Arial"/>
                <w:sz w:val="20"/>
                <w:szCs w:val="20"/>
              </w:rPr>
              <w:t>(July</w:t>
            </w:r>
            <w:r w:rsidR="00B41069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417" w:type="dxa"/>
            <w:shd w:val="clear" w:color="auto" w:fill="auto"/>
          </w:tcPr>
          <w:p w14:paraId="4F0E5F31" w14:textId="5C24CCFF" w:rsidR="004E58FB" w:rsidRPr="00B41069" w:rsidRDefault="00D06AA3" w:rsidP="004E58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1069">
              <w:rPr>
                <w:rFonts w:ascii="Arial" w:hAnsi="Arial" w:cs="Arial"/>
                <w:sz w:val="20"/>
                <w:szCs w:val="20"/>
              </w:rPr>
              <w:t>Current s</w:t>
            </w:r>
            <w:r w:rsidR="00F00E64" w:rsidRPr="00B41069">
              <w:rPr>
                <w:rFonts w:ascii="Arial" w:hAnsi="Arial" w:cs="Arial"/>
                <w:sz w:val="20"/>
                <w:szCs w:val="20"/>
              </w:rPr>
              <w:t>tatus</w:t>
            </w:r>
            <w:proofErr w:type="gramEnd"/>
            <w:r w:rsidR="00F00E64" w:rsidRPr="00B41069">
              <w:rPr>
                <w:rFonts w:ascii="Arial" w:hAnsi="Arial" w:cs="Arial"/>
                <w:sz w:val="20"/>
                <w:szCs w:val="20"/>
              </w:rPr>
              <w:t xml:space="preserve"> not known</w:t>
            </w:r>
          </w:p>
        </w:tc>
      </w:tr>
      <w:tr w:rsidR="006F2A0D" w14:paraId="0DA855F0" w14:textId="77777777" w:rsidTr="00EA4C8A">
        <w:tc>
          <w:tcPr>
            <w:tcW w:w="1555" w:type="dxa"/>
          </w:tcPr>
          <w:p w14:paraId="4734AF0E" w14:textId="05C7FAD6" w:rsidR="004E58FB" w:rsidRPr="00D15928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928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278" w:type="dxa"/>
          </w:tcPr>
          <w:p w14:paraId="4B2C8DCB" w14:textId="24182D86" w:rsidR="004E58FB" w:rsidRPr="00D15928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Evidence patients have been involved in their care plans</w:t>
            </w:r>
          </w:p>
        </w:tc>
        <w:tc>
          <w:tcPr>
            <w:tcW w:w="1212" w:type="dxa"/>
          </w:tcPr>
          <w:p w14:paraId="5D01E93D" w14:textId="25F7193A" w:rsidR="004E58FB" w:rsidRPr="00D15928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2038" w:type="dxa"/>
          </w:tcPr>
          <w:p w14:paraId="07487932" w14:textId="383FF586" w:rsidR="004E58FB" w:rsidRPr="00D15928" w:rsidRDefault="009953B5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8</w:t>
            </w:r>
            <w:r w:rsidR="002460E3" w:rsidRPr="00D15928">
              <w:rPr>
                <w:rFonts w:ascii="Arial" w:hAnsi="Arial" w:cs="Arial"/>
                <w:sz w:val="22"/>
                <w:szCs w:val="22"/>
              </w:rPr>
              <w:t>3</w:t>
            </w:r>
            <w:r w:rsidR="004E58FB" w:rsidRPr="00D15928">
              <w:rPr>
                <w:rFonts w:ascii="Arial" w:hAnsi="Arial" w:cs="Arial"/>
                <w:sz w:val="22"/>
                <w:szCs w:val="22"/>
              </w:rPr>
              <w:t>%</w:t>
            </w:r>
            <w:r w:rsidR="00D73C6B" w:rsidRPr="00D1592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460E3" w:rsidRPr="00B41069">
              <w:rPr>
                <w:rFonts w:ascii="Arial" w:hAnsi="Arial" w:cs="Arial"/>
                <w:sz w:val="20"/>
                <w:szCs w:val="20"/>
              </w:rPr>
              <w:t>June performance</w:t>
            </w:r>
            <w:r w:rsidR="00D73C6B" w:rsidRPr="00D159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4343"/>
          </w:tcPr>
          <w:p w14:paraId="025E1B7B" w14:textId="40263A18" w:rsidR="004E58FB" w:rsidRPr="00D15928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Arial" w:hAnsi="Arial" w:cs="Arial"/>
                <w:sz w:val="22"/>
                <w:szCs w:val="22"/>
              </w:rPr>
              <w:t>8</w:t>
            </w:r>
            <w:r w:rsidR="002460E3" w:rsidRPr="00D15928">
              <w:rPr>
                <w:rFonts w:ascii="Arial" w:hAnsi="Arial" w:cs="Arial"/>
                <w:sz w:val="22"/>
                <w:szCs w:val="22"/>
              </w:rPr>
              <w:t>0</w:t>
            </w:r>
            <w:r w:rsidRPr="00D15928">
              <w:rPr>
                <w:rFonts w:ascii="Arial" w:hAnsi="Arial" w:cs="Arial"/>
                <w:sz w:val="22"/>
                <w:szCs w:val="22"/>
              </w:rPr>
              <w:t>%</w:t>
            </w:r>
            <w:r w:rsidR="00D73C6B" w:rsidRPr="00D1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935" w:rsidRPr="00D15928">
              <w:rPr>
                <w:rFonts w:ascii="Arial" w:hAnsi="Arial" w:cs="Arial"/>
                <w:sz w:val="22"/>
                <w:szCs w:val="22"/>
              </w:rPr>
              <w:t>(</w:t>
            </w:r>
            <w:r w:rsidR="00462935" w:rsidRPr="00B41069">
              <w:rPr>
                <w:rFonts w:ascii="Arial" w:hAnsi="Arial" w:cs="Arial"/>
                <w:sz w:val="20"/>
                <w:szCs w:val="20"/>
              </w:rPr>
              <w:t>December</w:t>
            </w:r>
            <w:r w:rsidR="00462935" w:rsidRPr="00D159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50E684" w14:textId="79FC0862" w:rsidR="004E58FB" w:rsidRPr="00D15928" w:rsidRDefault="00462935" w:rsidP="00462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5928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ê</w:t>
            </w:r>
          </w:p>
        </w:tc>
      </w:tr>
      <w:tr w:rsidR="006F2A0D" w14:paraId="5567D01F" w14:textId="77777777" w:rsidTr="00EA4C8A">
        <w:tc>
          <w:tcPr>
            <w:tcW w:w="1555" w:type="dxa"/>
          </w:tcPr>
          <w:p w14:paraId="2B4E881E" w14:textId="71B87F69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7EC8BE69" w14:textId="5BC7D885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Reduce agency usage to NHSE/I target </w:t>
            </w:r>
          </w:p>
        </w:tc>
        <w:tc>
          <w:tcPr>
            <w:tcW w:w="1212" w:type="dxa"/>
          </w:tcPr>
          <w:p w14:paraId="763DC857" w14:textId="3E32BFD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&lt;10.2%</w:t>
            </w:r>
          </w:p>
        </w:tc>
        <w:tc>
          <w:tcPr>
            <w:tcW w:w="2038" w:type="dxa"/>
          </w:tcPr>
          <w:p w14:paraId="3B3B97BC" w14:textId="4828A9EC" w:rsidR="004E58FB" w:rsidRPr="0004303D" w:rsidRDefault="00186A74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12.4%</w:t>
            </w:r>
          </w:p>
        </w:tc>
        <w:tc>
          <w:tcPr>
            <w:tcW w:w="1701" w:type="dxa"/>
            <w:shd w:val="clear" w:color="auto" w:fill="FF4343"/>
          </w:tcPr>
          <w:p w14:paraId="7838D0F3" w14:textId="512B1686" w:rsidR="004E58FB" w:rsidRPr="0004303D" w:rsidRDefault="00186A74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11.3%</w:t>
            </w:r>
          </w:p>
        </w:tc>
        <w:tc>
          <w:tcPr>
            <w:tcW w:w="1417" w:type="dxa"/>
            <w:shd w:val="clear" w:color="auto" w:fill="auto"/>
          </w:tcPr>
          <w:p w14:paraId="36B4E952" w14:textId="51B07818" w:rsidR="004E58FB" w:rsidRPr="00462935" w:rsidRDefault="00462935" w:rsidP="00462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935">
              <w:rPr>
                <w:rFonts w:ascii="Wingdings" w:eastAsia="Wingdings" w:hAnsi="Wingdings" w:cs="Wingdings"/>
                <w:color w:val="00B050"/>
                <w:sz w:val="28"/>
                <w:szCs w:val="28"/>
              </w:rPr>
              <w:t>ê</w:t>
            </w:r>
          </w:p>
        </w:tc>
      </w:tr>
      <w:tr w:rsidR="006F2A0D" w14:paraId="0257BD59" w14:textId="77777777" w:rsidTr="00EA4C8A">
        <w:tc>
          <w:tcPr>
            <w:tcW w:w="1555" w:type="dxa"/>
          </w:tcPr>
          <w:p w14:paraId="72F3F8E2" w14:textId="3130107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149FFA81" w14:textId="2A45547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Staff sickness</w:t>
            </w:r>
          </w:p>
        </w:tc>
        <w:tc>
          <w:tcPr>
            <w:tcW w:w="1212" w:type="dxa"/>
          </w:tcPr>
          <w:p w14:paraId="5859D8D7" w14:textId="326BFC05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&lt;3.5%</w:t>
            </w:r>
          </w:p>
        </w:tc>
        <w:tc>
          <w:tcPr>
            <w:tcW w:w="2038" w:type="dxa"/>
          </w:tcPr>
          <w:p w14:paraId="09E08FDE" w14:textId="2171CA9A" w:rsidR="004E58FB" w:rsidRPr="0004303D" w:rsidRDefault="008C247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7F3D3F">
              <w:rPr>
                <w:rFonts w:ascii="Arial" w:hAnsi="Arial" w:cs="Arial"/>
                <w:sz w:val="22"/>
                <w:szCs w:val="22"/>
              </w:rPr>
              <w:t>5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4343"/>
          </w:tcPr>
          <w:p w14:paraId="06FBF05F" w14:textId="1A39BE7E" w:rsidR="004E58FB" w:rsidRPr="0004303D" w:rsidRDefault="007F3D3F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A41333F" w14:textId="5670EE4B" w:rsidR="004E58FB" w:rsidRPr="0004303D" w:rsidRDefault="0003092A" w:rsidP="005C0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935">
              <w:rPr>
                <w:rFonts w:ascii="Wingdings" w:eastAsia="Wingdings" w:hAnsi="Wingdings" w:cs="Wingdings"/>
                <w:color w:val="00B050"/>
                <w:sz w:val="28"/>
                <w:szCs w:val="28"/>
              </w:rPr>
              <w:t>ê</w:t>
            </w:r>
          </w:p>
        </w:tc>
      </w:tr>
      <w:tr w:rsidR="00AA0E26" w14:paraId="558913EB" w14:textId="77777777" w:rsidTr="00EA4C8A">
        <w:tc>
          <w:tcPr>
            <w:tcW w:w="1555" w:type="dxa"/>
          </w:tcPr>
          <w:p w14:paraId="7C90A791" w14:textId="1017E944" w:rsidR="00B656A0" w:rsidRDefault="00B656A0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54796414" w14:textId="1EAA41AB" w:rsidR="00B656A0" w:rsidRDefault="00B656A0" w:rsidP="002D2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turnover</w:t>
            </w:r>
          </w:p>
        </w:tc>
        <w:tc>
          <w:tcPr>
            <w:tcW w:w="1212" w:type="dxa"/>
          </w:tcPr>
          <w:p w14:paraId="50013D97" w14:textId="779DDFA7" w:rsidR="00B656A0" w:rsidRDefault="001B1B21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&lt;10%</w:t>
            </w:r>
          </w:p>
        </w:tc>
        <w:tc>
          <w:tcPr>
            <w:tcW w:w="2038" w:type="dxa"/>
            <w:shd w:val="clear" w:color="auto" w:fill="FFFFFF" w:themeFill="background1"/>
          </w:tcPr>
          <w:p w14:paraId="5AA49A07" w14:textId="3EF37EC7" w:rsidR="00B656A0" w:rsidRDefault="001B1B21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16.4%</w:t>
            </w:r>
          </w:p>
        </w:tc>
        <w:tc>
          <w:tcPr>
            <w:tcW w:w="1701" w:type="dxa"/>
            <w:shd w:val="clear" w:color="auto" w:fill="FF4343"/>
          </w:tcPr>
          <w:p w14:paraId="77B5E604" w14:textId="19EF6855" w:rsidR="00B656A0" w:rsidRDefault="001B1B21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16.4%</w:t>
            </w:r>
          </w:p>
        </w:tc>
        <w:tc>
          <w:tcPr>
            <w:tcW w:w="1417" w:type="dxa"/>
            <w:shd w:val="clear" w:color="auto" w:fill="auto"/>
          </w:tcPr>
          <w:p w14:paraId="184621BD" w14:textId="599383E4" w:rsidR="00B656A0" w:rsidRPr="00193870" w:rsidRDefault="00193870" w:rsidP="001938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41C">
              <w:rPr>
                <w:rFonts w:ascii="Wingdings" w:eastAsia="Wingdings" w:hAnsi="Wingdings" w:cs="Wingdings"/>
                <w:b/>
                <w:bCs/>
                <w:color w:val="FF0000"/>
                <w:sz w:val="28"/>
                <w:szCs w:val="28"/>
              </w:rPr>
              <w:t>è</w:t>
            </w:r>
          </w:p>
        </w:tc>
      </w:tr>
      <w:tr w:rsidR="00847A1C" w14:paraId="11B3E5C8" w14:textId="77777777" w:rsidTr="00EA4C8A">
        <w:tc>
          <w:tcPr>
            <w:tcW w:w="1555" w:type="dxa"/>
          </w:tcPr>
          <w:p w14:paraId="74B01A5E" w14:textId="636BFCDD" w:rsidR="002D2328" w:rsidRPr="0004303D" w:rsidRDefault="002D2328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22F089DA" w14:textId="71875A2E" w:rsidR="002D2328" w:rsidRPr="0004303D" w:rsidRDefault="002D2328" w:rsidP="002D2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early turnover</w:t>
            </w:r>
          </w:p>
        </w:tc>
        <w:tc>
          <w:tcPr>
            <w:tcW w:w="1212" w:type="dxa"/>
          </w:tcPr>
          <w:p w14:paraId="00E533DC" w14:textId="7B4D0EC0" w:rsidR="002D2328" w:rsidRPr="0004303D" w:rsidRDefault="002D2328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1B1B2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38" w:type="dxa"/>
            <w:shd w:val="clear" w:color="auto" w:fill="FFFFFF" w:themeFill="background1"/>
          </w:tcPr>
          <w:p w14:paraId="74033338" w14:textId="0214D69D" w:rsidR="002D2328" w:rsidRPr="0004303D" w:rsidRDefault="007B6B0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232C">
              <w:rPr>
                <w:rFonts w:ascii="Arial" w:hAnsi="Arial" w:cs="Arial"/>
                <w:sz w:val="22"/>
                <w:szCs w:val="22"/>
              </w:rPr>
              <w:t>9.</w:t>
            </w:r>
            <w:r w:rsidR="001B1B2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4343"/>
          </w:tcPr>
          <w:p w14:paraId="39D0E34E" w14:textId="0708C237" w:rsidR="002D2328" w:rsidRDefault="007B6B0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232C">
              <w:rPr>
                <w:rFonts w:ascii="Arial" w:hAnsi="Arial" w:cs="Arial"/>
                <w:sz w:val="22"/>
                <w:szCs w:val="22"/>
              </w:rPr>
              <w:t>9.</w:t>
            </w:r>
            <w:r w:rsidR="001B1B2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1DAD0560" w14:textId="67E40FB8" w:rsidR="002D2328" w:rsidRDefault="00E9220E" w:rsidP="00E92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935">
              <w:rPr>
                <w:rFonts w:ascii="Wingdings" w:eastAsia="Wingdings" w:hAnsi="Wingdings" w:cs="Wingdings"/>
                <w:color w:val="00B050"/>
                <w:sz w:val="28"/>
                <w:szCs w:val="28"/>
              </w:rPr>
              <w:t>ê</w:t>
            </w:r>
          </w:p>
        </w:tc>
      </w:tr>
      <w:tr w:rsidR="00847A1C" w14:paraId="3E3C2EB0" w14:textId="77777777" w:rsidTr="00EA4C8A">
        <w:tc>
          <w:tcPr>
            <w:tcW w:w="1555" w:type="dxa"/>
          </w:tcPr>
          <w:p w14:paraId="5277759F" w14:textId="0C4904CE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4BE83772" w14:textId="7ED5F0E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Reduction in vacancies</w:t>
            </w:r>
          </w:p>
        </w:tc>
        <w:tc>
          <w:tcPr>
            <w:tcW w:w="1212" w:type="dxa"/>
          </w:tcPr>
          <w:p w14:paraId="26A3E35D" w14:textId="68377B98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&lt;9%</w:t>
            </w:r>
          </w:p>
        </w:tc>
        <w:tc>
          <w:tcPr>
            <w:tcW w:w="2038" w:type="dxa"/>
            <w:shd w:val="clear" w:color="auto" w:fill="FFFFFF" w:themeFill="background1"/>
          </w:tcPr>
          <w:p w14:paraId="78561D2E" w14:textId="575EDE96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</w:t>
            </w:r>
            <w:r w:rsidR="00BB48AC">
              <w:rPr>
                <w:rFonts w:ascii="Arial" w:hAnsi="Arial" w:cs="Arial"/>
                <w:sz w:val="22"/>
                <w:szCs w:val="22"/>
              </w:rPr>
              <w:t>3.7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4343"/>
          </w:tcPr>
          <w:p w14:paraId="1AAA68F8" w14:textId="709949B0" w:rsidR="004E58FB" w:rsidRPr="0004303D" w:rsidRDefault="006171A9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B48AC">
              <w:rPr>
                <w:rFonts w:ascii="Arial" w:hAnsi="Arial" w:cs="Arial"/>
                <w:sz w:val="22"/>
                <w:szCs w:val="22"/>
              </w:rPr>
              <w:t>1.7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1689C44B" w14:textId="72A8C1F8" w:rsidR="004E58FB" w:rsidRPr="00847A1C" w:rsidRDefault="00E9220E" w:rsidP="00E92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935">
              <w:rPr>
                <w:rFonts w:ascii="Wingdings" w:eastAsia="Wingdings" w:hAnsi="Wingdings" w:cs="Wingdings"/>
                <w:color w:val="00B050"/>
                <w:sz w:val="28"/>
                <w:szCs w:val="28"/>
              </w:rPr>
              <w:t>ê</w:t>
            </w:r>
          </w:p>
        </w:tc>
      </w:tr>
      <w:tr w:rsidR="00847A1C" w14:paraId="52E6063C" w14:textId="77777777" w:rsidTr="00EA4C8A">
        <w:tc>
          <w:tcPr>
            <w:tcW w:w="1555" w:type="dxa"/>
          </w:tcPr>
          <w:p w14:paraId="5C1F347B" w14:textId="48C8C874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342D3464" w14:textId="3392E3AD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Personal Development Review (PDR) compliance</w:t>
            </w:r>
          </w:p>
        </w:tc>
        <w:tc>
          <w:tcPr>
            <w:tcW w:w="1212" w:type="dxa"/>
          </w:tcPr>
          <w:p w14:paraId="453FB4C6" w14:textId="7CE7ECFE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2038" w:type="dxa"/>
            <w:shd w:val="clear" w:color="auto" w:fill="FFFFFF" w:themeFill="background1"/>
          </w:tcPr>
          <w:p w14:paraId="3806DE9B" w14:textId="295FA6BE" w:rsidR="004E58FB" w:rsidRPr="0004303D" w:rsidRDefault="00F1129E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44.5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4343"/>
          </w:tcPr>
          <w:p w14:paraId="7A96AF81" w14:textId="694DD639" w:rsidR="004E58FB" w:rsidRPr="0004303D" w:rsidRDefault="0054679B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129E">
              <w:rPr>
                <w:rFonts w:ascii="Arial" w:hAnsi="Arial" w:cs="Arial"/>
                <w:sz w:val="22"/>
                <w:szCs w:val="22"/>
              </w:rPr>
              <w:t>6.3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1D7E7D8" w14:textId="570A7944" w:rsidR="004E58FB" w:rsidRPr="00B932C8" w:rsidRDefault="00B932C8" w:rsidP="00B932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20C4">
              <w:rPr>
                <w:rFonts w:ascii="Wingdings" w:eastAsia="Wingdings" w:hAnsi="Wingdings" w:cs="Wingdings"/>
                <w:b/>
                <w:bCs/>
                <w:color w:val="00B050"/>
                <w:sz w:val="28"/>
                <w:szCs w:val="28"/>
              </w:rPr>
              <w:t>é</w:t>
            </w:r>
          </w:p>
        </w:tc>
      </w:tr>
      <w:tr w:rsidR="006F2A0D" w14:paraId="241C7B0D" w14:textId="77777777" w:rsidTr="00EA4C8A">
        <w:tc>
          <w:tcPr>
            <w:tcW w:w="1555" w:type="dxa"/>
          </w:tcPr>
          <w:p w14:paraId="50F33B25" w14:textId="7E647DA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278" w:type="dxa"/>
          </w:tcPr>
          <w:p w14:paraId="1E30E00C" w14:textId="49BC1094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PPST compliance</w:t>
            </w:r>
          </w:p>
        </w:tc>
        <w:tc>
          <w:tcPr>
            <w:tcW w:w="1212" w:type="dxa"/>
          </w:tcPr>
          <w:p w14:paraId="540FEB86" w14:textId="0DD56709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2038" w:type="dxa"/>
            <w:shd w:val="clear" w:color="auto" w:fill="FFFFFF" w:themeFill="background1"/>
          </w:tcPr>
          <w:p w14:paraId="01CB523E" w14:textId="41620F79" w:rsidR="004E58FB" w:rsidRPr="0004303D" w:rsidRDefault="00E34511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84.8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C000"/>
          </w:tcPr>
          <w:p w14:paraId="701ED0D7" w14:textId="6048909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</w:t>
            </w:r>
            <w:r w:rsidR="00E34511">
              <w:rPr>
                <w:rFonts w:ascii="Arial" w:hAnsi="Arial" w:cs="Arial"/>
                <w:sz w:val="22"/>
                <w:szCs w:val="22"/>
              </w:rPr>
              <w:t>5.2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93EAA69" w14:textId="7E23221E" w:rsidR="004E58FB" w:rsidRPr="0004303D" w:rsidRDefault="007720C4" w:rsidP="0007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4">
              <w:rPr>
                <w:rFonts w:ascii="Wingdings" w:eastAsia="Wingdings" w:hAnsi="Wingdings" w:cs="Wingdings"/>
                <w:b/>
                <w:bCs/>
                <w:color w:val="00B050"/>
                <w:sz w:val="28"/>
                <w:szCs w:val="28"/>
              </w:rPr>
              <w:t>é</w:t>
            </w:r>
          </w:p>
        </w:tc>
      </w:tr>
      <w:tr w:rsidR="006F2A0D" w14:paraId="62A78B58" w14:textId="77777777" w:rsidTr="00EA4C8A">
        <w:tc>
          <w:tcPr>
            <w:tcW w:w="1555" w:type="dxa"/>
          </w:tcPr>
          <w:p w14:paraId="5BE2E22F" w14:textId="201D113E" w:rsidR="004E58FB" w:rsidRPr="008328EF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8EF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278" w:type="dxa"/>
          </w:tcPr>
          <w:p w14:paraId="2A0C0728" w14:textId="7697CDB5" w:rsidR="004E58FB" w:rsidRPr="008328EF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Delivery of cost improvement plan</w:t>
            </w:r>
          </w:p>
        </w:tc>
        <w:tc>
          <w:tcPr>
            <w:tcW w:w="1212" w:type="dxa"/>
          </w:tcPr>
          <w:p w14:paraId="2A7B5A75" w14:textId="3F445307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£-</w:t>
            </w:r>
          </w:p>
        </w:tc>
        <w:tc>
          <w:tcPr>
            <w:tcW w:w="2038" w:type="dxa"/>
          </w:tcPr>
          <w:p w14:paraId="5949F492" w14:textId="49080C3C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E66D27">
              <w:rPr>
                <w:rFonts w:ascii="Arial" w:hAnsi="Arial" w:cs="Arial"/>
                <w:sz w:val="22"/>
                <w:szCs w:val="22"/>
              </w:rPr>
              <w:t>1.</w:t>
            </w:r>
            <w:r w:rsidR="002A55F5">
              <w:rPr>
                <w:rFonts w:ascii="Arial" w:hAnsi="Arial" w:cs="Arial"/>
                <w:sz w:val="22"/>
                <w:szCs w:val="22"/>
              </w:rPr>
              <w:t>7</w:t>
            </w:r>
            <w:r w:rsidR="00E66D27">
              <w:rPr>
                <w:rFonts w:ascii="Arial" w:hAnsi="Arial" w:cs="Arial"/>
                <w:sz w:val="22"/>
                <w:szCs w:val="22"/>
              </w:rPr>
              <w:t>m</w:t>
            </w:r>
            <w:r w:rsidRPr="008328EF">
              <w:rPr>
                <w:rFonts w:ascii="Arial" w:hAnsi="Arial" w:cs="Arial"/>
                <w:sz w:val="22"/>
                <w:szCs w:val="22"/>
              </w:rPr>
              <w:t xml:space="preserve"> adverse</w:t>
            </w:r>
          </w:p>
        </w:tc>
        <w:tc>
          <w:tcPr>
            <w:tcW w:w="1701" w:type="dxa"/>
            <w:shd w:val="clear" w:color="auto" w:fill="FF4343"/>
          </w:tcPr>
          <w:p w14:paraId="05387C7B" w14:textId="1262F4A8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B25FD0">
              <w:rPr>
                <w:rFonts w:ascii="Arial" w:hAnsi="Arial" w:cs="Arial"/>
                <w:sz w:val="22"/>
                <w:szCs w:val="22"/>
              </w:rPr>
              <w:t>1.</w:t>
            </w:r>
            <w:r w:rsidR="002A55F5">
              <w:rPr>
                <w:rFonts w:ascii="Arial" w:hAnsi="Arial" w:cs="Arial"/>
                <w:sz w:val="22"/>
                <w:szCs w:val="22"/>
              </w:rPr>
              <w:t>9</w:t>
            </w:r>
            <w:r w:rsidR="00B25FD0">
              <w:rPr>
                <w:rFonts w:ascii="Arial" w:hAnsi="Arial" w:cs="Arial"/>
                <w:sz w:val="22"/>
                <w:szCs w:val="22"/>
              </w:rPr>
              <w:t>m</w:t>
            </w:r>
            <w:r w:rsidRPr="008328EF">
              <w:rPr>
                <w:rFonts w:ascii="Arial" w:hAnsi="Arial" w:cs="Arial"/>
                <w:sz w:val="22"/>
                <w:szCs w:val="22"/>
              </w:rPr>
              <w:t xml:space="preserve"> adverse</w:t>
            </w:r>
          </w:p>
        </w:tc>
        <w:tc>
          <w:tcPr>
            <w:tcW w:w="1417" w:type="dxa"/>
            <w:shd w:val="clear" w:color="auto" w:fill="auto"/>
          </w:tcPr>
          <w:p w14:paraId="630C1C53" w14:textId="00A63027" w:rsidR="004E58FB" w:rsidRPr="0004303D" w:rsidRDefault="007720C4" w:rsidP="0007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928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ê</w:t>
            </w:r>
          </w:p>
        </w:tc>
      </w:tr>
      <w:tr w:rsidR="006F2A0D" w14:paraId="4DCD9425" w14:textId="77777777" w:rsidTr="00EA4C8A">
        <w:tc>
          <w:tcPr>
            <w:tcW w:w="1555" w:type="dxa"/>
          </w:tcPr>
          <w:p w14:paraId="61E8DA2F" w14:textId="626B150E" w:rsidR="004E58FB" w:rsidRPr="00834492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92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278" w:type="dxa"/>
          </w:tcPr>
          <w:p w14:paraId="3D0731BD" w14:textId="7F799B65" w:rsidR="004E58FB" w:rsidRPr="00834492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Achievement of all 8 targeted NOF measures</w:t>
            </w:r>
          </w:p>
        </w:tc>
        <w:tc>
          <w:tcPr>
            <w:tcW w:w="1212" w:type="dxa"/>
          </w:tcPr>
          <w:p w14:paraId="580BF261" w14:textId="619C5448" w:rsidR="004E58FB" w:rsidRPr="00834492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8" w:type="dxa"/>
          </w:tcPr>
          <w:p w14:paraId="5D5E6175" w14:textId="20C11B27" w:rsidR="004E58FB" w:rsidRPr="00834492" w:rsidRDefault="005C5CD2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not achieved</w:t>
            </w:r>
            <w:r w:rsidR="00CB57C8">
              <w:rPr>
                <w:rFonts w:ascii="Arial" w:hAnsi="Arial" w:cs="Arial"/>
                <w:sz w:val="22"/>
                <w:szCs w:val="22"/>
              </w:rPr>
              <w:t xml:space="preserve"> (OAPs)</w:t>
            </w:r>
          </w:p>
        </w:tc>
        <w:tc>
          <w:tcPr>
            <w:tcW w:w="1701" w:type="dxa"/>
            <w:shd w:val="clear" w:color="auto" w:fill="FF4343"/>
          </w:tcPr>
          <w:p w14:paraId="08CDA6C4" w14:textId="6DFC94A5" w:rsidR="004E58FB" w:rsidRPr="00834492" w:rsidRDefault="005C5CD2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not achi</w:t>
            </w:r>
            <w:r w:rsidR="00CB57C8">
              <w:rPr>
                <w:rFonts w:ascii="Arial" w:hAnsi="Arial" w:cs="Arial"/>
                <w:sz w:val="22"/>
                <w:szCs w:val="22"/>
              </w:rPr>
              <w:t>eved (OAPs)</w:t>
            </w:r>
          </w:p>
        </w:tc>
        <w:tc>
          <w:tcPr>
            <w:tcW w:w="1417" w:type="dxa"/>
            <w:shd w:val="clear" w:color="auto" w:fill="auto"/>
          </w:tcPr>
          <w:p w14:paraId="548357D6" w14:textId="14DC8CB6" w:rsidR="004E58FB" w:rsidRPr="0004303D" w:rsidRDefault="00075F70" w:rsidP="00075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F15">
              <w:rPr>
                <w:rFonts w:ascii="Wingdings" w:eastAsia="Wingdings" w:hAnsi="Wingdings" w:cs="Wingdings"/>
                <w:b/>
                <w:bCs/>
                <w:color w:val="FF0000"/>
                <w:sz w:val="28"/>
                <w:szCs w:val="28"/>
              </w:rPr>
              <w:t>è</w:t>
            </w:r>
          </w:p>
        </w:tc>
      </w:tr>
    </w:tbl>
    <w:p w14:paraId="519258F3" w14:textId="5C9B61A7" w:rsidR="00973D44" w:rsidRDefault="001846A7">
      <w:pPr>
        <w:rPr>
          <w:rFonts w:ascii="Arial" w:hAnsi="Arial" w:cs="Arial"/>
        </w:rPr>
      </w:pPr>
      <w:r w:rsidRPr="00CB77F3">
        <w:rPr>
          <w:rFonts w:ascii="Arial" w:hAnsi="Arial" w:cs="Arial"/>
        </w:rPr>
        <w:lastRenderedPageBreak/>
        <w:t>Please see the report for further information and plans to address.</w:t>
      </w:r>
    </w:p>
    <w:p w14:paraId="657396BB" w14:textId="09BD91E9" w:rsidR="00687AF8" w:rsidRDefault="009B24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B24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24DB">
        <w:rPr>
          <w:rFonts w:ascii="Arial" w:hAnsi="Arial" w:cs="Arial"/>
          <w:sz w:val="20"/>
          <w:szCs w:val="20"/>
        </w:rPr>
        <w:t>latest</w:t>
      </w:r>
      <w:proofErr w:type="gramEnd"/>
      <w:r w:rsidRPr="009B24DB">
        <w:rPr>
          <w:rFonts w:ascii="Arial" w:hAnsi="Arial" w:cs="Arial"/>
          <w:sz w:val="20"/>
          <w:szCs w:val="20"/>
        </w:rPr>
        <w:t xml:space="preserve"> available due to clinical systems outage</w:t>
      </w:r>
      <w:r>
        <w:rPr>
          <w:rFonts w:ascii="Arial" w:hAnsi="Arial" w:cs="Arial"/>
          <w:sz w:val="20"/>
          <w:szCs w:val="20"/>
        </w:rPr>
        <w:t xml:space="preserve"> and need to </w:t>
      </w:r>
      <w:r w:rsidR="00B41069">
        <w:rPr>
          <w:rFonts w:ascii="Arial" w:hAnsi="Arial" w:cs="Arial"/>
          <w:sz w:val="20"/>
          <w:szCs w:val="20"/>
        </w:rPr>
        <w:t>recover reporting</w:t>
      </w:r>
    </w:p>
    <w:p w14:paraId="65853D52" w14:textId="3E723ED3" w:rsidR="00B74D87" w:rsidRDefault="00B74D87" w:rsidP="00B74D8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F8BA349" w14:textId="42A4D976" w:rsidR="00467914" w:rsidRPr="009812CD" w:rsidRDefault="00376392" w:rsidP="005D6DE8">
      <w:pPr>
        <w:rPr>
          <w:rFonts w:ascii="Arial" w:hAnsi="Arial" w:cs="Arial"/>
          <w:b/>
          <w:bCs/>
        </w:rPr>
      </w:pPr>
      <w:r w:rsidRPr="009812CD">
        <w:rPr>
          <w:rFonts w:ascii="Arial" w:hAnsi="Arial" w:cs="Arial"/>
          <w:b/>
          <w:bCs/>
        </w:rPr>
        <w:t>P</w:t>
      </w:r>
      <w:r w:rsidR="00F437AA" w:rsidRPr="009812CD">
        <w:rPr>
          <w:rFonts w:ascii="Arial" w:hAnsi="Arial" w:cs="Arial"/>
          <w:b/>
          <w:bCs/>
        </w:rPr>
        <w:t xml:space="preserve">atient Activity and </w:t>
      </w:r>
      <w:r w:rsidR="005D6DE8" w:rsidRPr="009812CD">
        <w:rPr>
          <w:rFonts w:ascii="Arial" w:hAnsi="Arial" w:cs="Arial"/>
          <w:b/>
          <w:bCs/>
        </w:rPr>
        <w:t>Demand</w:t>
      </w:r>
      <w:r w:rsidR="0098716C" w:rsidRPr="009812CD">
        <w:rPr>
          <w:rFonts w:ascii="Arial" w:hAnsi="Arial" w:cs="Arial"/>
          <w:b/>
          <w:bCs/>
        </w:rPr>
        <w:t xml:space="preserve">: </w:t>
      </w:r>
    </w:p>
    <w:p w14:paraId="7122B5B5" w14:textId="77777777" w:rsidR="00467914" w:rsidRPr="009812CD" w:rsidRDefault="00467914" w:rsidP="005D6DE8">
      <w:pPr>
        <w:rPr>
          <w:rFonts w:ascii="Arial" w:hAnsi="Arial" w:cs="Arial"/>
          <w:b/>
          <w:bCs/>
        </w:rPr>
      </w:pPr>
    </w:p>
    <w:p w14:paraId="7C0F8549" w14:textId="3A6FA723" w:rsidR="006F5748" w:rsidRPr="009812CD" w:rsidRDefault="00376392" w:rsidP="005D6DE8">
      <w:pPr>
        <w:rPr>
          <w:rFonts w:ascii="Arial" w:hAnsi="Arial" w:cs="Arial"/>
        </w:rPr>
      </w:pPr>
      <w:r w:rsidRPr="009812CD">
        <w:rPr>
          <w:rFonts w:ascii="Arial" w:hAnsi="Arial" w:cs="Arial"/>
        </w:rPr>
        <w:t xml:space="preserve">Activity and demand </w:t>
      </w:r>
      <w:r w:rsidR="00DF6D57" w:rsidRPr="009812CD">
        <w:rPr>
          <w:rFonts w:ascii="Arial" w:hAnsi="Arial" w:cs="Arial"/>
        </w:rPr>
        <w:t>are</w:t>
      </w:r>
      <w:r w:rsidRPr="009812CD">
        <w:rPr>
          <w:rFonts w:ascii="Arial" w:hAnsi="Arial" w:cs="Arial"/>
        </w:rPr>
        <w:t xml:space="preserve"> usually </w:t>
      </w:r>
      <w:r w:rsidR="00A90D40" w:rsidRPr="009812CD">
        <w:rPr>
          <w:rFonts w:ascii="Arial" w:hAnsi="Arial" w:cs="Arial"/>
        </w:rPr>
        <w:t>reported</w:t>
      </w:r>
      <w:r w:rsidRPr="009812CD">
        <w:rPr>
          <w:rFonts w:ascii="Arial" w:hAnsi="Arial" w:cs="Arial"/>
        </w:rPr>
        <w:t xml:space="preserve"> in the </w:t>
      </w:r>
      <w:r w:rsidR="0040772B" w:rsidRPr="009812CD">
        <w:rPr>
          <w:rFonts w:ascii="Arial" w:hAnsi="Arial" w:cs="Arial"/>
        </w:rPr>
        <w:t>IPR supporting report</w:t>
      </w:r>
      <w:r w:rsidR="006F5748" w:rsidRPr="009812CD">
        <w:rPr>
          <w:rFonts w:ascii="Arial" w:hAnsi="Arial" w:cs="Arial"/>
        </w:rPr>
        <w:t xml:space="preserve">, however, </w:t>
      </w:r>
      <w:proofErr w:type="gramStart"/>
      <w:r w:rsidR="006F5748" w:rsidRPr="009812CD">
        <w:rPr>
          <w:rFonts w:ascii="Arial" w:hAnsi="Arial" w:cs="Arial"/>
        </w:rPr>
        <w:t>as a result of</w:t>
      </w:r>
      <w:proofErr w:type="gramEnd"/>
      <w:r w:rsidR="006F5748" w:rsidRPr="009812CD">
        <w:rPr>
          <w:rFonts w:ascii="Arial" w:hAnsi="Arial" w:cs="Arial"/>
        </w:rPr>
        <w:t xml:space="preserve"> the National clinical systems outage, data </w:t>
      </w:r>
      <w:r w:rsidR="009021CA" w:rsidRPr="009812CD">
        <w:rPr>
          <w:rFonts w:ascii="Arial" w:hAnsi="Arial" w:cs="Arial"/>
        </w:rPr>
        <w:t xml:space="preserve">is not available </w:t>
      </w:r>
      <w:r w:rsidR="00C65064" w:rsidRPr="009812CD">
        <w:rPr>
          <w:rFonts w:ascii="Arial" w:hAnsi="Arial" w:cs="Arial"/>
        </w:rPr>
        <w:t>in usual formats.</w:t>
      </w:r>
      <w:r w:rsidR="00DF6D57" w:rsidRPr="009812CD">
        <w:rPr>
          <w:rFonts w:ascii="Arial" w:hAnsi="Arial" w:cs="Arial"/>
        </w:rPr>
        <w:t xml:space="preserve">  </w:t>
      </w:r>
      <w:r w:rsidR="00255960" w:rsidRPr="009812CD">
        <w:rPr>
          <w:rFonts w:ascii="Arial" w:hAnsi="Arial" w:cs="Arial"/>
        </w:rPr>
        <w:t>The Trust has</w:t>
      </w:r>
      <w:r w:rsidR="00860532" w:rsidRPr="009812CD">
        <w:rPr>
          <w:rFonts w:ascii="Arial" w:hAnsi="Arial" w:cs="Arial"/>
        </w:rPr>
        <w:t xml:space="preserve"> contracted with a </w:t>
      </w:r>
      <w:r w:rsidR="00A6757E" w:rsidRPr="009812CD">
        <w:rPr>
          <w:rFonts w:ascii="Arial" w:hAnsi="Arial" w:cs="Arial"/>
        </w:rPr>
        <w:t>third-party</w:t>
      </w:r>
      <w:r w:rsidR="00860532" w:rsidRPr="009812CD">
        <w:rPr>
          <w:rFonts w:ascii="Arial" w:hAnsi="Arial" w:cs="Arial"/>
        </w:rPr>
        <w:t xml:space="preserve"> supplier to </w:t>
      </w:r>
      <w:r w:rsidR="003A409A" w:rsidRPr="009812CD">
        <w:rPr>
          <w:rFonts w:ascii="Arial" w:hAnsi="Arial" w:cs="Arial"/>
        </w:rPr>
        <w:t xml:space="preserve">accelerate the work to </w:t>
      </w:r>
      <w:r w:rsidR="00D819C8" w:rsidRPr="009812CD">
        <w:rPr>
          <w:rFonts w:ascii="Arial" w:hAnsi="Arial" w:cs="Arial"/>
        </w:rPr>
        <w:t xml:space="preserve">refresh and reinstate the operational reporting that </w:t>
      </w:r>
      <w:r w:rsidR="009B781E" w:rsidRPr="009812CD">
        <w:rPr>
          <w:rFonts w:ascii="Arial" w:hAnsi="Arial" w:cs="Arial"/>
        </w:rPr>
        <w:t>would normally be</w:t>
      </w:r>
      <w:r w:rsidR="00D819C8" w:rsidRPr="009812CD">
        <w:rPr>
          <w:rFonts w:ascii="Arial" w:hAnsi="Arial" w:cs="Arial"/>
        </w:rPr>
        <w:t xml:space="preserve"> presented within this section of the report.</w:t>
      </w:r>
    </w:p>
    <w:p w14:paraId="047070A3" w14:textId="689DC4A0" w:rsidR="002D77D9" w:rsidRPr="009812CD" w:rsidRDefault="002D77D9" w:rsidP="005D6DE8">
      <w:pPr>
        <w:rPr>
          <w:rFonts w:ascii="Arial" w:hAnsi="Arial" w:cs="Arial"/>
        </w:rPr>
      </w:pPr>
    </w:p>
    <w:p w14:paraId="374942E6" w14:textId="2172537A" w:rsidR="00E51EF6" w:rsidRPr="009812CD" w:rsidRDefault="002D77D9" w:rsidP="005D6DE8">
      <w:pPr>
        <w:rPr>
          <w:rFonts w:ascii="Arial" w:hAnsi="Arial" w:cs="Arial"/>
        </w:rPr>
      </w:pPr>
      <w:r w:rsidRPr="009812CD">
        <w:rPr>
          <w:rFonts w:ascii="Arial" w:hAnsi="Arial" w:cs="Arial"/>
        </w:rPr>
        <w:t>In the interim the P</w:t>
      </w:r>
      <w:r w:rsidR="00BC2327" w:rsidRPr="009812CD">
        <w:rPr>
          <w:rFonts w:ascii="Arial" w:hAnsi="Arial" w:cs="Arial"/>
        </w:rPr>
        <w:t xml:space="preserve">erformance </w:t>
      </w:r>
      <w:r w:rsidRPr="009812CD">
        <w:rPr>
          <w:rFonts w:ascii="Arial" w:hAnsi="Arial" w:cs="Arial"/>
        </w:rPr>
        <w:t>&amp;</w:t>
      </w:r>
      <w:r w:rsidR="00BC2327" w:rsidRPr="009812CD">
        <w:rPr>
          <w:rFonts w:ascii="Arial" w:hAnsi="Arial" w:cs="Arial"/>
        </w:rPr>
        <w:t xml:space="preserve"> </w:t>
      </w:r>
      <w:r w:rsidRPr="009812CD">
        <w:rPr>
          <w:rFonts w:ascii="Arial" w:hAnsi="Arial" w:cs="Arial"/>
        </w:rPr>
        <w:t>I</w:t>
      </w:r>
      <w:r w:rsidR="00BC2327" w:rsidRPr="009812CD">
        <w:rPr>
          <w:rFonts w:ascii="Arial" w:hAnsi="Arial" w:cs="Arial"/>
        </w:rPr>
        <w:t xml:space="preserve">nformation team </w:t>
      </w:r>
      <w:r w:rsidR="00FF1D10" w:rsidRPr="009812CD">
        <w:rPr>
          <w:rFonts w:ascii="Arial" w:hAnsi="Arial" w:cs="Arial"/>
        </w:rPr>
        <w:t xml:space="preserve">are developing reports </w:t>
      </w:r>
      <w:r w:rsidR="007F0420" w:rsidRPr="009812CD">
        <w:rPr>
          <w:rFonts w:ascii="Arial" w:hAnsi="Arial" w:cs="Arial"/>
        </w:rPr>
        <w:t xml:space="preserve">on </w:t>
      </w:r>
      <w:r w:rsidR="00A6757E" w:rsidRPr="009812CD">
        <w:rPr>
          <w:rFonts w:ascii="Arial" w:hAnsi="Arial" w:cs="Arial"/>
        </w:rPr>
        <w:t>basic headline information record</w:t>
      </w:r>
      <w:r w:rsidR="00FC6288" w:rsidRPr="009812CD">
        <w:rPr>
          <w:rFonts w:ascii="Arial" w:hAnsi="Arial" w:cs="Arial"/>
        </w:rPr>
        <w:t>ed</w:t>
      </w:r>
      <w:r w:rsidR="00A6757E" w:rsidRPr="009812CD">
        <w:rPr>
          <w:rFonts w:ascii="Arial" w:hAnsi="Arial" w:cs="Arial"/>
        </w:rPr>
        <w:t xml:space="preserve"> on the newly implemented clinical information systems.</w:t>
      </w:r>
      <w:r w:rsidR="007809CC" w:rsidRPr="009812CD">
        <w:rPr>
          <w:rFonts w:ascii="Arial" w:hAnsi="Arial" w:cs="Arial"/>
        </w:rPr>
        <w:t xml:space="preserve">  We </w:t>
      </w:r>
      <w:r w:rsidR="00E51EF6" w:rsidRPr="009812CD">
        <w:rPr>
          <w:rFonts w:ascii="Arial" w:hAnsi="Arial" w:cs="Arial"/>
        </w:rPr>
        <w:t xml:space="preserve">anticipate that some headline information will be available </w:t>
      </w:r>
      <w:r w:rsidR="00E51CA9" w:rsidRPr="009812CD">
        <w:rPr>
          <w:rFonts w:ascii="Arial" w:hAnsi="Arial" w:cs="Arial"/>
        </w:rPr>
        <w:t>for</w:t>
      </w:r>
      <w:r w:rsidR="00E51EF6" w:rsidRPr="009812CD">
        <w:rPr>
          <w:rFonts w:ascii="Arial" w:hAnsi="Arial" w:cs="Arial"/>
        </w:rPr>
        <w:t xml:space="preserve"> the next board </w:t>
      </w:r>
      <w:r w:rsidR="00E51CA9" w:rsidRPr="009812CD">
        <w:rPr>
          <w:rFonts w:ascii="Arial" w:hAnsi="Arial" w:cs="Arial"/>
        </w:rPr>
        <w:t>meeting</w:t>
      </w:r>
      <w:r w:rsidR="00E51EF6" w:rsidRPr="009812CD">
        <w:rPr>
          <w:rFonts w:ascii="Arial" w:hAnsi="Arial" w:cs="Arial"/>
        </w:rPr>
        <w:t>.</w:t>
      </w:r>
    </w:p>
    <w:p w14:paraId="3D7A3466" w14:textId="30716072" w:rsidR="00E51EF6" w:rsidRPr="009812CD" w:rsidRDefault="00E51EF6" w:rsidP="005D6DE8">
      <w:pPr>
        <w:rPr>
          <w:rFonts w:ascii="Arial" w:hAnsi="Arial" w:cs="Arial"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37F87944" w14:textId="213503C0" w:rsidR="003F7366" w:rsidRPr="007E39FA" w:rsidRDefault="002619EF" w:rsidP="1155C8FE">
      <w:pPr>
        <w:ind w:left="1440" w:hanging="1440"/>
        <w:jc w:val="both"/>
        <w:rPr>
          <w:rFonts w:ascii="Arial" w:hAnsi="Arial" w:cs="Arial"/>
          <w:b/>
          <w:bCs/>
        </w:rPr>
      </w:pPr>
      <w:r w:rsidRPr="1155C8FE">
        <w:rPr>
          <w:rFonts w:ascii="Arial" w:hAnsi="Arial" w:cs="Arial"/>
          <w:b/>
          <w:bCs/>
        </w:rPr>
        <w:t>Author and T</w:t>
      </w:r>
      <w:r w:rsidR="0073522A" w:rsidRPr="1155C8FE">
        <w:rPr>
          <w:rFonts w:ascii="Arial" w:hAnsi="Arial" w:cs="Arial"/>
          <w:b/>
          <w:bCs/>
        </w:rPr>
        <w:t>itle:</w:t>
      </w:r>
      <w:r w:rsidR="007B02FB" w:rsidRPr="1155C8FE">
        <w:rPr>
          <w:rFonts w:ascii="Arial" w:hAnsi="Arial" w:cs="Arial"/>
          <w:b/>
          <w:bCs/>
        </w:rPr>
        <w:t xml:space="preserve"> </w:t>
      </w:r>
      <w:r w:rsidR="317721E0" w:rsidRPr="1155C8FE">
        <w:rPr>
          <w:rFonts w:ascii="Arial" w:hAnsi="Arial" w:cs="Arial"/>
          <w:b/>
          <w:bCs/>
        </w:rPr>
        <w:t>Claire Page</w:t>
      </w:r>
    </w:p>
    <w:p w14:paraId="6BD6928F" w14:textId="08B2CC8D" w:rsidR="003F7366" w:rsidRPr="007E39FA" w:rsidRDefault="317721E0" w:rsidP="0073522A">
      <w:pPr>
        <w:ind w:left="1440" w:hanging="1440"/>
        <w:jc w:val="both"/>
        <w:rPr>
          <w:rFonts w:ascii="Arial" w:hAnsi="Arial" w:cs="Arial"/>
          <w:b/>
          <w:bCs/>
        </w:rPr>
      </w:pPr>
      <w:r w:rsidRPr="1155C8FE">
        <w:rPr>
          <w:rFonts w:ascii="Arial" w:hAnsi="Arial" w:cs="Arial"/>
          <w:b/>
          <w:bCs/>
        </w:rPr>
        <w:t>Head of Performance and Information</w:t>
      </w:r>
    </w:p>
    <w:p w14:paraId="00D48720" w14:textId="77777777" w:rsidR="00617CF6" w:rsidRPr="007E39FA" w:rsidRDefault="00617CF6" w:rsidP="0073522A">
      <w:pPr>
        <w:ind w:left="1440" w:hanging="1440"/>
        <w:jc w:val="both"/>
        <w:rPr>
          <w:rFonts w:ascii="Arial" w:hAnsi="Arial" w:cs="Arial"/>
          <w:b/>
          <w:bCs/>
        </w:rPr>
      </w:pPr>
    </w:p>
    <w:p w14:paraId="65D6ACD6" w14:textId="21248ED6" w:rsidR="00617CF6" w:rsidRPr="007E39FA" w:rsidRDefault="0073522A" w:rsidP="00FA3993">
      <w:pPr>
        <w:jc w:val="both"/>
        <w:rPr>
          <w:rFonts w:ascii="Arial" w:hAnsi="Arial" w:cs="Arial"/>
          <w:b/>
        </w:rPr>
      </w:pPr>
      <w:r w:rsidRPr="007E39FA">
        <w:rPr>
          <w:rFonts w:ascii="Arial" w:hAnsi="Arial" w:cs="Arial"/>
          <w:b/>
        </w:rPr>
        <w:t>Lead Executive Director:</w:t>
      </w:r>
      <w:r w:rsidR="007B02FB" w:rsidRPr="007E39FA">
        <w:rPr>
          <w:rFonts w:ascii="Arial" w:hAnsi="Arial" w:cs="Arial"/>
          <w:b/>
        </w:rPr>
        <w:t xml:space="preserve"> </w:t>
      </w:r>
      <w:r w:rsidR="008856D2">
        <w:rPr>
          <w:rFonts w:ascii="Arial" w:hAnsi="Arial" w:cs="Arial"/>
          <w:b/>
        </w:rPr>
        <w:t>Am</w:t>
      </w:r>
      <w:r w:rsidR="008856D2" w:rsidRPr="008856D2">
        <w:rPr>
          <w:rFonts w:ascii="Arial" w:hAnsi="Arial" w:cs="Arial"/>
          <w:b/>
          <w:bCs/>
          <w:lang w:eastAsia="en-GB"/>
        </w:rPr>
        <w:t>é</w:t>
      </w:r>
      <w:r w:rsidR="008856D2">
        <w:rPr>
          <w:rFonts w:ascii="Arial" w:hAnsi="Arial" w:cs="Arial"/>
          <w:b/>
        </w:rPr>
        <w:t>lie Bages</w:t>
      </w:r>
    </w:p>
    <w:p w14:paraId="6233BFAB" w14:textId="4655D667" w:rsidR="00030247" w:rsidRPr="007E39FA" w:rsidRDefault="008856D2" w:rsidP="008856D2">
      <w:pPr>
        <w:jc w:val="both"/>
        <w:rPr>
          <w:rFonts w:ascii="Arial" w:hAnsi="Arial" w:cs="Arial"/>
        </w:rPr>
      </w:pPr>
      <w:r w:rsidRPr="007E39FA">
        <w:rPr>
          <w:rFonts w:ascii="Arial" w:hAnsi="Arial" w:cs="Arial"/>
          <w:b/>
          <w:bCs/>
        </w:rPr>
        <w:t xml:space="preserve">Executive Director – </w:t>
      </w:r>
      <w:r>
        <w:rPr>
          <w:rFonts w:ascii="Arial" w:hAnsi="Arial" w:cs="Arial"/>
          <w:b/>
          <w:bCs/>
        </w:rPr>
        <w:t>Strategy &amp; Partnerships</w:t>
      </w:r>
    </w:p>
    <w:sectPr w:rsidR="00030247" w:rsidRPr="007E39FA" w:rsidSect="00244080">
      <w:footerReference w:type="default" r:id="rId13"/>
      <w:headerReference w:type="first" r:id="rId14"/>
      <w:pgSz w:w="12240" w:h="15840" w:code="1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79B8" w14:textId="77777777" w:rsidR="008A3825" w:rsidRDefault="008A3825" w:rsidP="005B3E3C">
      <w:r>
        <w:separator/>
      </w:r>
    </w:p>
  </w:endnote>
  <w:endnote w:type="continuationSeparator" w:id="0">
    <w:p w14:paraId="1B133E17" w14:textId="77777777" w:rsidR="008A3825" w:rsidRDefault="008A3825" w:rsidP="005B3E3C">
      <w:r>
        <w:continuationSeparator/>
      </w:r>
    </w:p>
  </w:endnote>
  <w:endnote w:type="continuationNotice" w:id="1">
    <w:p w14:paraId="11581A4D" w14:textId="77777777" w:rsidR="008A3825" w:rsidRDefault="008A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5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7FA2" w14:textId="77777777" w:rsidR="008A3825" w:rsidRDefault="008A3825" w:rsidP="005B3E3C">
      <w:r>
        <w:separator/>
      </w:r>
    </w:p>
  </w:footnote>
  <w:footnote w:type="continuationSeparator" w:id="0">
    <w:p w14:paraId="394020E5" w14:textId="77777777" w:rsidR="008A3825" w:rsidRDefault="008A3825" w:rsidP="005B3E3C">
      <w:r>
        <w:continuationSeparator/>
      </w:r>
    </w:p>
  </w:footnote>
  <w:footnote w:type="continuationNotice" w:id="1">
    <w:p w14:paraId="2366E7CB" w14:textId="77777777" w:rsidR="008A3825" w:rsidRDefault="008A3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A86"/>
    <w:multiLevelType w:val="hybridMultilevel"/>
    <w:tmpl w:val="66ECC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9572"/>
    <w:multiLevelType w:val="hybridMultilevel"/>
    <w:tmpl w:val="241A69C2"/>
    <w:lvl w:ilvl="0" w:tplc="B44C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3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4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E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A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2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6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CE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E9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869"/>
    <w:multiLevelType w:val="hybridMultilevel"/>
    <w:tmpl w:val="6EAA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59F"/>
    <w:multiLevelType w:val="hybridMultilevel"/>
    <w:tmpl w:val="650AB38A"/>
    <w:lvl w:ilvl="0" w:tplc="4FFC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D04A6"/>
    <w:multiLevelType w:val="hybridMultilevel"/>
    <w:tmpl w:val="20EC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3F53"/>
    <w:multiLevelType w:val="hybridMultilevel"/>
    <w:tmpl w:val="2A44DF74"/>
    <w:lvl w:ilvl="0" w:tplc="C6D0D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84C1D"/>
    <w:multiLevelType w:val="hybridMultilevel"/>
    <w:tmpl w:val="9504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2DCC"/>
    <w:multiLevelType w:val="hybridMultilevel"/>
    <w:tmpl w:val="3D4AA852"/>
    <w:lvl w:ilvl="0" w:tplc="BCF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EEA724C"/>
    <w:multiLevelType w:val="hybridMultilevel"/>
    <w:tmpl w:val="38E2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3E90"/>
    <w:multiLevelType w:val="hybridMultilevel"/>
    <w:tmpl w:val="C5BC6C92"/>
    <w:lvl w:ilvl="0" w:tplc="BDF8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AF7592"/>
    <w:multiLevelType w:val="hybridMultilevel"/>
    <w:tmpl w:val="4C7C89B4"/>
    <w:lvl w:ilvl="0" w:tplc="35B00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8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A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A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2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2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F2E8A"/>
    <w:multiLevelType w:val="hybridMultilevel"/>
    <w:tmpl w:val="1A48C366"/>
    <w:lvl w:ilvl="0" w:tplc="8BFCAF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3298"/>
    <w:multiLevelType w:val="hybridMultilevel"/>
    <w:tmpl w:val="66ECC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61867"/>
    <w:multiLevelType w:val="hybridMultilevel"/>
    <w:tmpl w:val="D946F120"/>
    <w:lvl w:ilvl="0" w:tplc="E636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8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C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861CE0"/>
    <w:multiLevelType w:val="hybridMultilevel"/>
    <w:tmpl w:val="D246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BC1326D"/>
    <w:multiLevelType w:val="multilevel"/>
    <w:tmpl w:val="85A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7540"/>
    <w:multiLevelType w:val="hybridMultilevel"/>
    <w:tmpl w:val="E5D82088"/>
    <w:lvl w:ilvl="0" w:tplc="869C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E1DB7"/>
    <w:multiLevelType w:val="hybridMultilevel"/>
    <w:tmpl w:val="0EC275DC"/>
    <w:lvl w:ilvl="0" w:tplc="57BC4E16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0BA6"/>
    <w:multiLevelType w:val="multilevel"/>
    <w:tmpl w:val="2C4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C635C"/>
    <w:multiLevelType w:val="hybridMultilevel"/>
    <w:tmpl w:val="699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05980"/>
    <w:multiLevelType w:val="hybridMultilevel"/>
    <w:tmpl w:val="9E6E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683F"/>
    <w:multiLevelType w:val="hybridMultilevel"/>
    <w:tmpl w:val="2C202066"/>
    <w:lvl w:ilvl="0" w:tplc="2D48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0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0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A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2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9D0BBE"/>
    <w:multiLevelType w:val="hybridMultilevel"/>
    <w:tmpl w:val="68DE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3337"/>
    <w:multiLevelType w:val="hybridMultilevel"/>
    <w:tmpl w:val="F96060B6"/>
    <w:lvl w:ilvl="0" w:tplc="B09A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85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C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A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6034C3"/>
    <w:multiLevelType w:val="hybridMultilevel"/>
    <w:tmpl w:val="C392355E"/>
    <w:lvl w:ilvl="0" w:tplc="C3C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73585A"/>
    <w:multiLevelType w:val="hybridMultilevel"/>
    <w:tmpl w:val="5932548C"/>
    <w:lvl w:ilvl="0" w:tplc="EC0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D5205D"/>
    <w:multiLevelType w:val="hybridMultilevel"/>
    <w:tmpl w:val="698C8C9A"/>
    <w:lvl w:ilvl="0" w:tplc="5B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525A98"/>
    <w:multiLevelType w:val="multilevel"/>
    <w:tmpl w:val="A2E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A93B86"/>
    <w:multiLevelType w:val="hybridMultilevel"/>
    <w:tmpl w:val="964423A6"/>
    <w:lvl w:ilvl="0" w:tplc="E536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6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4543787">
    <w:abstractNumId w:val="1"/>
  </w:num>
  <w:num w:numId="2" w16cid:durableId="548565973">
    <w:abstractNumId w:val="27"/>
  </w:num>
  <w:num w:numId="3" w16cid:durableId="1118722817">
    <w:abstractNumId w:val="16"/>
  </w:num>
  <w:num w:numId="4" w16cid:durableId="320348635">
    <w:abstractNumId w:val="19"/>
  </w:num>
  <w:num w:numId="5" w16cid:durableId="1602907821">
    <w:abstractNumId w:val="5"/>
  </w:num>
  <w:num w:numId="6" w16cid:durableId="237793481">
    <w:abstractNumId w:val="20"/>
  </w:num>
  <w:num w:numId="7" w16cid:durableId="2140604679">
    <w:abstractNumId w:val="9"/>
  </w:num>
  <w:num w:numId="8" w16cid:durableId="2145728713">
    <w:abstractNumId w:val="24"/>
  </w:num>
  <w:num w:numId="9" w16cid:durableId="851258054">
    <w:abstractNumId w:val="14"/>
  </w:num>
  <w:num w:numId="10" w16cid:durableId="799884089">
    <w:abstractNumId w:val="22"/>
  </w:num>
  <w:num w:numId="11" w16cid:durableId="2143038109">
    <w:abstractNumId w:val="4"/>
  </w:num>
  <w:num w:numId="12" w16cid:durableId="2049835522">
    <w:abstractNumId w:val="29"/>
  </w:num>
  <w:num w:numId="13" w16cid:durableId="941960511">
    <w:abstractNumId w:val="28"/>
  </w:num>
  <w:num w:numId="14" w16cid:durableId="1462382941">
    <w:abstractNumId w:val="3"/>
  </w:num>
  <w:num w:numId="15" w16cid:durableId="1547721259">
    <w:abstractNumId w:val="34"/>
  </w:num>
  <w:num w:numId="16" w16cid:durableId="787241542">
    <w:abstractNumId w:val="11"/>
  </w:num>
  <w:num w:numId="17" w16cid:durableId="14114443">
    <w:abstractNumId w:val="36"/>
  </w:num>
  <w:num w:numId="18" w16cid:durableId="1211263519">
    <w:abstractNumId w:val="23"/>
  </w:num>
  <w:num w:numId="19" w16cid:durableId="682321024">
    <w:abstractNumId w:val="35"/>
  </w:num>
  <w:num w:numId="20" w16cid:durableId="227958730">
    <w:abstractNumId w:val="25"/>
  </w:num>
  <w:num w:numId="21" w16cid:durableId="311720670">
    <w:abstractNumId w:val="33"/>
  </w:num>
  <w:num w:numId="22" w16cid:durableId="1125656004">
    <w:abstractNumId w:val="7"/>
  </w:num>
  <w:num w:numId="23" w16cid:durableId="990908669">
    <w:abstractNumId w:val="15"/>
  </w:num>
  <w:num w:numId="24" w16cid:durableId="1956670310">
    <w:abstractNumId w:val="17"/>
  </w:num>
  <w:num w:numId="25" w16cid:durableId="784348963">
    <w:abstractNumId w:val="8"/>
  </w:num>
  <w:num w:numId="26" w16cid:durableId="1352803622">
    <w:abstractNumId w:val="31"/>
  </w:num>
  <w:num w:numId="27" w16cid:durableId="576866817">
    <w:abstractNumId w:val="38"/>
  </w:num>
  <w:num w:numId="28" w16cid:durableId="1217156080">
    <w:abstractNumId w:val="18"/>
  </w:num>
  <w:num w:numId="29" w16cid:durableId="345522985">
    <w:abstractNumId w:val="32"/>
  </w:num>
  <w:num w:numId="30" w16cid:durableId="2007053778">
    <w:abstractNumId w:val="18"/>
  </w:num>
  <w:num w:numId="31" w16cid:durableId="1610432954">
    <w:abstractNumId w:val="32"/>
  </w:num>
  <w:num w:numId="32" w16cid:durableId="1352414846">
    <w:abstractNumId w:val="10"/>
  </w:num>
  <w:num w:numId="33" w16cid:durableId="1183468787">
    <w:abstractNumId w:val="13"/>
  </w:num>
  <w:num w:numId="34" w16cid:durableId="117335238">
    <w:abstractNumId w:val="0"/>
  </w:num>
  <w:num w:numId="35" w16cid:durableId="419450380">
    <w:abstractNumId w:val="37"/>
  </w:num>
  <w:num w:numId="36" w16cid:durableId="1433891421">
    <w:abstractNumId w:val="21"/>
  </w:num>
  <w:num w:numId="37" w16cid:durableId="662319137">
    <w:abstractNumId w:val="26"/>
  </w:num>
  <w:num w:numId="38" w16cid:durableId="437605685">
    <w:abstractNumId w:val="2"/>
  </w:num>
  <w:num w:numId="39" w16cid:durableId="612368646">
    <w:abstractNumId w:val="30"/>
  </w:num>
  <w:num w:numId="40" w16cid:durableId="2096314900">
    <w:abstractNumId w:val="6"/>
  </w:num>
  <w:num w:numId="41" w16cid:durableId="677468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374D"/>
    <w:rsid w:val="0000575C"/>
    <w:rsid w:val="000068F2"/>
    <w:rsid w:val="00007177"/>
    <w:rsid w:val="00010A9D"/>
    <w:rsid w:val="00012D7E"/>
    <w:rsid w:val="0001304F"/>
    <w:rsid w:val="00015432"/>
    <w:rsid w:val="0001608F"/>
    <w:rsid w:val="0002357B"/>
    <w:rsid w:val="0002698F"/>
    <w:rsid w:val="00030247"/>
    <w:rsid w:val="00030459"/>
    <w:rsid w:val="000306C0"/>
    <w:rsid w:val="0003092A"/>
    <w:rsid w:val="000312B3"/>
    <w:rsid w:val="00031A72"/>
    <w:rsid w:val="0003360B"/>
    <w:rsid w:val="00033832"/>
    <w:rsid w:val="000339AF"/>
    <w:rsid w:val="000341E8"/>
    <w:rsid w:val="000346B1"/>
    <w:rsid w:val="00036F3C"/>
    <w:rsid w:val="00040A00"/>
    <w:rsid w:val="00041B80"/>
    <w:rsid w:val="0004303D"/>
    <w:rsid w:val="00043376"/>
    <w:rsid w:val="00046185"/>
    <w:rsid w:val="00047C22"/>
    <w:rsid w:val="00047FC8"/>
    <w:rsid w:val="000503A6"/>
    <w:rsid w:val="00052D28"/>
    <w:rsid w:val="00053B32"/>
    <w:rsid w:val="0005458E"/>
    <w:rsid w:val="0005485C"/>
    <w:rsid w:val="00056A4A"/>
    <w:rsid w:val="00060D53"/>
    <w:rsid w:val="00065E46"/>
    <w:rsid w:val="00071842"/>
    <w:rsid w:val="00071A7A"/>
    <w:rsid w:val="00072EA8"/>
    <w:rsid w:val="00073D2E"/>
    <w:rsid w:val="00075F70"/>
    <w:rsid w:val="00082BF3"/>
    <w:rsid w:val="00084C43"/>
    <w:rsid w:val="00086151"/>
    <w:rsid w:val="0008660A"/>
    <w:rsid w:val="000914A0"/>
    <w:rsid w:val="00092ED2"/>
    <w:rsid w:val="00097E9A"/>
    <w:rsid w:val="000A0507"/>
    <w:rsid w:val="000A09D6"/>
    <w:rsid w:val="000A3A29"/>
    <w:rsid w:val="000A583B"/>
    <w:rsid w:val="000A5A07"/>
    <w:rsid w:val="000B1914"/>
    <w:rsid w:val="000B24D6"/>
    <w:rsid w:val="000B3557"/>
    <w:rsid w:val="000B420F"/>
    <w:rsid w:val="000B4B94"/>
    <w:rsid w:val="000B5DB0"/>
    <w:rsid w:val="000B6D84"/>
    <w:rsid w:val="000C0AFA"/>
    <w:rsid w:val="000C21A7"/>
    <w:rsid w:val="000C3694"/>
    <w:rsid w:val="000C4724"/>
    <w:rsid w:val="000C60A5"/>
    <w:rsid w:val="000D06D7"/>
    <w:rsid w:val="000D35D9"/>
    <w:rsid w:val="000D42CE"/>
    <w:rsid w:val="000D5CA7"/>
    <w:rsid w:val="000E0F20"/>
    <w:rsid w:val="000E0F84"/>
    <w:rsid w:val="000E317C"/>
    <w:rsid w:val="000F0661"/>
    <w:rsid w:val="000F12EC"/>
    <w:rsid w:val="000F15E8"/>
    <w:rsid w:val="000F2BDA"/>
    <w:rsid w:val="000F3138"/>
    <w:rsid w:val="000F62CE"/>
    <w:rsid w:val="00101A8F"/>
    <w:rsid w:val="001032F1"/>
    <w:rsid w:val="001058A7"/>
    <w:rsid w:val="001114DE"/>
    <w:rsid w:val="00112C52"/>
    <w:rsid w:val="00114ECB"/>
    <w:rsid w:val="00116E79"/>
    <w:rsid w:val="0011774B"/>
    <w:rsid w:val="00117C15"/>
    <w:rsid w:val="0012249A"/>
    <w:rsid w:val="001228BF"/>
    <w:rsid w:val="001238F0"/>
    <w:rsid w:val="00123A21"/>
    <w:rsid w:val="0012401B"/>
    <w:rsid w:val="00130C8F"/>
    <w:rsid w:val="00131FD8"/>
    <w:rsid w:val="00132D04"/>
    <w:rsid w:val="001359B9"/>
    <w:rsid w:val="00136C80"/>
    <w:rsid w:val="00137992"/>
    <w:rsid w:val="00137B94"/>
    <w:rsid w:val="00140611"/>
    <w:rsid w:val="00140614"/>
    <w:rsid w:val="00141FB2"/>
    <w:rsid w:val="001421DA"/>
    <w:rsid w:val="001422DF"/>
    <w:rsid w:val="00142E3C"/>
    <w:rsid w:val="00145735"/>
    <w:rsid w:val="00145747"/>
    <w:rsid w:val="00145A55"/>
    <w:rsid w:val="0014655C"/>
    <w:rsid w:val="001475D6"/>
    <w:rsid w:val="0015530E"/>
    <w:rsid w:val="00156986"/>
    <w:rsid w:val="00161202"/>
    <w:rsid w:val="00170318"/>
    <w:rsid w:val="0017288B"/>
    <w:rsid w:val="00172AFC"/>
    <w:rsid w:val="001770CE"/>
    <w:rsid w:val="001800E9"/>
    <w:rsid w:val="001825E5"/>
    <w:rsid w:val="001846A7"/>
    <w:rsid w:val="00186A74"/>
    <w:rsid w:val="00186B54"/>
    <w:rsid w:val="001926C6"/>
    <w:rsid w:val="00192E42"/>
    <w:rsid w:val="001933A1"/>
    <w:rsid w:val="00193870"/>
    <w:rsid w:val="00197D1D"/>
    <w:rsid w:val="001A22D7"/>
    <w:rsid w:val="001A3829"/>
    <w:rsid w:val="001A4242"/>
    <w:rsid w:val="001A4488"/>
    <w:rsid w:val="001A47DC"/>
    <w:rsid w:val="001A4FC9"/>
    <w:rsid w:val="001B1B21"/>
    <w:rsid w:val="001B1DC7"/>
    <w:rsid w:val="001B4CFB"/>
    <w:rsid w:val="001B5873"/>
    <w:rsid w:val="001B7616"/>
    <w:rsid w:val="001B7E3D"/>
    <w:rsid w:val="001C0C15"/>
    <w:rsid w:val="001C0E43"/>
    <w:rsid w:val="001C3980"/>
    <w:rsid w:val="001C4CC1"/>
    <w:rsid w:val="001C5A99"/>
    <w:rsid w:val="001C7019"/>
    <w:rsid w:val="001D0E20"/>
    <w:rsid w:val="001D0E85"/>
    <w:rsid w:val="001D276C"/>
    <w:rsid w:val="001D3EDF"/>
    <w:rsid w:val="001E1DCC"/>
    <w:rsid w:val="001E2EA1"/>
    <w:rsid w:val="001E530A"/>
    <w:rsid w:val="001E62A8"/>
    <w:rsid w:val="001E6AF7"/>
    <w:rsid w:val="001F084B"/>
    <w:rsid w:val="001F2148"/>
    <w:rsid w:val="001F24B9"/>
    <w:rsid w:val="001F344B"/>
    <w:rsid w:val="001F4BAE"/>
    <w:rsid w:val="001F6319"/>
    <w:rsid w:val="001F68EE"/>
    <w:rsid w:val="001F76ED"/>
    <w:rsid w:val="00206463"/>
    <w:rsid w:val="00206ED0"/>
    <w:rsid w:val="002071A3"/>
    <w:rsid w:val="00207A35"/>
    <w:rsid w:val="00214DCB"/>
    <w:rsid w:val="002151F3"/>
    <w:rsid w:val="002157CF"/>
    <w:rsid w:val="00217B83"/>
    <w:rsid w:val="002211EA"/>
    <w:rsid w:val="00224C9E"/>
    <w:rsid w:val="002250DE"/>
    <w:rsid w:val="00227354"/>
    <w:rsid w:val="00227A3F"/>
    <w:rsid w:val="00227F8D"/>
    <w:rsid w:val="00227FCE"/>
    <w:rsid w:val="002300DB"/>
    <w:rsid w:val="00231DD9"/>
    <w:rsid w:val="00234556"/>
    <w:rsid w:val="00234DF1"/>
    <w:rsid w:val="00235483"/>
    <w:rsid w:val="002362E8"/>
    <w:rsid w:val="00241A66"/>
    <w:rsid w:val="00242A42"/>
    <w:rsid w:val="00244080"/>
    <w:rsid w:val="002460E3"/>
    <w:rsid w:val="0025270C"/>
    <w:rsid w:val="00255960"/>
    <w:rsid w:val="00256079"/>
    <w:rsid w:val="002619E0"/>
    <w:rsid w:val="002619EF"/>
    <w:rsid w:val="00262F0F"/>
    <w:rsid w:val="002674FB"/>
    <w:rsid w:val="00267A66"/>
    <w:rsid w:val="00272C20"/>
    <w:rsid w:val="00272FA2"/>
    <w:rsid w:val="00274347"/>
    <w:rsid w:val="0027501C"/>
    <w:rsid w:val="002821F8"/>
    <w:rsid w:val="00282923"/>
    <w:rsid w:val="00285291"/>
    <w:rsid w:val="00292613"/>
    <w:rsid w:val="00293D09"/>
    <w:rsid w:val="0029418B"/>
    <w:rsid w:val="00295C1C"/>
    <w:rsid w:val="002A3234"/>
    <w:rsid w:val="002A465B"/>
    <w:rsid w:val="002A4AF2"/>
    <w:rsid w:val="002A55F5"/>
    <w:rsid w:val="002A59FB"/>
    <w:rsid w:val="002A6081"/>
    <w:rsid w:val="002A63D9"/>
    <w:rsid w:val="002A655B"/>
    <w:rsid w:val="002A6D14"/>
    <w:rsid w:val="002A73E8"/>
    <w:rsid w:val="002A7BC6"/>
    <w:rsid w:val="002B017D"/>
    <w:rsid w:val="002B0386"/>
    <w:rsid w:val="002B08F2"/>
    <w:rsid w:val="002B10E1"/>
    <w:rsid w:val="002B15C1"/>
    <w:rsid w:val="002B2063"/>
    <w:rsid w:val="002B3FE9"/>
    <w:rsid w:val="002B7785"/>
    <w:rsid w:val="002C2F97"/>
    <w:rsid w:val="002C3F67"/>
    <w:rsid w:val="002C46B1"/>
    <w:rsid w:val="002C602B"/>
    <w:rsid w:val="002C688B"/>
    <w:rsid w:val="002C7AA1"/>
    <w:rsid w:val="002D2328"/>
    <w:rsid w:val="002D3D1D"/>
    <w:rsid w:val="002D77D9"/>
    <w:rsid w:val="002D7969"/>
    <w:rsid w:val="002E1316"/>
    <w:rsid w:val="002E1A57"/>
    <w:rsid w:val="002E232C"/>
    <w:rsid w:val="002E2851"/>
    <w:rsid w:val="002E6FC6"/>
    <w:rsid w:val="002F0D39"/>
    <w:rsid w:val="002F0D9E"/>
    <w:rsid w:val="002F1FE0"/>
    <w:rsid w:val="002F5A6E"/>
    <w:rsid w:val="002F68D2"/>
    <w:rsid w:val="002F6C7E"/>
    <w:rsid w:val="00300877"/>
    <w:rsid w:val="0030555A"/>
    <w:rsid w:val="00306AF0"/>
    <w:rsid w:val="003128FA"/>
    <w:rsid w:val="0031295D"/>
    <w:rsid w:val="00314429"/>
    <w:rsid w:val="003149DA"/>
    <w:rsid w:val="0031543B"/>
    <w:rsid w:val="00316193"/>
    <w:rsid w:val="003175E9"/>
    <w:rsid w:val="003246F4"/>
    <w:rsid w:val="003255C1"/>
    <w:rsid w:val="0032733D"/>
    <w:rsid w:val="00334D88"/>
    <w:rsid w:val="00335A0B"/>
    <w:rsid w:val="003374ED"/>
    <w:rsid w:val="0034049E"/>
    <w:rsid w:val="003407F3"/>
    <w:rsid w:val="00341388"/>
    <w:rsid w:val="00341FA3"/>
    <w:rsid w:val="00342477"/>
    <w:rsid w:val="0034287E"/>
    <w:rsid w:val="00344CCD"/>
    <w:rsid w:val="003500F1"/>
    <w:rsid w:val="00350989"/>
    <w:rsid w:val="00351752"/>
    <w:rsid w:val="00354C55"/>
    <w:rsid w:val="00355309"/>
    <w:rsid w:val="0035682D"/>
    <w:rsid w:val="003656D3"/>
    <w:rsid w:val="0037099D"/>
    <w:rsid w:val="00372D77"/>
    <w:rsid w:val="00374CEF"/>
    <w:rsid w:val="00375129"/>
    <w:rsid w:val="00376392"/>
    <w:rsid w:val="00376913"/>
    <w:rsid w:val="0037699B"/>
    <w:rsid w:val="00381502"/>
    <w:rsid w:val="00381569"/>
    <w:rsid w:val="00382932"/>
    <w:rsid w:val="00382992"/>
    <w:rsid w:val="00387B72"/>
    <w:rsid w:val="003927AC"/>
    <w:rsid w:val="00396209"/>
    <w:rsid w:val="00396E3B"/>
    <w:rsid w:val="003971F6"/>
    <w:rsid w:val="003A0E65"/>
    <w:rsid w:val="003A409A"/>
    <w:rsid w:val="003B0D2D"/>
    <w:rsid w:val="003B34F3"/>
    <w:rsid w:val="003B3578"/>
    <w:rsid w:val="003B6122"/>
    <w:rsid w:val="003B687E"/>
    <w:rsid w:val="003B7D72"/>
    <w:rsid w:val="003C28CD"/>
    <w:rsid w:val="003C30F1"/>
    <w:rsid w:val="003C3CD1"/>
    <w:rsid w:val="003C5643"/>
    <w:rsid w:val="003C59B5"/>
    <w:rsid w:val="003C6DD4"/>
    <w:rsid w:val="003C6F47"/>
    <w:rsid w:val="003C7368"/>
    <w:rsid w:val="003D3175"/>
    <w:rsid w:val="003D58C9"/>
    <w:rsid w:val="003D6935"/>
    <w:rsid w:val="003D7EE4"/>
    <w:rsid w:val="003E093C"/>
    <w:rsid w:val="003E0F7E"/>
    <w:rsid w:val="003E411D"/>
    <w:rsid w:val="003E4881"/>
    <w:rsid w:val="003F11CC"/>
    <w:rsid w:val="003F2273"/>
    <w:rsid w:val="003F2AF4"/>
    <w:rsid w:val="003F6B91"/>
    <w:rsid w:val="003F7366"/>
    <w:rsid w:val="003F7D89"/>
    <w:rsid w:val="0040002B"/>
    <w:rsid w:val="004004C6"/>
    <w:rsid w:val="00401339"/>
    <w:rsid w:val="00401D4E"/>
    <w:rsid w:val="00402549"/>
    <w:rsid w:val="00402953"/>
    <w:rsid w:val="0040375E"/>
    <w:rsid w:val="00403E03"/>
    <w:rsid w:val="00405D2C"/>
    <w:rsid w:val="004066F1"/>
    <w:rsid w:val="0040772B"/>
    <w:rsid w:val="004101F8"/>
    <w:rsid w:val="0041359D"/>
    <w:rsid w:val="00421CCE"/>
    <w:rsid w:val="00423419"/>
    <w:rsid w:val="00425B1A"/>
    <w:rsid w:val="00426D3F"/>
    <w:rsid w:val="00427E35"/>
    <w:rsid w:val="004303D1"/>
    <w:rsid w:val="004318BC"/>
    <w:rsid w:val="004326BB"/>
    <w:rsid w:val="00432F38"/>
    <w:rsid w:val="00433D03"/>
    <w:rsid w:val="0043488B"/>
    <w:rsid w:val="00434EA5"/>
    <w:rsid w:val="0044282F"/>
    <w:rsid w:val="00442CDD"/>
    <w:rsid w:val="0044319B"/>
    <w:rsid w:val="00444271"/>
    <w:rsid w:val="00445DD7"/>
    <w:rsid w:val="004471AA"/>
    <w:rsid w:val="00447DDF"/>
    <w:rsid w:val="0045008A"/>
    <w:rsid w:val="00450244"/>
    <w:rsid w:val="00452A24"/>
    <w:rsid w:val="00452D66"/>
    <w:rsid w:val="00453E32"/>
    <w:rsid w:val="00456DDE"/>
    <w:rsid w:val="004572CA"/>
    <w:rsid w:val="004575DC"/>
    <w:rsid w:val="004614A3"/>
    <w:rsid w:val="004615F8"/>
    <w:rsid w:val="00462935"/>
    <w:rsid w:val="00462C87"/>
    <w:rsid w:val="004655FD"/>
    <w:rsid w:val="00466A3E"/>
    <w:rsid w:val="00467914"/>
    <w:rsid w:val="00470570"/>
    <w:rsid w:val="00470696"/>
    <w:rsid w:val="00471AFB"/>
    <w:rsid w:val="004742D0"/>
    <w:rsid w:val="004821DB"/>
    <w:rsid w:val="00484D43"/>
    <w:rsid w:val="00484DD7"/>
    <w:rsid w:val="00490505"/>
    <w:rsid w:val="004907CD"/>
    <w:rsid w:val="00490965"/>
    <w:rsid w:val="004934DE"/>
    <w:rsid w:val="0049399C"/>
    <w:rsid w:val="004966D2"/>
    <w:rsid w:val="004978C0"/>
    <w:rsid w:val="004A2819"/>
    <w:rsid w:val="004A30AB"/>
    <w:rsid w:val="004A3BFB"/>
    <w:rsid w:val="004B1397"/>
    <w:rsid w:val="004B1679"/>
    <w:rsid w:val="004B2244"/>
    <w:rsid w:val="004B4F1F"/>
    <w:rsid w:val="004B7358"/>
    <w:rsid w:val="004C4590"/>
    <w:rsid w:val="004C66DB"/>
    <w:rsid w:val="004D0409"/>
    <w:rsid w:val="004D0692"/>
    <w:rsid w:val="004D1A8E"/>
    <w:rsid w:val="004D2C5F"/>
    <w:rsid w:val="004D403E"/>
    <w:rsid w:val="004D4496"/>
    <w:rsid w:val="004D4F40"/>
    <w:rsid w:val="004D76BF"/>
    <w:rsid w:val="004E1598"/>
    <w:rsid w:val="004E3537"/>
    <w:rsid w:val="004E5389"/>
    <w:rsid w:val="004E58FB"/>
    <w:rsid w:val="004E64BB"/>
    <w:rsid w:val="004F3F28"/>
    <w:rsid w:val="004F4BBA"/>
    <w:rsid w:val="00500453"/>
    <w:rsid w:val="00502FD0"/>
    <w:rsid w:val="00505597"/>
    <w:rsid w:val="00513401"/>
    <w:rsid w:val="0051395C"/>
    <w:rsid w:val="00514464"/>
    <w:rsid w:val="005151B9"/>
    <w:rsid w:val="00516650"/>
    <w:rsid w:val="00517D0C"/>
    <w:rsid w:val="005200A1"/>
    <w:rsid w:val="005233AA"/>
    <w:rsid w:val="00523450"/>
    <w:rsid w:val="00524EA4"/>
    <w:rsid w:val="00527092"/>
    <w:rsid w:val="00536D26"/>
    <w:rsid w:val="00536FB6"/>
    <w:rsid w:val="00537C28"/>
    <w:rsid w:val="005403FE"/>
    <w:rsid w:val="00540D97"/>
    <w:rsid w:val="00541297"/>
    <w:rsid w:val="00541A88"/>
    <w:rsid w:val="005431A6"/>
    <w:rsid w:val="00545D3B"/>
    <w:rsid w:val="0054679B"/>
    <w:rsid w:val="00546C3B"/>
    <w:rsid w:val="005470E3"/>
    <w:rsid w:val="00547FFD"/>
    <w:rsid w:val="00551AD9"/>
    <w:rsid w:val="00551B0F"/>
    <w:rsid w:val="00552ED9"/>
    <w:rsid w:val="0055447C"/>
    <w:rsid w:val="00554EDC"/>
    <w:rsid w:val="00561B83"/>
    <w:rsid w:val="005659FB"/>
    <w:rsid w:val="00565A23"/>
    <w:rsid w:val="005669C6"/>
    <w:rsid w:val="005672BC"/>
    <w:rsid w:val="00570EA6"/>
    <w:rsid w:val="005721E8"/>
    <w:rsid w:val="00573C34"/>
    <w:rsid w:val="005824E7"/>
    <w:rsid w:val="0058339E"/>
    <w:rsid w:val="00586371"/>
    <w:rsid w:val="005864B5"/>
    <w:rsid w:val="00591645"/>
    <w:rsid w:val="005953F8"/>
    <w:rsid w:val="00595994"/>
    <w:rsid w:val="005A134E"/>
    <w:rsid w:val="005A16AD"/>
    <w:rsid w:val="005A17AB"/>
    <w:rsid w:val="005A1883"/>
    <w:rsid w:val="005A23E0"/>
    <w:rsid w:val="005A43E1"/>
    <w:rsid w:val="005A4452"/>
    <w:rsid w:val="005A4D89"/>
    <w:rsid w:val="005A658B"/>
    <w:rsid w:val="005A6E03"/>
    <w:rsid w:val="005A73AC"/>
    <w:rsid w:val="005B2DC6"/>
    <w:rsid w:val="005B397A"/>
    <w:rsid w:val="005B3E3C"/>
    <w:rsid w:val="005B4156"/>
    <w:rsid w:val="005B7063"/>
    <w:rsid w:val="005B7A9C"/>
    <w:rsid w:val="005C07E9"/>
    <w:rsid w:val="005C1CBA"/>
    <w:rsid w:val="005C231E"/>
    <w:rsid w:val="005C3FC1"/>
    <w:rsid w:val="005C40E1"/>
    <w:rsid w:val="005C4203"/>
    <w:rsid w:val="005C59AE"/>
    <w:rsid w:val="005C5CD2"/>
    <w:rsid w:val="005C5F20"/>
    <w:rsid w:val="005C6E0B"/>
    <w:rsid w:val="005D1047"/>
    <w:rsid w:val="005D13FD"/>
    <w:rsid w:val="005D3499"/>
    <w:rsid w:val="005D5FB9"/>
    <w:rsid w:val="005D6DE8"/>
    <w:rsid w:val="005E19F4"/>
    <w:rsid w:val="005E21F1"/>
    <w:rsid w:val="005E2583"/>
    <w:rsid w:val="005E2CB0"/>
    <w:rsid w:val="005E2EF1"/>
    <w:rsid w:val="005E4517"/>
    <w:rsid w:val="005F2C0B"/>
    <w:rsid w:val="005F409C"/>
    <w:rsid w:val="005F658F"/>
    <w:rsid w:val="005F74EE"/>
    <w:rsid w:val="00602BAE"/>
    <w:rsid w:val="006032E4"/>
    <w:rsid w:val="00604DC4"/>
    <w:rsid w:val="006055EC"/>
    <w:rsid w:val="00606E42"/>
    <w:rsid w:val="006109A5"/>
    <w:rsid w:val="00612133"/>
    <w:rsid w:val="00615109"/>
    <w:rsid w:val="0061684E"/>
    <w:rsid w:val="006171A9"/>
    <w:rsid w:val="00617CF6"/>
    <w:rsid w:val="0062042F"/>
    <w:rsid w:val="0062212A"/>
    <w:rsid w:val="00626EB2"/>
    <w:rsid w:val="00632969"/>
    <w:rsid w:val="0063336D"/>
    <w:rsid w:val="006333B3"/>
    <w:rsid w:val="0063463D"/>
    <w:rsid w:val="00636496"/>
    <w:rsid w:val="006404CB"/>
    <w:rsid w:val="00640B14"/>
    <w:rsid w:val="006410A0"/>
    <w:rsid w:val="00641A38"/>
    <w:rsid w:val="00641F76"/>
    <w:rsid w:val="006460C4"/>
    <w:rsid w:val="0065057B"/>
    <w:rsid w:val="0065142A"/>
    <w:rsid w:val="00651840"/>
    <w:rsid w:val="00652E61"/>
    <w:rsid w:val="00654884"/>
    <w:rsid w:val="00662900"/>
    <w:rsid w:val="0066536E"/>
    <w:rsid w:val="006710C7"/>
    <w:rsid w:val="006742ED"/>
    <w:rsid w:val="006767E2"/>
    <w:rsid w:val="00681695"/>
    <w:rsid w:val="00681BA0"/>
    <w:rsid w:val="00683031"/>
    <w:rsid w:val="006843DD"/>
    <w:rsid w:val="00687AF8"/>
    <w:rsid w:val="00692D97"/>
    <w:rsid w:val="00693BD0"/>
    <w:rsid w:val="00695B6F"/>
    <w:rsid w:val="006A06DD"/>
    <w:rsid w:val="006A19D0"/>
    <w:rsid w:val="006A5736"/>
    <w:rsid w:val="006A5848"/>
    <w:rsid w:val="006A7572"/>
    <w:rsid w:val="006B02A9"/>
    <w:rsid w:val="006B14EF"/>
    <w:rsid w:val="006B39A0"/>
    <w:rsid w:val="006B5063"/>
    <w:rsid w:val="006C3147"/>
    <w:rsid w:val="006C5513"/>
    <w:rsid w:val="006D0F84"/>
    <w:rsid w:val="006D1A34"/>
    <w:rsid w:val="006D1C97"/>
    <w:rsid w:val="006D35BA"/>
    <w:rsid w:val="006D43B2"/>
    <w:rsid w:val="006D4BDD"/>
    <w:rsid w:val="006D55A3"/>
    <w:rsid w:val="006D6708"/>
    <w:rsid w:val="006E2820"/>
    <w:rsid w:val="006E3C3E"/>
    <w:rsid w:val="006E4859"/>
    <w:rsid w:val="006E6CD1"/>
    <w:rsid w:val="006F08B1"/>
    <w:rsid w:val="006F1BE7"/>
    <w:rsid w:val="006F269A"/>
    <w:rsid w:val="006F2A0D"/>
    <w:rsid w:val="006F2F62"/>
    <w:rsid w:val="006F3729"/>
    <w:rsid w:val="006F3EF9"/>
    <w:rsid w:val="006F3F6D"/>
    <w:rsid w:val="006F5748"/>
    <w:rsid w:val="006F5E6B"/>
    <w:rsid w:val="006F6C4E"/>
    <w:rsid w:val="00700428"/>
    <w:rsid w:val="00700753"/>
    <w:rsid w:val="00700838"/>
    <w:rsid w:val="00700C38"/>
    <w:rsid w:val="00701754"/>
    <w:rsid w:val="00704D2E"/>
    <w:rsid w:val="007059F5"/>
    <w:rsid w:val="00707457"/>
    <w:rsid w:val="007078B1"/>
    <w:rsid w:val="00713111"/>
    <w:rsid w:val="007146D9"/>
    <w:rsid w:val="00720440"/>
    <w:rsid w:val="007222E6"/>
    <w:rsid w:val="007232CB"/>
    <w:rsid w:val="00724671"/>
    <w:rsid w:val="00725C76"/>
    <w:rsid w:val="00725D91"/>
    <w:rsid w:val="0073096A"/>
    <w:rsid w:val="0073216E"/>
    <w:rsid w:val="00732F63"/>
    <w:rsid w:val="0073522A"/>
    <w:rsid w:val="007367B0"/>
    <w:rsid w:val="00741F21"/>
    <w:rsid w:val="00744D92"/>
    <w:rsid w:val="00745B27"/>
    <w:rsid w:val="00747A6F"/>
    <w:rsid w:val="00750B32"/>
    <w:rsid w:val="0075130B"/>
    <w:rsid w:val="00751A20"/>
    <w:rsid w:val="00752A99"/>
    <w:rsid w:val="007535CA"/>
    <w:rsid w:val="00757829"/>
    <w:rsid w:val="00757E07"/>
    <w:rsid w:val="00765AAE"/>
    <w:rsid w:val="007661B1"/>
    <w:rsid w:val="0076691E"/>
    <w:rsid w:val="007674AA"/>
    <w:rsid w:val="0076787E"/>
    <w:rsid w:val="00767C86"/>
    <w:rsid w:val="00771B2D"/>
    <w:rsid w:val="007720C4"/>
    <w:rsid w:val="007760B4"/>
    <w:rsid w:val="007769CD"/>
    <w:rsid w:val="00777F8E"/>
    <w:rsid w:val="0078032B"/>
    <w:rsid w:val="007809CC"/>
    <w:rsid w:val="00781566"/>
    <w:rsid w:val="007818DC"/>
    <w:rsid w:val="00783CDB"/>
    <w:rsid w:val="00784F1A"/>
    <w:rsid w:val="0078594B"/>
    <w:rsid w:val="00785A1B"/>
    <w:rsid w:val="00787D5A"/>
    <w:rsid w:val="00794540"/>
    <w:rsid w:val="00795270"/>
    <w:rsid w:val="00795C57"/>
    <w:rsid w:val="007976E7"/>
    <w:rsid w:val="00797E69"/>
    <w:rsid w:val="007A2BF5"/>
    <w:rsid w:val="007A2CF0"/>
    <w:rsid w:val="007A37BD"/>
    <w:rsid w:val="007A3C28"/>
    <w:rsid w:val="007A40E9"/>
    <w:rsid w:val="007A6AA3"/>
    <w:rsid w:val="007A7740"/>
    <w:rsid w:val="007A7FB6"/>
    <w:rsid w:val="007B02FB"/>
    <w:rsid w:val="007B0B6B"/>
    <w:rsid w:val="007B2597"/>
    <w:rsid w:val="007B2D01"/>
    <w:rsid w:val="007B3560"/>
    <w:rsid w:val="007B4AC1"/>
    <w:rsid w:val="007B4BCE"/>
    <w:rsid w:val="007B6B0C"/>
    <w:rsid w:val="007B6BAB"/>
    <w:rsid w:val="007B6D77"/>
    <w:rsid w:val="007C0166"/>
    <w:rsid w:val="007C070F"/>
    <w:rsid w:val="007C200D"/>
    <w:rsid w:val="007C337E"/>
    <w:rsid w:val="007C6988"/>
    <w:rsid w:val="007C78EF"/>
    <w:rsid w:val="007D04AE"/>
    <w:rsid w:val="007D0ED7"/>
    <w:rsid w:val="007D14A0"/>
    <w:rsid w:val="007E39FA"/>
    <w:rsid w:val="007E5362"/>
    <w:rsid w:val="007E5A70"/>
    <w:rsid w:val="007E76A0"/>
    <w:rsid w:val="007E7BD5"/>
    <w:rsid w:val="007F0420"/>
    <w:rsid w:val="007F1D70"/>
    <w:rsid w:val="007F3D3F"/>
    <w:rsid w:val="007F3F4E"/>
    <w:rsid w:val="007F4142"/>
    <w:rsid w:val="00801648"/>
    <w:rsid w:val="00802701"/>
    <w:rsid w:val="008038A2"/>
    <w:rsid w:val="00804ECD"/>
    <w:rsid w:val="00807F9A"/>
    <w:rsid w:val="008101C9"/>
    <w:rsid w:val="008116E8"/>
    <w:rsid w:val="00811FE8"/>
    <w:rsid w:val="008169BA"/>
    <w:rsid w:val="00816D4A"/>
    <w:rsid w:val="00816DFF"/>
    <w:rsid w:val="008272D4"/>
    <w:rsid w:val="00830004"/>
    <w:rsid w:val="008328EF"/>
    <w:rsid w:val="00834492"/>
    <w:rsid w:val="00841FE0"/>
    <w:rsid w:val="00842077"/>
    <w:rsid w:val="008425C6"/>
    <w:rsid w:val="00843396"/>
    <w:rsid w:val="008445EB"/>
    <w:rsid w:val="008446D2"/>
    <w:rsid w:val="008471A3"/>
    <w:rsid w:val="0084720C"/>
    <w:rsid w:val="008476A3"/>
    <w:rsid w:val="00847A1C"/>
    <w:rsid w:val="00852ECF"/>
    <w:rsid w:val="00853846"/>
    <w:rsid w:val="008542D9"/>
    <w:rsid w:val="00860532"/>
    <w:rsid w:val="00861E1B"/>
    <w:rsid w:val="00862EB6"/>
    <w:rsid w:val="00863827"/>
    <w:rsid w:val="0086436B"/>
    <w:rsid w:val="00867878"/>
    <w:rsid w:val="00871AC9"/>
    <w:rsid w:val="00874675"/>
    <w:rsid w:val="00875C44"/>
    <w:rsid w:val="00876856"/>
    <w:rsid w:val="00877052"/>
    <w:rsid w:val="00877447"/>
    <w:rsid w:val="0088096A"/>
    <w:rsid w:val="008827D2"/>
    <w:rsid w:val="00883E57"/>
    <w:rsid w:val="008856D2"/>
    <w:rsid w:val="008865A9"/>
    <w:rsid w:val="0088682D"/>
    <w:rsid w:val="00887D67"/>
    <w:rsid w:val="00894B97"/>
    <w:rsid w:val="00896E0E"/>
    <w:rsid w:val="008A2275"/>
    <w:rsid w:val="008A29F0"/>
    <w:rsid w:val="008A3825"/>
    <w:rsid w:val="008A3B66"/>
    <w:rsid w:val="008A4418"/>
    <w:rsid w:val="008A5BCA"/>
    <w:rsid w:val="008B082E"/>
    <w:rsid w:val="008B0A71"/>
    <w:rsid w:val="008B1ED9"/>
    <w:rsid w:val="008B3C4E"/>
    <w:rsid w:val="008B3C6B"/>
    <w:rsid w:val="008B3CAE"/>
    <w:rsid w:val="008B564E"/>
    <w:rsid w:val="008C08E9"/>
    <w:rsid w:val="008C2026"/>
    <w:rsid w:val="008C247C"/>
    <w:rsid w:val="008C389C"/>
    <w:rsid w:val="008C5EDD"/>
    <w:rsid w:val="008C75F0"/>
    <w:rsid w:val="008C7B6A"/>
    <w:rsid w:val="008D0769"/>
    <w:rsid w:val="008D47EC"/>
    <w:rsid w:val="008D6BB7"/>
    <w:rsid w:val="008E0098"/>
    <w:rsid w:val="008E2A85"/>
    <w:rsid w:val="008E3076"/>
    <w:rsid w:val="008E3F15"/>
    <w:rsid w:val="008E498D"/>
    <w:rsid w:val="008F03A2"/>
    <w:rsid w:val="008F5FE1"/>
    <w:rsid w:val="009021CA"/>
    <w:rsid w:val="00903E98"/>
    <w:rsid w:val="00905B16"/>
    <w:rsid w:val="00906CC5"/>
    <w:rsid w:val="00907098"/>
    <w:rsid w:val="00912984"/>
    <w:rsid w:val="00912E5B"/>
    <w:rsid w:val="00914771"/>
    <w:rsid w:val="00914AE7"/>
    <w:rsid w:val="009157A6"/>
    <w:rsid w:val="00920123"/>
    <w:rsid w:val="0092032C"/>
    <w:rsid w:val="00923166"/>
    <w:rsid w:val="00925898"/>
    <w:rsid w:val="00926530"/>
    <w:rsid w:val="0092F8C0"/>
    <w:rsid w:val="009314D6"/>
    <w:rsid w:val="00931A84"/>
    <w:rsid w:val="00937E04"/>
    <w:rsid w:val="00943BBB"/>
    <w:rsid w:val="00944032"/>
    <w:rsid w:val="00946E6E"/>
    <w:rsid w:val="00946E97"/>
    <w:rsid w:val="00950592"/>
    <w:rsid w:val="00952D52"/>
    <w:rsid w:val="00956A0F"/>
    <w:rsid w:val="0096212E"/>
    <w:rsid w:val="00962AA6"/>
    <w:rsid w:val="00963FF4"/>
    <w:rsid w:val="009668C6"/>
    <w:rsid w:val="00966D9C"/>
    <w:rsid w:val="0096776A"/>
    <w:rsid w:val="00973975"/>
    <w:rsid w:val="00973D44"/>
    <w:rsid w:val="0097530A"/>
    <w:rsid w:val="00980F81"/>
    <w:rsid w:val="009812CD"/>
    <w:rsid w:val="00981729"/>
    <w:rsid w:val="009845D4"/>
    <w:rsid w:val="00984A27"/>
    <w:rsid w:val="0098659B"/>
    <w:rsid w:val="009868B0"/>
    <w:rsid w:val="009869DE"/>
    <w:rsid w:val="0098716C"/>
    <w:rsid w:val="0098753A"/>
    <w:rsid w:val="009902EA"/>
    <w:rsid w:val="00992B9F"/>
    <w:rsid w:val="009953B5"/>
    <w:rsid w:val="00995C63"/>
    <w:rsid w:val="009976F3"/>
    <w:rsid w:val="00997ABD"/>
    <w:rsid w:val="009A030A"/>
    <w:rsid w:val="009A036C"/>
    <w:rsid w:val="009A2389"/>
    <w:rsid w:val="009A295B"/>
    <w:rsid w:val="009A2B80"/>
    <w:rsid w:val="009A3886"/>
    <w:rsid w:val="009A64E5"/>
    <w:rsid w:val="009B029E"/>
    <w:rsid w:val="009B1A87"/>
    <w:rsid w:val="009B24DB"/>
    <w:rsid w:val="009B3BF4"/>
    <w:rsid w:val="009B4505"/>
    <w:rsid w:val="009B781E"/>
    <w:rsid w:val="009B7A6B"/>
    <w:rsid w:val="009C4E62"/>
    <w:rsid w:val="009C604F"/>
    <w:rsid w:val="009C6D7F"/>
    <w:rsid w:val="009D0578"/>
    <w:rsid w:val="009D3B9B"/>
    <w:rsid w:val="009D79FC"/>
    <w:rsid w:val="009E6497"/>
    <w:rsid w:val="009E7FA6"/>
    <w:rsid w:val="009F18A5"/>
    <w:rsid w:val="009F33F6"/>
    <w:rsid w:val="009F40B3"/>
    <w:rsid w:val="009F4C7F"/>
    <w:rsid w:val="009F5775"/>
    <w:rsid w:val="009F7567"/>
    <w:rsid w:val="00A016A0"/>
    <w:rsid w:val="00A01CAF"/>
    <w:rsid w:val="00A033A2"/>
    <w:rsid w:val="00A048E7"/>
    <w:rsid w:val="00A074F9"/>
    <w:rsid w:val="00A078AA"/>
    <w:rsid w:val="00A10AE3"/>
    <w:rsid w:val="00A11961"/>
    <w:rsid w:val="00A12515"/>
    <w:rsid w:val="00A12789"/>
    <w:rsid w:val="00A1386A"/>
    <w:rsid w:val="00A15680"/>
    <w:rsid w:val="00A15A88"/>
    <w:rsid w:val="00A1610D"/>
    <w:rsid w:val="00A1673D"/>
    <w:rsid w:val="00A16A9C"/>
    <w:rsid w:val="00A2002F"/>
    <w:rsid w:val="00A2080F"/>
    <w:rsid w:val="00A20B97"/>
    <w:rsid w:val="00A2617F"/>
    <w:rsid w:val="00A26333"/>
    <w:rsid w:val="00A26A5E"/>
    <w:rsid w:val="00A26DA4"/>
    <w:rsid w:val="00A2720B"/>
    <w:rsid w:val="00A33C44"/>
    <w:rsid w:val="00A33F31"/>
    <w:rsid w:val="00A34781"/>
    <w:rsid w:val="00A35D30"/>
    <w:rsid w:val="00A37141"/>
    <w:rsid w:val="00A414C5"/>
    <w:rsid w:val="00A4307F"/>
    <w:rsid w:val="00A44118"/>
    <w:rsid w:val="00A44C11"/>
    <w:rsid w:val="00A477AC"/>
    <w:rsid w:val="00A50A18"/>
    <w:rsid w:val="00A50BD4"/>
    <w:rsid w:val="00A62AD1"/>
    <w:rsid w:val="00A645B1"/>
    <w:rsid w:val="00A6484E"/>
    <w:rsid w:val="00A662BA"/>
    <w:rsid w:val="00A663C9"/>
    <w:rsid w:val="00A668F0"/>
    <w:rsid w:val="00A671E5"/>
    <w:rsid w:val="00A674FB"/>
    <w:rsid w:val="00A6757E"/>
    <w:rsid w:val="00A805BD"/>
    <w:rsid w:val="00A80960"/>
    <w:rsid w:val="00A80A9A"/>
    <w:rsid w:val="00A82AC4"/>
    <w:rsid w:val="00A82E41"/>
    <w:rsid w:val="00A85311"/>
    <w:rsid w:val="00A861C1"/>
    <w:rsid w:val="00A86977"/>
    <w:rsid w:val="00A87053"/>
    <w:rsid w:val="00A90D40"/>
    <w:rsid w:val="00A917AF"/>
    <w:rsid w:val="00A94804"/>
    <w:rsid w:val="00A95891"/>
    <w:rsid w:val="00AA0C3F"/>
    <w:rsid w:val="00AA0D4E"/>
    <w:rsid w:val="00AA0E26"/>
    <w:rsid w:val="00AA11D6"/>
    <w:rsid w:val="00AA1C2C"/>
    <w:rsid w:val="00AA44C3"/>
    <w:rsid w:val="00AB192D"/>
    <w:rsid w:val="00AB1D92"/>
    <w:rsid w:val="00AB6D9D"/>
    <w:rsid w:val="00AB7250"/>
    <w:rsid w:val="00AC041B"/>
    <w:rsid w:val="00AC1FDD"/>
    <w:rsid w:val="00AC3254"/>
    <w:rsid w:val="00AC3814"/>
    <w:rsid w:val="00AC4F03"/>
    <w:rsid w:val="00AD4389"/>
    <w:rsid w:val="00AD5BB1"/>
    <w:rsid w:val="00AE28DD"/>
    <w:rsid w:val="00AE5EC2"/>
    <w:rsid w:val="00AE7742"/>
    <w:rsid w:val="00AF0562"/>
    <w:rsid w:val="00AF16E1"/>
    <w:rsid w:val="00AF3153"/>
    <w:rsid w:val="00AF350B"/>
    <w:rsid w:val="00AF49EF"/>
    <w:rsid w:val="00AF52A7"/>
    <w:rsid w:val="00AF67A8"/>
    <w:rsid w:val="00B02CF1"/>
    <w:rsid w:val="00B0354E"/>
    <w:rsid w:val="00B03F9D"/>
    <w:rsid w:val="00B0704D"/>
    <w:rsid w:val="00B10BF3"/>
    <w:rsid w:val="00B10FB2"/>
    <w:rsid w:val="00B1407F"/>
    <w:rsid w:val="00B1454F"/>
    <w:rsid w:val="00B177B5"/>
    <w:rsid w:val="00B259AC"/>
    <w:rsid w:val="00B25FD0"/>
    <w:rsid w:val="00B26E1A"/>
    <w:rsid w:val="00B26F2C"/>
    <w:rsid w:val="00B34B88"/>
    <w:rsid w:val="00B351C9"/>
    <w:rsid w:val="00B35320"/>
    <w:rsid w:val="00B3591D"/>
    <w:rsid w:val="00B35C4D"/>
    <w:rsid w:val="00B41069"/>
    <w:rsid w:val="00B41E28"/>
    <w:rsid w:val="00B42F15"/>
    <w:rsid w:val="00B50D5E"/>
    <w:rsid w:val="00B60439"/>
    <w:rsid w:val="00B62CAA"/>
    <w:rsid w:val="00B63DBF"/>
    <w:rsid w:val="00B63DD1"/>
    <w:rsid w:val="00B64288"/>
    <w:rsid w:val="00B64871"/>
    <w:rsid w:val="00B656A0"/>
    <w:rsid w:val="00B65EDD"/>
    <w:rsid w:val="00B66F84"/>
    <w:rsid w:val="00B74D87"/>
    <w:rsid w:val="00B7607B"/>
    <w:rsid w:val="00B76723"/>
    <w:rsid w:val="00B77EF3"/>
    <w:rsid w:val="00B812F8"/>
    <w:rsid w:val="00B82D04"/>
    <w:rsid w:val="00B82FC9"/>
    <w:rsid w:val="00B836F6"/>
    <w:rsid w:val="00B83991"/>
    <w:rsid w:val="00B8632D"/>
    <w:rsid w:val="00B87AB2"/>
    <w:rsid w:val="00B918F8"/>
    <w:rsid w:val="00B91DDE"/>
    <w:rsid w:val="00B932C8"/>
    <w:rsid w:val="00B93733"/>
    <w:rsid w:val="00BA01CF"/>
    <w:rsid w:val="00BA09E2"/>
    <w:rsid w:val="00BA0B84"/>
    <w:rsid w:val="00BA19E7"/>
    <w:rsid w:val="00BA2B1F"/>
    <w:rsid w:val="00BA30EE"/>
    <w:rsid w:val="00BA37AF"/>
    <w:rsid w:val="00BA3B3E"/>
    <w:rsid w:val="00BA3D5A"/>
    <w:rsid w:val="00BA4C6B"/>
    <w:rsid w:val="00BA4EBB"/>
    <w:rsid w:val="00BA5210"/>
    <w:rsid w:val="00BA5D2F"/>
    <w:rsid w:val="00BA6EDB"/>
    <w:rsid w:val="00BA72F0"/>
    <w:rsid w:val="00BB47DA"/>
    <w:rsid w:val="00BB48AC"/>
    <w:rsid w:val="00BB510B"/>
    <w:rsid w:val="00BC152C"/>
    <w:rsid w:val="00BC2327"/>
    <w:rsid w:val="00BC297D"/>
    <w:rsid w:val="00BC35DE"/>
    <w:rsid w:val="00BC3984"/>
    <w:rsid w:val="00BC7998"/>
    <w:rsid w:val="00BD137B"/>
    <w:rsid w:val="00BD246D"/>
    <w:rsid w:val="00BD334F"/>
    <w:rsid w:val="00BD5F8A"/>
    <w:rsid w:val="00BD618A"/>
    <w:rsid w:val="00BE1846"/>
    <w:rsid w:val="00BE4A91"/>
    <w:rsid w:val="00BE603F"/>
    <w:rsid w:val="00BE65A2"/>
    <w:rsid w:val="00BE7C2D"/>
    <w:rsid w:val="00BF0463"/>
    <w:rsid w:val="00BF1D18"/>
    <w:rsid w:val="00BF3538"/>
    <w:rsid w:val="00BF4F0C"/>
    <w:rsid w:val="00BF5367"/>
    <w:rsid w:val="00BF7273"/>
    <w:rsid w:val="00C03A22"/>
    <w:rsid w:val="00C06C36"/>
    <w:rsid w:val="00C07817"/>
    <w:rsid w:val="00C11167"/>
    <w:rsid w:val="00C11AA2"/>
    <w:rsid w:val="00C11AD0"/>
    <w:rsid w:val="00C14023"/>
    <w:rsid w:val="00C14E60"/>
    <w:rsid w:val="00C15DF7"/>
    <w:rsid w:val="00C17216"/>
    <w:rsid w:val="00C17624"/>
    <w:rsid w:val="00C17A01"/>
    <w:rsid w:val="00C202D2"/>
    <w:rsid w:val="00C23811"/>
    <w:rsid w:val="00C2435A"/>
    <w:rsid w:val="00C25F6B"/>
    <w:rsid w:val="00C30A06"/>
    <w:rsid w:val="00C32EC0"/>
    <w:rsid w:val="00C34B8B"/>
    <w:rsid w:val="00C3541C"/>
    <w:rsid w:val="00C37803"/>
    <w:rsid w:val="00C37B41"/>
    <w:rsid w:val="00C41F0E"/>
    <w:rsid w:val="00C44E3C"/>
    <w:rsid w:val="00C44FE7"/>
    <w:rsid w:val="00C51626"/>
    <w:rsid w:val="00C52396"/>
    <w:rsid w:val="00C52439"/>
    <w:rsid w:val="00C606A2"/>
    <w:rsid w:val="00C62590"/>
    <w:rsid w:val="00C628E2"/>
    <w:rsid w:val="00C62B63"/>
    <w:rsid w:val="00C62DBE"/>
    <w:rsid w:val="00C63034"/>
    <w:rsid w:val="00C63B54"/>
    <w:rsid w:val="00C64654"/>
    <w:rsid w:val="00C65064"/>
    <w:rsid w:val="00C660D9"/>
    <w:rsid w:val="00C67635"/>
    <w:rsid w:val="00C71005"/>
    <w:rsid w:val="00C7375D"/>
    <w:rsid w:val="00C74469"/>
    <w:rsid w:val="00C76F80"/>
    <w:rsid w:val="00C81390"/>
    <w:rsid w:val="00C814CC"/>
    <w:rsid w:val="00C84B11"/>
    <w:rsid w:val="00C90D49"/>
    <w:rsid w:val="00C9215A"/>
    <w:rsid w:val="00C958C9"/>
    <w:rsid w:val="00C95F13"/>
    <w:rsid w:val="00CA184F"/>
    <w:rsid w:val="00CA240A"/>
    <w:rsid w:val="00CA2EC4"/>
    <w:rsid w:val="00CA3FB4"/>
    <w:rsid w:val="00CA59D7"/>
    <w:rsid w:val="00CB161A"/>
    <w:rsid w:val="00CB1F7B"/>
    <w:rsid w:val="00CB57C8"/>
    <w:rsid w:val="00CB5FB6"/>
    <w:rsid w:val="00CB77F3"/>
    <w:rsid w:val="00CC171B"/>
    <w:rsid w:val="00CC548A"/>
    <w:rsid w:val="00CD7D9C"/>
    <w:rsid w:val="00CE1D0A"/>
    <w:rsid w:val="00CE48CA"/>
    <w:rsid w:val="00CF0D8F"/>
    <w:rsid w:val="00CF0F51"/>
    <w:rsid w:val="00D01ECC"/>
    <w:rsid w:val="00D029E8"/>
    <w:rsid w:val="00D03465"/>
    <w:rsid w:val="00D062BE"/>
    <w:rsid w:val="00D06AA3"/>
    <w:rsid w:val="00D07064"/>
    <w:rsid w:val="00D0755F"/>
    <w:rsid w:val="00D101CB"/>
    <w:rsid w:val="00D10532"/>
    <w:rsid w:val="00D151E5"/>
    <w:rsid w:val="00D155EC"/>
    <w:rsid w:val="00D15928"/>
    <w:rsid w:val="00D17B6A"/>
    <w:rsid w:val="00D2335F"/>
    <w:rsid w:val="00D24D15"/>
    <w:rsid w:val="00D25C6A"/>
    <w:rsid w:val="00D2619F"/>
    <w:rsid w:val="00D26F70"/>
    <w:rsid w:val="00D279FC"/>
    <w:rsid w:val="00D31344"/>
    <w:rsid w:val="00D317B4"/>
    <w:rsid w:val="00D32F2C"/>
    <w:rsid w:val="00D45236"/>
    <w:rsid w:val="00D45408"/>
    <w:rsid w:val="00D469F7"/>
    <w:rsid w:val="00D47A39"/>
    <w:rsid w:val="00D520EB"/>
    <w:rsid w:val="00D557DE"/>
    <w:rsid w:val="00D55ADD"/>
    <w:rsid w:val="00D60B47"/>
    <w:rsid w:val="00D6270A"/>
    <w:rsid w:val="00D628E5"/>
    <w:rsid w:val="00D73C6B"/>
    <w:rsid w:val="00D757C7"/>
    <w:rsid w:val="00D75D7E"/>
    <w:rsid w:val="00D80067"/>
    <w:rsid w:val="00D805BC"/>
    <w:rsid w:val="00D819C8"/>
    <w:rsid w:val="00D82AD0"/>
    <w:rsid w:val="00D83532"/>
    <w:rsid w:val="00D836CB"/>
    <w:rsid w:val="00D8544F"/>
    <w:rsid w:val="00D86187"/>
    <w:rsid w:val="00D870AD"/>
    <w:rsid w:val="00D90129"/>
    <w:rsid w:val="00D91D72"/>
    <w:rsid w:val="00D955B7"/>
    <w:rsid w:val="00D96101"/>
    <w:rsid w:val="00D961A2"/>
    <w:rsid w:val="00DA0FA6"/>
    <w:rsid w:val="00DA4139"/>
    <w:rsid w:val="00DA6606"/>
    <w:rsid w:val="00DB024E"/>
    <w:rsid w:val="00DB025A"/>
    <w:rsid w:val="00DB03A2"/>
    <w:rsid w:val="00DB0979"/>
    <w:rsid w:val="00DB161E"/>
    <w:rsid w:val="00DB4747"/>
    <w:rsid w:val="00DC0E04"/>
    <w:rsid w:val="00DC1BB3"/>
    <w:rsid w:val="00DC204C"/>
    <w:rsid w:val="00DC51EC"/>
    <w:rsid w:val="00DD1B6A"/>
    <w:rsid w:val="00DD33DF"/>
    <w:rsid w:val="00DD502A"/>
    <w:rsid w:val="00DD5DDF"/>
    <w:rsid w:val="00DD6E32"/>
    <w:rsid w:val="00DD6E91"/>
    <w:rsid w:val="00DE1293"/>
    <w:rsid w:val="00DE30A2"/>
    <w:rsid w:val="00DE31AF"/>
    <w:rsid w:val="00DE33F2"/>
    <w:rsid w:val="00DE3D3C"/>
    <w:rsid w:val="00DE40B7"/>
    <w:rsid w:val="00DE4919"/>
    <w:rsid w:val="00DE5665"/>
    <w:rsid w:val="00DE6995"/>
    <w:rsid w:val="00DE6CC3"/>
    <w:rsid w:val="00DE7148"/>
    <w:rsid w:val="00DF071F"/>
    <w:rsid w:val="00DF10CC"/>
    <w:rsid w:val="00DF22D5"/>
    <w:rsid w:val="00DF6D57"/>
    <w:rsid w:val="00DF7383"/>
    <w:rsid w:val="00E03485"/>
    <w:rsid w:val="00E04825"/>
    <w:rsid w:val="00E05307"/>
    <w:rsid w:val="00E05349"/>
    <w:rsid w:val="00E07C15"/>
    <w:rsid w:val="00E100B3"/>
    <w:rsid w:val="00E11BB3"/>
    <w:rsid w:val="00E125E8"/>
    <w:rsid w:val="00E13069"/>
    <w:rsid w:val="00E13C90"/>
    <w:rsid w:val="00E147F8"/>
    <w:rsid w:val="00E156BF"/>
    <w:rsid w:val="00E172B0"/>
    <w:rsid w:val="00E32C3E"/>
    <w:rsid w:val="00E342EB"/>
    <w:rsid w:val="00E34511"/>
    <w:rsid w:val="00E42D4C"/>
    <w:rsid w:val="00E43917"/>
    <w:rsid w:val="00E46DBC"/>
    <w:rsid w:val="00E46DF2"/>
    <w:rsid w:val="00E4729C"/>
    <w:rsid w:val="00E500B3"/>
    <w:rsid w:val="00E51CA9"/>
    <w:rsid w:val="00E51EF6"/>
    <w:rsid w:val="00E5619F"/>
    <w:rsid w:val="00E563F6"/>
    <w:rsid w:val="00E637E0"/>
    <w:rsid w:val="00E646FD"/>
    <w:rsid w:val="00E66D27"/>
    <w:rsid w:val="00E719B3"/>
    <w:rsid w:val="00E74196"/>
    <w:rsid w:val="00E749DB"/>
    <w:rsid w:val="00E765F4"/>
    <w:rsid w:val="00E76A50"/>
    <w:rsid w:val="00E779D5"/>
    <w:rsid w:val="00E8056C"/>
    <w:rsid w:val="00E81A5B"/>
    <w:rsid w:val="00E81AE9"/>
    <w:rsid w:val="00E827C5"/>
    <w:rsid w:val="00E858C3"/>
    <w:rsid w:val="00E862AE"/>
    <w:rsid w:val="00E8637F"/>
    <w:rsid w:val="00E87F80"/>
    <w:rsid w:val="00E9220E"/>
    <w:rsid w:val="00E94BA3"/>
    <w:rsid w:val="00EA2D81"/>
    <w:rsid w:val="00EA4491"/>
    <w:rsid w:val="00EA4C8A"/>
    <w:rsid w:val="00EB2467"/>
    <w:rsid w:val="00EB3206"/>
    <w:rsid w:val="00EB4D0E"/>
    <w:rsid w:val="00EB5C3A"/>
    <w:rsid w:val="00EB699F"/>
    <w:rsid w:val="00EB71A6"/>
    <w:rsid w:val="00EB7785"/>
    <w:rsid w:val="00EC4D08"/>
    <w:rsid w:val="00EC5D67"/>
    <w:rsid w:val="00ED0FA5"/>
    <w:rsid w:val="00ED595E"/>
    <w:rsid w:val="00EE0CDA"/>
    <w:rsid w:val="00EE10B4"/>
    <w:rsid w:val="00EE261A"/>
    <w:rsid w:val="00EE2B53"/>
    <w:rsid w:val="00EE3B43"/>
    <w:rsid w:val="00EE422F"/>
    <w:rsid w:val="00EE500A"/>
    <w:rsid w:val="00EE6F6D"/>
    <w:rsid w:val="00EE7E12"/>
    <w:rsid w:val="00EF06FF"/>
    <w:rsid w:val="00EF171A"/>
    <w:rsid w:val="00EF307A"/>
    <w:rsid w:val="00EF3983"/>
    <w:rsid w:val="00EF40BE"/>
    <w:rsid w:val="00EF51A3"/>
    <w:rsid w:val="00EF6F3C"/>
    <w:rsid w:val="00EF76FA"/>
    <w:rsid w:val="00F00E64"/>
    <w:rsid w:val="00F10D70"/>
    <w:rsid w:val="00F1129E"/>
    <w:rsid w:val="00F1137A"/>
    <w:rsid w:val="00F1212A"/>
    <w:rsid w:val="00F15F91"/>
    <w:rsid w:val="00F21675"/>
    <w:rsid w:val="00F22116"/>
    <w:rsid w:val="00F237D4"/>
    <w:rsid w:val="00F24EB2"/>
    <w:rsid w:val="00F30A3B"/>
    <w:rsid w:val="00F30EF7"/>
    <w:rsid w:val="00F318B0"/>
    <w:rsid w:val="00F43321"/>
    <w:rsid w:val="00F437AA"/>
    <w:rsid w:val="00F43977"/>
    <w:rsid w:val="00F46FC5"/>
    <w:rsid w:val="00F50A07"/>
    <w:rsid w:val="00F51B1E"/>
    <w:rsid w:val="00F57119"/>
    <w:rsid w:val="00F60E60"/>
    <w:rsid w:val="00F64BEE"/>
    <w:rsid w:val="00F6507C"/>
    <w:rsid w:val="00F67A2E"/>
    <w:rsid w:val="00F67D94"/>
    <w:rsid w:val="00F70956"/>
    <w:rsid w:val="00F728E5"/>
    <w:rsid w:val="00F77C13"/>
    <w:rsid w:val="00F80826"/>
    <w:rsid w:val="00F80939"/>
    <w:rsid w:val="00F811E1"/>
    <w:rsid w:val="00F840EB"/>
    <w:rsid w:val="00F90AB8"/>
    <w:rsid w:val="00F93420"/>
    <w:rsid w:val="00F941AF"/>
    <w:rsid w:val="00F945DB"/>
    <w:rsid w:val="00F94BA5"/>
    <w:rsid w:val="00F966A2"/>
    <w:rsid w:val="00F97661"/>
    <w:rsid w:val="00FA0F78"/>
    <w:rsid w:val="00FA2C26"/>
    <w:rsid w:val="00FA3993"/>
    <w:rsid w:val="00FA48D0"/>
    <w:rsid w:val="00FA5118"/>
    <w:rsid w:val="00FA63DA"/>
    <w:rsid w:val="00FA708D"/>
    <w:rsid w:val="00FB28B4"/>
    <w:rsid w:val="00FB35C1"/>
    <w:rsid w:val="00FB380B"/>
    <w:rsid w:val="00FB60A7"/>
    <w:rsid w:val="00FC13A1"/>
    <w:rsid w:val="00FC4CD7"/>
    <w:rsid w:val="00FC4DE4"/>
    <w:rsid w:val="00FC6288"/>
    <w:rsid w:val="00FD2279"/>
    <w:rsid w:val="00FD3988"/>
    <w:rsid w:val="00FE113A"/>
    <w:rsid w:val="00FE5FAF"/>
    <w:rsid w:val="00FE69EF"/>
    <w:rsid w:val="00FF1D10"/>
    <w:rsid w:val="00FF423F"/>
    <w:rsid w:val="00FF5475"/>
    <w:rsid w:val="034C624B"/>
    <w:rsid w:val="04C8C910"/>
    <w:rsid w:val="06E61611"/>
    <w:rsid w:val="0819723D"/>
    <w:rsid w:val="0FC6E96F"/>
    <w:rsid w:val="10FE0A35"/>
    <w:rsid w:val="1155C8FE"/>
    <w:rsid w:val="11635A0A"/>
    <w:rsid w:val="124E04A4"/>
    <w:rsid w:val="12BF6715"/>
    <w:rsid w:val="14C98DBB"/>
    <w:rsid w:val="14E25CFF"/>
    <w:rsid w:val="1BFC1684"/>
    <w:rsid w:val="1C13EA72"/>
    <w:rsid w:val="20A2F530"/>
    <w:rsid w:val="21864D88"/>
    <w:rsid w:val="24BDEE4A"/>
    <w:rsid w:val="2659BEAB"/>
    <w:rsid w:val="281ADF17"/>
    <w:rsid w:val="2A85BA02"/>
    <w:rsid w:val="2BBF0ABF"/>
    <w:rsid w:val="2BD85C8A"/>
    <w:rsid w:val="2F1219D1"/>
    <w:rsid w:val="30455C6E"/>
    <w:rsid w:val="30AE0427"/>
    <w:rsid w:val="317721E0"/>
    <w:rsid w:val="31E44425"/>
    <w:rsid w:val="3433DD82"/>
    <w:rsid w:val="3576734F"/>
    <w:rsid w:val="367B72AB"/>
    <w:rsid w:val="3813A05C"/>
    <w:rsid w:val="381C274C"/>
    <w:rsid w:val="39EAC08B"/>
    <w:rsid w:val="3A7C353E"/>
    <w:rsid w:val="3C29A12B"/>
    <w:rsid w:val="3E4358CB"/>
    <w:rsid w:val="3F6141ED"/>
    <w:rsid w:val="403A78C3"/>
    <w:rsid w:val="40D1B86D"/>
    <w:rsid w:val="4298E2AF"/>
    <w:rsid w:val="4324C33D"/>
    <w:rsid w:val="4434B310"/>
    <w:rsid w:val="4A07D688"/>
    <w:rsid w:val="4C853095"/>
    <w:rsid w:val="4EB39C70"/>
    <w:rsid w:val="50F2E9D5"/>
    <w:rsid w:val="5196FD74"/>
    <w:rsid w:val="5220CA66"/>
    <w:rsid w:val="57713CC5"/>
    <w:rsid w:val="5AA5BF3F"/>
    <w:rsid w:val="5C48E9AF"/>
    <w:rsid w:val="5EA726C0"/>
    <w:rsid w:val="5EB32B59"/>
    <w:rsid w:val="6008733C"/>
    <w:rsid w:val="611F2269"/>
    <w:rsid w:val="61B4A884"/>
    <w:rsid w:val="65226CDD"/>
    <w:rsid w:val="6AE9A0F3"/>
    <w:rsid w:val="6B745E3F"/>
    <w:rsid w:val="6B81B02F"/>
    <w:rsid w:val="6EE01490"/>
    <w:rsid w:val="7394FFE5"/>
    <w:rsid w:val="769EF5BA"/>
    <w:rsid w:val="76DC4E8E"/>
    <w:rsid w:val="791C66E6"/>
    <w:rsid w:val="7AC362D6"/>
    <w:rsid w:val="7C634A41"/>
    <w:rsid w:val="7CC3FD33"/>
    <w:rsid w:val="7CFF1635"/>
    <w:rsid w:val="7E3CBF89"/>
    <w:rsid w:val="7EB47273"/>
    <w:rsid w:val="7FC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A699B2E9-AE34-489D-8126-A90FACC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100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0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0B3"/>
    <w:rPr>
      <w:b/>
      <w:bCs/>
      <w:lang w:val="en-US" w:eastAsia="en-US"/>
    </w:rPr>
  </w:style>
  <w:style w:type="table" w:styleId="TableGrid">
    <w:name w:val="Table Grid"/>
    <w:basedOn w:val="TableNormal"/>
    <w:rsid w:val="00B6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4282F"/>
  </w:style>
  <w:style w:type="character" w:customStyle="1" w:styleId="eop">
    <w:name w:val="eop"/>
    <w:basedOn w:val="DefaultParagraphFont"/>
    <w:rsid w:val="0044282F"/>
  </w:style>
  <w:style w:type="paragraph" w:customStyle="1" w:styleId="paragraph">
    <w:name w:val="paragraph"/>
    <w:basedOn w:val="Normal"/>
    <w:rsid w:val="00B74D87"/>
    <w:pPr>
      <w:spacing w:before="100" w:beforeAutospacing="1" w:after="100" w:afterAutospacing="1"/>
    </w:pPr>
    <w:rPr>
      <w:lang w:val="en-GB"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7" ma:contentTypeDescription="Create a new document." ma:contentTypeScope="" ma:versionID="c34461d2e44bbd1dfd18a89a67c3eb8e">
  <xsd:schema xmlns:xsd="http://www.w3.org/2001/XMLSchema" xmlns:xs="http://www.w3.org/2001/XMLSchema" xmlns:p="http://schemas.microsoft.com/office/2006/metadata/properties" xmlns:ns2="250169f9-d2da-4118-b53a-263316cd62ce" xmlns:ns3="87e52216-f942-4014-98de-19b2a4303a61" targetNamespace="http://schemas.microsoft.com/office/2006/metadata/properties" ma:root="true" ma:fieldsID="512cabce86f3147a377c56e724fa8a98" ns2:_="" ns3:_="">
    <xsd:import namespace="250169f9-d2da-4118-b53a-263316cd62ce"/>
    <xsd:import namespace="87e52216-f942-4014-98de-19b2a4303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2216-f942-4014-98de-19b2a4303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66CEC-2666-434F-B60F-CDC5C21E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87e52216-f942-4014-98de-19b2a4303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C816E-E237-4362-9086-B17B7FA5D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3153</Characters>
  <Application>Microsoft Office Word</Application>
  <DocSecurity>0</DocSecurity>
  <Lines>26</Lines>
  <Paragraphs>7</Paragraphs>
  <ScaleCrop>false</ScaleCrop>
  <Company>Oxfordshire Mental Healthcare NHS Trust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StackJ</dc:creator>
  <cp:keywords/>
  <cp:lastModifiedBy>Smith Hannah (RNU) Oxford Health</cp:lastModifiedBy>
  <cp:revision>121</cp:revision>
  <cp:lastPrinted>2014-03-18T11:55:00Z</cp:lastPrinted>
  <dcterms:created xsi:type="dcterms:W3CDTF">2023-01-19T18:57:00Z</dcterms:created>
  <dcterms:modified xsi:type="dcterms:W3CDTF">2023-03-22T12:49:00Z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