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714C6A79" w:rsidR="002821F8" w:rsidRPr="00FA3993" w:rsidRDefault="0038198C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1CCFF73C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7CE0F5A3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38177E">
                              <w:rPr>
                                <w:rFonts w:ascii="Segoe UI" w:hAnsi="Segoe UI" w:cs="Segoe UI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DA7A7C">
                              <w:rPr>
                                <w:rFonts w:ascii="Segoe UI" w:hAnsi="Segoe UI" w:cs="Segoe UI"/>
                                <w:b/>
                              </w:rPr>
                              <w:t>3</w:t>
                            </w:r>
                          </w:p>
                          <w:p w14:paraId="6C95D97C" w14:textId="7B2DD03C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38177E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">
                <v:textbox inset="0,0,0,0">
                  <w:txbxContent>
                    <w:p w14:paraId="7E71BE13" w14:textId="7CE0F5A3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38177E">
                        <w:rPr>
                          <w:rFonts w:ascii="Segoe UI" w:hAnsi="Segoe UI" w:cs="Segoe UI"/>
                          <w:b/>
                        </w:rPr>
                        <w:t>18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DA7A7C">
                        <w:rPr>
                          <w:rFonts w:ascii="Segoe UI" w:hAnsi="Segoe UI" w:cs="Segoe UI"/>
                          <w:b/>
                        </w:rPr>
                        <w:t>3</w:t>
                      </w:r>
                    </w:p>
                    <w:p w14:paraId="6C95D97C" w14:textId="7B2DD03C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38177E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74AA46A9" w:rsidR="005D3499" w:rsidRPr="00FA3993" w:rsidRDefault="00DF1CC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March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DA7A7C">
        <w:rPr>
          <w:rFonts w:ascii="Segoe UI" w:hAnsi="Segoe UI" w:cs="Segoe UI"/>
          <w:b/>
        </w:rPr>
        <w:t>3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57AFF77E" w:rsidR="005D3499" w:rsidRPr="00FA3993" w:rsidRDefault="00154D4F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Report from </w:t>
      </w:r>
      <w:r w:rsidR="00DF1CCA">
        <w:rPr>
          <w:rFonts w:ascii="Segoe UI" w:hAnsi="Segoe UI" w:cs="Segoe UI"/>
          <w:b/>
        </w:rPr>
        <w:t>the Audit</w:t>
      </w:r>
      <w:r>
        <w:rPr>
          <w:rFonts w:ascii="Segoe UI" w:hAnsi="Segoe UI" w:cs="Segoe UI"/>
          <w:b/>
        </w:rPr>
        <w:t xml:space="preserve"> Committee on matters to Alert, Assure or Advise</w:t>
      </w:r>
    </w:p>
    <w:p w14:paraId="17D56EC0" w14:textId="4501E872" w:rsidR="00DF1CCA" w:rsidRDefault="00DF1CCA" w:rsidP="007A2CF0">
      <w:pPr>
        <w:jc w:val="both"/>
        <w:rPr>
          <w:rFonts w:ascii="Segoe UI" w:hAnsi="Segoe UI" w:cs="Segoe UI"/>
          <w:bCs/>
        </w:rPr>
      </w:pPr>
    </w:p>
    <w:p w14:paraId="753F2C89" w14:textId="77777777" w:rsidR="005820CB" w:rsidRDefault="005820CB" w:rsidP="007A2CF0">
      <w:pPr>
        <w:jc w:val="both"/>
        <w:rPr>
          <w:rFonts w:ascii="Segoe UI" w:hAnsi="Segoe UI" w:cs="Segoe UI"/>
          <w:bCs/>
        </w:rPr>
      </w:pPr>
    </w:p>
    <w:p w14:paraId="7264DAC3" w14:textId="139C7CC8" w:rsidR="00FA3993" w:rsidRDefault="00154D4F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 Alert</w:t>
      </w:r>
      <w:r w:rsidR="00A83EA7">
        <w:rPr>
          <w:rFonts w:ascii="Segoe UI" w:hAnsi="Segoe UI" w:cs="Segoe UI"/>
          <w:b/>
        </w:rPr>
        <w:t xml:space="preserve"> </w:t>
      </w:r>
    </w:p>
    <w:p w14:paraId="756BC59E" w14:textId="77777777" w:rsidR="005820CB" w:rsidRPr="00FA3993" w:rsidRDefault="005820CB" w:rsidP="007A2CF0">
      <w:pPr>
        <w:jc w:val="both"/>
        <w:rPr>
          <w:rFonts w:ascii="Segoe UI" w:hAnsi="Segoe UI" w:cs="Segoe UI"/>
          <w:b/>
        </w:rPr>
      </w:pPr>
    </w:p>
    <w:p w14:paraId="651D5A1D" w14:textId="00C1C959" w:rsidR="004E2EAB" w:rsidRPr="00752AD7" w:rsidRDefault="00752AD7" w:rsidP="00752AD7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Internal audit review of </w:t>
      </w:r>
      <w:r w:rsidR="004022C9" w:rsidRPr="004F55FB">
        <w:rPr>
          <w:rFonts w:ascii="Segoe UI" w:hAnsi="Segoe UI" w:cs="Segoe UI"/>
          <w:b/>
          <w:bCs/>
          <w:iCs/>
        </w:rPr>
        <w:t>Prevention of Future Deaths</w:t>
      </w:r>
      <w:r w:rsidR="003B24C0" w:rsidRPr="004F55FB">
        <w:rPr>
          <w:rFonts w:ascii="Segoe UI" w:hAnsi="Segoe UI" w:cs="Segoe UI"/>
          <w:b/>
          <w:bCs/>
          <w:iCs/>
        </w:rPr>
        <w:t xml:space="preserve"> Notices</w:t>
      </w:r>
      <w:r w:rsidR="004E2EAB" w:rsidRPr="00752AD7">
        <w:rPr>
          <w:rFonts w:ascii="Segoe UI" w:hAnsi="Segoe UI" w:cs="Segoe UI"/>
          <w:iCs/>
        </w:rPr>
        <w:t xml:space="preserve"> – </w:t>
      </w:r>
      <w:r w:rsidR="004E2EAB" w:rsidRPr="00752AD7">
        <w:rPr>
          <w:rFonts w:ascii="Segoe UI" w:hAnsi="Segoe UI" w:cs="Segoe UI"/>
          <w:b/>
          <w:bCs/>
          <w:iCs/>
        </w:rPr>
        <w:t xml:space="preserve">medium risk </w:t>
      </w:r>
      <w:r w:rsidR="004E2EAB" w:rsidRPr="00752AD7">
        <w:rPr>
          <w:rFonts w:ascii="Segoe UI" w:hAnsi="Segoe UI" w:cs="Segoe UI"/>
          <w:iCs/>
        </w:rPr>
        <w:t>rated</w:t>
      </w:r>
      <w:r w:rsidR="00E53D79">
        <w:rPr>
          <w:rFonts w:ascii="Segoe UI" w:hAnsi="Segoe UI" w:cs="Segoe UI"/>
          <w:iCs/>
        </w:rPr>
        <w:t>.</w:t>
      </w:r>
    </w:p>
    <w:p w14:paraId="599998FB" w14:textId="70C73188" w:rsidR="004022C9" w:rsidRPr="003B24C0" w:rsidRDefault="00466417" w:rsidP="00F91FED">
      <w:pPr>
        <w:ind w:left="720"/>
        <w:jc w:val="both"/>
        <w:rPr>
          <w:rFonts w:ascii="Segoe UI" w:hAnsi="Segoe UI" w:cs="Segoe UI"/>
          <w:iCs/>
        </w:rPr>
      </w:pPr>
      <w:r w:rsidRPr="003B24C0">
        <w:rPr>
          <w:rFonts w:ascii="Segoe UI" w:hAnsi="Segoe UI" w:cs="Segoe UI"/>
          <w:iCs/>
        </w:rPr>
        <w:t>Finding</w:t>
      </w:r>
      <w:r w:rsidR="00D2662C" w:rsidRPr="003B24C0">
        <w:rPr>
          <w:rFonts w:ascii="Segoe UI" w:hAnsi="Segoe UI" w:cs="Segoe UI"/>
          <w:iCs/>
        </w:rPr>
        <w:t>s</w:t>
      </w:r>
      <w:r w:rsidRPr="003B24C0">
        <w:rPr>
          <w:rFonts w:ascii="Segoe UI" w:hAnsi="Segoe UI" w:cs="Segoe UI"/>
          <w:iCs/>
        </w:rPr>
        <w:t xml:space="preserve"> that policies and procedures </w:t>
      </w:r>
      <w:r w:rsidR="00C04CB8" w:rsidRPr="003B24C0">
        <w:rPr>
          <w:rFonts w:ascii="Segoe UI" w:hAnsi="Segoe UI" w:cs="Segoe UI"/>
          <w:iCs/>
        </w:rPr>
        <w:t>do</w:t>
      </w:r>
      <w:r w:rsidR="003F00CA" w:rsidRPr="003B24C0">
        <w:rPr>
          <w:rFonts w:ascii="Segoe UI" w:hAnsi="Segoe UI" w:cs="Segoe UI"/>
          <w:iCs/>
        </w:rPr>
        <w:t xml:space="preserve"> not </w:t>
      </w:r>
      <w:r w:rsidR="00C04CB8" w:rsidRPr="003B24C0">
        <w:rPr>
          <w:rFonts w:ascii="Segoe UI" w:hAnsi="Segoe UI" w:cs="Segoe UI"/>
          <w:iCs/>
        </w:rPr>
        <w:t>provide guidance on the development, monitoring and closure of actions set in response to</w:t>
      </w:r>
      <w:r w:rsidR="00D2662C" w:rsidRPr="003B24C0">
        <w:rPr>
          <w:rFonts w:ascii="Segoe UI" w:hAnsi="Segoe UI" w:cs="Segoe UI"/>
          <w:iCs/>
        </w:rPr>
        <w:t xml:space="preserve"> Coroners’ reports</w:t>
      </w:r>
      <w:r w:rsidR="000C05BC" w:rsidRPr="003B24C0">
        <w:rPr>
          <w:rFonts w:ascii="Segoe UI" w:hAnsi="Segoe UI" w:cs="Segoe UI"/>
          <w:iCs/>
        </w:rPr>
        <w:t xml:space="preserve"> </w:t>
      </w:r>
      <w:r w:rsidR="0085319D">
        <w:rPr>
          <w:rFonts w:ascii="Segoe UI" w:hAnsi="Segoe UI" w:cs="Segoe UI"/>
          <w:iCs/>
        </w:rPr>
        <w:t>with conse</w:t>
      </w:r>
      <w:r w:rsidR="005901B1">
        <w:rPr>
          <w:rFonts w:ascii="Segoe UI" w:hAnsi="Segoe UI" w:cs="Segoe UI"/>
          <w:iCs/>
        </w:rPr>
        <w:t xml:space="preserve">quences for the quality and timeliness of </w:t>
      </w:r>
      <w:r w:rsidR="005E1AEA">
        <w:rPr>
          <w:rFonts w:ascii="Segoe UI" w:hAnsi="Segoe UI" w:cs="Segoe UI"/>
          <w:iCs/>
        </w:rPr>
        <w:t>mitigating actions</w:t>
      </w:r>
      <w:r w:rsidR="00603C74" w:rsidRPr="003B24C0">
        <w:rPr>
          <w:rFonts w:ascii="Segoe UI" w:hAnsi="Segoe UI" w:cs="Segoe UI"/>
          <w:iCs/>
        </w:rPr>
        <w:t>.</w:t>
      </w:r>
      <w:r w:rsidR="00847D28">
        <w:rPr>
          <w:rFonts w:ascii="Segoe UI" w:hAnsi="Segoe UI" w:cs="Segoe UI"/>
          <w:iCs/>
        </w:rPr>
        <w:t xml:space="preserve">  Suggested delegation to Quality Committee.</w:t>
      </w:r>
    </w:p>
    <w:p w14:paraId="7946744A" w14:textId="77777777" w:rsidR="004E2EAB" w:rsidRPr="004E2EAB" w:rsidRDefault="004E2EAB" w:rsidP="004E2EAB">
      <w:pPr>
        <w:ind w:left="720" w:firstLine="360"/>
        <w:jc w:val="both"/>
        <w:rPr>
          <w:rFonts w:ascii="Segoe UI" w:hAnsi="Segoe UI" w:cs="Segoe UI"/>
          <w:iCs/>
        </w:rPr>
      </w:pPr>
    </w:p>
    <w:p w14:paraId="4F12A299" w14:textId="2555FD94" w:rsidR="004E2EAB" w:rsidRPr="00D643F3" w:rsidRDefault="00D643F3" w:rsidP="00D643F3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Internal audit review of </w:t>
      </w:r>
      <w:r w:rsidR="004022C9" w:rsidRPr="004F55FB">
        <w:rPr>
          <w:rFonts w:ascii="Segoe UI" w:hAnsi="Segoe UI" w:cs="Segoe UI"/>
          <w:b/>
          <w:bCs/>
          <w:iCs/>
        </w:rPr>
        <w:t>IT Data Centre Controls</w:t>
      </w:r>
      <w:r w:rsidR="004022C9" w:rsidRPr="00D643F3">
        <w:rPr>
          <w:rFonts w:ascii="Segoe UI" w:hAnsi="Segoe UI" w:cs="Segoe UI"/>
          <w:iCs/>
        </w:rPr>
        <w:t xml:space="preserve"> </w:t>
      </w:r>
      <w:r w:rsidR="004E2EAB" w:rsidRPr="00D643F3">
        <w:rPr>
          <w:rFonts w:ascii="Segoe UI" w:hAnsi="Segoe UI" w:cs="Segoe UI"/>
          <w:iCs/>
        </w:rPr>
        <w:t xml:space="preserve">– </w:t>
      </w:r>
      <w:r w:rsidR="004E2EAB" w:rsidRPr="00D643F3">
        <w:rPr>
          <w:rFonts w:ascii="Segoe UI" w:hAnsi="Segoe UI" w:cs="Segoe UI"/>
          <w:b/>
          <w:bCs/>
          <w:iCs/>
        </w:rPr>
        <w:t xml:space="preserve">medium risk </w:t>
      </w:r>
      <w:r w:rsidR="004E2EAB" w:rsidRPr="00D643F3">
        <w:rPr>
          <w:rFonts w:ascii="Segoe UI" w:hAnsi="Segoe UI" w:cs="Segoe UI"/>
          <w:iCs/>
        </w:rPr>
        <w:t>rated</w:t>
      </w:r>
      <w:r w:rsidR="00E53D79">
        <w:rPr>
          <w:rFonts w:ascii="Segoe UI" w:hAnsi="Segoe UI" w:cs="Segoe UI"/>
          <w:iCs/>
        </w:rPr>
        <w:t>.</w:t>
      </w:r>
    </w:p>
    <w:p w14:paraId="1D48CAB8" w14:textId="77777777" w:rsidR="00BC0BF0" w:rsidRDefault="005166ED" w:rsidP="00F91FED">
      <w:pPr>
        <w:ind w:left="7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Findings that </w:t>
      </w:r>
      <w:r w:rsidR="003942B2">
        <w:rPr>
          <w:rFonts w:ascii="Segoe UI" w:hAnsi="Segoe UI" w:cs="Segoe UI"/>
          <w:iCs/>
        </w:rPr>
        <w:t xml:space="preserve">further improvements should be made to the resilience of </w:t>
      </w:r>
      <w:r w:rsidR="005878F8">
        <w:rPr>
          <w:rFonts w:ascii="Segoe UI" w:hAnsi="Segoe UI" w:cs="Segoe UI"/>
          <w:iCs/>
        </w:rPr>
        <w:t xml:space="preserve">outsourced data </w:t>
      </w:r>
      <w:proofErr w:type="spellStart"/>
      <w:r w:rsidR="005878F8">
        <w:rPr>
          <w:rFonts w:ascii="Segoe UI" w:hAnsi="Segoe UI" w:cs="Segoe UI"/>
          <w:iCs/>
        </w:rPr>
        <w:t>centres</w:t>
      </w:r>
      <w:proofErr w:type="spellEnd"/>
      <w:r w:rsidR="008E4CD6">
        <w:rPr>
          <w:rFonts w:ascii="Segoe UI" w:hAnsi="Segoe UI" w:cs="Segoe UI"/>
          <w:iCs/>
        </w:rPr>
        <w:t xml:space="preserve">, </w:t>
      </w:r>
      <w:r w:rsidR="005878F8">
        <w:rPr>
          <w:rFonts w:ascii="Segoe UI" w:hAnsi="Segoe UI" w:cs="Segoe UI"/>
          <w:iCs/>
        </w:rPr>
        <w:t xml:space="preserve">the Trust’s oversight and monitoring of </w:t>
      </w:r>
      <w:r w:rsidR="008E4CD6">
        <w:rPr>
          <w:rFonts w:ascii="Segoe UI" w:hAnsi="Segoe UI" w:cs="Segoe UI"/>
          <w:iCs/>
        </w:rPr>
        <w:t xml:space="preserve">them and the level of detail included in </w:t>
      </w:r>
      <w:r w:rsidR="00132FB9">
        <w:rPr>
          <w:rFonts w:ascii="Segoe UI" w:hAnsi="Segoe UI" w:cs="Segoe UI"/>
          <w:iCs/>
        </w:rPr>
        <w:t>disaster recovery plans</w:t>
      </w:r>
      <w:r w:rsidR="00A46E2D">
        <w:rPr>
          <w:rFonts w:ascii="Segoe UI" w:hAnsi="Segoe UI" w:cs="Segoe UI"/>
          <w:iCs/>
        </w:rPr>
        <w:t xml:space="preserve">.  </w:t>
      </w:r>
    </w:p>
    <w:p w14:paraId="6760E130" w14:textId="77777777" w:rsidR="00BC0BF0" w:rsidRDefault="00BC0BF0" w:rsidP="00F91FED">
      <w:pPr>
        <w:ind w:left="720"/>
        <w:jc w:val="both"/>
        <w:rPr>
          <w:rFonts w:ascii="Segoe UI" w:hAnsi="Segoe UI" w:cs="Segoe UI"/>
          <w:iCs/>
        </w:rPr>
      </w:pPr>
    </w:p>
    <w:p w14:paraId="298F21BC" w14:textId="4BD4B27B" w:rsidR="004022C9" w:rsidRPr="00125D81" w:rsidRDefault="004E2EAB" w:rsidP="00125D81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iCs/>
        </w:rPr>
      </w:pPr>
      <w:r w:rsidRPr="00125D81">
        <w:rPr>
          <w:rFonts w:ascii="Segoe UI" w:hAnsi="Segoe UI" w:cs="Segoe UI"/>
          <w:b/>
          <w:bCs/>
          <w:iCs/>
        </w:rPr>
        <w:t>PICU lessons learned review</w:t>
      </w:r>
      <w:r w:rsidR="00D44F5F" w:rsidRPr="00125D81">
        <w:rPr>
          <w:rFonts w:ascii="Segoe UI" w:hAnsi="Segoe UI" w:cs="Segoe UI"/>
          <w:iCs/>
        </w:rPr>
        <w:t xml:space="preserve"> </w:t>
      </w:r>
      <w:r w:rsidRPr="00125D81">
        <w:rPr>
          <w:rFonts w:ascii="Segoe UI" w:hAnsi="Segoe UI" w:cs="Segoe UI"/>
          <w:iCs/>
        </w:rPr>
        <w:t>identified</w:t>
      </w:r>
      <w:r w:rsidR="00D44F5F" w:rsidRPr="00125D81">
        <w:rPr>
          <w:rFonts w:ascii="Segoe UI" w:hAnsi="Segoe UI" w:cs="Segoe UI"/>
          <w:iCs/>
        </w:rPr>
        <w:t xml:space="preserve"> that culture</w:t>
      </w:r>
      <w:r w:rsidR="0080431E" w:rsidRPr="00125D81">
        <w:rPr>
          <w:rFonts w:ascii="Segoe UI" w:hAnsi="Segoe UI" w:cs="Segoe UI"/>
          <w:iCs/>
        </w:rPr>
        <w:t xml:space="preserve">, </w:t>
      </w:r>
      <w:proofErr w:type="gramStart"/>
      <w:r w:rsidR="0080431E" w:rsidRPr="00125D81">
        <w:rPr>
          <w:rFonts w:ascii="Segoe UI" w:hAnsi="Segoe UI" w:cs="Segoe UI"/>
          <w:iCs/>
        </w:rPr>
        <w:t>complexity</w:t>
      </w:r>
      <w:proofErr w:type="gramEnd"/>
      <w:r w:rsidR="0080431E" w:rsidRPr="00125D81">
        <w:rPr>
          <w:rFonts w:ascii="Segoe UI" w:hAnsi="Segoe UI" w:cs="Segoe UI"/>
          <w:iCs/>
        </w:rPr>
        <w:t xml:space="preserve"> and time pressure</w:t>
      </w:r>
      <w:r w:rsidR="00D44F5F" w:rsidRPr="00125D81">
        <w:rPr>
          <w:rFonts w:ascii="Segoe UI" w:hAnsi="Segoe UI" w:cs="Segoe UI"/>
          <w:iCs/>
        </w:rPr>
        <w:t xml:space="preserve"> w</w:t>
      </w:r>
      <w:r w:rsidR="0080431E" w:rsidRPr="00125D81">
        <w:rPr>
          <w:rFonts w:ascii="Segoe UI" w:hAnsi="Segoe UI" w:cs="Segoe UI"/>
          <w:iCs/>
        </w:rPr>
        <w:t>ere</w:t>
      </w:r>
      <w:r w:rsidR="00D44F5F" w:rsidRPr="00125D81">
        <w:rPr>
          <w:rFonts w:ascii="Segoe UI" w:hAnsi="Segoe UI" w:cs="Segoe UI"/>
          <w:iCs/>
        </w:rPr>
        <w:t xml:space="preserve"> thread</w:t>
      </w:r>
      <w:r w:rsidR="0080431E" w:rsidRPr="00125D81">
        <w:rPr>
          <w:rFonts w:ascii="Segoe UI" w:hAnsi="Segoe UI" w:cs="Segoe UI"/>
          <w:iCs/>
        </w:rPr>
        <w:t>s</w:t>
      </w:r>
      <w:r w:rsidR="00D44F5F" w:rsidRPr="00125D81">
        <w:rPr>
          <w:rFonts w:ascii="Segoe UI" w:hAnsi="Segoe UI" w:cs="Segoe UI"/>
          <w:iCs/>
        </w:rPr>
        <w:t xml:space="preserve"> which appeared to run through </w:t>
      </w:r>
      <w:r w:rsidRPr="00125D81">
        <w:rPr>
          <w:rFonts w:ascii="Segoe UI" w:hAnsi="Segoe UI" w:cs="Segoe UI"/>
          <w:iCs/>
        </w:rPr>
        <w:t>issues</w:t>
      </w:r>
      <w:r w:rsidR="00D44F5F" w:rsidRPr="00125D81">
        <w:rPr>
          <w:rFonts w:ascii="Segoe UI" w:hAnsi="Segoe UI" w:cs="Segoe UI"/>
          <w:iCs/>
        </w:rPr>
        <w:t xml:space="preserve">.  </w:t>
      </w:r>
      <w:r w:rsidRPr="00125D81">
        <w:rPr>
          <w:rFonts w:ascii="Segoe UI" w:hAnsi="Segoe UI" w:cs="Segoe UI"/>
          <w:iCs/>
        </w:rPr>
        <w:t xml:space="preserve">All but one of the recommendations made resulting the PWC review have been actioned, but the opportunity for wider </w:t>
      </w:r>
      <w:proofErr w:type="spellStart"/>
      <w:r w:rsidRPr="00125D81">
        <w:rPr>
          <w:rFonts w:ascii="Segoe UI" w:hAnsi="Segoe UI" w:cs="Segoe UI"/>
          <w:iCs/>
        </w:rPr>
        <w:t>organisational</w:t>
      </w:r>
      <w:proofErr w:type="spellEnd"/>
      <w:r w:rsidRPr="00125D81">
        <w:rPr>
          <w:rFonts w:ascii="Segoe UI" w:hAnsi="Segoe UI" w:cs="Segoe UI"/>
          <w:iCs/>
        </w:rPr>
        <w:t xml:space="preserve"> learning have not yet been applied.  It is likely that similar issues will be highlighted in the upcoming Service Change and Delivery internal audit review. </w:t>
      </w:r>
    </w:p>
    <w:p w14:paraId="39CFF179" w14:textId="77777777" w:rsidR="004F55FB" w:rsidRDefault="004F55FB" w:rsidP="00BC0BF0">
      <w:pPr>
        <w:ind w:left="1440"/>
        <w:jc w:val="both"/>
        <w:rPr>
          <w:rFonts w:ascii="Segoe UI" w:hAnsi="Segoe UI" w:cs="Segoe UI"/>
          <w:iCs/>
        </w:rPr>
      </w:pPr>
    </w:p>
    <w:p w14:paraId="0177EF99" w14:textId="6A7ADF5C" w:rsidR="003A65D2" w:rsidRPr="003A65D2" w:rsidRDefault="003A65D2" w:rsidP="003A65D2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Follow up of actions from past reviews</w:t>
      </w:r>
      <w:r w:rsidR="001D3D29">
        <w:rPr>
          <w:rFonts w:ascii="Segoe UI" w:hAnsi="Segoe UI" w:cs="Segoe UI"/>
          <w:iCs/>
        </w:rPr>
        <w:t xml:space="preserve"> noted that the PLC was still seeing slow progress to improve </w:t>
      </w:r>
      <w:r w:rsidR="001D3D29" w:rsidRPr="004F55FB">
        <w:rPr>
          <w:rFonts w:ascii="Segoe UI" w:hAnsi="Segoe UI" w:cs="Segoe UI"/>
          <w:b/>
          <w:bCs/>
          <w:iCs/>
        </w:rPr>
        <w:t>mandatory training compliance</w:t>
      </w:r>
      <w:r w:rsidR="001D3D29">
        <w:rPr>
          <w:rFonts w:ascii="Segoe UI" w:hAnsi="Segoe UI" w:cs="Segoe UI"/>
          <w:iCs/>
        </w:rPr>
        <w:t>.</w:t>
      </w:r>
    </w:p>
    <w:p w14:paraId="4A500BD8" w14:textId="77777777" w:rsidR="00556ED2" w:rsidRDefault="00556ED2" w:rsidP="0073522A">
      <w:pPr>
        <w:jc w:val="both"/>
        <w:rPr>
          <w:rFonts w:ascii="Segoe UI" w:hAnsi="Segoe UI" w:cs="Segoe UI"/>
          <w:b/>
        </w:rPr>
      </w:pPr>
    </w:p>
    <w:p w14:paraId="539BA8B7" w14:textId="39E32800" w:rsidR="00154D4F" w:rsidRDefault="00A90A7F" w:rsidP="00837E7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="00154D4F">
        <w:rPr>
          <w:rFonts w:ascii="Segoe UI" w:hAnsi="Segoe UI" w:cs="Segoe UI"/>
          <w:b/>
        </w:rPr>
        <w:lastRenderedPageBreak/>
        <w:t>For Assurance</w:t>
      </w:r>
    </w:p>
    <w:p w14:paraId="10D377AC" w14:textId="77777777" w:rsidR="005B5956" w:rsidRDefault="005B5956" w:rsidP="0073522A">
      <w:pPr>
        <w:jc w:val="both"/>
        <w:rPr>
          <w:rFonts w:ascii="Segoe UI" w:hAnsi="Segoe UI" w:cs="Segoe UI"/>
          <w:bCs/>
        </w:rPr>
      </w:pPr>
    </w:p>
    <w:p w14:paraId="60CA73DF" w14:textId="36D9316B" w:rsidR="00D94250" w:rsidRDefault="00054E75" w:rsidP="004022C9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Deep dives have been performed on</w:t>
      </w:r>
      <w:r w:rsidR="005632F8">
        <w:rPr>
          <w:rFonts w:ascii="Segoe UI" w:hAnsi="Segoe UI" w:cs="Segoe UI"/>
          <w:iCs/>
        </w:rPr>
        <w:t xml:space="preserve"> several</w:t>
      </w:r>
      <w:r w:rsidR="00405ED6">
        <w:rPr>
          <w:rFonts w:ascii="Segoe UI" w:hAnsi="Segoe UI" w:cs="Segoe UI"/>
          <w:iCs/>
        </w:rPr>
        <w:t xml:space="preserve"> red rated</w:t>
      </w:r>
      <w:r w:rsidR="005632F8">
        <w:rPr>
          <w:rFonts w:ascii="Segoe UI" w:hAnsi="Segoe UI" w:cs="Segoe UI"/>
          <w:iCs/>
        </w:rPr>
        <w:t xml:space="preserve"> risks, including</w:t>
      </w:r>
      <w:r>
        <w:rPr>
          <w:rFonts w:ascii="Segoe UI" w:hAnsi="Segoe UI" w:cs="Segoe UI"/>
          <w:iCs/>
        </w:rPr>
        <w:t xml:space="preserve"> demand and capacity</w:t>
      </w:r>
      <w:r w:rsidR="005632F8">
        <w:rPr>
          <w:rFonts w:ascii="Segoe UI" w:hAnsi="Segoe UI" w:cs="Segoe UI"/>
          <w:iCs/>
        </w:rPr>
        <w:t xml:space="preserve">, unavailability of </w:t>
      </w:r>
      <w:r w:rsidR="00FB6097">
        <w:rPr>
          <w:rFonts w:ascii="Segoe UI" w:hAnsi="Segoe UI" w:cs="Segoe UI"/>
          <w:iCs/>
        </w:rPr>
        <w:t>MH beds,</w:t>
      </w:r>
      <w:r w:rsidR="00456A28">
        <w:rPr>
          <w:rFonts w:ascii="Segoe UI" w:hAnsi="Segoe UI" w:cs="Segoe UI"/>
          <w:iCs/>
        </w:rPr>
        <w:t xml:space="preserve"> workforce planning</w:t>
      </w:r>
      <w:r w:rsidR="005E344C">
        <w:rPr>
          <w:rFonts w:ascii="Segoe UI" w:hAnsi="Segoe UI" w:cs="Segoe UI"/>
          <w:iCs/>
        </w:rPr>
        <w:t xml:space="preserve"> and</w:t>
      </w:r>
      <w:r w:rsidR="00FB6097">
        <w:rPr>
          <w:rFonts w:ascii="Segoe UI" w:hAnsi="Segoe UI" w:cs="Segoe UI"/>
          <w:iCs/>
        </w:rPr>
        <w:t xml:space="preserve"> recruitment,</w:t>
      </w:r>
      <w:r w:rsidR="00FA0058">
        <w:rPr>
          <w:rFonts w:ascii="Segoe UI" w:hAnsi="Segoe UI" w:cs="Segoe UI"/>
          <w:iCs/>
        </w:rPr>
        <w:t xml:space="preserve"> resulting in a strengthening of approach</w:t>
      </w:r>
      <w:r w:rsidR="00396D49">
        <w:rPr>
          <w:rFonts w:ascii="Segoe UI" w:hAnsi="Segoe UI" w:cs="Segoe UI"/>
          <w:iCs/>
        </w:rPr>
        <w:t xml:space="preserve"> to capturing the nature of risk</w:t>
      </w:r>
      <w:r w:rsidR="00437854">
        <w:rPr>
          <w:rFonts w:ascii="Segoe UI" w:hAnsi="Segoe UI" w:cs="Segoe UI"/>
          <w:iCs/>
        </w:rPr>
        <w:t xml:space="preserve">, identifying the root </w:t>
      </w:r>
      <w:proofErr w:type="gramStart"/>
      <w:r w:rsidR="00437854">
        <w:rPr>
          <w:rFonts w:ascii="Segoe UI" w:hAnsi="Segoe UI" w:cs="Segoe UI"/>
          <w:iCs/>
        </w:rPr>
        <w:t>cause</w:t>
      </w:r>
      <w:proofErr w:type="gramEnd"/>
      <w:r w:rsidR="00FB6097">
        <w:rPr>
          <w:rFonts w:ascii="Segoe UI" w:hAnsi="Segoe UI" w:cs="Segoe UI"/>
          <w:iCs/>
        </w:rPr>
        <w:t xml:space="preserve"> </w:t>
      </w:r>
      <w:r w:rsidR="00EE74EC">
        <w:rPr>
          <w:rFonts w:ascii="Segoe UI" w:hAnsi="Segoe UI" w:cs="Segoe UI"/>
          <w:iCs/>
        </w:rPr>
        <w:t>and developing preventative and mitigatory controls.</w:t>
      </w:r>
      <w:r w:rsidR="006117F3">
        <w:rPr>
          <w:rFonts w:ascii="Segoe UI" w:hAnsi="Segoe UI" w:cs="Segoe UI"/>
          <w:iCs/>
        </w:rPr>
        <w:t xml:space="preserve"> This is an ongoing process.</w:t>
      </w:r>
    </w:p>
    <w:p w14:paraId="2DFCBFCC" w14:textId="1F0D175F" w:rsidR="001E7DF6" w:rsidRDefault="00FD2CB3" w:rsidP="004022C9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A benchmarking exercise on</w:t>
      </w:r>
      <w:r w:rsidR="00664AF6">
        <w:rPr>
          <w:rFonts w:ascii="Segoe UI" w:hAnsi="Segoe UI" w:cs="Segoe UI"/>
          <w:iCs/>
        </w:rPr>
        <w:t xml:space="preserve"> </w:t>
      </w:r>
      <w:r w:rsidR="0044368D">
        <w:rPr>
          <w:rFonts w:ascii="Segoe UI" w:hAnsi="Segoe UI" w:cs="Segoe UI"/>
          <w:iCs/>
        </w:rPr>
        <w:t xml:space="preserve">a </w:t>
      </w:r>
      <w:r w:rsidR="00C90CA0" w:rsidRPr="004022C9">
        <w:rPr>
          <w:rFonts w:ascii="Segoe UI" w:hAnsi="Segoe UI" w:cs="Segoe UI"/>
          <w:iCs/>
        </w:rPr>
        <w:t xml:space="preserve">Financial Sustainability </w:t>
      </w:r>
      <w:proofErr w:type="spellStart"/>
      <w:r w:rsidR="00EF6E67">
        <w:rPr>
          <w:rFonts w:ascii="Segoe UI" w:hAnsi="Segoe UI" w:cs="Segoe UI"/>
          <w:iCs/>
        </w:rPr>
        <w:t>self assessment</w:t>
      </w:r>
      <w:proofErr w:type="spellEnd"/>
      <w:r w:rsidR="0044368D">
        <w:rPr>
          <w:rFonts w:ascii="Segoe UI" w:hAnsi="Segoe UI" w:cs="Segoe UI"/>
          <w:iCs/>
        </w:rPr>
        <w:t>,</w:t>
      </w:r>
      <w:r w:rsidR="00BD7C9A">
        <w:rPr>
          <w:rFonts w:ascii="Segoe UI" w:hAnsi="Segoe UI" w:cs="Segoe UI"/>
          <w:iCs/>
        </w:rPr>
        <w:t xml:space="preserve"> mandated</w:t>
      </w:r>
      <w:r w:rsidR="0044368D">
        <w:rPr>
          <w:rFonts w:ascii="Segoe UI" w:hAnsi="Segoe UI" w:cs="Segoe UI"/>
          <w:iCs/>
        </w:rPr>
        <w:t xml:space="preserve"> by NHSE, </w:t>
      </w:r>
      <w:r w:rsidR="00EF6E67">
        <w:rPr>
          <w:rFonts w:ascii="Segoe UI" w:hAnsi="Segoe UI" w:cs="Segoe UI"/>
          <w:iCs/>
        </w:rPr>
        <w:t>suggested</w:t>
      </w:r>
      <w:r w:rsidR="00691E95">
        <w:rPr>
          <w:rFonts w:ascii="Segoe UI" w:hAnsi="Segoe UI" w:cs="Segoe UI"/>
          <w:iCs/>
        </w:rPr>
        <w:t xml:space="preserve"> the Trust scored average</w:t>
      </w:r>
      <w:r w:rsidR="001F320F">
        <w:rPr>
          <w:rFonts w:ascii="Segoe UI" w:hAnsi="Segoe UI" w:cs="Segoe UI"/>
          <w:iCs/>
        </w:rPr>
        <w:t>/</w:t>
      </w:r>
      <w:r w:rsidR="00691E95">
        <w:rPr>
          <w:rFonts w:ascii="Segoe UI" w:hAnsi="Segoe UI" w:cs="Segoe UI"/>
          <w:iCs/>
        </w:rPr>
        <w:t>above average for each domain</w:t>
      </w:r>
      <w:r w:rsidR="0056338B">
        <w:rPr>
          <w:rFonts w:ascii="Segoe UI" w:hAnsi="Segoe UI" w:cs="Segoe UI"/>
          <w:iCs/>
        </w:rPr>
        <w:t xml:space="preserve"> within the benchmark group of PWCs NHS clients.  Lower scoring domains were identified for </w:t>
      </w:r>
      <w:r w:rsidR="00350801">
        <w:rPr>
          <w:rFonts w:ascii="Segoe UI" w:hAnsi="Segoe UI" w:cs="Segoe UI"/>
          <w:iCs/>
        </w:rPr>
        <w:t>attention.</w:t>
      </w:r>
    </w:p>
    <w:p w14:paraId="31591190" w14:textId="540501B7" w:rsidR="002B4171" w:rsidRPr="005D3AC9" w:rsidRDefault="00246FD8" w:rsidP="005D3AC9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Trust is expected to </w:t>
      </w:r>
      <w:r w:rsidR="00772A1D">
        <w:rPr>
          <w:rFonts w:ascii="Segoe UI" w:hAnsi="Segoe UI" w:cs="Segoe UI"/>
          <w:iCs/>
        </w:rPr>
        <w:t xml:space="preserve">score a </w:t>
      </w:r>
      <w:proofErr w:type="gramStart"/>
      <w:r w:rsidR="00772A1D">
        <w:rPr>
          <w:rFonts w:ascii="Segoe UI" w:hAnsi="Segoe UI" w:cs="Segoe UI"/>
          <w:iCs/>
        </w:rPr>
        <w:t>Green</w:t>
      </w:r>
      <w:proofErr w:type="gramEnd"/>
      <w:r w:rsidR="00772A1D">
        <w:rPr>
          <w:rFonts w:ascii="Segoe UI" w:hAnsi="Segoe UI" w:cs="Segoe UI"/>
          <w:iCs/>
        </w:rPr>
        <w:t xml:space="preserve"> rating against the NHS Counter Fraud Authority’s annual assessment</w:t>
      </w:r>
      <w:r w:rsidR="00E16ED6">
        <w:rPr>
          <w:rFonts w:ascii="Segoe UI" w:hAnsi="Segoe UI" w:cs="Segoe UI"/>
          <w:iCs/>
        </w:rPr>
        <w:t xml:space="preserve">, with only one of the twelve standards </w:t>
      </w:r>
      <w:r w:rsidR="007C6F3E">
        <w:rPr>
          <w:rFonts w:ascii="Segoe UI" w:hAnsi="Segoe UI" w:cs="Segoe UI"/>
          <w:iCs/>
        </w:rPr>
        <w:t>requiring further assessment to confirm</w:t>
      </w:r>
      <w:r w:rsidR="006D2BF6">
        <w:rPr>
          <w:rFonts w:ascii="Segoe UI" w:hAnsi="Segoe UI" w:cs="Segoe UI"/>
          <w:iCs/>
        </w:rPr>
        <w:t xml:space="preserve"> compliance.</w:t>
      </w:r>
    </w:p>
    <w:p w14:paraId="5D48FB58" w14:textId="057CB6CB" w:rsidR="00154D4F" w:rsidRPr="00837E75" w:rsidRDefault="00C92F5C" w:rsidP="0073522A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R</w:t>
      </w:r>
      <w:r w:rsidR="00966D09">
        <w:rPr>
          <w:rFonts w:ascii="Segoe UI" w:hAnsi="Segoe UI" w:cs="Segoe UI"/>
          <w:iCs/>
        </w:rPr>
        <w:t xml:space="preserve">evised Standing Financial Instructions </w:t>
      </w:r>
      <w:r w:rsidR="00BC0035">
        <w:rPr>
          <w:rFonts w:ascii="Segoe UI" w:hAnsi="Segoe UI" w:cs="Segoe UI"/>
          <w:iCs/>
        </w:rPr>
        <w:t>were reviewed and approved</w:t>
      </w:r>
      <w:r>
        <w:rPr>
          <w:rFonts w:ascii="Segoe UI" w:hAnsi="Segoe UI" w:cs="Segoe UI"/>
          <w:iCs/>
        </w:rPr>
        <w:t>.</w:t>
      </w:r>
    </w:p>
    <w:p w14:paraId="2BB183D6" w14:textId="77777777" w:rsidR="005B5956" w:rsidRDefault="005B5956" w:rsidP="0073522A">
      <w:pPr>
        <w:jc w:val="both"/>
        <w:rPr>
          <w:rFonts w:ascii="Segoe UI" w:hAnsi="Segoe UI" w:cs="Segoe UI"/>
          <w:bCs/>
        </w:rPr>
      </w:pPr>
    </w:p>
    <w:p w14:paraId="151DCAA2" w14:textId="1BA2C094" w:rsidR="00551AD9" w:rsidRDefault="00154D4F" w:rsidP="0073522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To Advise</w:t>
      </w:r>
    </w:p>
    <w:p w14:paraId="4DC29EFE" w14:textId="77777777" w:rsidR="005B5956" w:rsidRDefault="005B5956" w:rsidP="0073522A">
      <w:pPr>
        <w:jc w:val="both"/>
        <w:rPr>
          <w:rFonts w:ascii="Segoe UI" w:hAnsi="Segoe UI" w:cs="Segoe UI"/>
          <w:b/>
        </w:rPr>
      </w:pPr>
    </w:p>
    <w:p w14:paraId="745E2D53" w14:textId="77777777" w:rsidR="00737B58" w:rsidRDefault="00737B58" w:rsidP="00737B58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A Risk Appetite Statement was agreed and will come to Board for approval shortly.</w:t>
      </w:r>
    </w:p>
    <w:p w14:paraId="3B1D76AA" w14:textId="22018A36" w:rsidR="00737B58" w:rsidRPr="00737B58" w:rsidRDefault="00737B58" w:rsidP="0073522A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scoring of the Business Continuity and Emergency Planning BAF risk scoring was reduced from </w:t>
      </w:r>
      <w:proofErr w:type="spellStart"/>
      <w:r>
        <w:rPr>
          <w:rFonts w:ascii="Segoe UI" w:hAnsi="Segoe UI" w:cs="Segoe UI"/>
          <w:iCs/>
        </w:rPr>
        <w:t>from</w:t>
      </w:r>
      <w:proofErr w:type="spellEnd"/>
      <w:r>
        <w:rPr>
          <w:rFonts w:ascii="Segoe UI" w:hAnsi="Segoe UI" w:cs="Segoe UI"/>
          <w:iCs/>
        </w:rPr>
        <w:t xml:space="preserve"> 12 to 9, given </w:t>
      </w:r>
      <w:proofErr w:type="spellStart"/>
      <w:proofErr w:type="gramStart"/>
      <w:r>
        <w:rPr>
          <w:rFonts w:ascii="Segoe UI" w:hAnsi="Segoe UI" w:cs="Segoe UI"/>
          <w:iCs/>
        </w:rPr>
        <w:t>it’s</w:t>
      </w:r>
      <w:proofErr w:type="spellEnd"/>
      <w:proofErr w:type="gramEnd"/>
      <w:r>
        <w:rPr>
          <w:rFonts w:ascii="Segoe UI" w:hAnsi="Segoe UI" w:cs="Segoe UI"/>
          <w:iCs/>
        </w:rPr>
        <w:t xml:space="preserve"> successful implementation during multiple incidences of both real life and scenario testing incidents.</w:t>
      </w:r>
    </w:p>
    <w:p w14:paraId="7C4BD18C" w14:textId="2A1A65AE" w:rsidR="00C21F2C" w:rsidRDefault="00080857" w:rsidP="00080857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The Trust’s new</w:t>
      </w:r>
      <w:r w:rsidR="00966D09" w:rsidRPr="00080857">
        <w:rPr>
          <w:rFonts w:ascii="Segoe UI" w:hAnsi="Segoe UI" w:cs="Segoe UI"/>
          <w:iCs/>
        </w:rPr>
        <w:t xml:space="preserve"> External Auditor, Ernst &amp; Young, has commenced work on the</w:t>
      </w:r>
      <w:r>
        <w:rPr>
          <w:rFonts w:ascii="Segoe UI" w:hAnsi="Segoe UI" w:cs="Segoe UI"/>
          <w:iCs/>
        </w:rPr>
        <w:t xml:space="preserve"> </w:t>
      </w:r>
      <w:r w:rsidR="00966D09" w:rsidRPr="00080857">
        <w:rPr>
          <w:rFonts w:ascii="Segoe UI" w:hAnsi="Segoe UI" w:cs="Segoe UI"/>
          <w:iCs/>
        </w:rPr>
        <w:t>FY23</w:t>
      </w:r>
      <w:r>
        <w:rPr>
          <w:rFonts w:ascii="Segoe UI" w:hAnsi="Segoe UI" w:cs="Segoe UI"/>
          <w:iCs/>
        </w:rPr>
        <w:t xml:space="preserve"> audit and </w:t>
      </w:r>
      <w:proofErr w:type="spellStart"/>
      <w:r>
        <w:rPr>
          <w:rFonts w:ascii="Segoe UI" w:hAnsi="Segoe UI" w:cs="Segoe UI"/>
          <w:iCs/>
        </w:rPr>
        <w:t>it’s</w:t>
      </w:r>
      <w:proofErr w:type="spellEnd"/>
      <w:r>
        <w:rPr>
          <w:rFonts w:ascii="Segoe UI" w:hAnsi="Segoe UI" w:cs="Segoe UI"/>
          <w:iCs/>
        </w:rPr>
        <w:t xml:space="preserve"> review of the Trust’s </w:t>
      </w:r>
      <w:r w:rsidR="00966D09" w:rsidRPr="00080857">
        <w:rPr>
          <w:rFonts w:ascii="Segoe UI" w:hAnsi="Segoe UI" w:cs="Segoe UI"/>
          <w:iCs/>
        </w:rPr>
        <w:t xml:space="preserve">arrangements for securing economy, </w:t>
      </w:r>
      <w:proofErr w:type="gramStart"/>
      <w:r w:rsidR="00966D09" w:rsidRPr="00080857">
        <w:rPr>
          <w:rFonts w:ascii="Segoe UI" w:hAnsi="Segoe UI" w:cs="Segoe UI"/>
          <w:iCs/>
        </w:rPr>
        <w:t>efficiency</w:t>
      </w:r>
      <w:proofErr w:type="gramEnd"/>
      <w:r w:rsidR="00966D09" w:rsidRPr="00080857">
        <w:rPr>
          <w:rFonts w:ascii="Segoe UI" w:hAnsi="Segoe UI" w:cs="Segoe UI"/>
          <w:iCs/>
        </w:rPr>
        <w:t xml:space="preserve"> and effectiveness in its use of resources (</w:t>
      </w:r>
      <w:proofErr w:type="spellStart"/>
      <w:r w:rsidR="00966D09" w:rsidRPr="00080857">
        <w:rPr>
          <w:rFonts w:ascii="Segoe UI" w:hAnsi="Segoe UI" w:cs="Segoe UI"/>
          <w:iCs/>
        </w:rPr>
        <w:t>V</w:t>
      </w:r>
      <w:r w:rsidR="00B4244D">
        <w:rPr>
          <w:rFonts w:ascii="Segoe UI" w:hAnsi="Segoe UI" w:cs="Segoe UI"/>
          <w:iCs/>
        </w:rPr>
        <w:t>fM</w:t>
      </w:r>
      <w:proofErr w:type="spellEnd"/>
      <w:r w:rsidR="00966D09" w:rsidRPr="00080857">
        <w:rPr>
          <w:rFonts w:ascii="Segoe UI" w:hAnsi="Segoe UI" w:cs="Segoe UI"/>
          <w:iCs/>
        </w:rPr>
        <w:t>)</w:t>
      </w:r>
      <w:r w:rsidR="0080431E" w:rsidRPr="00080857">
        <w:rPr>
          <w:rFonts w:ascii="Segoe UI" w:hAnsi="Segoe UI" w:cs="Segoe UI"/>
          <w:iCs/>
        </w:rPr>
        <w:t>.</w:t>
      </w:r>
    </w:p>
    <w:p w14:paraId="6608324A" w14:textId="5F324382" w:rsidR="00080857" w:rsidRPr="00837E75" w:rsidRDefault="00613435" w:rsidP="0073522A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A procurement process is underway for new Internal Audit </w:t>
      </w:r>
      <w:r w:rsidR="00466528">
        <w:rPr>
          <w:rFonts w:ascii="Segoe UI" w:hAnsi="Segoe UI" w:cs="Segoe UI"/>
          <w:iCs/>
        </w:rPr>
        <w:t xml:space="preserve">and </w:t>
      </w:r>
      <w:r>
        <w:rPr>
          <w:rFonts w:ascii="Segoe UI" w:hAnsi="Segoe UI" w:cs="Segoe UI"/>
          <w:iCs/>
        </w:rPr>
        <w:t>Counter Fraud contracts</w:t>
      </w:r>
      <w:r w:rsidR="00687251">
        <w:rPr>
          <w:rFonts w:ascii="Segoe UI" w:hAnsi="Segoe UI" w:cs="Segoe UI"/>
          <w:iCs/>
        </w:rPr>
        <w:t>.  P</w:t>
      </w:r>
      <w:r w:rsidR="003D2568">
        <w:rPr>
          <w:rFonts w:ascii="Segoe UI" w:hAnsi="Segoe UI" w:cs="Segoe UI"/>
          <w:iCs/>
        </w:rPr>
        <w:t xml:space="preserve">ressures on the </w:t>
      </w:r>
      <w:r w:rsidR="00466528">
        <w:rPr>
          <w:rFonts w:ascii="Segoe UI" w:hAnsi="Segoe UI" w:cs="Segoe UI"/>
          <w:iCs/>
        </w:rPr>
        <w:t>P</w:t>
      </w:r>
      <w:r w:rsidR="00665D70">
        <w:rPr>
          <w:rFonts w:ascii="Segoe UI" w:hAnsi="Segoe UI" w:cs="Segoe UI"/>
          <w:iCs/>
        </w:rPr>
        <w:t xml:space="preserve">rocurement </w:t>
      </w:r>
      <w:r w:rsidR="00466528">
        <w:rPr>
          <w:rFonts w:ascii="Segoe UI" w:hAnsi="Segoe UI" w:cs="Segoe UI"/>
          <w:iCs/>
        </w:rPr>
        <w:t>D</w:t>
      </w:r>
      <w:r w:rsidR="00665D70">
        <w:rPr>
          <w:rFonts w:ascii="Segoe UI" w:hAnsi="Segoe UI" w:cs="Segoe UI"/>
          <w:iCs/>
        </w:rPr>
        <w:t xml:space="preserve">epartment have meant </w:t>
      </w:r>
      <w:r w:rsidR="007B0041">
        <w:rPr>
          <w:rFonts w:ascii="Segoe UI" w:hAnsi="Segoe UI" w:cs="Segoe UI"/>
          <w:iCs/>
        </w:rPr>
        <w:t xml:space="preserve">a </w:t>
      </w:r>
      <w:r w:rsidR="00665D70">
        <w:rPr>
          <w:rFonts w:ascii="Segoe UI" w:hAnsi="Segoe UI" w:cs="Segoe UI"/>
          <w:iCs/>
        </w:rPr>
        <w:t>delayed</w:t>
      </w:r>
      <w:r w:rsidR="007B0041">
        <w:rPr>
          <w:rFonts w:ascii="Segoe UI" w:hAnsi="Segoe UI" w:cs="Segoe UI"/>
          <w:iCs/>
        </w:rPr>
        <w:t xml:space="preserve"> process</w:t>
      </w:r>
      <w:r w:rsidR="00665D70">
        <w:rPr>
          <w:rFonts w:ascii="Segoe UI" w:hAnsi="Segoe UI" w:cs="Segoe UI"/>
          <w:iCs/>
        </w:rPr>
        <w:t xml:space="preserve"> and there will be a gap </w:t>
      </w:r>
      <w:r w:rsidR="00E3483E">
        <w:rPr>
          <w:rFonts w:ascii="Segoe UI" w:hAnsi="Segoe UI" w:cs="Segoe UI"/>
          <w:iCs/>
        </w:rPr>
        <w:t xml:space="preserve">between old and new contracts.  Teams are working hard to </w:t>
      </w:r>
      <w:proofErr w:type="spellStart"/>
      <w:r w:rsidR="00E3483E">
        <w:rPr>
          <w:rFonts w:ascii="Segoe UI" w:hAnsi="Segoe UI" w:cs="Segoe UI"/>
          <w:iCs/>
        </w:rPr>
        <w:t>minimi</w:t>
      </w:r>
      <w:r w:rsidR="00883EE7">
        <w:rPr>
          <w:rFonts w:ascii="Segoe UI" w:hAnsi="Segoe UI" w:cs="Segoe UI"/>
          <w:iCs/>
        </w:rPr>
        <w:t>s</w:t>
      </w:r>
      <w:r w:rsidR="00E3483E">
        <w:rPr>
          <w:rFonts w:ascii="Segoe UI" w:hAnsi="Segoe UI" w:cs="Segoe UI"/>
          <w:iCs/>
        </w:rPr>
        <w:t>e</w:t>
      </w:r>
      <w:proofErr w:type="spellEnd"/>
      <w:r w:rsidR="00E3483E">
        <w:rPr>
          <w:rFonts w:ascii="Segoe UI" w:hAnsi="Segoe UI" w:cs="Segoe UI"/>
          <w:iCs/>
        </w:rPr>
        <w:t xml:space="preserve"> both the length and impact of this gap.  The competitive market for such services </w:t>
      </w:r>
      <w:r w:rsidR="00466C50">
        <w:rPr>
          <w:rFonts w:ascii="Segoe UI" w:hAnsi="Segoe UI" w:cs="Segoe UI"/>
          <w:iCs/>
        </w:rPr>
        <w:t xml:space="preserve">has also meant that contract costs are likely to rise by </w:t>
      </w:r>
      <w:r w:rsidR="00E666C9">
        <w:rPr>
          <w:rFonts w:ascii="Segoe UI" w:hAnsi="Segoe UI" w:cs="Segoe UI"/>
          <w:iCs/>
        </w:rPr>
        <w:t xml:space="preserve">around 17%. </w:t>
      </w:r>
      <w:r w:rsidR="005378E4">
        <w:rPr>
          <w:rFonts w:ascii="Segoe UI" w:hAnsi="Segoe UI" w:cs="Segoe UI"/>
          <w:iCs/>
        </w:rPr>
        <w:t xml:space="preserve">VFM assessments have </w:t>
      </w:r>
      <w:r w:rsidR="00AB1DCB">
        <w:rPr>
          <w:rFonts w:ascii="Segoe UI" w:hAnsi="Segoe UI" w:cs="Segoe UI"/>
          <w:iCs/>
        </w:rPr>
        <w:t xml:space="preserve">been stringently applied to </w:t>
      </w:r>
      <w:proofErr w:type="spellStart"/>
      <w:r w:rsidR="00AB1DCB">
        <w:rPr>
          <w:rFonts w:ascii="Segoe UI" w:hAnsi="Segoe UI" w:cs="Segoe UI"/>
          <w:iCs/>
        </w:rPr>
        <w:t>maximise</w:t>
      </w:r>
      <w:proofErr w:type="spellEnd"/>
      <w:r w:rsidR="00AB1DCB">
        <w:rPr>
          <w:rFonts w:ascii="Segoe UI" w:hAnsi="Segoe UI" w:cs="Segoe UI"/>
          <w:iCs/>
        </w:rPr>
        <w:t xml:space="preserve"> the opportunity extracted from such price increases.</w:t>
      </w:r>
    </w:p>
    <w:p w14:paraId="54DF96F5" w14:textId="77777777" w:rsidR="0080431E" w:rsidRDefault="0080431E" w:rsidP="0080431E">
      <w:pPr>
        <w:pStyle w:val="ListParagraph"/>
        <w:jc w:val="both"/>
        <w:rPr>
          <w:rFonts w:ascii="Segoe UI" w:hAnsi="Segoe UI" w:cs="Segoe UI"/>
          <w:bCs/>
        </w:rPr>
      </w:pPr>
    </w:p>
    <w:p w14:paraId="32F36C83" w14:textId="4DE7931B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  <w:r w:rsidR="00F73BEE">
        <w:rPr>
          <w:rFonts w:ascii="Segoe UI" w:hAnsi="Segoe UI" w:cs="Segoe UI"/>
          <w:b/>
        </w:rPr>
        <w:t xml:space="preserve"> </w:t>
      </w:r>
    </w:p>
    <w:p w14:paraId="3F96B841" w14:textId="71DE18B8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</w:t>
      </w:r>
      <w:r w:rsidR="006D4BDD">
        <w:rPr>
          <w:rFonts w:ascii="Segoe UI" w:hAnsi="Segoe UI" w:cs="Segoe UI"/>
        </w:rPr>
        <w:t>confirm that it is assured with progress</w:t>
      </w:r>
      <w:r w:rsidR="0080431E">
        <w:rPr>
          <w:rFonts w:ascii="Segoe UI" w:hAnsi="Segoe UI" w:cs="Segoe UI"/>
        </w:rPr>
        <w:t xml:space="preserve"> and </w:t>
      </w:r>
      <w:r w:rsidR="006D4BDD">
        <w:rPr>
          <w:rFonts w:ascii="Segoe UI" w:hAnsi="Segoe UI" w:cs="Segoe UI"/>
        </w:rPr>
        <w:t>actions taken</w:t>
      </w:r>
      <w:r w:rsidR="0080431E">
        <w:rPr>
          <w:rFonts w:ascii="Segoe UI" w:hAnsi="Segoe UI" w:cs="Segoe UI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21C16DD0" w14:textId="25D47AEE" w:rsidR="00FA3993" w:rsidRPr="00F73BEE" w:rsidRDefault="0080431E" w:rsidP="00F73BEE">
      <w:pPr>
        <w:ind w:left="1440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Lead Non-Executive Directors</w:t>
      </w:r>
      <w:r w:rsidR="0073522A" w:rsidRPr="00FA3993">
        <w:rPr>
          <w:rFonts w:ascii="Segoe UI" w:hAnsi="Segoe UI" w:cs="Segoe UI"/>
          <w:b/>
        </w:rPr>
        <w:t>:</w:t>
      </w:r>
      <w:r w:rsidR="007B02F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Lucy Weston (Audit Committee Chair) and Mohinder Sawhney (acting Audit Committee Chair for the February 2023 meeting)</w:t>
      </w:r>
    </w:p>
    <w:p w14:paraId="7B1DC6AA" w14:textId="77777777" w:rsidR="00556ED2" w:rsidRPr="00D628E5" w:rsidRDefault="00556ED2" w:rsidP="0058507D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81B3A46" w14:textId="4866CE57"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C84B11">
        <w:rPr>
          <w:rFonts w:ascii="Segoe UI" w:hAnsi="Segoe UI" w:cs="Segoe UI"/>
          <w:b/>
          <w:i/>
          <w:sz w:val="20"/>
          <w:szCs w:val="20"/>
        </w:rPr>
        <w:t>/Priorities</w:t>
      </w:r>
      <w:r w:rsidR="00EB3D86">
        <w:rPr>
          <w:rFonts w:ascii="Segoe UI" w:hAnsi="Segoe UI" w:cs="Segoe UI"/>
          <w:b/>
          <w:i/>
          <w:sz w:val="20"/>
          <w:szCs w:val="20"/>
        </w:rPr>
        <w:t xml:space="preserve"> and strategic Board Assurance Framework (BAF) risk themes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</w:t>
      </w:r>
      <w:proofErr w:type="spellStart"/>
      <w:r w:rsidR="00C84B11">
        <w:rPr>
          <w:rFonts w:ascii="Segoe UI" w:hAnsi="Segoe UI" w:cs="Segoe UI"/>
          <w:i/>
          <w:sz w:val="20"/>
          <w:szCs w:val="20"/>
        </w:rPr>
        <w:t>ies</w:t>
      </w:r>
      <w:proofErr w:type="spellEnd"/>
      <w:r w:rsidR="00C84B11">
        <w:rPr>
          <w:rFonts w:ascii="Segoe UI" w:hAnsi="Segoe UI" w:cs="Segoe UI"/>
          <w:i/>
          <w:sz w:val="20"/>
          <w:szCs w:val="20"/>
        </w:rPr>
        <w:t>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 </w:t>
      </w:r>
    </w:p>
    <w:p w14:paraId="37974ED2" w14:textId="77777777" w:rsidR="00FA3993" w:rsidRPr="00FA3993" w:rsidRDefault="00FA3993" w:rsidP="00FA3993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42B79B64" w14:textId="44773E1C" w:rsidR="00FA3993" w:rsidRDefault="002250DE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1)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Quality - </w:t>
      </w:r>
      <w:r w:rsidR="00C84B11" w:rsidRPr="00876856">
        <w:rPr>
          <w:rFonts w:ascii="Segoe UI" w:hAnsi="Segoe UI" w:cs="Segoe UI"/>
          <w:i/>
          <w:sz w:val="20"/>
          <w:szCs w:val="20"/>
        </w:rPr>
        <w:t xml:space="preserve">Deliver the best possible </w:t>
      </w:r>
      <w:r w:rsidR="006F6C4E" w:rsidRPr="00876856">
        <w:rPr>
          <w:rFonts w:ascii="Segoe UI" w:hAnsi="Segoe UI" w:cs="Segoe UI"/>
          <w:i/>
          <w:sz w:val="20"/>
          <w:szCs w:val="20"/>
        </w:rPr>
        <w:t>care and health outcomes</w:t>
      </w:r>
    </w:p>
    <w:p w14:paraId="2D968DD1" w14:textId="00525B8E" w:rsidR="00EB3D86" w:rsidRPr="00876856" w:rsidRDefault="00EB3D86" w:rsidP="00EB3D86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Strategic risk themes: triangulating </w:t>
      </w:r>
      <w:r w:rsidRPr="00EB3D86">
        <w:rPr>
          <w:rFonts w:ascii="Segoe UI" w:hAnsi="Segoe UI" w:cs="Segoe UI"/>
          <w:i/>
          <w:sz w:val="20"/>
          <w:szCs w:val="20"/>
        </w:rPr>
        <w:t>data and learning to drive Quality Improvement</w:t>
      </w:r>
      <w:r>
        <w:rPr>
          <w:rFonts w:ascii="Segoe UI" w:hAnsi="Segoe UI" w:cs="Segoe UI"/>
          <w:i/>
          <w:sz w:val="20"/>
          <w:szCs w:val="20"/>
        </w:rPr>
        <w:t xml:space="preserve">; Demand and Capacity (Mental Health inpatient and Learning Disabilities); and Demand and Capacity (Community Oxfordshire). </w:t>
      </w:r>
    </w:p>
    <w:p w14:paraId="2A049A5F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DA309C7" w14:textId="51DD5E35" w:rsidR="00FA3993" w:rsidRDefault="00FA3993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2)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People - 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Be </w:t>
      </w:r>
      <w:r w:rsidR="00876856" w:rsidRPr="00876856">
        <w:rPr>
          <w:rFonts w:ascii="Segoe UI" w:hAnsi="Segoe UI" w:cs="Segoe UI"/>
          <w:i/>
          <w:sz w:val="20"/>
          <w:szCs w:val="20"/>
        </w:rPr>
        <w:t>a great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 place to work</w:t>
      </w:r>
    </w:p>
    <w:p w14:paraId="3473EBC6" w14:textId="6D1FCE77" w:rsidR="00EB3D86" w:rsidRPr="00876856" w:rsidRDefault="00EB3D86" w:rsidP="00EB3D86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Strategic risk themes: Workforce Planning; Recruitment; Succession Planning, </w:t>
      </w:r>
      <w:proofErr w:type="spellStart"/>
      <w:r>
        <w:rPr>
          <w:rFonts w:ascii="Segoe UI" w:hAnsi="Segoe UI" w:cs="Segoe UI"/>
          <w:i/>
          <w:sz w:val="20"/>
          <w:szCs w:val="20"/>
        </w:rPr>
        <w:t>Organisational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and Leadership Development; Culture; and Retention.</w:t>
      </w:r>
    </w:p>
    <w:p w14:paraId="14606977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A6E57E" w14:textId="7840A07D" w:rsidR="00876856" w:rsidRDefault="00FA3993" w:rsidP="00876856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3) </w:t>
      </w:r>
      <w:r w:rsidR="00876856" w:rsidRPr="00876856">
        <w:rPr>
          <w:rFonts w:ascii="Segoe UI" w:hAnsi="Segoe UI" w:cs="Segoe UI"/>
          <w:i/>
          <w:sz w:val="20"/>
          <w:szCs w:val="20"/>
        </w:rPr>
        <w:t>Sustainability – Make best use of our resources and protect the environment</w:t>
      </w:r>
    </w:p>
    <w:p w14:paraId="6259E5F3" w14:textId="20D68134" w:rsidR="00EB3D86" w:rsidRPr="00876856" w:rsidRDefault="00EB3D86" w:rsidP="00EB3D86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  <w:r w:rsidRPr="00EB3D86">
        <w:rPr>
          <w:rFonts w:ascii="Segoe UI" w:hAnsi="Segoe UI" w:cs="Segoe UI"/>
          <w:i/>
          <w:sz w:val="20"/>
          <w:szCs w:val="20"/>
        </w:rPr>
        <w:t>Strategic risk themes:</w:t>
      </w:r>
      <w:r>
        <w:rPr>
          <w:rFonts w:ascii="Segoe UI" w:hAnsi="Segoe UI" w:cs="Segoe UI"/>
          <w:i/>
          <w:sz w:val="20"/>
          <w:szCs w:val="20"/>
        </w:rPr>
        <w:t xml:space="preserve"> planning and decision-making at System and Place level and collaborative working with Partners; governance of external Partners; Financial Sustainability; Governance and decision-making arrangements; Business Planning; Information Governance &amp; Cyber Security; Single Data Centre; Business Continuity and Emergency Planning; Environmental Impact; and Major Capital Projects.</w:t>
      </w:r>
    </w:p>
    <w:p w14:paraId="7711C7F4" w14:textId="536442E3" w:rsidR="00EB3D86" w:rsidRPr="00556ED2" w:rsidRDefault="00EB3D86" w:rsidP="00556ED2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sectPr w:rsidR="00EB3D86" w:rsidRPr="00556ED2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AF4B" w14:textId="77777777" w:rsidR="00F52CEB" w:rsidRDefault="00F52CEB" w:rsidP="005B3E3C">
      <w:r>
        <w:separator/>
      </w:r>
    </w:p>
  </w:endnote>
  <w:endnote w:type="continuationSeparator" w:id="0">
    <w:p w14:paraId="3E1E56C2" w14:textId="77777777" w:rsidR="00F52CEB" w:rsidRDefault="00F52CE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03B7" w14:textId="77777777" w:rsidR="00F52CEB" w:rsidRDefault="00F52CEB" w:rsidP="005B3E3C">
      <w:r>
        <w:separator/>
      </w:r>
    </w:p>
  </w:footnote>
  <w:footnote w:type="continuationSeparator" w:id="0">
    <w:p w14:paraId="579E9AF2" w14:textId="77777777" w:rsidR="00F52CEB" w:rsidRDefault="00F52CE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41A"/>
    <w:multiLevelType w:val="hybridMultilevel"/>
    <w:tmpl w:val="7292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763"/>
    <w:multiLevelType w:val="hybridMultilevel"/>
    <w:tmpl w:val="0BF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2B73686"/>
    <w:multiLevelType w:val="hybridMultilevel"/>
    <w:tmpl w:val="C91E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3E4"/>
    <w:multiLevelType w:val="hybridMultilevel"/>
    <w:tmpl w:val="CB82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B56C9"/>
    <w:multiLevelType w:val="hybridMultilevel"/>
    <w:tmpl w:val="4142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6B34"/>
    <w:multiLevelType w:val="hybridMultilevel"/>
    <w:tmpl w:val="0320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7629323">
    <w:abstractNumId w:val="12"/>
  </w:num>
  <w:num w:numId="2" w16cid:durableId="1730226589">
    <w:abstractNumId w:val="6"/>
  </w:num>
  <w:num w:numId="3" w16cid:durableId="130368313">
    <w:abstractNumId w:val="9"/>
  </w:num>
  <w:num w:numId="4" w16cid:durableId="349600284">
    <w:abstractNumId w:val="2"/>
  </w:num>
  <w:num w:numId="5" w16cid:durableId="1581720697">
    <w:abstractNumId w:val="10"/>
  </w:num>
  <w:num w:numId="6" w16cid:durableId="2141805361">
    <w:abstractNumId w:val="3"/>
  </w:num>
  <w:num w:numId="7" w16cid:durableId="899897935">
    <w:abstractNumId w:val="11"/>
  </w:num>
  <w:num w:numId="8" w16cid:durableId="46539292">
    <w:abstractNumId w:val="8"/>
  </w:num>
  <w:num w:numId="9" w16cid:durableId="626082655">
    <w:abstractNumId w:val="7"/>
  </w:num>
  <w:num w:numId="10" w16cid:durableId="1179270129">
    <w:abstractNumId w:val="4"/>
  </w:num>
  <w:num w:numId="11" w16cid:durableId="398752702">
    <w:abstractNumId w:val="0"/>
  </w:num>
  <w:num w:numId="12" w16cid:durableId="1711414237">
    <w:abstractNumId w:val="1"/>
  </w:num>
  <w:num w:numId="13" w16cid:durableId="2023631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2698F"/>
    <w:rsid w:val="00030247"/>
    <w:rsid w:val="00047FC8"/>
    <w:rsid w:val="00054E75"/>
    <w:rsid w:val="000648AC"/>
    <w:rsid w:val="00071842"/>
    <w:rsid w:val="00080857"/>
    <w:rsid w:val="000A3A29"/>
    <w:rsid w:val="000A583B"/>
    <w:rsid w:val="000A5A07"/>
    <w:rsid w:val="000B420F"/>
    <w:rsid w:val="000C05BC"/>
    <w:rsid w:val="000C62B8"/>
    <w:rsid w:val="000E317C"/>
    <w:rsid w:val="000E3CBD"/>
    <w:rsid w:val="00101A8F"/>
    <w:rsid w:val="001058A7"/>
    <w:rsid w:val="00125D81"/>
    <w:rsid w:val="00132FB9"/>
    <w:rsid w:val="00145747"/>
    <w:rsid w:val="0015020E"/>
    <w:rsid w:val="00154D4F"/>
    <w:rsid w:val="001B5873"/>
    <w:rsid w:val="001D3D29"/>
    <w:rsid w:val="001E7DF6"/>
    <w:rsid w:val="001F320F"/>
    <w:rsid w:val="001F76ED"/>
    <w:rsid w:val="002250DE"/>
    <w:rsid w:val="00227FCE"/>
    <w:rsid w:val="00241A66"/>
    <w:rsid w:val="00241D10"/>
    <w:rsid w:val="00246FD8"/>
    <w:rsid w:val="002619EF"/>
    <w:rsid w:val="00262F0F"/>
    <w:rsid w:val="002821F8"/>
    <w:rsid w:val="00292613"/>
    <w:rsid w:val="002A59FB"/>
    <w:rsid w:val="002A73E8"/>
    <w:rsid w:val="002B4171"/>
    <w:rsid w:val="002B7785"/>
    <w:rsid w:val="002C2F97"/>
    <w:rsid w:val="002D238A"/>
    <w:rsid w:val="002E5E15"/>
    <w:rsid w:val="002E6FC6"/>
    <w:rsid w:val="002F0D9E"/>
    <w:rsid w:val="00306AF0"/>
    <w:rsid w:val="00316193"/>
    <w:rsid w:val="003369C2"/>
    <w:rsid w:val="00350801"/>
    <w:rsid w:val="0038177E"/>
    <w:rsid w:val="0038198C"/>
    <w:rsid w:val="00390374"/>
    <w:rsid w:val="003904BE"/>
    <w:rsid w:val="003927AC"/>
    <w:rsid w:val="003932D1"/>
    <w:rsid w:val="003942B2"/>
    <w:rsid w:val="00396D49"/>
    <w:rsid w:val="003971F6"/>
    <w:rsid w:val="003A65D2"/>
    <w:rsid w:val="003B24C0"/>
    <w:rsid w:val="003D2568"/>
    <w:rsid w:val="003F00CA"/>
    <w:rsid w:val="003F2AF4"/>
    <w:rsid w:val="003F7366"/>
    <w:rsid w:val="004022C9"/>
    <w:rsid w:val="00405ED6"/>
    <w:rsid w:val="004326BB"/>
    <w:rsid w:val="00437854"/>
    <w:rsid w:val="0044368D"/>
    <w:rsid w:val="00456A28"/>
    <w:rsid w:val="00456DDE"/>
    <w:rsid w:val="00466417"/>
    <w:rsid w:val="00466528"/>
    <w:rsid w:val="00466C50"/>
    <w:rsid w:val="004742D0"/>
    <w:rsid w:val="0049399C"/>
    <w:rsid w:val="004B1397"/>
    <w:rsid w:val="004C16A3"/>
    <w:rsid w:val="004C6292"/>
    <w:rsid w:val="004D0692"/>
    <w:rsid w:val="004E2EAB"/>
    <w:rsid w:val="004F4BBA"/>
    <w:rsid w:val="004F55FB"/>
    <w:rsid w:val="005166ED"/>
    <w:rsid w:val="005233AA"/>
    <w:rsid w:val="00523450"/>
    <w:rsid w:val="005378E4"/>
    <w:rsid w:val="00551AD9"/>
    <w:rsid w:val="00551B0F"/>
    <w:rsid w:val="00556ED2"/>
    <w:rsid w:val="005632F8"/>
    <w:rsid w:val="0056338B"/>
    <w:rsid w:val="005659FB"/>
    <w:rsid w:val="00580D37"/>
    <w:rsid w:val="005820CB"/>
    <w:rsid w:val="00582CD1"/>
    <w:rsid w:val="0058507D"/>
    <w:rsid w:val="005878F8"/>
    <w:rsid w:val="005901B1"/>
    <w:rsid w:val="005A23E0"/>
    <w:rsid w:val="005B3E3C"/>
    <w:rsid w:val="005B5956"/>
    <w:rsid w:val="005C3FC1"/>
    <w:rsid w:val="005D3499"/>
    <w:rsid w:val="005D3AC9"/>
    <w:rsid w:val="005E1AEA"/>
    <w:rsid w:val="005E2583"/>
    <w:rsid w:val="005E344C"/>
    <w:rsid w:val="005E7C10"/>
    <w:rsid w:val="005F5ABB"/>
    <w:rsid w:val="00603C74"/>
    <w:rsid w:val="006117F3"/>
    <w:rsid w:val="00613435"/>
    <w:rsid w:val="00615F7D"/>
    <w:rsid w:val="0061684E"/>
    <w:rsid w:val="0063463D"/>
    <w:rsid w:val="00664AF6"/>
    <w:rsid w:val="00665D70"/>
    <w:rsid w:val="00683031"/>
    <w:rsid w:val="00687251"/>
    <w:rsid w:val="00691E95"/>
    <w:rsid w:val="006B14EF"/>
    <w:rsid w:val="006B2B1D"/>
    <w:rsid w:val="006C3147"/>
    <w:rsid w:val="006D2BF6"/>
    <w:rsid w:val="006D4BDD"/>
    <w:rsid w:val="006E3C3E"/>
    <w:rsid w:val="006F2F62"/>
    <w:rsid w:val="006F342D"/>
    <w:rsid w:val="006F6C4E"/>
    <w:rsid w:val="00700753"/>
    <w:rsid w:val="0073096A"/>
    <w:rsid w:val="0073522A"/>
    <w:rsid w:val="00737B58"/>
    <w:rsid w:val="00745B27"/>
    <w:rsid w:val="00752AD7"/>
    <w:rsid w:val="00772A1D"/>
    <w:rsid w:val="007769CD"/>
    <w:rsid w:val="0078032B"/>
    <w:rsid w:val="00781566"/>
    <w:rsid w:val="007976E7"/>
    <w:rsid w:val="007A2CF0"/>
    <w:rsid w:val="007B0041"/>
    <w:rsid w:val="007B02FB"/>
    <w:rsid w:val="007B6D77"/>
    <w:rsid w:val="007C11C1"/>
    <w:rsid w:val="007C6F3E"/>
    <w:rsid w:val="00802701"/>
    <w:rsid w:val="008038A2"/>
    <w:rsid w:val="0080431E"/>
    <w:rsid w:val="00811FE8"/>
    <w:rsid w:val="00837E75"/>
    <w:rsid w:val="0084720C"/>
    <w:rsid w:val="00847D28"/>
    <w:rsid w:val="0085319D"/>
    <w:rsid w:val="0086436B"/>
    <w:rsid w:val="008662D6"/>
    <w:rsid w:val="00876856"/>
    <w:rsid w:val="0088096A"/>
    <w:rsid w:val="00883EE7"/>
    <w:rsid w:val="008863E9"/>
    <w:rsid w:val="008865A9"/>
    <w:rsid w:val="00894B97"/>
    <w:rsid w:val="008C1325"/>
    <w:rsid w:val="008E4CD6"/>
    <w:rsid w:val="00914771"/>
    <w:rsid w:val="00946E6E"/>
    <w:rsid w:val="00966D09"/>
    <w:rsid w:val="0097530A"/>
    <w:rsid w:val="009869DE"/>
    <w:rsid w:val="009A3886"/>
    <w:rsid w:val="00A016A0"/>
    <w:rsid w:val="00A12789"/>
    <w:rsid w:val="00A15A88"/>
    <w:rsid w:val="00A2080F"/>
    <w:rsid w:val="00A46E2D"/>
    <w:rsid w:val="00A674FB"/>
    <w:rsid w:val="00A70EE9"/>
    <w:rsid w:val="00A83EA7"/>
    <w:rsid w:val="00A85311"/>
    <w:rsid w:val="00A86977"/>
    <w:rsid w:val="00A90A7F"/>
    <w:rsid w:val="00AA0C3F"/>
    <w:rsid w:val="00AA0DDF"/>
    <w:rsid w:val="00AB1DCB"/>
    <w:rsid w:val="00AC041B"/>
    <w:rsid w:val="00AC3814"/>
    <w:rsid w:val="00AF0562"/>
    <w:rsid w:val="00B10FB2"/>
    <w:rsid w:val="00B1665F"/>
    <w:rsid w:val="00B26E1A"/>
    <w:rsid w:val="00B26F2C"/>
    <w:rsid w:val="00B4244D"/>
    <w:rsid w:val="00B50D5E"/>
    <w:rsid w:val="00BA3B3E"/>
    <w:rsid w:val="00BB2DCD"/>
    <w:rsid w:val="00BB510B"/>
    <w:rsid w:val="00BC0035"/>
    <w:rsid w:val="00BC0BF0"/>
    <w:rsid w:val="00BC152C"/>
    <w:rsid w:val="00BD7C9A"/>
    <w:rsid w:val="00BF3538"/>
    <w:rsid w:val="00BF5367"/>
    <w:rsid w:val="00C04CB8"/>
    <w:rsid w:val="00C07817"/>
    <w:rsid w:val="00C11AA2"/>
    <w:rsid w:val="00C21F2C"/>
    <w:rsid w:val="00C34D15"/>
    <w:rsid w:val="00C67635"/>
    <w:rsid w:val="00C71005"/>
    <w:rsid w:val="00C84B11"/>
    <w:rsid w:val="00C90CA0"/>
    <w:rsid w:val="00C92F5C"/>
    <w:rsid w:val="00CC0D22"/>
    <w:rsid w:val="00D029E8"/>
    <w:rsid w:val="00D07064"/>
    <w:rsid w:val="00D101CB"/>
    <w:rsid w:val="00D133A1"/>
    <w:rsid w:val="00D2662C"/>
    <w:rsid w:val="00D26F70"/>
    <w:rsid w:val="00D279FC"/>
    <w:rsid w:val="00D4474A"/>
    <w:rsid w:val="00D44F5F"/>
    <w:rsid w:val="00D557DE"/>
    <w:rsid w:val="00D55ADD"/>
    <w:rsid w:val="00D628E5"/>
    <w:rsid w:val="00D643F3"/>
    <w:rsid w:val="00D66926"/>
    <w:rsid w:val="00D8544F"/>
    <w:rsid w:val="00D870AD"/>
    <w:rsid w:val="00D94250"/>
    <w:rsid w:val="00D954C2"/>
    <w:rsid w:val="00DA0FA6"/>
    <w:rsid w:val="00DA2C95"/>
    <w:rsid w:val="00DA6606"/>
    <w:rsid w:val="00DA7A7C"/>
    <w:rsid w:val="00DB0979"/>
    <w:rsid w:val="00DB161E"/>
    <w:rsid w:val="00DD1FDC"/>
    <w:rsid w:val="00DD33DF"/>
    <w:rsid w:val="00DE119C"/>
    <w:rsid w:val="00DE1293"/>
    <w:rsid w:val="00DE4919"/>
    <w:rsid w:val="00DF10CC"/>
    <w:rsid w:val="00DF1CCA"/>
    <w:rsid w:val="00E11F48"/>
    <w:rsid w:val="00E16ED6"/>
    <w:rsid w:val="00E3483E"/>
    <w:rsid w:val="00E53D79"/>
    <w:rsid w:val="00E624A3"/>
    <w:rsid w:val="00E666C9"/>
    <w:rsid w:val="00E827C5"/>
    <w:rsid w:val="00E90841"/>
    <w:rsid w:val="00EA2D81"/>
    <w:rsid w:val="00EB3D86"/>
    <w:rsid w:val="00EE261A"/>
    <w:rsid w:val="00EE74EC"/>
    <w:rsid w:val="00EF6E67"/>
    <w:rsid w:val="00F048A7"/>
    <w:rsid w:val="00F24EB2"/>
    <w:rsid w:val="00F50A07"/>
    <w:rsid w:val="00F52CEB"/>
    <w:rsid w:val="00F57119"/>
    <w:rsid w:val="00F73BEE"/>
    <w:rsid w:val="00F77C13"/>
    <w:rsid w:val="00F91FED"/>
    <w:rsid w:val="00F93420"/>
    <w:rsid w:val="00F945DB"/>
    <w:rsid w:val="00FA0058"/>
    <w:rsid w:val="00FA3993"/>
    <w:rsid w:val="00FA5118"/>
    <w:rsid w:val="00FB35C1"/>
    <w:rsid w:val="00FB6097"/>
    <w:rsid w:val="00FB7F2D"/>
    <w:rsid w:val="00FC13A1"/>
    <w:rsid w:val="00FD2279"/>
    <w:rsid w:val="00FD2CB3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03c8937-2def-4092-8523-6007c0b457c0}" enabled="0" method="" siteId="{803c8937-2def-4092-8523-6007c0b457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103</cp:revision>
  <cp:lastPrinted>2014-03-17T14:55:00Z</cp:lastPrinted>
  <dcterms:created xsi:type="dcterms:W3CDTF">2023-03-25T19:52:00Z</dcterms:created>
  <dcterms:modified xsi:type="dcterms:W3CDTF">2023-03-27T10:38:00Z</dcterms:modified>
</cp:coreProperties>
</file>