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4D0692" w:rsidR="005D3499" w:rsidP="004D0692" w:rsidRDefault="001058A7" w14:paraId="428240D4" w14:textId="77777777">
      <w:pPr>
        <w:ind w:right="-900"/>
        <w:jc w:val="right"/>
        <w:rPr>
          <w:rFonts w:ascii="Segoe UI" w:hAnsi="Segoe UI" w:cs="Segoe UI"/>
          <w:lang w:val="en-GB"/>
        </w:rPr>
      </w:pPr>
      <w:r w:rsidRPr="00913639">
        <w:rPr>
          <w:noProof/>
          <w:lang w:val="en-GB" w:eastAsia="en-GB"/>
        </w:rPr>
        <w:drawing>
          <wp:inline distT="0" distB="0" distL="0" distR="0" wp14:anchorId="6420959E" wp14:editId="5118B726">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11" cstate="print">
                      <a:extLst>
                        <a:ext uri="{28A0092B-C50C-407E-A947-70E740481C1C}">
                          <a14:useLocalDpi xmlns:a14="http://schemas.microsoft.com/office/drawing/2010/main" val="0"/>
                        </a:ext>
                      </a:extLst>
                    </a:blip>
                    <a:srcRect t="21052" r="11947" b="22368"/>
                    <a:stretch/>
                  </pic:blipFill>
                  <pic:spPr bwMode="auto">
                    <a:xfrm>
                      <a:off x="0" y="0"/>
                      <a:ext cx="1943100" cy="819150"/>
                    </a:xfrm>
                    <a:prstGeom prst="rect">
                      <a:avLst/>
                    </a:prstGeom>
                    <a:ln>
                      <a:noFill/>
                    </a:ln>
                    <a:extLst>
                      <a:ext uri="{53640926-AAD7-44D8-BBD7-CCE9431645EC}">
                        <a14:shadowObscured xmlns:a14="http://schemas.microsoft.com/office/drawing/2010/main"/>
                      </a:ext>
                    </a:extLst>
                  </pic:spPr>
                </pic:pic>
              </a:graphicData>
            </a:graphic>
          </wp:inline>
        </w:drawing>
      </w:r>
    </w:p>
    <w:p w:rsidRPr="00FA3993" w:rsidR="005E2583" w:rsidRDefault="005D3499" w14:paraId="19FDD6EA" w14:textId="77777777">
      <w:pPr>
        <w:pStyle w:val="Heading1"/>
        <w:jc w:val="center"/>
        <w:rPr>
          <w:rFonts w:ascii="Segoe UI" w:hAnsi="Segoe UI" w:cs="Segoe UI"/>
          <w:sz w:val="28"/>
          <w:u w:val="none"/>
        </w:rPr>
      </w:pPr>
      <w:r w:rsidRPr="00FA3993">
        <w:rPr>
          <w:rFonts w:ascii="Segoe UI" w:hAnsi="Segoe UI" w:cs="Segoe UI"/>
          <w:sz w:val="28"/>
          <w:u w:val="none"/>
        </w:rPr>
        <w:t xml:space="preserve">Report to the Meeting </w:t>
      </w:r>
      <w:r w:rsidRPr="00FA3993" w:rsidR="00B50D5E">
        <w:rPr>
          <w:rFonts w:ascii="Segoe UI" w:hAnsi="Segoe UI" w:cs="Segoe UI"/>
          <w:sz w:val="28"/>
          <w:u w:val="none"/>
        </w:rPr>
        <w:t xml:space="preserve">of the </w:t>
      </w:r>
    </w:p>
    <w:p w:rsidRPr="00FA3993" w:rsidR="002821F8" w:rsidRDefault="003C187B" w14:paraId="3A2A96F1" w14:textId="256B671C">
      <w:pPr>
        <w:pStyle w:val="Heading1"/>
        <w:jc w:val="center"/>
        <w:rPr>
          <w:rFonts w:ascii="Segoe UI" w:hAnsi="Segoe UI" w:cs="Segoe UI"/>
          <w:sz w:val="28"/>
          <w:u w:val="none"/>
        </w:rPr>
      </w:pPr>
      <w:r>
        <w:rPr>
          <w:rFonts w:ascii="Segoe UI" w:hAnsi="Segoe UI" w:cs="Segoe UI"/>
          <w:noProof/>
          <w:lang w:val="en-US"/>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7728" behindDoc="0" locked="0" layoutInCell="1" allowOverlap="1" wp14:anchorId="3C370419" wp14:editId="238E4EA2">
                <wp:simplePos xmlns:wp="http://schemas.openxmlformats.org/drawingml/2006/wordprocessingDrawing" x="0" y="0"/>
                <wp:positionH xmlns:wp="http://schemas.openxmlformats.org/drawingml/2006/wordprocessingDrawing" relativeFrom="column">
                  <wp:posOffset>4703445</wp:posOffset>
                </wp:positionH>
                <wp:positionV xmlns:wp="http://schemas.openxmlformats.org/drawingml/2006/wordprocessingDrawing" relativeFrom="paragraph">
                  <wp:posOffset>98425</wp:posOffset>
                </wp:positionV>
                <wp:extent cx="1371600" cy="571500"/>
                <wp:effectExtent l="0" t="0" r="19050" b="19050"/>
                <wp:wrapNone xmlns:wp="http://schemas.openxmlformats.org/drawingml/2006/wordprocessingDrawing"/>
                <wp:docPr xmlns:wp="http://schemas.openxmlformats.org/drawingml/2006/wordprocessingDrawing" id="1" name="Rectangle 10"/>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1371600" cy="571500"/>
                        </a:xfrm>
                        <a:prstGeom prst="rect">
                          <a:avLst/>
                        </a:prstGeom>
                        <a:solidFill>
                          <a:srgbClr val="FFFFFF"/>
                        </a:solidFill>
                        <a:ln w="9525">
                          <a:solidFill>
                            <a:srgbClr val="000000"/>
                          </a:solidFill>
                          <a:miter/>
                        </a:ln>
                      </wps:spPr>
                      <wps:txbx>
                        <w:txbxContent>
                          <w:p w:rsidR="005E3228" w:rsidP="005E3228" w:rsidRDefault="005E3228">
                            <w:pPr>
                              <w:spacing w:line="256" w:lineRule="auto"/>
                              <w:jc w:val="center"/>
                              <w:rPr>
                                <w:rFonts w:ascii="Segoe UI" w:hAnsi="Segoe UI" w:cs="Segoe UI"/>
                                <w:b/>
                                <w:bCs/>
                              </w:rPr>
                            </w:pPr>
                            <w:r>
                              <w:rPr>
                                <w:rFonts w:ascii="Segoe UI" w:hAnsi="Segoe UI" w:cs="Segoe UI"/>
                                <w:b/>
                                <w:bCs/>
                              </w:rPr>
                              <w:t xml:space="preserve">BOD </w:t>
                            </w:r>
                            <w:r>
                              <w:rPr>
                                <w:rFonts w:ascii="Segoe UI" w:hAnsi="Segoe UI" w:cs="Segoe UI"/>
                                <w:b/>
                                <w:bCs/>
                                <w:color w:val="000000"/>
                              </w:rPr>
                              <w:t>27</w:t>
                            </w:r>
                            <w:r>
                              <w:rPr>
                                <w:rFonts w:ascii="Segoe UI" w:hAnsi="Segoe UI" w:cs="Segoe UI"/>
                                <w:b/>
                                <w:bCs/>
                              </w:rPr>
                              <w:t>/2023</w:t>
                            </w:r>
                          </w:p>
                          <w:p w:rsidR="005E3228" w:rsidP="005E3228" w:rsidRDefault="005E3228">
                            <w:pPr>
                              <w:spacing w:line="256" w:lineRule="auto"/>
                              <w:jc w:val="center"/>
                              <w:rPr>
                                <w:rFonts w:ascii="Segoe UI" w:hAnsi="Segoe UI" w:cs="Segoe UI"/>
                              </w:rPr>
                            </w:pPr>
                            <w:r>
                              <w:rPr>
                                <w:rFonts w:ascii="Segoe UI" w:hAnsi="Segoe UI" w:cs="Segoe UI"/>
                              </w:rPr>
                              <w:t xml:space="preserve">(Agenda item: </w:t>
                            </w:r>
                            <w:r>
                              <w:rPr>
                                <w:rFonts w:ascii="Segoe UI" w:hAnsi="Segoe UI" w:cs="Segoe UI"/>
                                <w:color w:val="000000"/>
                              </w:rPr>
                              <w:t>06</w:t>
                            </w:r>
                            <w:r>
                              <w:rPr>
                                <w:rFonts w:ascii="Segoe UI" w:hAnsi="Segoe UI" w:cs="Segoe UI"/>
                              </w:rPr>
                              <w:t>)</w:t>
                            </w:r>
                          </w:p>
                        </w:txbxContent>
                      </wps:txbx>
                      <wps:bodyPr wrap="square" lIns="0" tIns="0" rIns="0" bIns="0" anchor="t" upright="1">
                        <a:noAutofit/>
                      </wps:bodyPr>
                    </wps:wsp>
                  </a:graphicData>
                </a:graphic>
                <wp14:sizeRelH xmlns:wp14="http://schemas.microsoft.com/office/word/2010/wordprocessingDrawing" relativeFrom="page">
                  <wp14:pctWidth>0</wp14:pctWidth>
                </wp14:sizeRelH>
                <wp14:sizeRelV xmlns:wp14="http://schemas.microsoft.com/office/word/2010/wordprocessingDrawing" relativeFrom="page">
                  <wp14:pctHeight>0</wp14:pctHeight>
                </wp14:sizeRelV>
              </wp:anchor>
            </w:drawing>
          </mc:Choice>
          <mc:Fallback/>
        </mc:AlternateContent>
      </w:r>
      <w:r w:rsidRPr="3E3AE34D" w:rsidR="00B50D5E">
        <w:rPr>
          <w:rFonts w:ascii="Segoe UI" w:hAnsi="Segoe UI" w:cs="Segoe UI"/>
          <w:sz w:val="28"/>
          <w:szCs w:val="28"/>
          <w:u w:val="none"/>
        </w:rPr>
        <w:t xml:space="preserve">Oxford Health NHS </w:t>
      </w:r>
      <w:r w:rsidRPr="3E3AE34D" w:rsidR="002821F8">
        <w:rPr>
          <w:rFonts w:ascii="Segoe UI" w:hAnsi="Segoe UI" w:cs="Segoe UI"/>
          <w:sz w:val="28"/>
          <w:szCs w:val="28"/>
          <w:u w:val="none"/>
        </w:rPr>
        <w:t xml:space="preserve">Foundation Trust </w:t>
      </w:r>
    </w:p>
    <w:p w:rsidR="00FA3993" w:rsidRDefault="00FA3993" w14:paraId="0EED5D6B" w14:textId="77777777">
      <w:pPr>
        <w:pStyle w:val="Heading1"/>
        <w:jc w:val="center"/>
        <w:rPr>
          <w:rFonts w:ascii="Segoe UI" w:hAnsi="Segoe UI" w:cs="Segoe UI"/>
          <w:sz w:val="28"/>
          <w:u w:val="none"/>
        </w:rPr>
      </w:pPr>
    </w:p>
    <w:p w:rsidRPr="00FA3993" w:rsidR="005D3499" w:rsidRDefault="005D3499" w14:paraId="43257862" w14:textId="77777777">
      <w:pPr>
        <w:pStyle w:val="Heading1"/>
        <w:jc w:val="center"/>
        <w:rPr>
          <w:rFonts w:ascii="Segoe UI" w:hAnsi="Segoe UI" w:cs="Segoe UI"/>
          <w:sz w:val="28"/>
          <w:u w:val="none"/>
        </w:rPr>
      </w:pPr>
      <w:r w:rsidRPr="00FA3993">
        <w:rPr>
          <w:rFonts w:ascii="Segoe UI" w:hAnsi="Segoe UI" w:cs="Segoe UI"/>
          <w:sz w:val="28"/>
          <w:u w:val="none"/>
        </w:rPr>
        <w:t>Board</w:t>
      </w:r>
      <w:r w:rsidRPr="00FA3993" w:rsidR="002821F8">
        <w:rPr>
          <w:rFonts w:ascii="Segoe UI" w:hAnsi="Segoe UI" w:cs="Segoe UI"/>
          <w:sz w:val="28"/>
          <w:u w:val="none"/>
        </w:rPr>
        <w:t xml:space="preserve"> of Directors</w:t>
      </w:r>
    </w:p>
    <w:p w:rsidRPr="00FA3993" w:rsidR="005D3499" w:rsidP="00A85311" w:rsidRDefault="005D3499" w14:paraId="0F882F61" w14:textId="77777777">
      <w:pPr>
        <w:rPr>
          <w:rFonts w:ascii="Segoe UI" w:hAnsi="Segoe UI" w:cs="Segoe UI"/>
          <w:b/>
        </w:rPr>
      </w:pPr>
    </w:p>
    <w:p w:rsidRPr="00FA3993" w:rsidR="005D3499" w:rsidRDefault="002D0AFE" w14:paraId="768E65AA" w14:textId="791AAA8A">
      <w:pPr>
        <w:jc w:val="center"/>
        <w:rPr>
          <w:rFonts w:ascii="Segoe UI" w:hAnsi="Segoe UI" w:cs="Segoe UI"/>
          <w:b/>
        </w:rPr>
      </w:pPr>
      <w:r>
        <w:rPr>
          <w:rFonts w:ascii="Segoe UI" w:hAnsi="Segoe UI" w:cs="Segoe UI"/>
          <w:b/>
        </w:rPr>
        <w:t>2</w:t>
      </w:r>
      <w:r w:rsidR="00DE03D5">
        <w:rPr>
          <w:rFonts w:ascii="Segoe UI" w:hAnsi="Segoe UI" w:cs="Segoe UI"/>
          <w:b/>
        </w:rPr>
        <w:t>4</w:t>
      </w:r>
      <w:r>
        <w:rPr>
          <w:rFonts w:ascii="Segoe UI" w:hAnsi="Segoe UI" w:cs="Segoe UI"/>
          <w:b/>
        </w:rPr>
        <w:t xml:space="preserve"> Ma</w:t>
      </w:r>
      <w:r w:rsidR="00DE03D5">
        <w:rPr>
          <w:rFonts w:ascii="Segoe UI" w:hAnsi="Segoe UI" w:cs="Segoe UI"/>
          <w:b/>
        </w:rPr>
        <w:t>y</w:t>
      </w:r>
      <w:r w:rsidR="00A016A0">
        <w:rPr>
          <w:rFonts w:ascii="Segoe UI" w:hAnsi="Segoe UI" w:cs="Segoe UI"/>
          <w:b/>
        </w:rPr>
        <w:t xml:space="preserve"> 20</w:t>
      </w:r>
      <w:r w:rsidR="0097530A">
        <w:rPr>
          <w:rFonts w:ascii="Segoe UI" w:hAnsi="Segoe UI" w:cs="Segoe UI"/>
          <w:b/>
        </w:rPr>
        <w:t>2</w:t>
      </w:r>
      <w:r w:rsidR="00D01796">
        <w:rPr>
          <w:rFonts w:ascii="Segoe UI" w:hAnsi="Segoe UI" w:cs="Segoe UI"/>
          <w:b/>
        </w:rPr>
        <w:t>3</w:t>
      </w:r>
    </w:p>
    <w:p w:rsidRPr="00FA3993" w:rsidR="005D3499" w:rsidRDefault="005D3499" w14:paraId="4FDF2B42" w14:textId="77777777">
      <w:pPr>
        <w:jc w:val="center"/>
        <w:rPr>
          <w:rFonts w:ascii="Segoe UI" w:hAnsi="Segoe UI" w:cs="Segoe UI"/>
          <w:b/>
        </w:rPr>
      </w:pPr>
    </w:p>
    <w:p w:rsidR="005D3499" w:rsidP="004B144D" w:rsidRDefault="004B144D" w14:paraId="636B6D74" w14:textId="75E6206D">
      <w:pPr>
        <w:jc w:val="center"/>
        <w:rPr>
          <w:rFonts w:ascii="Segoe UI" w:hAnsi="Segoe UI" w:cs="Segoe UI"/>
          <w:b/>
        </w:rPr>
      </w:pPr>
      <w:r w:rsidRPr="004B144D">
        <w:rPr>
          <w:rFonts w:ascii="Segoe UI" w:hAnsi="Segoe UI" w:cs="Segoe UI"/>
          <w:b/>
        </w:rPr>
        <w:t>Trust Chair’s report and system update</w:t>
      </w:r>
    </w:p>
    <w:p w:rsidRPr="00FA3993" w:rsidR="004B144D" w:rsidP="004B144D" w:rsidRDefault="004B144D" w14:paraId="1876DFA0" w14:textId="77777777">
      <w:pPr>
        <w:jc w:val="center"/>
        <w:rPr>
          <w:rFonts w:ascii="Segoe UI" w:hAnsi="Segoe UI" w:cs="Segoe UI"/>
          <w:b/>
        </w:rPr>
      </w:pPr>
    </w:p>
    <w:p w:rsidR="00241A66" w:rsidP="00241A66" w:rsidRDefault="00292613" w14:paraId="2B52ED1C" w14:textId="27CBC10B">
      <w:pPr>
        <w:jc w:val="center"/>
        <w:rPr>
          <w:rFonts w:ascii="Segoe UI" w:hAnsi="Segoe UI" w:cs="Segoe UI"/>
        </w:rPr>
      </w:pPr>
      <w:r w:rsidRPr="00FA3993">
        <w:rPr>
          <w:rFonts w:ascii="Segoe UI" w:hAnsi="Segoe UI" w:cs="Segoe UI"/>
          <w:b/>
          <w:u w:val="single"/>
        </w:rPr>
        <w:t>For: Information/</w:t>
      </w:r>
      <w:r w:rsidR="004B144D">
        <w:rPr>
          <w:rFonts w:ascii="Segoe UI" w:hAnsi="Segoe UI" w:cs="Segoe UI"/>
          <w:b/>
          <w:u w:val="single"/>
        </w:rPr>
        <w:t xml:space="preserve"> </w:t>
      </w:r>
      <w:r w:rsidR="006B14EF">
        <w:rPr>
          <w:rFonts w:ascii="Segoe UI" w:hAnsi="Segoe UI" w:cs="Segoe UI"/>
          <w:b/>
          <w:u w:val="single"/>
        </w:rPr>
        <w:t>Discussion</w:t>
      </w:r>
    </w:p>
    <w:p w:rsidRPr="00FA3993" w:rsidR="00292613" w:rsidRDefault="00292613" w14:paraId="03F145BF" w14:textId="77777777">
      <w:pPr>
        <w:rPr>
          <w:rFonts w:ascii="Segoe UI" w:hAnsi="Segoe UI" w:cs="Segoe UI"/>
          <w:b/>
        </w:rPr>
      </w:pPr>
    </w:p>
    <w:p w:rsidRPr="00101A8F" w:rsidR="007A2CF0" w:rsidP="007A2CF0" w:rsidRDefault="007A2CF0" w14:paraId="5A0D5DCB" w14:textId="77777777">
      <w:pPr>
        <w:jc w:val="both"/>
        <w:rPr>
          <w:rFonts w:ascii="Segoe UI" w:hAnsi="Segoe UI" w:cs="Segoe UI"/>
        </w:rPr>
      </w:pPr>
      <w:r w:rsidRPr="00FA3993">
        <w:rPr>
          <w:rFonts w:ascii="Segoe UI" w:hAnsi="Segoe UI" w:cs="Segoe UI"/>
          <w:b/>
        </w:rPr>
        <w:t>Executive Summary</w:t>
      </w:r>
      <w:r w:rsidR="00101A8F">
        <w:rPr>
          <w:rFonts w:ascii="Segoe UI" w:hAnsi="Segoe UI" w:cs="Segoe UI"/>
          <w:b/>
        </w:rPr>
        <w:t xml:space="preserve"> </w:t>
      </w:r>
    </w:p>
    <w:p w:rsidR="004B144D" w:rsidP="004B144D" w:rsidRDefault="004B144D" w14:paraId="35FC6B28" w14:textId="77777777">
      <w:pPr>
        <w:jc w:val="both"/>
        <w:rPr>
          <w:rFonts w:ascii="Segoe UI" w:hAnsi="Segoe UI" w:cs="Segoe UI"/>
          <w:iCs/>
        </w:rPr>
      </w:pPr>
    </w:p>
    <w:p w:rsidR="00DE03D5" w:rsidP="00DE03D5" w:rsidRDefault="00DE03D5" w14:paraId="166C3DE2" w14:textId="53EB175B">
      <w:pPr>
        <w:jc w:val="both"/>
        <w:rPr>
          <w:rFonts w:ascii="Segoe UI" w:hAnsi="Segoe UI" w:cs="Segoe UI"/>
          <w:bCs/>
          <w:iCs/>
        </w:rPr>
      </w:pPr>
      <w:r w:rsidRPr="00DE03D5">
        <w:rPr>
          <w:rFonts w:ascii="Segoe UI" w:hAnsi="Segoe UI" w:cs="Segoe UI"/>
          <w:bCs/>
          <w:iCs/>
        </w:rPr>
        <w:t xml:space="preserve">To fill today’s vacancies in Oxfordshire, we would have needed to recruit a third of all podiatrists completing their training in the UK last year. </w:t>
      </w:r>
      <w:r w:rsidR="00F70ED6">
        <w:rPr>
          <w:rFonts w:ascii="Segoe UI" w:hAnsi="Segoe UI" w:cs="Segoe UI"/>
          <w:bCs/>
          <w:iCs/>
        </w:rPr>
        <w:t xml:space="preserve"> </w:t>
      </w:r>
      <w:r w:rsidRPr="00DE03D5">
        <w:rPr>
          <w:rFonts w:ascii="Segoe UI" w:hAnsi="Segoe UI" w:cs="Segoe UI"/>
          <w:bCs/>
          <w:iCs/>
        </w:rPr>
        <w:t xml:space="preserve">That example of our workforce problem could be repeated across nursing; there are parallel shortfalls among doctors, care coordinators, </w:t>
      </w:r>
      <w:proofErr w:type="gramStart"/>
      <w:r w:rsidRPr="00DE03D5">
        <w:rPr>
          <w:rFonts w:ascii="Segoe UI" w:hAnsi="Segoe UI" w:cs="Segoe UI"/>
          <w:bCs/>
          <w:iCs/>
        </w:rPr>
        <w:t>speech</w:t>
      </w:r>
      <w:proofErr w:type="gramEnd"/>
      <w:r w:rsidRPr="00DE03D5">
        <w:rPr>
          <w:rFonts w:ascii="Segoe UI" w:hAnsi="Segoe UI" w:cs="Segoe UI"/>
          <w:bCs/>
          <w:iCs/>
        </w:rPr>
        <w:t xml:space="preserve"> and language therapists and so on. </w:t>
      </w:r>
    </w:p>
    <w:p w:rsidRPr="00DE03D5" w:rsidR="00DE03D5" w:rsidP="00DE03D5" w:rsidRDefault="00DE03D5" w14:paraId="76C05BB8" w14:textId="77777777">
      <w:pPr>
        <w:jc w:val="both"/>
        <w:rPr>
          <w:rFonts w:ascii="Segoe UI" w:hAnsi="Segoe UI" w:cs="Segoe UI"/>
          <w:bCs/>
          <w:iCs/>
        </w:rPr>
      </w:pPr>
    </w:p>
    <w:p w:rsidR="00DE03D5" w:rsidP="00DE03D5" w:rsidRDefault="00DE03D5" w14:paraId="6EA38E63" w14:textId="164B326C">
      <w:pPr>
        <w:jc w:val="both"/>
        <w:rPr>
          <w:rFonts w:ascii="Segoe UI" w:hAnsi="Segoe UI" w:cs="Segoe UI"/>
          <w:bCs/>
          <w:iCs/>
        </w:rPr>
      </w:pPr>
      <w:r w:rsidRPr="00DE03D5">
        <w:rPr>
          <w:rFonts w:ascii="Segoe UI" w:hAnsi="Segoe UI" w:cs="Segoe UI"/>
          <w:bCs/>
          <w:iCs/>
        </w:rPr>
        <w:t xml:space="preserve">Two things are true at the same time. The NHS has expanded its staff in recent years. </w:t>
      </w:r>
      <w:proofErr w:type="gramStart"/>
      <w:r w:rsidRPr="00DE03D5">
        <w:rPr>
          <w:rFonts w:ascii="Segoe UI" w:hAnsi="Segoe UI" w:cs="Segoe UI"/>
          <w:bCs/>
          <w:iCs/>
        </w:rPr>
        <w:t>Indeed</w:t>
      </w:r>
      <w:proofErr w:type="gramEnd"/>
      <w:r w:rsidRPr="00DE03D5">
        <w:rPr>
          <w:rFonts w:ascii="Segoe UI" w:hAnsi="Segoe UI" w:cs="Segoe UI"/>
          <w:bCs/>
          <w:iCs/>
        </w:rPr>
        <w:t xml:space="preserve"> in some areas the shape of the workforce is relatively </w:t>
      </w:r>
      <w:proofErr w:type="spellStart"/>
      <w:r w:rsidRPr="00DE03D5">
        <w:rPr>
          <w:rFonts w:ascii="Segoe UI" w:hAnsi="Segoe UI" w:cs="Segoe UI"/>
          <w:bCs/>
          <w:iCs/>
        </w:rPr>
        <w:t>favourable</w:t>
      </w:r>
      <w:proofErr w:type="spellEnd"/>
      <w:r w:rsidRPr="00DE03D5">
        <w:rPr>
          <w:rFonts w:ascii="Segoe UI" w:hAnsi="Segoe UI" w:cs="Segoe UI"/>
          <w:bCs/>
          <w:iCs/>
        </w:rPr>
        <w:t xml:space="preserve"> – among European countries the UK has one of the lowest proportions of doctors aged over 55 (albeit one of the highest proportions of doctors trained abroad). </w:t>
      </w:r>
      <w:r w:rsidR="00F70ED6">
        <w:rPr>
          <w:rFonts w:ascii="Segoe UI" w:hAnsi="Segoe UI" w:cs="Segoe UI"/>
          <w:bCs/>
          <w:iCs/>
        </w:rPr>
        <w:t xml:space="preserve">  </w:t>
      </w:r>
      <w:r w:rsidRPr="00DE03D5">
        <w:rPr>
          <w:rFonts w:ascii="Segoe UI" w:hAnsi="Segoe UI" w:cs="Segoe UI"/>
          <w:bCs/>
          <w:iCs/>
        </w:rPr>
        <w:t xml:space="preserve">Yet even an expanded workforce is too small to cope. Waves of demand for services surge ever higher. </w:t>
      </w:r>
      <w:r w:rsidR="00F70ED6">
        <w:rPr>
          <w:rFonts w:ascii="Segoe UI" w:hAnsi="Segoe UI" w:cs="Segoe UI"/>
          <w:bCs/>
          <w:iCs/>
        </w:rPr>
        <w:t xml:space="preserve"> </w:t>
      </w:r>
      <w:r w:rsidRPr="00DE03D5">
        <w:rPr>
          <w:rFonts w:ascii="Segoe UI" w:hAnsi="Segoe UI" w:cs="Segoe UI"/>
          <w:bCs/>
          <w:iCs/>
        </w:rPr>
        <w:t>More people need the skills of podiatrists, because we</w:t>
      </w:r>
      <w:r w:rsidR="00F70ED6">
        <w:rPr>
          <w:rFonts w:ascii="Segoe UI" w:hAnsi="Segoe UI" w:cs="Segoe UI"/>
          <w:bCs/>
          <w:iCs/>
        </w:rPr>
        <w:t xml:space="preserve"> a</w:t>
      </w:r>
      <w:r w:rsidRPr="00DE03D5">
        <w:rPr>
          <w:rFonts w:ascii="Segoe UI" w:hAnsi="Segoe UI" w:cs="Segoe UI"/>
          <w:bCs/>
          <w:iCs/>
        </w:rPr>
        <w:t xml:space="preserve">re getting older; problems are both chronic and acute, because of the growing incidence of diabetes and because services that were once offered either in hospital or by GP are now expected from our community teams. </w:t>
      </w:r>
    </w:p>
    <w:p w:rsidRPr="00DE03D5" w:rsidR="00DE03D5" w:rsidP="00DE03D5" w:rsidRDefault="00DE03D5" w14:paraId="1CA0C3C8" w14:textId="77777777">
      <w:pPr>
        <w:jc w:val="both"/>
        <w:rPr>
          <w:rFonts w:ascii="Segoe UI" w:hAnsi="Segoe UI" w:cs="Segoe UI"/>
          <w:bCs/>
          <w:iCs/>
        </w:rPr>
      </w:pPr>
    </w:p>
    <w:p w:rsidR="00DE03D5" w:rsidP="00DE03D5" w:rsidRDefault="00DE03D5" w14:paraId="139A6773" w14:textId="1800A783">
      <w:pPr>
        <w:jc w:val="both"/>
        <w:rPr>
          <w:rFonts w:ascii="Segoe UI" w:hAnsi="Segoe UI" w:cs="Segoe UI"/>
          <w:bCs/>
          <w:iCs/>
        </w:rPr>
      </w:pPr>
      <w:r w:rsidRPr="00DE03D5">
        <w:rPr>
          <w:rFonts w:ascii="Segoe UI" w:hAnsi="Segoe UI" w:cs="Segoe UI"/>
          <w:bCs/>
          <w:iCs/>
        </w:rPr>
        <w:t>It</w:t>
      </w:r>
      <w:r w:rsidR="00F70ED6">
        <w:rPr>
          <w:rFonts w:ascii="Segoe UI" w:hAnsi="Segoe UI" w:cs="Segoe UI"/>
          <w:bCs/>
          <w:iCs/>
        </w:rPr>
        <w:t xml:space="preserve"> i</w:t>
      </w:r>
      <w:r w:rsidRPr="00DE03D5">
        <w:rPr>
          <w:rFonts w:ascii="Segoe UI" w:hAnsi="Segoe UI" w:cs="Segoe UI"/>
          <w:bCs/>
          <w:iCs/>
        </w:rPr>
        <w:t xml:space="preserve">s no comfort that across Europe pressures are similar, in health systems very different from the NHS and sometimes more generously funded. </w:t>
      </w:r>
      <w:r w:rsidR="00F70ED6">
        <w:rPr>
          <w:rFonts w:ascii="Segoe UI" w:hAnsi="Segoe UI" w:cs="Segoe UI"/>
          <w:bCs/>
          <w:iCs/>
        </w:rPr>
        <w:t xml:space="preserve"> </w:t>
      </w:r>
      <w:r w:rsidRPr="00DE03D5">
        <w:rPr>
          <w:rFonts w:ascii="Segoe UI" w:hAnsi="Segoe UI" w:cs="Segoe UI"/>
          <w:bCs/>
          <w:iCs/>
        </w:rPr>
        <w:t>But we could be a lot more open, despite Brexit, to learning what does and does</w:t>
      </w:r>
      <w:r w:rsidR="00F70ED6">
        <w:rPr>
          <w:rFonts w:ascii="Segoe UI" w:hAnsi="Segoe UI" w:cs="Segoe UI"/>
          <w:bCs/>
          <w:iCs/>
        </w:rPr>
        <w:t xml:space="preserve"> </w:t>
      </w:r>
      <w:r w:rsidRPr="00DE03D5">
        <w:rPr>
          <w:rFonts w:ascii="Segoe UI" w:hAnsi="Segoe UI" w:cs="Segoe UI"/>
          <w:bCs/>
          <w:iCs/>
        </w:rPr>
        <w:t>n</w:t>
      </w:r>
      <w:r w:rsidR="00F70ED6">
        <w:rPr>
          <w:rFonts w:ascii="Segoe UI" w:hAnsi="Segoe UI" w:cs="Segoe UI"/>
          <w:bCs/>
          <w:iCs/>
        </w:rPr>
        <w:t>o</w:t>
      </w:r>
      <w:r w:rsidRPr="00DE03D5">
        <w:rPr>
          <w:rFonts w:ascii="Segoe UI" w:hAnsi="Segoe UI" w:cs="Segoe UI"/>
          <w:bCs/>
          <w:iCs/>
        </w:rPr>
        <w:t xml:space="preserve">t work in our </w:t>
      </w:r>
      <w:proofErr w:type="spellStart"/>
      <w:r w:rsidRPr="00DE03D5">
        <w:rPr>
          <w:rFonts w:ascii="Segoe UI" w:hAnsi="Segoe UI" w:cs="Segoe UI"/>
          <w:bCs/>
          <w:iCs/>
        </w:rPr>
        <w:t>neighbours</w:t>
      </w:r>
      <w:proofErr w:type="spellEnd"/>
      <w:r w:rsidRPr="00DE03D5">
        <w:rPr>
          <w:rFonts w:ascii="Segoe UI" w:hAnsi="Segoe UI" w:cs="Segoe UI"/>
          <w:bCs/>
          <w:iCs/>
        </w:rPr>
        <w:t xml:space="preserve"> – and at home too, where there is no easy way of finding out about and taking inspiration from other NHS trusts. </w:t>
      </w:r>
      <w:r w:rsidR="00F70ED6">
        <w:rPr>
          <w:rFonts w:ascii="Segoe UI" w:hAnsi="Segoe UI" w:cs="Segoe UI"/>
          <w:bCs/>
          <w:iCs/>
        </w:rPr>
        <w:t xml:space="preserve"> </w:t>
      </w:r>
      <w:r w:rsidRPr="00DE03D5">
        <w:rPr>
          <w:rFonts w:ascii="Segoe UI" w:hAnsi="Segoe UI" w:cs="Segoe UI"/>
          <w:bCs/>
          <w:iCs/>
        </w:rPr>
        <w:t xml:space="preserve">What used to be called NHS Improvement never did enough to promote mutual discovery. </w:t>
      </w:r>
      <w:r w:rsidR="00F70ED6">
        <w:rPr>
          <w:rFonts w:ascii="Segoe UI" w:hAnsi="Segoe UI" w:cs="Segoe UI"/>
          <w:bCs/>
          <w:iCs/>
        </w:rPr>
        <w:t xml:space="preserve"> </w:t>
      </w:r>
      <w:r w:rsidRPr="00DE03D5">
        <w:rPr>
          <w:rFonts w:ascii="Segoe UI" w:hAnsi="Segoe UI" w:cs="Segoe UI"/>
          <w:bCs/>
          <w:iCs/>
        </w:rPr>
        <w:t xml:space="preserve">In education as in </w:t>
      </w:r>
      <w:r w:rsidRPr="00DE03D5">
        <w:rPr>
          <w:rFonts w:ascii="Segoe UI" w:hAnsi="Segoe UI" w:cs="Segoe UI"/>
          <w:bCs/>
          <w:iCs/>
        </w:rPr>
        <w:lastRenderedPageBreak/>
        <w:t>health, the regulators deny they are improvement agencies, preferring just to tick the boxes (though sadly they often seem happiest marking an x).</w:t>
      </w:r>
    </w:p>
    <w:p w:rsidRPr="00DE03D5" w:rsidR="00DE03D5" w:rsidP="00DE03D5" w:rsidRDefault="00DE03D5" w14:paraId="217033BB" w14:textId="77777777">
      <w:pPr>
        <w:jc w:val="both"/>
        <w:rPr>
          <w:rFonts w:ascii="Segoe UI" w:hAnsi="Segoe UI" w:cs="Segoe UI"/>
          <w:bCs/>
          <w:iCs/>
        </w:rPr>
      </w:pPr>
    </w:p>
    <w:p w:rsidR="00DE03D5" w:rsidP="00DE03D5" w:rsidRDefault="00DE03D5" w14:paraId="257F6771" w14:textId="6A25571E">
      <w:pPr>
        <w:jc w:val="both"/>
        <w:rPr>
          <w:rFonts w:ascii="Segoe UI" w:hAnsi="Segoe UI" w:cs="Segoe UI"/>
          <w:bCs/>
          <w:iCs/>
        </w:rPr>
      </w:pPr>
      <w:r w:rsidRPr="00DE03D5">
        <w:rPr>
          <w:rFonts w:ascii="Segoe UI" w:hAnsi="Segoe UI" w:cs="Segoe UI"/>
          <w:bCs/>
          <w:iCs/>
        </w:rPr>
        <w:t>In the absence of an NHS workforce plan – said to be in the pipeline – it</w:t>
      </w:r>
      <w:r w:rsidR="00F70ED6">
        <w:rPr>
          <w:rFonts w:ascii="Segoe UI" w:hAnsi="Segoe UI" w:cs="Segoe UI"/>
          <w:bCs/>
          <w:iCs/>
        </w:rPr>
        <w:t xml:space="preserve"> i</w:t>
      </w:r>
      <w:r w:rsidRPr="00DE03D5">
        <w:rPr>
          <w:rFonts w:ascii="Segoe UI" w:hAnsi="Segoe UI" w:cs="Segoe UI"/>
          <w:bCs/>
          <w:iCs/>
        </w:rPr>
        <w:t xml:space="preserve">s up to us. </w:t>
      </w:r>
      <w:r w:rsidR="00F70ED6">
        <w:rPr>
          <w:rFonts w:ascii="Segoe UI" w:hAnsi="Segoe UI" w:cs="Segoe UI"/>
          <w:bCs/>
          <w:iCs/>
        </w:rPr>
        <w:t xml:space="preserve"> </w:t>
      </w:r>
      <w:r w:rsidRPr="00DE03D5">
        <w:rPr>
          <w:rFonts w:ascii="Segoe UI" w:hAnsi="Segoe UI" w:cs="Segoe UI"/>
          <w:bCs/>
          <w:iCs/>
        </w:rPr>
        <w:t xml:space="preserve">The chief executive of the NHS Amanda Pritchard has recently suggested new ways of training, expanding apprenticeship </w:t>
      </w:r>
      <w:proofErr w:type="gramStart"/>
      <w:r w:rsidRPr="00DE03D5">
        <w:rPr>
          <w:rFonts w:ascii="Segoe UI" w:hAnsi="Segoe UI" w:cs="Segoe UI"/>
          <w:bCs/>
          <w:iCs/>
        </w:rPr>
        <w:t>and,</w:t>
      </w:r>
      <w:proofErr w:type="gramEnd"/>
      <w:r w:rsidRPr="00DE03D5">
        <w:rPr>
          <w:rFonts w:ascii="Segoe UI" w:hAnsi="Segoe UI" w:cs="Segoe UI"/>
          <w:bCs/>
          <w:iCs/>
        </w:rPr>
        <w:t xml:space="preserve"> given the vitality of our local educational institutions, schools, college and universities, there</w:t>
      </w:r>
      <w:r w:rsidR="00F70ED6">
        <w:rPr>
          <w:rFonts w:ascii="Segoe UI" w:hAnsi="Segoe UI" w:cs="Segoe UI"/>
          <w:bCs/>
          <w:iCs/>
        </w:rPr>
        <w:t xml:space="preserve"> i</w:t>
      </w:r>
      <w:r w:rsidRPr="00DE03D5">
        <w:rPr>
          <w:rFonts w:ascii="Segoe UI" w:hAnsi="Segoe UI" w:cs="Segoe UI"/>
          <w:bCs/>
          <w:iCs/>
        </w:rPr>
        <w:t xml:space="preserve">s probably more we could do to promote careers in healthcare and sustain people through early professional years. </w:t>
      </w:r>
      <w:r w:rsidR="00F70ED6">
        <w:rPr>
          <w:rFonts w:ascii="Segoe UI" w:hAnsi="Segoe UI" w:cs="Segoe UI"/>
          <w:bCs/>
          <w:iCs/>
        </w:rPr>
        <w:t xml:space="preserve"> </w:t>
      </w:r>
      <w:r w:rsidRPr="00DE03D5">
        <w:rPr>
          <w:rFonts w:ascii="Segoe UI" w:hAnsi="Segoe UI" w:cs="Segoe UI"/>
          <w:bCs/>
          <w:iCs/>
        </w:rPr>
        <w:t xml:space="preserve">Recruitment </w:t>
      </w:r>
      <w:proofErr w:type="gramStart"/>
      <w:r w:rsidRPr="00DE03D5">
        <w:rPr>
          <w:rFonts w:ascii="Segoe UI" w:hAnsi="Segoe UI" w:cs="Segoe UI"/>
          <w:bCs/>
          <w:iCs/>
        </w:rPr>
        <w:t>has to</w:t>
      </w:r>
      <w:proofErr w:type="gramEnd"/>
      <w:r w:rsidRPr="00DE03D5">
        <w:rPr>
          <w:rFonts w:ascii="Segoe UI" w:hAnsi="Segoe UI" w:cs="Segoe UI"/>
          <w:bCs/>
          <w:iCs/>
        </w:rPr>
        <w:t xml:space="preserve"> cohere, of course, with our doing more to retain staff, convincing them continuously that Oxford Health is a good place to work, despite the pressures. </w:t>
      </w:r>
      <w:r w:rsidR="00F70ED6">
        <w:rPr>
          <w:rFonts w:ascii="Segoe UI" w:hAnsi="Segoe UI" w:cs="Segoe UI"/>
          <w:bCs/>
          <w:iCs/>
        </w:rPr>
        <w:t xml:space="preserve"> </w:t>
      </w:r>
      <w:r w:rsidRPr="00DE03D5">
        <w:rPr>
          <w:rFonts w:ascii="Segoe UI" w:hAnsi="Segoe UI" w:cs="Segoe UI"/>
          <w:bCs/>
          <w:iCs/>
        </w:rPr>
        <w:t xml:space="preserve">Events such as the recent annual awards ceremony held at the Unipart Centre do help – it was a great occasion, expertly </w:t>
      </w:r>
      <w:proofErr w:type="spellStart"/>
      <w:r w:rsidRPr="00DE03D5">
        <w:rPr>
          <w:rFonts w:ascii="Segoe UI" w:hAnsi="Segoe UI" w:cs="Segoe UI"/>
          <w:bCs/>
          <w:iCs/>
        </w:rPr>
        <w:t>organised</w:t>
      </w:r>
      <w:proofErr w:type="spellEnd"/>
      <w:r w:rsidRPr="00DE03D5">
        <w:rPr>
          <w:rFonts w:ascii="Segoe UI" w:hAnsi="Segoe UI" w:cs="Segoe UI"/>
          <w:bCs/>
          <w:iCs/>
        </w:rPr>
        <w:t>, generating a real buzz.</w:t>
      </w:r>
    </w:p>
    <w:p w:rsidRPr="00DE03D5" w:rsidR="00DE03D5" w:rsidP="00DE03D5" w:rsidRDefault="00DE03D5" w14:paraId="09D135B6" w14:textId="77777777">
      <w:pPr>
        <w:jc w:val="both"/>
        <w:rPr>
          <w:rFonts w:ascii="Segoe UI" w:hAnsi="Segoe UI" w:cs="Segoe UI"/>
          <w:bCs/>
          <w:iCs/>
        </w:rPr>
      </w:pPr>
    </w:p>
    <w:p w:rsidR="00DE03D5" w:rsidP="00DE03D5" w:rsidRDefault="00DE03D5" w14:paraId="23B02A87" w14:textId="5FE10C95">
      <w:pPr>
        <w:jc w:val="both"/>
        <w:rPr>
          <w:rFonts w:ascii="Segoe UI" w:hAnsi="Segoe UI" w:cs="Segoe UI"/>
          <w:bCs/>
          <w:iCs/>
        </w:rPr>
      </w:pPr>
      <w:r w:rsidRPr="00DE03D5">
        <w:rPr>
          <w:rFonts w:ascii="Segoe UI" w:hAnsi="Segoe UI" w:cs="Segoe UI"/>
          <w:bCs/>
          <w:iCs/>
        </w:rPr>
        <w:t xml:space="preserve">Talking of staff, I must record our regret at the departure of chief executive Nick Broughton, albeit to a job that matters much to us. </w:t>
      </w:r>
      <w:r w:rsidR="00F70ED6">
        <w:rPr>
          <w:rFonts w:ascii="Segoe UI" w:hAnsi="Segoe UI" w:cs="Segoe UI"/>
          <w:bCs/>
          <w:iCs/>
        </w:rPr>
        <w:t xml:space="preserve"> </w:t>
      </w:r>
      <w:r w:rsidRPr="00DE03D5">
        <w:rPr>
          <w:rFonts w:ascii="Segoe UI" w:hAnsi="Segoe UI" w:cs="Segoe UI"/>
          <w:bCs/>
          <w:iCs/>
        </w:rPr>
        <w:t xml:space="preserve">Approached about seconding Nick to the integrated care board in Buckinghamshire, </w:t>
      </w:r>
      <w:proofErr w:type="gramStart"/>
      <w:r w:rsidRPr="00DE03D5">
        <w:rPr>
          <w:rFonts w:ascii="Segoe UI" w:hAnsi="Segoe UI" w:cs="Segoe UI"/>
          <w:bCs/>
          <w:iCs/>
        </w:rPr>
        <w:t>Oxfordshire</w:t>
      </w:r>
      <w:proofErr w:type="gramEnd"/>
      <w:r w:rsidRPr="00DE03D5">
        <w:rPr>
          <w:rFonts w:ascii="Segoe UI" w:hAnsi="Segoe UI" w:cs="Segoe UI"/>
          <w:bCs/>
          <w:iCs/>
        </w:rPr>
        <w:t xml:space="preserve"> and Berkshire West, I felt obliged to be positive. </w:t>
      </w:r>
      <w:r w:rsidR="00F70ED6">
        <w:rPr>
          <w:rFonts w:ascii="Segoe UI" w:hAnsi="Segoe UI" w:cs="Segoe UI"/>
          <w:bCs/>
          <w:iCs/>
        </w:rPr>
        <w:t xml:space="preserve"> </w:t>
      </w:r>
      <w:r w:rsidRPr="00DE03D5">
        <w:rPr>
          <w:rFonts w:ascii="Segoe UI" w:hAnsi="Segoe UI" w:cs="Segoe UI"/>
          <w:bCs/>
          <w:iCs/>
        </w:rPr>
        <w:t>The magazine HSJ calls our system ‘troubled’. Let</w:t>
      </w:r>
      <w:r w:rsidR="00F70ED6">
        <w:rPr>
          <w:rFonts w:ascii="Segoe UI" w:hAnsi="Segoe UI" w:cs="Segoe UI"/>
          <w:bCs/>
          <w:iCs/>
        </w:rPr>
        <w:t xml:space="preserve"> u</w:t>
      </w:r>
      <w:r w:rsidRPr="00DE03D5">
        <w:rPr>
          <w:rFonts w:ascii="Segoe UI" w:hAnsi="Segoe UI" w:cs="Segoe UI"/>
          <w:bCs/>
          <w:iCs/>
        </w:rPr>
        <w:t xml:space="preserve">s leave it there and agree Nick has a big job to do in building confidence in BOB. </w:t>
      </w:r>
      <w:r w:rsidR="00F70ED6">
        <w:rPr>
          <w:rFonts w:ascii="Segoe UI" w:hAnsi="Segoe UI" w:cs="Segoe UI"/>
          <w:bCs/>
          <w:iCs/>
        </w:rPr>
        <w:t xml:space="preserve"> </w:t>
      </w:r>
      <w:r w:rsidRPr="00DE03D5">
        <w:rPr>
          <w:rFonts w:ascii="Segoe UI" w:hAnsi="Segoe UI" w:cs="Segoe UI"/>
          <w:bCs/>
          <w:iCs/>
        </w:rPr>
        <w:t>We should celebrate the chief executive of a mental health and community trust operating in a space where the acute hospitals have been predominant.</w:t>
      </w:r>
    </w:p>
    <w:p w:rsidRPr="00DE03D5" w:rsidR="00F70ED6" w:rsidP="00DE03D5" w:rsidRDefault="00F70ED6" w14:paraId="57AC87F2" w14:textId="77777777">
      <w:pPr>
        <w:jc w:val="both"/>
        <w:rPr>
          <w:rFonts w:ascii="Segoe UI" w:hAnsi="Segoe UI" w:cs="Segoe UI"/>
          <w:bCs/>
          <w:iCs/>
        </w:rPr>
      </w:pPr>
    </w:p>
    <w:p w:rsidR="00D01796" w:rsidP="00DE03D5" w:rsidRDefault="00DE03D5" w14:paraId="1E6C200E" w14:textId="1303C9D4">
      <w:pPr>
        <w:jc w:val="both"/>
        <w:rPr>
          <w:rFonts w:ascii="Segoe UI" w:hAnsi="Segoe UI" w:cs="Segoe UI"/>
          <w:bCs/>
          <w:iCs/>
        </w:rPr>
      </w:pPr>
      <w:r w:rsidRPr="00DE03D5">
        <w:rPr>
          <w:rFonts w:ascii="Segoe UI" w:hAnsi="Segoe UI" w:cs="Segoe UI"/>
          <w:bCs/>
          <w:iCs/>
        </w:rPr>
        <w:t xml:space="preserve">One of BOB’s characteristics is the mixture of councils in our area – a county and districts in Oxfordshire, a large unitary in Buckinghamshire and three smaller </w:t>
      </w:r>
      <w:proofErr w:type="spellStart"/>
      <w:r w:rsidRPr="00DE03D5">
        <w:rPr>
          <w:rFonts w:ascii="Segoe UI" w:hAnsi="Segoe UI" w:cs="Segoe UI"/>
          <w:bCs/>
          <w:iCs/>
        </w:rPr>
        <w:t>unitaries</w:t>
      </w:r>
      <w:proofErr w:type="spellEnd"/>
      <w:r w:rsidRPr="00DE03D5">
        <w:rPr>
          <w:rFonts w:ascii="Segoe UI" w:hAnsi="Segoe UI" w:cs="Segoe UI"/>
          <w:bCs/>
          <w:iCs/>
        </w:rPr>
        <w:t xml:space="preserve"> in the former county of Berkshire. </w:t>
      </w:r>
      <w:r w:rsidR="00F70ED6">
        <w:rPr>
          <w:rFonts w:ascii="Segoe UI" w:hAnsi="Segoe UI" w:cs="Segoe UI"/>
          <w:bCs/>
          <w:iCs/>
        </w:rPr>
        <w:t xml:space="preserve"> </w:t>
      </w:r>
      <w:r w:rsidRPr="00DE03D5">
        <w:rPr>
          <w:rFonts w:ascii="Segoe UI" w:hAnsi="Segoe UI" w:cs="Segoe UI"/>
          <w:bCs/>
          <w:iCs/>
        </w:rPr>
        <w:t>District councils have</w:t>
      </w:r>
      <w:r w:rsidR="00F70ED6">
        <w:rPr>
          <w:rFonts w:ascii="Segoe UI" w:hAnsi="Segoe UI" w:cs="Segoe UI"/>
          <w:bCs/>
          <w:iCs/>
        </w:rPr>
        <w:t xml:space="preserve"> </w:t>
      </w:r>
      <w:r w:rsidRPr="00DE03D5">
        <w:rPr>
          <w:rFonts w:ascii="Segoe UI" w:hAnsi="Segoe UI" w:cs="Segoe UI"/>
          <w:bCs/>
          <w:iCs/>
        </w:rPr>
        <w:t>n</w:t>
      </w:r>
      <w:r w:rsidR="00F70ED6">
        <w:rPr>
          <w:rFonts w:ascii="Segoe UI" w:hAnsi="Segoe UI" w:cs="Segoe UI"/>
          <w:bCs/>
          <w:iCs/>
        </w:rPr>
        <w:t>o</w:t>
      </w:r>
      <w:r w:rsidRPr="00DE03D5">
        <w:rPr>
          <w:rFonts w:ascii="Segoe UI" w:hAnsi="Segoe UI" w:cs="Segoe UI"/>
          <w:bCs/>
          <w:iCs/>
        </w:rPr>
        <w:t xml:space="preserve">t had as much airtime in BOB as they merit – they are responsible for housing, </w:t>
      </w:r>
      <w:proofErr w:type="gramStart"/>
      <w:r w:rsidRPr="00DE03D5">
        <w:rPr>
          <w:rFonts w:ascii="Segoe UI" w:hAnsi="Segoe UI" w:cs="Segoe UI"/>
          <w:bCs/>
          <w:iCs/>
        </w:rPr>
        <w:t>leisure</w:t>
      </w:r>
      <w:proofErr w:type="gramEnd"/>
      <w:r w:rsidRPr="00DE03D5">
        <w:rPr>
          <w:rFonts w:ascii="Segoe UI" w:hAnsi="Segoe UI" w:cs="Segoe UI"/>
          <w:bCs/>
          <w:iCs/>
        </w:rPr>
        <w:t xml:space="preserve"> and other services vital to wellbeing. </w:t>
      </w:r>
      <w:r w:rsidR="00F70ED6">
        <w:rPr>
          <w:rFonts w:ascii="Segoe UI" w:hAnsi="Segoe UI" w:cs="Segoe UI"/>
          <w:bCs/>
          <w:iCs/>
        </w:rPr>
        <w:t xml:space="preserve"> </w:t>
      </w:r>
      <w:proofErr w:type="gramStart"/>
      <w:r w:rsidRPr="00DE03D5">
        <w:rPr>
          <w:rFonts w:ascii="Segoe UI" w:hAnsi="Segoe UI" w:cs="Segoe UI"/>
          <w:bCs/>
          <w:iCs/>
        </w:rPr>
        <w:t>So</w:t>
      </w:r>
      <w:proofErr w:type="gramEnd"/>
      <w:r w:rsidRPr="00DE03D5">
        <w:rPr>
          <w:rFonts w:ascii="Segoe UI" w:hAnsi="Segoe UI" w:cs="Segoe UI"/>
          <w:bCs/>
          <w:iCs/>
        </w:rPr>
        <w:t xml:space="preserve"> I am glad to have assumed, in rotation, the chair of the Oxfordshire System Leaders Group, which is a forum bringing together the NHS, the Thames Valley police service and local authority leaders. </w:t>
      </w:r>
      <w:r w:rsidR="00F70ED6">
        <w:rPr>
          <w:rFonts w:ascii="Segoe UI" w:hAnsi="Segoe UI" w:cs="Segoe UI"/>
          <w:bCs/>
          <w:iCs/>
        </w:rPr>
        <w:t xml:space="preserve"> </w:t>
      </w:r>
      <w:r w:rsidRPr="00DE03D5">
        <w:rPr>
          <w:rFonts w:ascii="Segoe UI" w:hAnsi="Segoe UI" w:cs="Segoe UI"/>
          <w:bCs/>
          <w:iCs/>
        </w:rPr>
        <w:t>Its next meeting has been delayed because the recent district council elections changed Oxfordshire’s electoral geography.</w:t>
      </w:r>
    </w:p>
    <w:p w:rsidRPr="00D01796" w:rsidR="00503016" w:rsidP="00503016" w:rsidRDefault="00503016" w14:paraId="0479B164" w14:textId="77777777">
      <w:pPr>
        <w:jc w:val="both"/>
        <w:rPr>
          <w:rFonts w:ascii="Segoe UI" w:hAnsi="Segoe UI" w:cs="Segoe UI"/>
          <w:bCs/>
          <w:iCs/>
        </w:rPr>
      </w:pPr>
    </w:p>
    <w:p w:rsidRPr="00FA3993" w:rsidR="0073522A" w:rsidP="0073522A" w:rsidRDefault="0073522A" w14:paraId="32F36C83" w14:textId="77777777">
      <w:pPr>
        <w:jc w:val="both"/>
        <w:rPr>
          <w:rFonts w:ascii="Segoe UI" w:hAnsi="Segoe UI" w:cs="Segoe UI"/>
          <w:b/>
        </w:rPr>
      </w:pPr>
      <w:r w:rsidRPr="00FA3993">
        <w:rPr>
          <w:rFonts w:ascii="Segoe UI" w:hAnsi="Segoe UI" w:cs="Segoe UI"/>
          <w:b/>
        </w:rPr>
        <w:t>Recommendation</w:t>
      </w:r>
    </w:p>
    <w:p w:rsidR="004B144D" w:rsidP="0073522A" w:rsidRDefault="004B144D" w14:paraId="510A1F7C" w14:textId="77777777">
      <w:pPr>
        <w:jc w:val="both"/>
        <w:rPr>
          <w:rFonts w:ascii="Segoe UI" w:hAnsi="Segoe UI" w:cs="Segoe UI"/>
        </w:rPr>
      </w:pPr>
    </w:p>
    <w:p w:rsidR="000A5A07" w:rsidP="0073522A" w:rsidRDefault="000A5A07" w14:paraId="3F96B841" w14:textId="5A9C1BAE">
      <w:pPr>
        <w:jc w:val="both"/>
        <w:rPr>
          <w:rFonts w:ascii="Segoe UI" w:hAnsi="Segoe UI" w:cs="Segoe UI"/>
        </w:rPr>
      </w:pPr>
      <w:r>
        <w:rPr>
          <w:rFonts w:ascii="Segoe UI" w:hAnsi="Segoe UI" w:cs="Segoe UI"/>
        </w:rPr>
        <w:t>The Board is asked to</w:t>
      </w:r>
      <w:r w:rsidR="004B144D">
        <w:rPr>
          <w:rFonts w:ascii="Segoe UI" w:hAnsi="Segoe UI" w:cs="Segoe UI"/>
        </w:rPr>
        <w:t xml:space="preserve"> note</w:t>
      </w:r>
      <w:r>
        <w:rPr>
          <w:rFonts w:ascii="Segoe UI" w:hAnsi="Segoe UI" w:cs="Segoe UI"/>
        </w:rPr>
        <w:t xml:space="preserve"> the report</w:t>
      </w:r>
      <w:r w:rsidR="00503016">
        <w:rPr>
          <w:rFonts w:ascii="Segoe UI" w:hAnsi="Segoe UI" w:cs="Segoe UI"/>
        </w:rPr>
        <w:t>.</w:t>
      </w:r>
      <w:r w:rsidR="006D4BDD">
        <w:rPr>
          <w:rFonts w:ascii="Segoe UI" w:hAnsi="Segoe UI" w:cs="Segoe UI"/>
        </w:rPr>
        <w:t xml:space="preserve">  </w:t>
      </w:r>
      <w:r>
        <w:rPr>
          <w:rFonts w:ascii="Segoe UI" w:hAnsi="Segoe UI" w:cs="Segoe UI"/>
        </w:rPr>
        <w:t xml:space="preserve">  </w:t>
      </w:r>
    </w:p>
    <w:p w:rsidRPr="00FA3993" w:rsidR="005D3499" w:rsidRDefault="005D3499" w14:paraId="4F5E32FA" w14:textId="77777777">
      <w:pPr>
        <w:jc w:val="both"/>
        <w:rPr>
          <w:rFonts w:ascii="Segoe UI" w:hAnsi="Segoe UI" w:cs="Segoe UI"/>
          <w:b/>
        </w:rPr>
      </w:pPr>
    </w:p>
    <w:p w:rsidRPr="00FA3993" w:rsidR="003F7366" w:rsidP="0073522A" w:rsidRDefault="002619EF" w14:paraId="6BD6928F" w14:textId="2FC4306E">
      <w:pPr>
        <w:ind w:left="1440" w:hanging="1440"/>
        <w:jc w:val="both"/>
        <w:rPr>
          <w:rFonts w:ascii="Segoe UI" w:hAnsi="Segoe UI" w:cs="Segoe UI"/>
        </w:rPr>
      </w:pPr>
      <w:r w:rsidRPr="00FA3993">
        <w:rPr>
          <w:rFonts w:ascii="Segoe UI" w:hAnsi="Segoe UI" w:cs="Segoe UI"/>
          <w:b/>
        </w:rPr>
        <w:t>Author and T</w:t>
      </w:r>
      <w:r w:rsidRPr="00FA3993" w:rsidR="0073522A">
        <w:rPr>
          <w:rFonts w:ascii="Segoe UI" w:hAnsi="Segoe UI" w:cs="Segoe UI"/>
          <w:b/>
        </w:rPr>
        <w:t>itle:</w:t>
      </w:r>
      <w:r w:rsidR="007B02FB">
        <w:rPr>
          <w:rFonts w:ascii="Segoe UI" w:hAnsi="Segoe UI" w:cs="Segoe UI"/>
          <w:b/>
        </w:rPr>
        <w:t xml:space="preserve"> </w:t>
      </w:r>
      <w:r w:rsidRPr="00683B5B" w:rsidR="004B144D">
        <w:rPr>
          <w:rFonts w:ascii="Segoe UI" w:hAnsi="Segoe UI" w:cs="Segoe UI"/>
          <w:b/>
        </w:rPr>
        <w:t>David Walker, Trust Chair</w:t>
      </w:r>
      <w:r w:rsidRPr="00FA3993" w:rsidR="0073522A">
        <w:rPr>
          <w:rFonts w:ascii="Segoe UI" w:hAnsi="Segoe UI" w:cs="Segoe UI"/>
        </w:rPr>
        <w:t xml:space="preserve"> </w:t>
      </w:r>
      <w:r w:rsidRPr="00FA3993" w:rsidR="0073522A">
        <w:rPr>
          <w:rFonts w:ascii="Segoe UI" w:hAnsi="Segoe UI" w:cs="Segoe UI"/>
        </w:rPr>
        <w:tab/>
      </w:r>
    </w:p>
    <w:p w:rsidRPr="0072070D" w:rsidR="00FA3993" w:rsidP="00FA3993" w:rsidRDefault="00FA3993" w14:paraId="149E93C4" w14:textId="77777777">
      <w:pPr>
        <w:jc w:val="both"/>
        <w:rPr>
          <w:rFonts w:ascii="Segoe UI" w:hAnsi="Segoe UI" w:cs="Segoe UI"/>
        </w:rPr>
      </w:pPr>
    </w:p>
    <w:p w:rsidR="002250DE" w:rsidP="00D628E5" w:rsidRDefault="00FA3993" w14:paraId="22977975" w14:textId="3FAAE6BD">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there are no issues that need to be referred to the Trust Solicitors</w:t>
      </w:r>
    </w:p>
    <w:p w:rsidRPr="00D628E5" w:rsidR="004B144D" w:rsidP="004B144D" w:rsidRDefault="004B144D" w14:paraId="1A62BFDC" w14:textId="77777777">
      <w:pPr>
        <w:ind w:left="720"/>
        <w:jc w:val="both"/>
        <w:rPr>
          <w:rFonts w:ascii="Segoe UI" w:hAnsi="Segoe UI" w:cs="Segoe UI"/>
          <w:i/>
          <w:sz w:val="20"/>
          <w:szCs w:val="20"/>
        </w:rPr>
      </w:pPr>
    </w:p>
    <w:p w:rsidRPr="00FA3993" w:rsidR="00FA3993" w:rsidP="00FA3993" w:rsidRDefault="00FA3993" w14:paraId="281B3A46" w14:textId="070DB3FA">
      <w:pPr>
        <w:numPr>
          <w:ilvl w:val="0"/>
          <w:numId w:val="4"/>
        </w:numPr>
        <w:jc w:val="both"/>
        <w:rPr>
          <w:rFonts w:ascii="Segoe UI" w:hAnsi="Segoe UI" w:cs="Segoe UI"/>
          <w:i/>
          <w:sz w:val="20"/>
          <w:szCs w:val="20"/>
        </w:rPr>
      </w:pPr>
      <w:r>
        <w:rPr>
          <w:rFonts w:ascii="Segoe UI" w:hAnsi="Segoe UI" w:cs="Segoe UI"/>
          <w:b/>
          <w:i/>
          <w:sz w:val="20"/>
          <w:szCs w:val="20"/>
        </w:rPr>
        <w:lastRenderedPageBreak/>
        <w:t>Strategic Objectives</w:t>
      </w:r>
      <w:r w:rsidR="00C84B11">
        <w:rPr>
          <w:rFonts w:ascii="Segoe UI" w:hAnsi="Segoe UI" w:cs="Segoe UI"/>
          <w:b/>
          <w:i/>
          <w:sz w:val="20"/>
          <w:szCs w:val="20"/>
        </w:rPr>
        <w:t>/Priorities</w:t>
      </w:r>
      <w:r>
        <w:rPr>
          <w:rFonts w:ascii="Segoe UI" w:hAnsi="Segoe UI" w:cs="Segoe UI"/>
          <w:i/>
          <w:sz w:val="20"/>
          <w:szCs w:val="20"/>
        </w:rPr>
        <w:t xml:space="preserve"> – this </w:t>
      </w:r>
      <w:r w:rsidRPr="00FA3993">
        <w:rPr>
          <w:rFonts w:ascii="Segoe UI" w:hAnsi="Segoe UI" w:cs="Segoe UI"/>
          <w:i/>
          <w:sz w:val="20"/>
          <w:szCs w:val="20"/>
        </w:rPr>
        <w:t>report relates to the following Strategic Objective(s)</w:t>
      </w:r>
      <w:r w:rsidR="00C84B11">
        <w:rPr>
          <w:rFonts w:ascii="Segoe UI" w:hAnsi="Segoe UI" w:cs="Segoe UI"/>
          <w:i/>
          <w:sz w:val="20"/>
          <w:szCs w:val="20"/>
        </w:rPr>
        <w:t>/Priority(</w:t>
      </w:r>
      <w:proofErr w:type="spellStart"/>
      <w:r w:rsidR="00C84B11">
        <w:rPr>
          <w:rFonts w:ascii="Segoe UI" w:hAnsi="Segoe UI" w:cs="Segoe UI"/>
          <w:i/>
          <w:sz w:val="20"/>
          <w:szCs w:val="20"/>
        </w:rPr>
        <w:t>ies</w:t>
      </w:r>
      <w:proofErr w:type="spellEnd"/>
      <w:r w:rsidR="00C84B11">
        <w:rPr>
          <w:rFonts w:ascii="Segoe UI" w:hAnsi="Segoe UI" w:cs="Segoe UI"/>
          <w:i/>
          <w:sz w:val="20"/>
          <w:szCs w:val="20"/>
        </w:rPr>
        <w:t>)</w:t>
      </w:r>
      <w:r w:rsidRPr="00FA3993">
        <w:rPr>
          <w:rFonts w:ascii="Segoe UI" w:hAnsi="Segoe UI" w:cs="Segoe UI"/>
          <w:i/>
          <w:sz w:val="20"/>
          <w:szCs w:val="20"/>
        </w:rPr>
        <w:t xml:space="preserve"> of the Trust:</w:t>
      </w:r>
    </w:p>
    <w:p w:rsidRPr="00FA3993" w:rsidR="00FA3993" w:rsidP="00FA3993" w:rsidRDefault="00FA3993" w14:paraId="37974ED2" w14:textId="77777777">
      <w:pPr>
        <w:ind w:left="720"/>
        <w:jc w:val="both"/>
        <w:rPr>
          <w:rFonts w:ascii="Segoe UI" w:hAnsi="Segoe UI" w:cs="Segoe UI"/>
          <w:i/>
          <w:sz w:val="20"/>
          <w:szCs w:val="20"/>
        </w:rPr>
      </w:pPr>
    </w:p>
    <w:p w:rsidRPr="00876856" w:rsidR="007F1BB9" w:rsidP="007F1BB9" w:rsidRDefault="007F1BB9" w14:paraId="7D6F390B" w14:textId="77777777">
      <w:pPr>
        <w:ind w:firstLine="720"/>
        <w:jc w:val="both"/>
        <w:rPr>
          <w:rFonts w:ascii="Segoe UI" w:hAnsi="Segoe UI" w:cs="Segoe UI"/>
          <w:i/>
          <w:sz w:val="20"/>
          <w:szCs w:val="20"/>
        </w:rPr>
      </w:pPr>
      <w:r w:rsidRPr="00876856">
        <w:rPr>
          <w:rFonts w:ascii="Segoe UI" w:hAnsi="Segoe UI" w:cs="Segoe UI"/>
          <w:i/>
          <w:sz w:val="20"/>
          <w:szCs w:val="20"/>
        </w:rPr>
        <w:t>1) Quality - Deliver the best possible care and health outcomes</w:t>
      </w:r>
    </w:p>
    <w:p w:rsidR="007F1BB9" w:rsidP="007F1BB9" w:rsidRDefault="007F1BB9" w14:paraId="2EEC634B" w14:textId="3BF6C845">
      <w:pPr>
        <w:ind w:left="1440"/>
        <w:jc w:val="both"/>
        <w:rPr>
          <w:rFonts w:ascii="Segoe UI" w:hAnsi="Segoe UI" w:cs="Segoe UI"/>
          <w:i/>
          <w:sz w:val="20"/>
          <w:szCs w:val="20"/>
        </w:rPr>
      </w:pPr>
      <w:r>
        <w:rPr>
          <w:rFonts w:ascii="Segoe UI" w:hAnsi="Segoe UI" w:cs="Segoe UI"/>
          <w:i/>
          <w:sz w:val="20"/>
          <w:szCs w:val="20"/>
        </w:rPr>
        <w:t xml:space="preserve">Strategic risk themes: triangulating </w:t>
      </w:r>
      <w:r w:rsidRPr="00EB3D86">
        <w:rPr>
          <w:rFonts w:ascii="Segoe UI" w:hAnsi="Segoe UI" w:cs="Segoe UI"/>
          <w:i/>
          <w:sz w:val="20"/>
          <w:szCs w:val="20"/>
        </w:rPr>
        <w:t>data and learning to drive Quality Improvement</w:t>
      </w:r>
      <w:r>
        <w:rPr>
          <w:rFonts w:ascii="Segoe UI" w:hAnsi="Segoe UI" w:cs="Segoe UI"/>
          <w:i/>
          <w:sz w:val="20"/>
          <w:szCs w:val="20"/>
        </w:rPr>
        <w:t>; Demand and Capacity (Mental Health inpatient and Learning Disabilities); and Demand and Capacity (Community Oxfordshire).</w:t>
      </w:r>
    </w:p>
    <w:p w:rsidR="00F70ED6" w:rsidP="007F1BB9" w:rsidRDefault="00F70ED6" w14:paraId="056DDD41" w14:textId="77777777">
      <w:pPr>
        <w:ind w:left="1440"/>
        <w:jc w:val="both"/>
        <w:rPr>
          <w:rFonts w:ascii="Segoe UI" w:hAnsi="Segoe UI" w:cs="Segoe UI"/>
          <w:i/>
          <w:sz w:val="20"/>
          <w:szCs w:val="20"/>
        </w:rPr>
      </w:pPr>
    </w:p>
    <w:p w:rsidRPr="00876856" w:rsidR="00F70ED6" w:rsidP="00F70ED6" w:rsidRDefault="00F70ED6" w14:paraId="2439E0EC" w14:textId="77777777">
      <w:pPr>
        <w:ind w:firstLine="720"/>
        <w:jc w:val="both"/>
        <w:rPr>
          <w:rFonts w:ascii="Segoe UI" w:hAnsi="Segoe UI" w:cs="Segoe UI"/>
          <w:i/>
          <w:sz w:val="20"/>
          <w:szCs w:val="20"/>
        </w:rPr>
      </w:pPr>
      <w:r w:rsidRPr="00876856">
        <w:rPr>
          <w:rFonts w:ascii="Segoe UI" w:hAnsi="Segoe UI" w:cs="Segoe UI"/>
          <w:i/>
          <w:sz w:val="20"/>
          <w:szCs w:val="20"/>
        </w:rPr>
        <w:t>2) People - Be a great place to work</w:t>
      </w:r>
    </w:p>
    <w:p w:rsidRPr="00876856" w:rsidR="00F70ED6" w:rsidP="00F70ED6" w:rsidRDefault="00F70ED6" w14:paraId="5B768810" w14:textId="77777777">
      <w:pPr>
        <w:ind w:left="1440"/>
        <w:jc w:val="both"/>
        <w:rPr>
          <w:rFonts w:ascii="Segoe UI" w:hAnsi="Segoe UI" w:cs="Segoe UI"/>
          <w:i/>
          <w:sz w:val="20"/>
          <w:szCs w:val="20"/>
        </w:rPr>
      </w:pPr>
      <w:r>
        <w:rPr>
          <w:rFonts w:ascii="Segoe UI" w:hAnsi="Segoe UI" w:cs="Segoe UI"/>
          <w:i/>
          <w:sz w:val="20"/>
          <w:szCs w:val="20"/>
        </w:rPr>
        <w:t>Strategic risk themes: Workforce Planning; Recruitment; Succession Planning, Organisational and Leadership Development; Culture; and Retention.</w:t>
      </w:r>
    </w:p>
    <w:p w:rsidRPr="00876856" w:rsidR="007F1BB9" w:rsidP="007F1BB9" w:rsidRDefault="007F1BB9" w14:paraId="1F037464" w14:textId="77777777">
      <w:pPr>
        <w:jc w:val="both"/>
        <w:rPr>
          <w:rFonts w:ascii="Segoe UI" w:hAnsi="Segoe UI" w:cs="Segoe UI"/>
          <w:i/>
          <w:sz w:val="20"/>
          <w:szCs w:val="20"/>
        </w:rPr>
      </w:pPr>
    </w:p>
    <w:p w:rsidRPr="00876856" w:rsidR="007F1BB9" w:rsidP="007F1BB9" w:rsidRDefault="007F1BB9" w14:paraId="6294E87B" w14:textId="77777777">
      <w:pPr>
        <w:ind w:firstLine="720"/>
        <w:jc w:val="both"/>
        <w:rPr>
          <w:rFonts w:ascii="Segoe UI" w:hAnsi="Segoe UI" w:cs="Segoe UI"/>
          <w:i/>
          <w:sz w:val="20"/>
          <w:szCs w:val="20"/>
        </w:rPr>
      </w:pPr>
      <w:r w:rsidRPr="00876856">
        <w:rPr>
          <w:rFonts w:ascii="Segoe UI" w:hAnsi="Segoe UI" w:cs="Segoe UI"/>
          <w:i/>
          <w:sz w:val="20"/>
          <w:szCs w:val="20"/>
        </w:rPr>
        <w:t>3) Sustainability – Make best use of our resources and protect the environment</w:t>
      </w:r>
    </w:p>
    <w:p w:rsidRPr="00503016" w:rsidR="003927AC" w:rsidP="00503016" w:rsidRDefault="007F1BB9" w14:paraId="565A5FF8" w14:textId="275208B0">
      <w:pPr>
        <w:ind w:left="1440"/>
        <w:jc w:val="both"/>
        <w:rPr>
          <w:rFonts w:ascii="Segoe UI" w:hAnsi="Segoe UI" w:cs="Segoe UI"/>
          <w:i/>
          <w:sz w:val="20"/>
          <w:szCs w:val="20"/>
        </w:rPr>
      </w:pPr>
      <w:r w:rsidRPr="00EB3D86">
        <w:rPr>
          <w:rFonts w:ascii="Segoe UI" w:hAnsi="Segoe UI" w:cs="Segoe UI"/>
          <w:i/>
          <w:sz w:val="20"/>
          <w:szCs w:val="20"/>
        </w:rPr>
        <w:t>Strategic risk themes:</w:t>
      </w:r>
      <w:r>
        <w:rPr>
          <w:rFonts w:ascii="Segoe UI" w:hAnsi="Segoe UI" w:cs="Segoe UI"/>
          <w:i/>
          <w:sz w:val="20"/>
          <w:szCs w:val="20"/>
        </w:rPr>
        <w:t xml:space="preserve"> planning and decision-making at System and Place level and collaborative working with Partners; governance of external Partners; Financial Sustainability; Governance and decision-making arrangements; Business Planning; Information Governance &amp; Cyber Security; Single Data Centre; Business Continuity and Emergency Planning; Environmental Impact; and Major Capital Projects</w:t>
      </w:r>
    </w:p>
    <w:sectPr w:rsidRPr="00503016" w:rsidR="003927AC" w:rsidSect="00262F0F">
      <w:footerReference w:type="default" r:id="rId12"/>
      <w:headerReference w:type="first" r:id="rId13"/>
      <w:pgSz w:w="12240" w:h="15840" w:orient="portrait"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5CE4" w:rsidP="005B3E3C" w:rsidRDefault="003F5CE4" w14:paraId="52EF8AA3" w14:textId="77777777">
      <w:r>
        <w:separator/>
      </w:r>
    </w:p>
  </w:endnote>
  <w:endnote w:type="continuationSeparator" w:id="0">
    <w:p w:rsidR="003F5CE4" w:rsidP="005B3E3C" w:rsidRDefault="003F5CE4" w14:paraId="710162C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255000"/>
      <w:docPartObj>
        <w:docPartGallery w:val="Page Numbers (Bottom of Page)"/>
        <w:docPartUnique/>
      </w:docPartObj>
    </w:sdtPr>
    <w:sdtEndPr>
      <w:rPr>
        <w:noProof/>
      </w:rPr>
    </w:sdtEndPr>
    <w:sdtContent>
      <w:p w:rsidR="000A583B" w:rsidRDefault="000A583B" w14:paraId="7F946313" w14:textId="7777777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0A583B" w:rsidRDefault="000A583B" w14:paraId="7AA9D1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5CE4" w:rsidP="005B3E3C" w:rsidRDefault="003F5CE4" w14:paraId="590B5CF5" w14:textId="77777777">
      <w:r>
        <w:separator/>
      </w:r>
    </w:p>
  </w:footnote>
  <w:footnote w:type="continuationSeparator" w:id="0">
    <w:p w:rsidR="003F5CE4" w:rsidP="005B3E3C" w:rsidRDefault="003F5CE4" w14:paraId="4A1AA8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0979" w:rsidP="00262F0F" w:rsidRDefault="00262F0F" w14:paraId="335B5F45" w14:textId="77777777">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rsidR="00262F0F" w:rsidRDefault="00262F0F" w14:paraId="41D867A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hint="default" w:ascii="Symbol" w:hAnsi="Symbol"/>
      </w:rPr>
    </w:lvl>
    <w:lvl w:ilvl="1" w:tplc="08090003">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hint="default" w:ascii="Symbol" w:hAnsi="Symbol"/>
      </w:rPr>
    </w:lvl>
    <w:lvl w:ilvl="1" w:tplc="08090003" w:tentative="1">
      <w:start w:val="1"/>
      <w:numFmt w:val="bullet"/>
      <w:lvlText w:val="o"/>
      <w:lvlJc w:val="left"/>
      <w:pPr>
        <w:ind w:left="2166" w:hanging="360"/>
      </w:pPr>
      <w:rPr>
        <w:rFonts w:hint="default" w:ascii="Courier New" w:hAnsi="Courier New" w:cs="Courier New"/>
      </w:rPr>
    </w:lvl>
    <w:lvl w:ilvl="2" w:tplc="08090005" w:tentative="1">
      <w:start w:val="1"/>
      <w:numFmt w:val="bullet"/>
      <w:lvlText w:val=""/>
      <w:lvlJc w:val="left"/>
      <w:pPr>
        <w:ind w:left="2886" w:hanging="360"/>
      </w:pPr>
      <w:rPr>
        <w:rFonts w:hint="default" w:ascii="Wingdings" w:hAnsi="Wingdings"/>
      </w:rPr>
    </w:lvl>
    <w:lvl w:ilvl="3" w:tplc="08090001" w:tentative="1">
      <w:start w:val="1"/>
      <w:numFmt w:val="bullet"/>
      <w:lvlText w:val=""/>
      <w:lvlJc w:val="left"/>
      <w:pPr>
        <w:ind w:left="3606" w:hanging="360"/>
      </w:pPr>
      <w:rPr>
        <w:rFonts w:hint="default" w:ascii="Symbol" w:hAnsi="Symbol"/>
      </w:rPr>
    </w:lvl>
    <w:lvl w:ilvl="4" w:tplc="08090003" w:tentative="1">
      <w:start w:val="1"/>
      <w:numFmt w:val="bullet"/>
      <w:lvlText w:val="o"/>
      <w:lvlJc w:val="left"/>
      <w:pPr>
        <w:ind w:left="4326" w:hanging="360"/>
      </w:pPr>
      <w:rPr>
        <w:rFonts w:hint="default" w:ascii="Courier New" w:hAnsi="Courier New" w:cs="Courier New"/>
      </w:rPr>
    </w:lvl>
    <w:lvl w:ilvl="5" w:tplc="08090005" w:tentative="1">
      <w:start w:val="1"/>
      <w:numFmt w:val="bullet"/>
      <w:lvlText w:val=""/>
      <w:lvlJc w:val="left"/>
      <w:pPr>
        <w:ind w:left="5046" w:hanging="360"/>
      </w:pPr>
      <w:rPr>
        <w:rFonts w:hint="default" w:ascii="Wingdings" w:hAnsi="Wingdings"/>
      </w:rPr>
    </w:lvl>
    <w:lvl w:ilvl="6" w:tplc="08090001" w:tentative="1">
      <w:start w:val="1"/>
      <w:numFmt w:val="bullet"/>
      <w:lvlText w:val=""/>
      <w:lvlJc w:val="left"/>
      <w:pPr>
        <w:ind w:left="5766" w:hanging="360"/>
      </w:pPr>
      <w:rPr>
        <w:rFonts w:hint="default" w:ascii="Symbol" w:hAnsi="Symbol"/>
      </w:rPr>
    </w:lvl>
    <w:lvl w:ilvl="7" w:tplc="08090003" w:tentative="1">
      <w:start w:val="1"/>
      <w:numFmt w:val="bullet"/>
      <w:lvlText w:val="o"/>
      <w:lvlJc w:val="left"/>
      <w:pPr>
        <w:ind w:left="6486" w:hanging="360"/>
      </w:pPr>
      <w:rPr>
        <w:rFonts w:hint="default" w:ascii="Courier New" w:hAnsi="Courier New" w:cs="Courier New"/>
      </w:rPr>
    </w:lvl>
    <w:lvl w:ilvl="8" w:tplc="08090005" w:tentative="1">
      <w:start w:val="1"/>
      <w:numFmt w:val="bullet"/>
      <w:lvlText w:val=""/>
      <w:lvlJc w:val="left"/>
      <w:pPr>
        <w:ind w:left="7206" w:hanging="360"/>
      </w:pPr>
      <w:rPr>
        <w:rFonts w:hint="default" w:ascii="Wingdings" w:hAnsi="Wingdings"/>
      </w:rPr>
    </w:lvl>
  </w:abstractNum>
  <w:abstractNum w:abstractNumId="5" w15:restartNumberingAfterBreak="0">
    <w:nsid w:val="63533572"/>
    <w:multiLevelType w:val="hybridMultilevel"/>
    <w:tmpl w:val="323A48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20684580">
    <w:abstractNumId w:val="6"/>
  </w:num>
  <w:num w:numId="2" w16cid:durableId="701980287">
    <w:abstractNumId w:val="2"/>
  </w:num>
  <w:num w:numId="3" w16cid:durableId="1564754283">
    <w:abstractNumId w:val="3"/>
  </w:num>
  <w:num w:numId="4" w16cid:durableId="1413968957">
    <w:abstractNumId w:val="0"/>
  </w:num>
  <w:num w:numId="5" w16cid:durableId="1263606965">
    <w:abstractNumId w:val="4"/>
  </w:num>
  <w:num w:numId="6" w16cid:durableId="1304963644">
    <w:abstractNumId w:val="1"/>
  </w:num>
  <w:num w:numId="7" w16cid:durableId="94324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E8"/>
    <w:rsid w:val="0002698F"/>
    <w:rsid w:val="00030247"/>
    <w:rsid w:val="00047FC8"/>
    <w:rsid w:val="00071842"/>
    <w:rsid w:val="000A3A29"/>
    <w:rsid w:val="000A583B"/>
    <w:rsid w:val="000A5A07"/>
    <w:rsid w:val="000B420F"/>
    <w:rsid w:val="000E317C"/>
    <w:rsid w:val="00101A8F"/>
    <w:rsid w:val="001058A7"/>
    <w:rsid w:val="00145747"/>
    <w:rsid w:val="001B5873"/>
    <w:rsid w:val="001F76ED"/>
    <w:rsid w:val="002250DE"/>
    <w:rsid w:val="00227FCE"/>
    <w:rsid w:val="00241A66"/>
    <w:rsid w:val="002619EF"/>
    <w:rsid w:val="00262F0F"/>
    <w:rsid w:val="00273982"/>
    <w:rsid w:val="002821F8"/>
    <w:rsid w:val="00292613"/>
    <w:rsid w:val="002A59FB"/>
    <w:rsid w:val="002A73E8"/>
    <w:rsid w:val="002B7785"/>
    <w:rsid w:val="002C2F97"/>
    <w:rsid w:val="002D0AFE"/>
    <w:rsid w:val="002E6FC6"/>
    <w:rsid w:val="002F0D9E"/>
    <w:rsid w:val="00306AF0"/>
    <w:rsid w:val="00316193"/>
    <w:rsid w:val="003927AC"/>
    <w:rsid w:val="003971F6"/>
    <w:rsid w:val="003C187B"/>
    <w:rsid w:val="003F2AF4"/>
    <w:rsid w:val="003F5CE4"/>
    <w:rsid w:val="003F7366"/>
    <w:rsid w:val="004326BB"/>
    <w:rsid w:val="0044210D"/>
    <w:rsid w:val="00456DDE"/>
    <w:rsid w:val="004742D0"/>
    <w:rsid w:val="0049399C"/>
    <w:rsid w:val="004B1397"/>
    <w:rsid w:val="004B144D"/>
    <w:rsid w:val="004C16A3"/>
    <w:rsid w:val="004D0692"/>
    <w:rsid w:val="004F4BBA"/>
    <w:rsid w:val="00503016"/>
    <w:rsid w:val="005233AA"/>
    <w:rsid w:val="00523450"/>
    <w:rsid w:val="00551AD9"/>
    <w:rsid w:val="00551B0F"/>
    <w:rsid w:val="005659FB"/>
    <w:rsid w:val="005A23E0"/>
    <w:rsid w:val="005B3E3C"/>
    <w:rsid w:val="005C3FC1"/>
    <w:rsid w:val="005D3499"/>
    <w:rsid w:val="005E2583"/>
    <w:rsid w:val="0061684E"/>
    <w:rsid w:val="0063463D"/>
    <w:rsid w:val="00683031"/>
    <w:rsid w:val="006B14EF"/>
    <w:rsid w:val="006C3147"/>
    <w:rsid w:val="006D4BDD"/>
    <w:rsid w:val="006E3C3E"/>
    <w:rsid w:val="006F2F62"/>
    <w:rsid w:val="006F6C4E"/>
    <w:rsid w:val="00700753"/>
    <w:rsid w:val="0073096A"/>
    <w:rsid w:val="0073522A"/>
    <w:rsid w:val="00745B27"/>
    <w:rsid w:val="007769CD"/>
    <w:rsid w:val="0078032B"/>
    <w:rsid w:val="00781566"/>
    <w:rsid w:val="007976E7"/>
    <w:rsid w:val="007A2CF0"/>
    <w:rsid w:val="007B02FB"/>
    <w:rsid w:val="007B6D77"/>
    <w:rsid w:val="007F1BB9"/>
    <w:rsid w:val="00802701"/>
    <w:rsid w:val="008038A2"/>
    <w:rsid w:val="00811FE8"/>
    <w:rsid w:val="0084720C"/>
    <w:rsid w:val="0086436B"/>
    <w:rsid w:val="00876856"/>
    <w:rsid w:val="0088096A"/>
    <w:rsid w:val="008865A9"/>
    <w:rsid w:val="00894B97"/>
    <w:rsid w:val="00914771"/>
    <w:rsid w:val="00946E6E"/>
    <w:rsid w:val="0097530A"/>
    <w:rsid w:val="009869DE"/>
    <w:rsid w:val="009A3886"/>
    <w:rsid w:val="00A016A0"/>
    <w:rsid w:val="00A1025D"/>
    <w:rsid w:val="00A12789"/>
    <w:rsid w:val="00A15A88"/>
    <w:rsid w:val="00A2080F"/>
    <w:rsid w:val="00A674FB"/>
    <w:rsid w:val="00A85311"/>
    <w:rsid w:val="00A86977"/>
    <w:rsid w:val="00A90BF5"/>
    <w:rsid w:val="00AA0C3F"/>
    <w:rsid w:val="00AC041B"/>
    <w:rsid w:val="00AC3814"/>
    <w:rsid w:val="00AF0562"/>
    <w:rsid w:val="00B10FB2"/>
    <w:rsid w:val="00B26E1A"/>
    <w:rsid w:val="00B26F2C"/>
    <w:rsid w:val="00B50D5E"/>
    <w:rsid w:val="00BA3B3E"/>
    <w:rsid w:val="00BB510B"/>
    <w:rsid w:val="00BC152C"/>
    <w:rsid w:val="00BF3538"/>
    <w:rsid w:val="00BF5367"/>
    <w:rsid w:val="00C07817"/>
    <w:rsid w:val="00C11AA2"/>
    <w:rsid w:val="00C67635"/>
    <w:rsid w:val="00C71005"/>
    <w:rsid w:val="00C84B11"/>
    <w:rsid w:val="00D01796"/>
    <w:rsid w:val="00D029E8"/>
    <w:rsid w:val="00D07064"/>
    <w:rsid w:val="00D101CB"/>
    <w:rsid w:val="00D26F70"/>
    <w:rsid w:val="00D279FC"/>
    <w:rsid w:val="00D557DE"/>
    <w:rsid w:val="00D55ADD"/>
    <w:rsid w:val="00D628E5"/>
    <w:rsid w:val="00D8544F"/>
    <w:rsid w:val="00D870AD"/>
    <w:rsid w:val="00DA0FA6"/>
    <w:rsid w:val="00DA6606"/>
    <w:rsid w:val="00DB0979"/>
    <w:rsid w:val="00DB161E"/>
    <w:rsid w:val="00DD33DF"/>
    <w:rsid w:val="00DE03D5"/>
    <w:rsid w:val="00DE1293"/>
    <w:rsid w:val="00DE4919"/>
    <w:rsid w:val="00DF10CC"/>
    <w:rsid w:val="00E827C5"/>
    <w:rsid w:val="00EA2D81"/>
    <w:rsid w:val="00EE261A"/>
    <w:rsid w:val="00EE79D8"/>
    <w:rsid w:val="00F24EB2"/>
    <w:rsid w:val="00F375F6"/>
    <w:rsid w:val="00F50A07"/>
    <w:rsid w:val="00F57119"/>
    <w:rsid w:val="00F70ED6"/>
    <w:rsid w:val="00F77C13"/>
    <w:rsid w:val="00F93420"/>
    <w:rsid w:val="00F945DB"/>
    <w:rsid w:val="00FA3993"/>
    <w:rsid w:val="00FA5118"/>
    <w:rsid w:val="00FB35C1"/>
    <w:rsid w:val="00FC13A1"/>
    <w:rsid w:val="00FD2279"/>
    <w:rsid w:val="00FE113A"/>
    <w:rsid w:val="00FE7CB9"/>
    <w:rsid w:val="3E3AE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7AA1F6"/>
  <w15:docId w15:val="{DB072BD7-9810-4E5F-BEFD-7B5CEB140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styleId="HeaderChar" w:customStyle="1">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styleId="FooterChar" w:customStyle="1">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styleId="BalloonTextChar" w:customStyle="1">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character" w:styleId="FollowedHyperlink">
    <w:name w:val="FollowedHyperlink"/>
    <w:basedOn w:val="DefaultParagraphFont"/>
    <w:semiHidden/>
    <w:unhideWhenUsed/>
    <w:rsid w:val="00D02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b4c17b0f8f974ce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4d73192-00b3-4c1a-8318-a05177d87a70}"/>
      </w:docPartPr>
      <w:docPartBody>
        <w:p w14:paraId="104D909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umber xmlns="80d282f4-189f-40b5-b2ef-b2287c59eea2">1</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40FE3C776672E4F98EC78CFC5673726" ma:contentTypeVersion="5" ma:contentTypeDescription="Create a new document." ma:contentTypeScope="" ma:versionID="c50303fd02c839022dee36d64db1a4dd">
  <xsd:schema xmlns:xsd="http://www.w3.org/2001/XMLSchema" xmlns:xs="http://www.w3.org/2001/XMLSchema" xmlns:p="http://schemas.microsoft.com/office/2006/metadata/properties" xmlns:ns2="80d282f4-189f-40b5-b2ef-b2287c59eea2" xmlns:ns3="925d566c-8004-45b2-a1ff-1afa3739f842" targetNamespace="http://schemas.microsoft.com/office/2006/metadata/properties" ma:root="true" ma:fieldsID="c5fcee2aad3b4e62f62adb3676465a0c" ns2:_="" ns3:_="">
    <xsd:import namespace="80d282f4-189f-40b5-b2ef-b2287c59eea2"/>
    <xsd:import namespace="925d566c-8004-45b2-a1ff-1afa3739f842"/>
    <xsd:element name="properties">
      <xsd:complexType>
        <xsd:sequence>
          <xsd:element name="documentManagement">
            <xsd:complexType>
              <xsd:all>
                <xsd:element ref="ns2:MediaServiceMetadata" minOccurs="0"/>
                <xsd:element ref="ns2:MediaServiceFastMetadata" minOccurs="0"/>
                <xsd:element ref="ns2:Numbe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282f4-189f-40b5-b2ef-b2287c59e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umber" ma:index="10" nillable="true" ma:displayName="Number" ma:default="1"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25d566c-8004-45b2-a1ff-1afa3739f84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5BBC6-C31F-46E9-BE78-EF6B8E274B0A}">
  <ds:schemaRefs>
    <ds:schemaRef ds:uri="http://schemas.openxmlformats.org/officeDocument/2006/bibliography"/>
  </ds:schemaRefs>
</ds:datastoreItem>
</file>

<file path=customXml/itemProps2.xml><?xml version="1.0" encoding="utf-8"?>
<ds:datastoreItem xmlns:ds="http://schemas.openxmlformats.org/officeDocument/2006/customXml" ds:itemID="{5EB8BEA5-E86A-4A1D-9A6D-12F1128506D3}">
  <ds:schemaRefs>
    <ds:schemaRef ds:uri="http://schemas.microsoft.com/office/2006/metadata/properties"/>
    <ds:schemaRef ds:uri="http://schemas.microsoft.com/office/infopath/2007/PartnerControls"/>
    <ds:schemaRef ds:uri="80d282f4-189f-40b5-b2ef-b2287c59eea2"/>
  </ds:schemaRefs>
</ds:datastoreItem>
</file>

<file path=customXml/itemProps3.xml><?xml version="1.0" encoding="utf-8"?>
<ds:datastoreItem xmlns:ds="http://schemas.openxmlformats.org/officeDocument/2006/customXml" ds:itemID="{4828124C-A906-4FB8-8773-4BD0F738B1D8}">
  <ds:schemaRefs>
    <ds:schemaRef ds:uri="http://schemas.microsoft.com/sharepoint/v3/contenttype/forms"/>
  </ds:schemaRefs>
</ds:datastoreItem>
</file>

<file path=customXml/itemProps4.xml><?xml version="1.0" encoding="utf-8"?>
<ds:datastoreItem xmlns:ds="http://schemas.openxmlformats.org/officeDocument/2006/customXml" ds:itemID="{0601D539-F721-49EA-937F-E194AD5E4D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Oxfordshire Mental Healthcare NHS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StackJ</dc:creator>
  <lastModifiedBy>Gill Nicola (RNU) Oxford Health</lastModifiedBy>
  <revision>4</revision>
  <lastPrinted>2014-03-17T14:55:00.0000000Z</lastPrinted>
  <dcterms:created xsi:type="dcterms:W3CDTF">2023-05-12T12:30:00.0000000Z</dcterms:created>
  <dcterms:modified xsi:type="dcterms:W3CDTF">2023-05-17T06:54:16.3328888Z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0x010100D40FE3C776672E4F98EC78CFC5673726</vt:lpwstr>
  </property>
</Properties>
</file>