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353346F0" w:rsidR="004A11CA" w:rsidRDefault="004A11CA" w:rsidP="004A11CA">
                            <w:pPr>
                              <w:jc w:val="center"/>
                              <w:rPr>
                                <w:rFonts w:ascii="Segoe UI" w:hAnsi="Segoe UI" w:cs="Segoe UI"/>
                              </w:rPr>
                            </w:pPr>
                            <w:r>
                              <w:rPr>
                                <w:rFonts w:ascii="Segoe UI" w:hAnsi="Segoe UI" w:cs="Segoe UI"/>
                                <w:b/>
                              </w:rPr>
                              <w:t xml:space="preserve">BOD </w:t>
                            </w:r>
                            <w:r w:rsidR="00C558E8">
                              <w:rPr>
                                <w:rFonts w:ascii="Segoe UI" w:hAnsi="Segoe UI" w:cs="Segoe UI"/>
                                <w:b/>
                              </w:rPr>
                              <w:t>31</w:t>
                            </w:r>
                            <w:r>
                              <w:rPr>
                                <w:rFonts w:ascii="Segoe UI" w:hAnsi="Segoe UI" w:cs="Segoe UI"/>
                                <w:b/>
                              </w:rPr>
                              <w:t>/202</w:t>
                            </w:r>
                            <w:r w:rsidR="00B46118">
                              <w:rPr>
                                <w:rFonts w:ascii="Segoe UI" w:hAnsi="Segoe UI" w:cs="Segoe UI"/>
                                <w:b/>
                              </w:rPr>
                              <w:t>3</w:t>
                            </w:r>
                          </w:p>
                          <w:p w14:paraId="67B78BB4" w14:textId="7F82F051"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C558E8">
                              <w:rPr>
                                <w:rFonts w:ascii="Segoe UI" w:hAnsi="Segoe UI" w:cs="Segoe UI"/>
                                <w:sz w:val="22"/>
                                <w:szCs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">
                <v:textbox inset="0,0,0,0">
                  <w:txbxContent>
                    <w:p w14:paraId="5C313B29" w14:textId="353346F0" w:rsidR="004A11CA" w:rsidRDefault="004A11CA" w:rsidP="004A11CA">
                      <w:pPr>
                        <w:jc w:val="center"/>
                        <w:rPr>
                          <w:rFonts w:ascii="Segoe UI" w:hAnsi="Segoe UI" w:cs="Segoe UI"/>
                        </w:rPr>
                      </w:pPr>
                      <w:r>
                        <w:rPr>
                          <w:rFonts w:ascii="Segoe UI" w:hAnsi="Segoe UI" w:cs="Segoe UI"/>
                          <w:b/>
                        </w:rPr>
                        <w:t xml:space="preserve">BOD </w:t>
                      </w:r>
                      <w:r w:rsidR="00C558E8">
                        <w:rPr>
                          <w:rFonts w:ascii="Segoe UI" w:hAnsi="Segoe UI" w:cs="Segoe UI"/>
                          <w:b/>
                        </w:rPr>
                        <w:t>31</w:t>
                      </w:r>
                      <w:r>
                        <w:rPr>
                          <w:rFonts w:ascii="Segoe UI" w:hAnsi="Segoe UI" w:cs="Segoe UI"/>
                          <w:b/>
                        </w:rPr>
                        <w:t>/202</w:t>
                      </w:r>
                      <w:r w:rsidR="00B46118">
                        <w:rPr>
                          <w:rFonts w:ascii="Segoe UI" w:hAnsi="Segoe UI" w:cs="Segoe UI"/>
                          <w:b/>
                        </w:rPr>
                        <w:t>3</w:t>
                      </w:r>
                    </w:p>
                    <w:p w14:paraId="67B78BB4" w14:textId="7F82F051"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C558E8">
                        <w:rPr>
                          <w:rFonts w:ascii="Segoe UI" w:hAnsi="Segoe UI" w:cs="Segoe UI"/>
                          <w:sz w:val="22"/>
                          <w:szCs w:val="22"/>
                        </w:rPr>
                        <w:t>10</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0C321FCC" w:rsidR="004A11CA" w:rsidRPr="00D357BC" w:rsidRDefault="00D46F07" w:rsidP="004A11CA">
      <w:pPr>
        <w:jc w:val="center"/>
        <w:rPr>
          <w:rFonts w:ascii="Segoe UI" w:hAnsi="Segoe UI" w:cs="Segoe UI"/>
          <w:b/>
        </w:rPr>
      </w:pPr>
      <w:r>
        <w:rPr>
          <w:rFonts w:ascii="Segoe UI" w:hAnsi="Segoe UI" w:cs="Segoe UI"/>
          <w:b/>
        </w:rPr>
        <w:t>24</w:t>
      </w:r>
      <w:r w:rsidRPr="00D46F07">
        <w:rPr>
          <w:rFonts w:ascii="Segoe UI" w:hAnsi="Segoe UI" w:cs="Segoe UI"/>
          <w:b/>
          <w:vertAlign w:val="superscript"/>
        </w:rPr>
        <w:t>th</w:t>
      </w:r>
      <w:r>
        <w:rPr>
          <w:rFonts w:ascii="Segoe UI" w:hAnsi="Segoe UI" w:cs="Segoe UI"/>
          <w:b/>
        </w:rPr>
        <w:t xml:space="preserve"> May</w:t>
      </w:r>
      <w:r w:rsidR="00A86710">
        <w:rPr>
          <w:rFonts w:ascii="Segoe UI" w:hAnsi="Segoe UI" w:cs="Segoe UI"/>
          <w:b/>
        </w:rPr>
        <w:t xml:space="preserve"> 202</w:t>
      </w:r>
      <w:r w:rsidR="00F14001">
        <w:rPr>
          <w:rFonts w:ascii="Segoe UI" w:hAnsi="Segoe UI" w:cs="Segoe UI"/>
          <w:b/>
        </w:rPr>
        <w:t>3</w:t>
      </w:r>
    </w:p>
    <w:p w14:paraId="774943A1" w14:textId="77777777" w:rsidR="00125E83" w:rsidRDefault="00125E83" w:rsidP="004A11CA">
      <w:pPr>
        <w:rPr>
          <w:rFonts w:ascii="Segoe UI" w:hAnsi="Segoe UI" w:cs="Segoe UI"/>
          <w:b/>
        </w:rPr>
      </w:pPr>
    </w:p>
    <w:p w14:paraId="4FE3D367" w14:textId="0CCA8E26" w:rsidR="004A11CA" w:rsidRDefault="00125E83" w:rsidP="00125E83">
      <w:pPr>
        <w:jc w:val="center"/>
        <w:rPr>
          <w:rFonts w:ascii="Segoe UI" w:hAnsi="Segoe UI" w:cs="Segoe UI"/>
          <w:b/>
        </w:rPr>
      </w:pPr>
      <w:r>
        <w:rPr>
          <w:rFonts w:ascii="Segoe UI" w:hAnsi="Segoe UI" w:cs="Segoe UI"/>
          <w:b/>
        </w:rPr>
        <w:t>Corporate Affairs Update Report</w:t>
      </w:r>
    </w:p>
    <w:p w14:paraId="51BC076B" w14:textId="77777777" w:rsidR="002B77FE" w:rsidRPr="00D357BC" w:rsidRDefault="002B77FE" w:rsidP="00125E83">
      <w:pPr>
        <w:jc w:val="cente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1A4A831F" w14:textId="370C1722" w:rsidR="008F077D" w:rsidRPr="00107B6F"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4A7A768A" w14:textId="77777777" w:rsidR="00643E94" w:rsidRDefault="00643E94" w:rsidP="004A11CA">
      <w:pPr>
        <w:jc w:val="both"/>
        <w:rPr>
          <w:rFonts w:ascii="Segoe UI" w:hAnsi="Segoe UI" w:cs="Segoe UI"/>
          <w:sz w:val="22"/>
          <w:szCs w:val="22"/>
        </w:rPr>
      </w:pPr>
    </w:p>
    <w:p w14:paraId="12E872A5" w14:textId="67659253" w:rsidR="004A11CA" w:rsidRDefault="008F077D" w:rsidP="004A11CA">
      <w:pPr>
        <w:jc w:val="both"/>
        <w:rPr>
          <w:rFonts w:ascii="Segoe UI" w:hAnsi="Segoe UI" w:cs="Segoe UI"/>
          <w:sz w:val="22"/>
          <w:szCs w:val="22"/>
        </w:rPr>
      </w:pPr>
      <w:r>
        <w:rPr>
          <w:rFonts w:ascii="Segoe UI" w:hAnsi="Segoe UI" w:cs="Segoe UI"/>
          <w:sz w:val="22"/>
          <w:szCs w:val="22"/>
        </w:rPr>
        <w:t>T</w:t>
      </w:r>
      <w:r w:rsidR="004A11CA" w:rsidRPr="00D357BC">
        <w:rPr>
          <w:rFonts w:ascii="Segoe UI" w:hAnsi="Segoe UI" w:cs="Segoe UI"/>
          <w:sz w:val="22"/>
          <w:szCs w:val="22"/>
        </w:rPr>
        <w:t>he Reading Room contains the detail of th</w:t>
      </w:r>
      <w:r w:rsidR="001E2BAC">
        <w:rPr>
          <w:rFonts w:ascii="Segoe UI" w:hAnsi="Segoe UI" w:cs="Segoe UI"/>
          <w:sz w:val="22"/>
          <w:szCs w:val="22"/>
        </w:rPr>
        <w:t>is</w:t>
      </w:r>
      <w:r w:rsidR="004A11CA" w:rsidRPr="00D357BC">
        <w:rPr>
          <w:rFonts w:ascii="Segoe UI" w:hAnsi="Segoe UI" w:cs="Segoe UI"/>
          <w:sz w:val="22"/>
          <w:szCs w:val="22"/>
        </w:rPr>
        <w:t xml:space="preserve"> regular report to inform the Board of Directors on recent legislation, regulation and compliance</w:t>
      </w:r>
      <w:r w:rsidR="003466E5">
        <w:rPr>
          <w:rFonts w:ascii="Segoe UI" w:hAnsi="Segoe UI" w:cs="Segoe UI"/>
          <w:sz w:val="22"/>
          <w:szCs w:val="22"/>
        </w:rPr>
        <w:t>/policy</w:t>
      </w:r>
      <w:r w:rsidR="004A11CA" w:rsidRPr="00D357BC">
        <w:rPr>
          <w:rFonts w:ascii="Segoe UI" w:hAnsi="Segoe UI" w:cs="Segoe UI"/>
          <w:sz w:val="22"/>
          <w:szCs w:val="22"/>
        </w:rPr>
        <w:t xml:space="preserve"> guidance issued by bodies such as NHS</w:t>
      </w:r>
      <w:r w:rsidR="00A15841">
        <w:rPr>
          <w:rFonts w:ascii="Segoe UI" w:hAnsi="Segoe UI" w:cs="Segoe UI"/>
          <w:sz w:val="22"/>
          <w:szCs w:val="22"/>
        </w:rPr>
        <w:t xml:space="preserve"> </w:t>
      </w:r>
      <w:r w:rsidR="0044240B">
        <w:rPr>
          <w:rFonts w:ascii="Segoe UI" w:hAnsi="Segoe UI" w:cs="Segoe UI"/>
          <w:sz w:val="22"/>
          <w:szCs w:val="22"/>
        </w:rPr>
        <w:t>E</w:t>
      </w:r>
      <w:r w:rsidR="00A15841">
        <w:rPr>
          <w:rFonts w:ascii="Segoe UI" w:hAnsi="Segoe UI" w:cs="Segoe UI"/>
          <w:sz w:val="22"/>
          <w:szCs w:val="22"/>
        </w:rPr>
        <w:t>ngland</w:t>
      </w:r>
      <w:r w:rsidR="004A11CA" w:rsidRPr="00D357BC">
        <w:rPr>
          <w:rFonts w:ascii="Segoe UI" w:hAnsi="Segoe UI" w:cs="Segoe UI"/>
          <w:sz w:val="22"/>
          <w:szCs w:val="22"/>
        </w:rPr>
        <w:t xml:space="preserve"> the Care Quality Commission, and other relevant bodies where their action/publications have a consequential impact on the Trust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004A11CA"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2D6515ED" w14:textId="4A905AFF" w:rsidR="00ED7834" w:rsidRDefault="00ED7834" w:rsidP="004A11CA">
      <w:pPr>
        <w:jc w:val="both"/>
        <w:rPr>
          <w:rFonts w:ascii="Segoe UI" w:hAnsi="Segoe UI" w:cs="Segoe UI"/>
          <w:sz w:val="22"/>
          <w:szCs w:val="22"/>
        </w:rPr>
      </w:pPr>
    </w:p>
    <w:p w14:paraId="151C60A7" w14:textId="1F905610" w:rsidR="00ED7834" w:rsidRPr="00D357BC" w:rsidRDefault="00ED7834" w:rsidP="004A11CA">
      <w:pPr>
        <w:jc w:val="both"/>
        <w:rPr>
          <w:rFonts w:ascii="Segoe UI" w:hAnsi="Segoe UI" w:cs="Segoe UI"/>
          <w:sz w:val="22"/>
          <w:szCs w:val="22"/>
        </w:rPr>
      </w:pPr>
      <w:r>
        <w:rPr>
          <w:rFonts w:ascii="Segoe UI" w:hAnsi="Segoe UI" w:cs="Segoe UI"/>
          <w:sz w:val="22"/>
          <w:szCs w:val="22"/>
        </w:rPr>
        <w:t xml:space="preserve">With regard to </w:t>
      </w:r>
      <w:r w:rsidR="00A82196">
        <w:rPr>
          <w:rFonts w:ascii="Segoe UI" w:hAnsi="Segoe UI" w:cs="Segoe UI"/>
          <w:sz w:val="22"/>
          <w:szCs w:val="22"/>
        </w:rPr>
        <w:t>the concept of ‘True for Us’</w:t>
      </w:r>
      <w:r w:rsidR="002D1EAB">
        <w:rPr>
          <w:rFonts w:ascii="Segoe UI" w:hAnsi="Segoe UI" w:cs="Segoe UI"/>
          <w:sz w:val="22"/>
          <w:szCs w:val="22"/>
        </w:rPr>
        <w:t xml:space="preserve"> and the </w:t>
      </w:r>
      <w:r w:rsidR="00004DCB">
        <w:rPr>
          <w:rFonts w:ascii="Segoe UI" w:hAnsi="Segoe UI" w:cs="Segoe UI"/>
          <w:sz w:val="22"/>
          <w:szCs w:val="22"/>
        </w:rPr>
        <w:t>section</w:t>
      </w:r>
      <w:r w:rsidR="002D1EAB">
        <w:rPr>
          <w:rFonts w:ascii="Segoe UI" w:hAnsi="Segoe UI" w:cs="Segoe UI"/>
          <w:sz w:val="22"/>
          <w:szCs w:val="22"/>
        </w:rPr>
        <w:t xml:space="preserve"> in the report</w:t>
      </w:r>
      <w:r w:rsidR="00396C63">
        <w:rPr>
          <w:rFonts w:ascii="Segoe UI" w:hAnsi="Segoe UI" w:cs="Segoe UI"/>
          <w:sz w:val="22"/>
          <w:szCs w:val="22"/>
        </w:rPr>
        <w:t>;</w:t>
      </w:r>
      <w:r w:rsidR="00004DCB">
        <w:rPr>
          <w:rFonts w:ascii="Segoe UI" w:hAnsi="Segoe UI" w:cs="Segoe UI"/>
          <w:sz w:val="22"/>
          <w:szCs w:val="22"/>
        </w:rPr>
        <w:t xml:space="preserve"> </w:t>
      </w:r>
      <w:r w:rsidR="004D75C0">
        <w:rPr>
          <w:rFonts w:ascii="Segoe UI" w:hAnsi="Segoe UI" w:cs="Segoe UI"/>
          <w:sz w:val="22"/>
          <w:szCs w:val="22"/>
        </w:rPr>
        <w:t xml:space="preserve">I </w:t>
      </w:r>
      <w:r w:rsidR="00303E88">
        <w:rPr>
          <w:rFonts w:ascii="Segoe UI" w:hAnsi="Segoe UI" w:cs="Segoe UI"/>
          <w:sz w:val="22"/>
          <w:szCs w:val="22"/>
        </w:rPr>
        <w:t>continue to</w:t>
      </w:r>
      <w:r w:rsidR="003C4F0F">
        <w:rPr>
          <w:rFonts w:ascii="Segoe UI" w:hAnsi="Segoe UI" w:cs="Segoe UI"/>
          <w:sz w:val="22"/>
          <w:szCs w:val="22"/>
        </w:rPr>
        <w:t xml:space="preserve"> remind Board members, </w:t>
      </w:r>
      <w:r w:rsidR="00396C63">
        <w:rPr>
          <w:rFonts w:ascii="Segoe UI" w:hAnsi="Segoe UI" w:cs="Segoe UI"/>
          <w:sz w:val="22"/>
          <w:szCs w:val="22"/>
          <w:lang w:val="en-GB"/>
        </w:rPr>
        <w:t>t</w:t>
      </w:r>
      <w:r w:rsidR="00C176AD" w:rsidRPr="00C176AD">
        <w:rPr>
          <w:rFonts w:ascii="Segoe UI" w:hAnsi="Segoe UI" w:cs="Segoe UI"/>
          <w:sz w:val="22"/>
          <w:szCs w:val="22"/>
          <w:lang w:val="en-GB"/>
        </w:rPr>
        <w:t>he effects of</w:t>
      </w:r>
      <w:r w:rsidR="00630B94">
        <w:rPr>
          <w:rFonts w:ascii="Segoe UI" w:hAnsi="Segoe UI" w:cs="Segoe UI"/>
          <w:sz w:val="22"/>
          <w:szCs w:val="22"/>
          <w:lang w:val="en-GB"/>
        </w:rPr>
        <w:t xml:space="preserve"> c</w:t>
      </w:r>
      <w:r w:rsidR="00687367">
        <w:rPr>
          <w:rFonts w:ascii="Segoe UI" w:hAnsi="Segoe UI" w:cs="Segoe UI"/>
          <w:sz w:val="22"/>
          <w:szCs w:val="22"/>
          <w:lang w:val="en-GB"/>
        </w:rPr>
        <w:t>orporat</w:t>
      </w:r>
      <w:r w:rsidR="00630B94">
        <w:rPr>
          <w:rFonts w:ascii="Segoe UI" w:hAnsi="Segoe UI" w:cs="Segoe UI"/>
          <w:sz w:val="22"/>
          <w:szCs w:val="22"/>
          <w:lang w:val="en-GB"/>
        </w:rPr>
        <w:t>e</w:t>
      </w:r>
      <w:r w:rsidR="00687367">
        <w:rPr>
          <w:rFonts w:ascii="Segoe UI" w:hAnsi="Segoe UI" w:cs="Segoe UI"/>
          <w:sz w:val="22"/>
          <w:szCs w:val="22"/>
          <w:lang w:val="en-GB"/>
        </w:rPr>
        <w:t xml:space="preserve"> failure </w:t>
      </w:r>
      <w:r w:rsidR="00C176AD" w:rsidRPr="00C176AD">
        <w:rPr>
          <w:rFonts w:ascii="Segoe UI" w:hAnsi="Segoe UI" w:cs="Segoe UI"/>
          <w:sz w:val="22"/>
          <w:szCs w:val="22"/>
          <w:lang w:val="en-GB"/>
        </w:rPr>
        <w:t xml:space="preserve">cast a long shadow forward. In consequence each failure of a business becomes magnified in terms of the analysis of its impact and the mood to blame. </w:t>
      </w:r>
      <w:r w:rsidR="004E4DE8">
        <w:rPr>
          <w:rFonts w:ascii="Segoe UI" w:hAnsi="Segoe UI" w:cs="Segoe UI"/>
          <w:sz w:val="22"/>
          <w:szCs w:val="22"/>
          <w:lang w:val="en-GB"/>
        </w:rPr>
        <w:t xml:space="preserve">The </w:t>
      </w:r>
      <w:r w:rsidR="00C176AD" w:rsidRPr="00C176AD">
        <w:rPr>
          <w:rFonts w:ascii="Segoe UI" w:hAnsi="Segoe UI" w:cs="Segoe UI"/>
          <w:sz w:val="22"/>
          <w:szCs w:val="22"/>
          <w:lang w:val="en-GB"/>
        </w:rPr>
        <w:t>responsibility</w:t>
      </w:r>
      <w:r w:rsidR="004E4DE8">
        <w:rPr>
          <w:rFonts w:ascii="Segoe UI" w:hAnsi="Segoe UI" w:cs="Segoe UI"/>
          <w:sz w:val="22"/>
          <w:szCs w:val="22"/>
          <w:lang w:val="en-GB"/>
        </w:rPr>
        <w:t xml:space="preserve"> to avoid corporate failure</w:t>
      </w:r>
      <w:r w:rsidR="00C176AD" w:rsidRPr="00C176AD">
        <w:rPr>
          <w:rFonts w:ascii="Segoe UI" w:hAnsi="Segoe UI" w:cs="Segoe UI"/>
          <w:sz w:val="22"/>
          <w:szCs w:val="22"/>
          <w:lang w:val="en-GB"/>
        </w:rPr>
        <w:t xml:space="preserve"> lies with the directors who may or may not </w:t>
      </w:r>
      <w:r w:rsidR="00860199">
        <w:rPr>
          <w:rFonts w:ascii="Segoe UI" w:hAnsi="Segoe UI" w:cs="Segoe UI"/>
          <w:sz w:val="22"/>
          <w:szCs w:val="22"/>
          <w:lang w:val="en-GB"/>
        </w:rPr>
        <w:t>be</w:t>
      </w:r>
      <w:r w:rsidR="00C176AD" w:rsidRPr="00C176AD">
        <w:rPr>
          <w:rFonts w:ascii="Segoe UI" w:hAnsi="Segoe UI" w:cs="Segoe UI"/>
          <w:sz w:val="22"/>
          <w:szCs w:val="22"/>
          <w:lang w:val="en-GB"/>
        </w:rPr>
        <w:t xml:space="preserve"> able to take evasive action. </w:t>
      </w:r>
      <w:r w:rsidR="00703D87" w:rsidRPr="001E6484">
        <w:rPr>
          <w:rFonts w:ascii="Segoe UI" w:hAnsi="Segoe UI" w:cs="Segoe UI"/>
          <w:sz w:val="22"/>
          <w:szCs w:val="22"/>
          <w:lang w:val="en-GB"/>
        </w:rPr>
        <w:t xml:space="preserve">As reported </w:t>
      </w:r>
      <w:r w:rsidR="009A1D28" w:rsidRPr="001E6484">
        <w:rPr>
          <w:rFonts w:ascii="Segoe UI" w:hAnsi="Segoe UI" w:cs="Segoe UI"/>
          <w:sz w:val="22"/>
          <w:szCs w:val="22"/>
          <w:lang w:val="en-GB"/>
        </w:rPr>
        <w:t xml:space="preserve">to the last meeting, </w:t>
      </w:r>
      <w:r w:rsidR="00303E88" w:rsidRPr="001E6484">
        <w:rPr>
          <w:rFonts w:ascii="Segoe UI" w:hAnsi="Segoe UI" w:cs="Segoe UI"/>
          <w:sz w:val="22"/>
          <w:szCs w:val="22"/>
          <w:lang w:val="en-GB"/>
        </w:rPr>
        <w:t xml:space="preserve">the </w:t>
      </w:r>
      <w:r w:rsidR="00C7779D" w:rsidRPr="001E6484">
        <w:rPr>
          <w:rFonts w:ascii="Segoe UI" w:hAnsi="Segoe UI" w:cs="Segoe UI"/>
          <w:sz w:val="22"/>
          <w:szCs w:val="22"/>
          <w:lang w:val="en-GB"/>
        </w:rPr>
        <w:t xml:space="preserve">Corporate Affairs directorate </w:t>
      </w:r>
      <w:r w:rsidR="00303E88" w:rsidRPr="001E6484">
        <w:rPr>
          <w:rFonts w:ascii="Segoe UI" w:hAnsi="Segoe UI" w:cs="Segoe UI"/>
          <w:sz w:val="22"/>
          <w:szCs w:val="22"/>
          <w:lang w:val="en-GB"/>
        </w:rPr>
        <w:t>is</w:t>
      </w:r>
      <w:r w:rsidR="00C7779D" w:rsidRPr="001E6484">
        <w:rPr>
          <w:rFonts w:ascii="Segoe UI" w:hAnsi="Segoe UI" w:cs="Segoe UI"/>
          <w:sz w:val="22"/>
          <w:szCs w:val="22"/>
          <w:lang w:val="en-GB"/>
        </w:rPr>
        <w:t xml:space="preserve"> </w:t>
      </w:r>
      <w:r w:rsidR="009405DE" w:rsidRPr="001E6484">
        <w:rPr>
          <w:rFonts w:ascii="Segoe UI" w:hAnsi="Segoe UI" w:cs="Segoe UI"/>
          <w:sz w:val="22"/>
          <w:szCs w:val="22"/>
          <w:lang w:val="en-GB"/>
        </w:rPr>
        <w:t>develop</w:t>
      </w:r>
      <w:r w:rsidR="00303E88" w:rsidRPr="001E6484">
        <w:rPr>
          <w:rFonts w:ascii="Segoe UI" w:hAnsi="Segoe UI" w:cs="Segoe UI"/>
          <w:sz w:val="22"/>
          <w:szCs w:val="22"/>
          <w:lang w:val="en-GB"/>
        </w:rPr>
        <w:t>ing</w:t>
      </w:r>
      <w:r w:rsidR="009405DE" w:rsidRPr="001E6484">
        <w:rPr>
          <w:rFonts w:ascii="Segoe UI" w:hAnsi="Segoe UI" w:cs="Segoe UI"/>
          <w:sz w:val="22"/>
          <w:szCs w:val="22"/>
          <w:lang w:val="en-GB"/>
        </w:rPr>
        <w:t xml:space="preserve"> further the concept of ‘True for Us’ reviews in connection with corporate governance</w:t>
      </w:r>
      <w:r w:rsidR="00AE458A" w:rsidRPr="001E6484">
        <w:rPr>
          <w:rFonts w:ascii="Segoe UI" w:hAnsi="Segoe UI" w:cs="Segoe UI"/>
          <w:sz w:val="22"/>
          <w:szCs w:val="22"/>
          <w:lang w:val="en-GB"/>
        </w:rPr>
        <w:t xml:space="preserve"> because failures </w:t>
      </w:r>
      <w:r w:rsidR="00C176AD" w:rsidRPr="001E6484">
        <w:rPr>
          <w:rFonts w:ascii="Segoe UI" w:hAnsi="Segoe UI" w:cs="Segoe UI"/>
          <w:sz w:val="22"/>
          <w:szCs w:val="22"/>
          <w:lang w:val="en-GB"/>
        </w:rPr>
        <w:t xml:space="preserve">contribute significantly to the collapse of </w:t>
      </w:r>
      <w:r w:rsidR="001E6484" w:rsidRPr="001E6484">
        <w:rPr>
          <w:rFonts w:ascii="Segoe UI" w:hAnsi="Segoe UI" w:cs="Segoe UI"/>
          <w:sz w:val="22"/>
          <w:szCs w:val="22"/>
          <w:lang w:val="en-GB"/>
        </w:rPr>
        <w:t>confidence in the Trust</w:t>
      </w:r>
      <w:r w:rsidR="00BD1D7A" w:rsidRPr="001E6484">
        <w:rPr>
          <w:rFonts w:ascii="Segoe UI" w:hAnsi="Segoe UI" w:cs="Segoe UI"/>
          <w:sz w:val="22"/>
          <w:szCs w:val="22"/>
          <w:lang w:val="en-GB"/>
        </w:rPr>
        <w:t xml:space="preserve"> but importantly enhance </w:t>
      </w:r>
      <w:r w:rsidR="002645FC" w:rsidRPr="001E6484">
        <w:rPr>
          <w:rFonts w:ascii="Segoe UI" w:hAnsi="Segoe UI" w:cs="Segoe UI"/>
          <w:sz w:val="22"/>
          <w:szCs w:val="22"/>
          <w:lang w:val="en-GB"/>
        </w:rPr>
        <w:t>the effectiveness of risk</w:t>
      </w:r>
      <w:r w:rsidR="009A1D28" w:rsidRPr="001E6484">
        <w:rPr>
          <w:rFonts w:ascii="Segoe UI" w:hAnsi="Segoe UI" w:cs="Segoe UI"/>
          <w:sz w:val="22"/>
          <w:szCs w:val="22"/>
          <w:lang w:val="en-GB"/>
        </w:rPr>
        <w:t xml:space="preserve"> and controls</w:t>
      </w:r>
      <w:r w:rsidR="002645FC" w:rsidRPr="001E6484">
        <w:rPr>
          <w:rFonts w:ascii="Segoe UI" w:hAnsi="Segoe UI" w:cs="Segoe UI"/>
          <w:sz w:val="22"/>
          <w:szCs w:val="22"/>
          <w:lang w:val="en-GB"/>
        </w:rPr>
        <w:t xml:space="preserve"> management</w:t>
      </w:r>
      <w:r w:rsidR="000B5FC0" w:rsidRPr="001E6484">
        <w:rPr>
          <w:rFonts w:ascii="Segoe UI" w:hAnsi="Segoe UI" w:cs="Segoe UI"/>
          <w:sz w:val="22"/>
          <w:szCs w:val="22"/>
          <w:lang w:val="en-GB"/>
        </w:rPr>
        <w:t xml:space="preserve">. The process will support identification of </w:t>
      </w:r>
      <w:r w:rsidR="00C176AD" w:rsidRPr="001E6484">
        <w:rPr>
          <w:rFonts w:ascii="Segoe UI" w:hAnsi="Segoe UI" w:cs="Segoe UI"/>
          <w:sz w:val="22"/>
          <w:szCs w:val="22"/>
          <w:lang w:val="en-GB"/>
        </w:rPr>
        <w:t xml:space="preserve">warning signals </w:t>
      </w:r>
      <w:r w:rsidR="00C9519A" w:rsidRPr="001E6484">
        <w:rPr>
          <w:rFonts w:ascii="Segoe UI" w:hAnsi="Segoe UI" w:cs="Segoe UI"/>
          <w:sz w:val="22"/>
          <w:szCs w:val="22"/>
          <w:lang w:val="en-GB"/>
        </w:rPr>
        <w:t xml:space="preserve">to support the ongoing learning and development of </w:t>
      </w:r>
      <w:r w:rsidR="00C176AD" w:rsidRPr="001E6484">
        <w:rPr>
          <w:rFonts w:ascii="Segoe UI" w:hAnsi="Segoe UI" w:cs="Segoe UI"/>
          <w:sz w:val="22"/>
          <w:szCs w:val="22"/>
          <w:lang w:val="en-GB"/>
        </w:rPr>
        <w:t>successful mitigating actions</w:t>
      </w:r>
      <w:r w:rsidR="009A1D28" w:rsidRPr="001E6484">
        <w:rPr>
          <w:rFonts w:ascii="Segoe UI" w:hAnsi="Segoe UI" w:cs="Segoe UI"/>
          <w:sz w:val="22"/>
          <w:szCs w:val="22"/>
          <w:lang w:val="en-GB"/>
        </w:rPr>
        <w:t xml:space="preserve"> and will be led by the Deputy Director of Corporate Affairs working closely also with the Chief Nurse’s team</w:t>
      </w:r>
      <w:r w:rsidR="001E6484" w:rsidRPr="001E6484">
        <w:rPr>
          <w:rFonts w:ascii="Segoe UI" w:hAnsi="Segoe UI" w:cs="Segoe UI"/>
          <w:sz w:val="22"/>
          <w:szCs w:val="22"/>
          <w:lang w:val="en-GB"/>
        </w:rPr>
        <w:t>. T</w:t>
      </w:r>
      <w:r w:rsidR="00DB5A13" w:rsidRPr="001E6484">
        <w:rPr>
          <w:rFonts w:ascii="Segoe UI" w:hAnsi="Segoe UI" w:cs="Segoe UI"/>
          <w:sz w:val="22"/>
          <w:szCs w:val="22"/>
          <w:lang w:val="en-GB"/>
        </w:rPr>
        <w:t xml:space="preserve">here will be an important role for the </w:t>
      </w:r>
      <w:r w:rsidR="001E6484" w:rsidRPr="001E6484">
        <w:rPr>
          <w:rFonts w:ascii="Segoe UI" w:hAnsi="Segoe UI" w:cs="Segoe UI"/>
          <w:sz w:val="22"/>
          <w:szCs w:val="22"/>
          <w:lang w:val="en-GB"/>
        </w:rPr>
        <w:t xml:space="preserve">Audit </w:t>
      </w:r>
      <w:r w:rsidR="00DB5A13" w:rsidRPr="001E6484">
        <w:rPr>
          <w:rFonts w:ascii="Segoe UI" w:hAnsi="Segoe UI" w:cs="Segoe UI"/>
          <w:sz w:val="22"/>
          <w:szCs w:val="22"/>
          <w:lang w:val="en-GB"/>
        </w:rPr>
        <w:t xml:space="preserve">committee </w:t>
      </w:r>
      <w:r w:rsidR="009F7084" w:rsidRPr="001E6484">
        <w:rPr>
          <w:rFonts w:ascii="Segoe UI" w:hAnsi="Segoe UI" w:cs="Segoe UI"/>
          <w:sz w:val="22"/>
          <w:szCs w:val="22"/>
          <w:lang w:val="en-GB"/>
        </w:rPr>
        <w:t xml:space="preserve">in this programme given the </w:t>
      </w:r>
      <w:r w:rsidR="001E6484">
        <w:rPr>
          <w:rFonts w:ascii="Segoe UI" w:hAnsi="Segoe UI" w:cs="Segoe UI"/>
          <w:sz w:val="22"/>
          <w:szCs w:val="22"/>
          <w:lang w:val="en-GB"/>
        </w:rPr>
        <w:t xml:space="preserve">effectiveness of </w:t>
      </w:r>
      <w:r w:rsidR="009F7084" w:rsidRPr="001E6484">
        <w:rPr>
          <w:rFonts w:ascii="Segoe UI" w:hAnsi="Segoe UI" w:cs="Segoe UI"/>
          <w:sz w:val="22"/>
          <w:szCs w:val="22"/>
          <w:lang w:val="en-GB"/>
        </w:rPr>
        <w:t>control environments will be reflected upon.</w:t>
      </w:r>
    </w:p>
    <w:p w14:paraId="7A82DDA2" w14:textId="77777777" w:rsidR="004A11CA" w:rsidRPr="00D357BC" w:rsidRDefault="004A11CA" w:rsidP="004A11CA">
      <w:pPr>
        <w:jc w:val="both"/>
        <w:rPr>
          <w:rFonts w:ascii="Segoe UI" w:hAnsi="Segoe UI" w:cs="Segoe UI"/>
          <w:sz w:val="22"/>
          <w:szCs w:val="22"/>
        </w:rPr>
      </w:pPr>
    </w:p>
    <w:p w14:paraId="01D72C3F" w14:textId="4D062084" w:rsidR="008F077D" w:rsidRDefault="008F077D" w:rsidP="008F077D">
      <w:pPr>
        <w:jc w:val="both"/>
        <w:rPr>
          <w:rFonts w:ascii="Segoe UI" w:hAnsi="Segoe UI" w:cs="Segoe UI"/>
          <w:b/>
          <w:bCs/>
          <w:sz w:val="22"/>
          <w:szCs w:val="22"/>
        </w:rPr>
      </w:pPr>
      <w:r w:rsidRPr="008F077D">
        <w:rPr>
          <w:rFonts w:ascii="Segoe UI" w:hAnsi="Segoe UI" w:cs="Segoe UI"/>
          <w:b/>
          <w:bCs/>
          <w:sz w:val="22"/>
          <w:szCs w:val="22"/>
        </w:rPr>
        <w:t>Risk Management</w:t>
      </w:r>
    </w:p>
    <w:p w14:paraId="7F1A4A7B" w14:textId="77777777" w:rsidR="00DC7F52" w:rsidRPr="008F077D" w:rsidRDefault="00DC7F52" w:rsidP="008F077D">
      <w:pPr>
        <w:jc w:val="both"/>
        <w:rPr>
          <w:rFonts w:ascii="Segoe UI" w:hAnsi="Segoe UI" w:cs="Segoe UI"/>
          <w:b/>
          <w:bCs/>
          <w:sz w:val="22"/>
          <w:szCs w:val="22"/>
        </w:rPr>
      </w:pPr>
    </w:p>
    <w:p w14:paraId="1A640DF5" w14:textId="59D86E6E" w:rsidR="007C5675" w:rsidRDefault="004B655D" w:rsidP="008F077D">
      <w:pPr>
        <w:jc w:val="both"/>
        <w:rPr>
          <w:rFonts w:ascii="Segoe UI" w:hAnsi="Segoe UI" w:cs="Segoe UI"/>
          <w:sz w:val="22"/>
          <w:szCs w:val="22"/>
        </w:rPr>
      </w:pPr>
      <w:r>
        <w:rPr>
          <w:rFonts w:ascii="Segoe UI" w:hAnsi="Segoe UI" w:cs="Segoe UI"/>
          <w:sz w:val="22"/>
          <w:szCs w:val="22"/>
          <w:lang w:val="en-GB"/>
        </w:rPr>
        <w:t xml:space="preserve">The Code of Governance for the NHS replicates </w:t>
      </w:r>
      <w:r w:rsidRPr="007C5675">
        <w:rPr>
          <w:rFonts w:ascii="Segoe UI" w:hAnsi="Segoe UI" w:cs="Segoe UI"/>
          <w:sz w:val="22"/>
          <w:szCs w:val="22"/>
          <w:lang w:val="en-GB"/>
        </w:rPr>
        <w:t xml:space="preserve">Provision 28, UK Corporate Governance Code (July 2018) </w:t>
      </w:r>
      <w:r w:rsidR="00760A48">
        <w:rPr>
          <w:rFonts w:ascii="Segoe UI" w:hAnsi="Segoe UI" w:cs="Segoe UI"/>
          <w:sz w:val="22"/>
          <w:szCs w:val="22"/>
          <w:lang w:val="en-GB"/>
        </w:rPr>
        <w:t>and states that “</w:t>
      </w:r>
      <w:r w:rsidR="00760A48" w:rsidRPr="00760A48">
        <w:rPr>
          <w:rFonts w:ascii="Segoe UI" w:hAnsi="Segoe UI" w:cs="Segoe UI"/>
          <w:i/>
          <w:iCs/>
          <w:sz w:val="22"/>
          <w:szCs w:val="22"/>
          <w:lang w:val="en-GB"/>
        </w:rPr>
        <w:t>t</w:t>
      </w:r>
      <w:r w:rsidR="007C5675" w:rsidRPr="007C5675">
        <w:rPr>
          <w:rFonts w:ascii="Segoe UI" w:hAnsi="Segoe UI" w:cs="Segoe UI"/>
          <w:i/>
          <w:iCs/>
          <w:sz w:val="22"/>
          <w:szCs w:val="22"/>
          <w:lang w:val="en-GB"/>
        </w:rPr>
        <w:t xml:space="preserve">he board should carry out a robust assessment of the company’s emerging and principal risks. The board should confirm in the annual report that it has completed this assessment, including a description of its principal risks, what procedures are in </w:t>
      </w:r>
      <w:r w:rsidR="007C5675" w:rsidRPr="007C5675">
        <w:rPr>
          <w:rFonts w:ascii="Segoe UI" w:hAnsi="Segoe UI" w:cs="Segoe UI"/>
          <w:i/>
          <w:iCs/>
          <w:sz w:val="22"/>
          <w:szCs w:val="22"/>
          <w:lang w:val="en-GB"/>
        </w:rPr>
        <w:lastRenderedPageBreak/>
        <w:t>place to identify emerging risks, and an explanation of how these are being managed or mitigated</w:t>
      </w:r>
      <w:r w:rsidR="007C5675" w:rsidRPr="007C5675">
        <w:rPr>
          <w:rFonts w:ascii="Segoe UI" w:hAnsi="Segoe UI" w:cs="Segoe UI"/>
          <w:sz w:val="22"/>
          <w:szCs w:val="22"/>
          <w:lang w:val="en-GB"/>
        </w:rPr>
        <w:t>.”</w:t>
      </w:r>
    </w:p>
    <w:p w14:paraId="1BA26F99" w14:textId="77777777" w:rsidR="007C5675" w:rsidRDefault="007C5675" w:rsidP="008F077D">
      <w:pPr>
        <w:jc w:val="both"/>
        <w:rPr>
          <w:rFonts w:ascii="Segoe UI" w:hAnsi="Segoe UI" w:cs="Segoe UI"/>
          <w:sz w:val="22"/>
          <w:szCs w:val="22"/>
        </w:rPr>
      </w:pPr>
    </w:p>
    <w:p w14:paraId="12530B09" w14:textId="6E9535F7" w:rsidR="00863656" w:rsidRPr="00B722D1" w:rsidRDefault="008F077D" w:rsidP="00863656">
      <w:pPr>
        <w:jc w:val="both"/>
        <w:rPr>
          <w:rFonts w:ascii="Segoe UI" w:hAnsi="Segoe UI" w:cs="Segoe UI"/>
          <w:sz w:val="22"/>
          <w:szCs w:val="22"/>
          <w:lang w:val="en-GB"/>
        </w:rPr>
      </w:pPr>
      <w:r w:rsidRPr="008F077D">
        <w:rPr>
          <w:rFonts w:ascii="Segoe UI" w:hAnsi="Segoe UI" w:cs="Segoe UI"/>
          <w:sz w:val="22"/>
          <w:szCs w:val="22"/>
        </w:rPr>
        <w:t xml:space="preserve">Included in the </w:t>
      </w:r>
      <w:r w:rsidR="00EA4E9E">
        <w:rPr>
          <w:rFonts w:ascii="Segoe UI" w:hAnsi="Segoe UI" w:cs="Segoe UI"/>
          <w:sz w:val="22"/>
          <w:szCs w:val="22"/>
        </w:rPr>
        <w:t>R</w:t>
      </w:r>
      <w:r w:rsidRPr="008F077D">
        <w:rPr>
          <w:rFonts w:ascii="Segoe UI" w:hAnsi="Segoe UI" w:cs="Segoe UI"/>
          <w:sz w:val="22"/>
          <w:szCs w:val="22"/>
        </w:rPr>
        <w:t xml:space="preserve">eading </w:t>
      </w:r>
      <w:r w:rsidR="00EA4E9E">
        <w:rPr>
          <w:rFonts w:ascii="Segoe UI" w:hAnsi="Segoe UI" w:cs="Segoe UI"/>
          <w:sz w:val="22"/>
          <w:szCs w:val="22"/>
        </w:rPr>
        <w:t>R</w:t>
      </w:r>
      <w:r w:rsidRPr="008F077D">
        <w:rPr>
          <w:rFonts w:ascii="Segoe UI" w:hAnsi="Segoe UI" w:cs="Segoe UI"/>
          <w:sz w:val="22"/>
          <w:szCs w:val="22"/>
        </w:rPr>
        <w:t xml:space="preserve">oom is the latest iteration of the Board Assurance Framework to ensure Board members continue to have a universal view of the Trust’s strategic risk profile.  This is the </w:t>
      </w:r>
      <w:r w:rsidR="004F6964" w:rsidRPr="00B722D1">
        <w:rPr>
          <w:rFonts w:ascii="Segoe UI" w:hAnsi="Segoe UI" w:cs="Segoe UI"/>
          <w:sz w:val="22"/>
          <w:szCs w:val="22"/>
        </w:rPr>
        <w:t>May</w:t>
      </w:r>
      <w:r w:rsidR="00144752" w:rsidRPr="00B722D1">
        <w:rPr>
          <w:rFonts w:ascii="Segoe UI" w:hAnsi="Segoe UI" w:cs="Segoe UI"/>
          <w:sz w:val="22"/>
          <w:szCs w:val="22"/>
        </w:rPr>
        <w:t xml:space="preserve"> 2023 </w:t>
      </w:r>
      <w:r w:rsidRPr="00B722D1">
        <w:rPr>
          <w:rFonts w:ascii="Segoe UI" w:hAnsi="Segoe UI" w:cs="Segoe UI"/>
          <w:sz w:val="22"/>
          <w:szCs w:val="22"/>
        </w:rPr>
        <w:t>edition of the BAF</w:t>
      </w:r>
      <w:r w:rsidR="00863656" w:rsidRPr="00B722D1">
        <w:rPr>
          <w:rFonts w:ascii="Segoe UI" w:hAnsi="Segoe UI" w:cs="Segoe UI"/>
          <w:sz w:val="22"/>
          <w:szCs w:val="22"/>
        </w:rPr>
        <w:t>.</w:t>
      </w:r>
      <w:r w:rsidR="00D21C9E" w:rsidRPr="00B722D1">
        <w:rPr>
          <w:rFonts w:ascii="Segoe UI" w:hAnsi="Segoe UI" w:cs="Segoe UI"/>
          <w:sz w:val="22"/>
          <w:szCs w:val="22"/>
        </w:rPr>
        <w:t xml:space="preserve">  The main changes </w:t>
      </w:r>
      <w:r w:rsidR="00863656" w:rsidRPr="00B722D1">
        <w:rPr>
          <w:rFonts w:ascii="Segoe UI" w:hAnsi="Segoe UI" w:cs="Segoe UI"/>
          <w:sz w:val="22"/>
          <w:szCs w:val="22"/>
          <w:lang w:val="en-GB"/>
        </w:rPr>
        <w:t>from</w:t>
      </w:r>
      <w:r w:rsidR="00125939">
        <w:rPr>
          <w:rFonts w:ascii="Segoe UI" w:hAnsi="Segoe UI" w:cs="Segoe UI"/>
          <w:sz w:val="22"/>
          <w:szCs w:val="22"/>
          <w:lang w:val="en-GB"/>
        </w:rPr>
        <w:t xml:space="preserve"> the</w:t>
      </w:r>
      <w:r w:rsidR="00863656" w:rsidRPr="00B722D1">
        <w:rPr>
          <w:rFonts w:ascii="Segoe UI" w:hAnsi="Segoe UI" w:cs="Segoe UI"/>
          <w:sz w:val="22"/>
          <w:szCs w:val="22"/>
          <w:lang w:val="en-GB"/>
        </w:rPr>
        <w:t xml:space="preserve"> last Board reporting </w:t>
      </w:r>
      <w:r w:rsidR="004F6964" w:rsidRPr="00B722D1">
        <w:rPr>
          <w:rFonts w:ascii="Segoe UI" w:hAnsi="Segoe UI" w:cs="Segoe UI"/>
          <w:sz w:val="22"/>
          <w:szCs w:val="22"/>
          <w:lang w:val="en-GB"/>
        </w:rPr>
        <w:t>at the end of</w:t>
      </w:r>
      <w:r w:rsidR="00863656" w:rsidRPr="00B722D1">
        <w:rPr>
          <w:rFonts w:ascii="Segoe UI" w:hAnsi="Segoe UI" w:cs="Segoe UI"/>
          <w:sz w:val="22"/>
          <w:szCs w:val="22"/>
          <w:lang w:val="en-GB"/>
        </w:rPr>
        <w:t xml:space="preserve"> </w:t>
      </w:r>
      <w:r w:rsidR="004F6964" w:rsidRPr="00B722D1">
        <w:rPr>
          <w:rFonts w:ascii="Segoe UI" w:hAnsi="Segoe UI" w:cs="Segoe UI"/>
          <w:sz w:val="22"/>
          <w:szCs w:val="22"/>
          <w:lang w:val="en-GB"/>
        </w:rPr>
        <w:t>March</w:t>
      </w:r>
      <w:r w:rsidR="00863656" w:rsidRPr="00B722D1">
        <w:rPr>
          <w:rFonts w:ascii="Segoe UI" w:hAnsi="Segoe UI" w:cs="Segoe UI"/>
          <w:sz w:val="22"/>
          <w:szCs w:val="22"/>
          <w:lang w:val="en-GB"/>
        </w:rPr>
        <w:t xml:space="preserve">, </w:t>
      </w:r>
      <w:r w:rsidR="00D21C9E" w:rsidRPr="00B722D1">
        <w:rPr>
          <w:rFonts w:ascii="Segoe UI" w:hAnsi="Segoe UI" w:cs="Segoe UI"/>
          <w:sz w:val="22"/>
          <w:szCs w:val="22"/>
          <w:lang w:val="en-GB"/>
        </w:rPr>
        <w:t>include</w:t>
      </w:r>
      <w:r w:rsidR="00863656" w:rsidRPr="00B722D1">
        <w:rPr>
          <w:rFonts w:ascii="Segoe UI" w:hAnsi="Segoe UI" w:cs="Segoe UI"/>
          <w:sz w:val="22"/>
          <w:szCs w:val="22"/>
          <w:lang w:val="en-GB"/>
        </w:rPr>
        <w:t>:</w:t>
      </w:r>
    </w:p>
    <w:p w14:paraId="607783BE" w14:textId="77777777" w:rsidR="004F6964" w:rsidRPr="004F6964" w:rsidRDefault="004F6964" w:rsidP="004F6964">
      <w:pPr>
        <w:numPr>
          <w:ilvl w:val="0"/>
          <w:numId w:val="26"/>
        </w:numPr>
        <w:jc w:val="both"/>
        <w:rPr>
          <w:rFonts w:ascii="Segoe UI" w:hAnsi="Segoe UI" w:cs="Segoe UI"/>
          <w:sz w:val="22"/>
          <w:szCs w:val="22"/>
          <w:lang w:val="en-GB"/>
        </w:rPr>
      </w:pPr>
      <w:r w:rsidRPr="004F6964">
        <w:rPr>
          <w:rFonts w:ascii="Segoe UI" w:hAnsi="Segoe UI" w:cs="Segoe UI"/>
          <w:sz w:val="22"/>
          <w:szCs w:val="22"/>
          <w:lang w:val="en-GB"/>
        </w:rPr>
        <w:t>BAF 1.6 has been substantially revised and updated, with the changes approved by the Quality Committee at its meeting on 04 May 2023 and now provided for further Board approval if required.  BAF 1.6 has been: (i) reworked from its previous focus upon Demand and Capacity in Primary, Community and Dental Care services to focus more upon Sustainability of these services; and (ii) the current risk rating has been reduced from red/extreme at 16, to orange/high at 12.  Following review at the Audit Committee, the Quality Committee reviewed BAF 1.6 and approved the revised scope, controls and risk rating; and</w:t>
      </w:r>
    </w:p>
    <w:p w14:paraId="6405EE82" w14:textId="77777777" w:rsidR="004F6964" w:rsidRPr="004F6964" w:rsidRDefault="004F6964" w:rsidP="004F6964">
      <w:pPr>
        <w:numPr>
          <w:ilvl w:val="0"/>
          <w:numId w:val="26"/>
        </w:numPr>
        <w:jc w:val="both"/>
        <w:rPr>
          <w:rFonts w:ascii="Segoe UI" w:hAnsi="Segoe UI" w:cs="Segoe UI"/>
          <w:sz w:val="22"/>
          <w:szCs w:val="22"/>
          <w:lang w:val="en-GB"/>
        </w:rPr>
      </w:pPr>
      <w:r w:rsidRPr="004F6964">
        <w:rPr>
          <w:rFonts w:ascii="Segoe UI" w:hAnsi="Segoe UI" w:cs="Segoe UI"/>
          <w:sz w:val="22"/>
          <w:szCs w:val="22"/>
          <w:lang w:val="en-GB"/>
        </w:rPr>
        <w:t xml:space="preserve">BAF 2.1 and 2.2 (Workforce Planning and Recruitment) are under review and may be replaced by a new combined risk on Adequacy of Staffing, which is under development and cannot be published until agreed.  Monitoring of the new combined risk will be by the People, Leadership &amp; Culture Committee. </w:t>
      </w:r>
    </w:p>
    <w:p w14:paraId="529BCCF0" w14:textId="77777777" w:rsidR="004F6964" w:rsidRPr="004F6964" w:rsidRDefault="004F6964" w:rsidP="004F6964">
      <w:pPr>
        <w:jc w:val="both"/>
        <w:rPr>
          <w:rFonts w:ascii="Segoe UI" w:hAnsi="Segoe UI" w:cs="Segoe UI"/>
          <w:sz w:val="22"/>
          <w:szCs w:val="22"/>
          <w:highlight w:val="yellow"/>
          <w:lang w:val="en-GB"/>
        </w:rPr>
      </w:pPr>
    </w:p>
    <w:p w14:paraId="3447064C" w14:textId="1A38B793" w:rsidR="00FB7861" w:rsidRPr="00AE60CD" w:rsidRDefault="00CD0B48" w:rsidP="00FB7861">
      <w:pPr>
        <w:jc w:val="both"/>
        <w:rPr>
          <w:rFonts w:ascii="Segoe UI" w:hAnsi="Segoe UI" w:cs="Segoe UI"/>
          <w:sz w:val="22"/>
          <w:szCs w:val="22"/>
          <w:lang w:val="en-GB"/>
        </w:rPr>
      </w:pPr>
      <w:r w:rsidRPr="00AE60CD">
        <w:rPr>
          <w:rFonts w:ascii="Segoe UI" w:hAnsi="Segoe UI" w:cs="Segoe UI"/>
          <w:sz w:val="22"/>
          <w:szCs w:val="22"/>
          <w:lang w:val="en-GB"/>
        </w:rPr>
        <w:t>As such, t</w:t>
      </w:r>
      <w:r w:rsidR="00FB7861" w:rsidRPr="00AE60CD">
        <w:rPr>
          <w:rFonts w:ascii="Segoe UI" w:hAnsi="Segoe UI" w:cs="Segoe UI"/>
          <w:sz w:val="22"/>
          <w:szCs w:val="22"/>
          <w:lang w:val="en-GB"/>
        </w:rPr>
        <w:t xml:space="preserve">he Trust’s extreme/red-rated risks </w:t>
      </w:r>
      <w:r w:rsidR="00057A24" w:rsidRPr="00AE60CD">
        <w:rPr>
          <w:rFonts w:ascii="Segoe UI" w:hAnsi="Segoe UI" w:cs="Segoe UI"/>
          <w:sz w:val="22"/>
          <w:szCs w:val="22"/>
          <w:lang w:val="en-GB"/>
        </w:rPr>
        <w:t xml:space="preserve">continue to </w:t>
      </w:r>
      <w:r w:rsidR="00FB7861" w:rsidRPr="00AE60CD">
        <w:rPr>
          <w:rFonts w:ascii="Segoe UI" w:hAnsi="Segoe UI" w:cs="Segoe UI"/>
          <w:sz w:val="22"/>
          <w:szCs w:val="22"/>
          <w:lang w:val="en-GB"/>
        </w:rPr>
        <w:t xml:space="preserve">relate to workforce, recruitment, financial sustainability and major capital projects; </w:t>
      </w:r>
      <w:r w:rsidR="00944BB1" w:rsidRPr="00AE60CD">
        <w:rPr>
          <w:rFonts w:ascii="Segoe UI" w:hAnsi="Segoe UI" w:cs="Segoe UI"/>
          <w:sz w:val="22"/>
          <w:szCs w:val="22"/>
          <w:lang w:val="en-GB"/>
        </w:rPr>
        <w:t>which are</w:t>
      </w:r>
      <w:r w:rsidR="00FB7861" w:rsidRPr="00AE60CD">
        <w:rPr>
          <w:rFonts w:ascii="Segoe UI" w:hAnsi="Segoe UI" w:cs="Segoe UI"/>
          <w:sz w:val="22"/>
          <w:szCs w:val="22"/>
          <w:lang w:val="en-GB"/>
        </w:rPr>
        <w:t xml:space="preserve"> themes consistent with current and emerging health sector risks as benchmarked by the Trust’s Internal Auditors, PwC</w:t>
      </w:r>
      <w:r w:rsidR="00294C71" w:rsidRPr="00AE60CD">
        <w:rPr>
          <w:rFonts w:ascii="Segoe UI" w:hAnsi="Segoe UI" w:cs="Segoe UI"/>
          <w:sz w:val="22"/>
          <w:szCs w:val="22"/>
          <w:lang w:val="en-GB"/>
        </w:rPr>
        <w:t xml:space="preserve"> and as played out in reports included in the body of this update</w:t>
      </w:r>
      <w:r w:rsidR="008950A1" w:rsidRPr="00AE60CD">
        <w:rPr>
          <w:rFonts w:ascii="Segoe UI" w:hAnsi="Segoe UI" w:cs="Segoe UI"/>
          <w:sz w:val="22"/>
          <w:szCs w:val="22"/>
          <w:lang w:val="en-GB"/>
        </w:rPr>
        <w:t xml:space="preserve"> from such as the CQC and in the Health Service Journal reporting</w:t>
      </w:r>
      <w:r w:rsidR="00FB7861" w:rsidRPr="00AE60CD">
        <w:rPr>
          <w:rFonts w:ascii="Segoe UI" w:hAnsi="Segoe UI" w:cs="Segoe UI"/>
          <w:sz w:val="22"/>
          <w:szCs w:val="22"/>
          <w:lang w:val="en-GB"/>
        </w:rPr>
        <w:t xml:space="preserve">.  </w:t>
      </w:r>
    </w:p>
    <w:p w14:paraId="000C7963" w14:textId="77777777" w:rsidR="00FB7861" w:rsidRPr="00362DD2" w:rsidRDefault="00FB7861" w:rsidP="00FB7861">
      <w:pPr>
        <w:jc w:val="both"/>
        <w:rPr>
          <w:rFonts w:ascii="Segoe UI" w:hAnsi="Segoe UI" w:cs="Segoe UI"/>
          <w:sz w:val="22"/>
          <w:szCs w:val="22"/>
          <w:highlight w:val="yellow"/>
          <w:lang w:val="en-GB"/>
        </w:rPr>
      </w:pPr>
    </w:p>
    <w:p w14:paraId="48492999" w14:textId="582FE7D4" w:rsidR="002A12B0" w:rsidRPr="002A12B0" w:rsidRDefault="00FB7861" w:rsidP="002A12B0">
      <w:pPr>
        <w:jc w:val="both"/>
        <w:rPr>
          <w:rFonts w:ascii="Segoe UI" w:hAnsi="Segoe UI" w:cs="Segoe UI"/>
          <w:sz w:val="22"/>
          <w:szCs w:val="22"/>
        </w:rPr>
      </w:pPr>
      <w:r w:rsidRPr="008D4315">
        <w:rPr>
          <w:rFonts w:ascii="Segoe UI" w:hAnsi="Segoe UI" w:cs="Segoe UI"/>
          <w:sz w:val="22"/>
          <w:szCs w:val="22"/>
          <w:lang w:val="en-GB"/>
        </w:rPr>
        <w:t>The Trust’s risks at a strategic level on the Board Assurance Framework (</w:t>
      </w:r>
      <w:r w:rsidRPr="008D4315">
        <w:rPr>
          <w:rFonts w:ascii="Segoe UI" w:hAnsi="Segoe UI" w:cs="Segoe UI"/>
          <w:b/>
          <w:bCs/>
          <w:sz w:val="22"/>
          <w:szCs w:val="22"/>
          <w:lang w:val="en-GB"/>
        </w:rPr>
        <w:t>BAF</w:t>
      </w:r>
      <w:r w:rsidRPr="008D4315">
        <w:rPr>
          <w:rFonts w:ascii="Segoe UI" w:hAnsi="Segoe UI" w:cs="Segoe UI"/>
          <w:sz w:val="22"/>
          <w:szCs w:val="22"/>
          <w:lang w:val="en-GB"/>
        </w:rPr>
        <w:t>), and at an operational level on the Trust Risk Register (</w:t>
      </w:r>
      <w:r w:rsidRPr="008D4315">
        <w:rPr>
          <w:rFonts w:ascii="Segoe UI" w:hAnsi="Segoe UI" w:cs="Segoe UI"/>
          <w:b/>
          <w:bCs/>
          <w:sz w:val="22"/>
          <w:szCs w:val="22"/>
          <w:lang w:val="en-GB"/>
        </w:rPr>
        <w:t>TRR</w:t>
      </w:r>
      <w:r w:rsidRPr="008D4315">
        <w:rPr>
          <w:rFonts w:ascii="Segoe UI" w:hAnsi="Segoe UI" w:cs="Segoe UI"/>
          <w:sz w:val="22"/>
          <w:szCs w:val="22"/>
          <w:lang w:val="en-GB"/>
        </w:rPr>
        <w:t xml:space="preserve">), are considered in more detail through the work of Board Committees in particular the Finance &amp; Investment Committee, the People, Leadership &amp; Culture Committee and the Quality Committee which have monitoring oversight of specific risks; further oversight is provided through the work of the Audit Committee </w:t>
      </w:r>
      <w:r w:rsidR="000E0B04" w:rsidRPr="008D4315">
        <w:rPr>
          <w:rFonts w:ascii="Segoe UI" w:hAnsi="Segoe UI" w:cs="Segoe UI"/>
          <w:sz w:val="22"/>
          <w:szCs w:val="22"/>
          <w:lang w:val="en-GB"/>
        </w:rPr>
        <w:t>which is responsible for reviewing the</w:t>
      </w:r>
      <w:r w:rsidRPr="008D4315">
        <w:rPr>
          <w:rFonts w:ascii="Segoe UI" w:hAnsi="Segoe UI" w:cs="Segoe UI"/>
          <w:sz w:val="22"/>
          <w:szCs w:val="22"/>
          <w:lang w:val="en-GB"/>
        </w:rPr>
        <w:t xml:space="preserve"> content, processes and format of the BAF and TRR to seek assurance as regards risk management processes.</w:t>
      </w:r>
      <w:r w:rsidR="00757581">
        <w:rPr>
          <w:rFonts w:ascii="Segoe UI" w:hAnsi="Segoe UI" w:cs="Segoe UI"/>
          <w:sz w:val="22"/>
          <w:szCs w:val="22"/>
          <w:lang w:val="en-GB"/>
        </w:rPr>
        <w:t xml:space="preserve">  Board members should pay particular attent</w:t>
      </w:r>
      <w:r w:rsidR="008919CF">
        <w:rPr>
          <w:rFonts w:ascii="Segoe UI" w:hAnsi="Segoe UI" w:cs="Segoe UI"/>
          <w:sz w:val="22"/>
          <w:szCs w:val="22"/>
          <w:lang w:val="en-GB"/>
        </w:rPr>
        <w:t xml:space="preserve">ion to the TRR also in order to challenge constructively if it capture the realities </w:t>
      </w:r>
      <w:r w:rsidR="00C72345">
        <w:rPr>
          <w:rFonts w:ascii="Segoe UI" w:hAnsi="Segoe UI" w:cs="Segoe UI"/>
          <w:sz w:val="22"/>
          <w:szCs w:val="22"/>
          <w:lang w:val="en-GB"/>
        </w:rPr>
        <w:t>of operational delivery.</w:t>
      </w:r>
      <w:r w:rsidR="006E6111" w:rsidRPr="008D4315">
        <w:rPr>
          <w:rFonts w:ascii="Segoe UI" w:hAnsi="Segoe UI" w:cs="Segoe UI"/>
          <w:sz w:val="22"/>
          <w:szCs w:val="22"/>
          <w:lang w:val="en-GB"/>
        </w:rPr>
        <w:t xml:space="preserve">  </w:t>
      </w:r>
      <w:r w:rsidR="002A12B0" w:rsidRPr="008D4315">
        <w:rPr>
          <w:rFonts w:ascii="Segoe UI" w:hAnsi="Segoe UI" w:cs="Segoe UI"/>
          <w:sz w:val="22"/>
          <w:szCs w:val="22"/>
        </w:rPr>
        <w:t>As previously reported, a deeper review of the strategic objectives and associated risks will be conducted on finalisation of the Trust strategic planning activity being led by the Director of Strategy and Partnerships.</w:t>
      </w:r>
    </w:p>
    <w:p w14:paraId="18B197DC" w14:textId="39CDA514" w:rsidR="00FB7861" w:rsidRPr="002A12B0" w:rsidRDefault="00FB7861" w:rsidP="00FB7861">
      <w:pPr>
        <w:jc w:val="both"/>
        <w:rPr>
          <w:rFonts w:ascii="Segoe UI" w:hAnsi="Segoe UI" w:cs="Segoe UI"/>
          <w:sz w:val="22"/>
          <w:szCs w:val="22"/>
        </w:rPr>
      </w:pPr>
    </w:p>
    <w:p w14:paraId="6A29A463"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Impact Reporting – Corporate Affairs</w:t>
      </w:r>
    </w:p>
    <w:p w14:paraId="5A94594F" w14:textId="623FBFCA" w:rsidR="008F077D" w:rsidRPr="0054786F" w:rsidRDefault="008F077D" w:rsidP="00114805">
      <w:pPr>
        <w:pStyle w:val="ListParagraph"/>
        <w:numPr>
          <w:ilvl w:val="0"/>
          <w:numId w:val="25"/>
        </w:numPr>
        <w:jc w:val="both"/>
        <w:rPr>
          <w:rFonts w:ascii="Segoe UI" w:hAnsi="Segoe UI" w:cs="Segoe UI"/>
          <w:b/>
          <w:bCs/>
          <w:sz w:val="22"/>
          <w:szCs w:val="22"/>
        </w:rPr>
      </w:pPr>
      <w:r w:rsidRPr="00114805">
        <w:rPr>
          <w:rFonts w:ascii="Segoe UI" w:hAnsi="Segoe UI" w:cs="Segoe UI"/>
          <w:b/>
          <w:bCs/>
          <w:sz w:val="22"/>
          <w:szCs w:val="22"/>
        </w:rPr>
        <w:t>Communications, Involvement and Engagem</w:t>
      </w:r>
      <w:r w:rsidRPr="0054786F">
        <w:rPr>
          <w:rFonts w:ascii="Segoe UI" w:hAnsi="Segoe UI" w:cs="Segoe UI"/>
          <w:b/>
          <w:bCs/>
          <w:sz w:val="22"/>
          <w:szCs w:val="22"/>
        </w:rPr>
        <w:t>ent</w:t>
      </w:r>
    </w:p>
    <w:p w14:paraId="09620FBB" w14:textId="77777777" w:rsidR="00DC7F52" w:rsidRPr="0054786F" w:rsidRDefault="00DC7F52" w:rsidP="008F077D">
      <w:pPr>
        <w:jc w:val="both"/>
        <w:rPr>
          <w:rFonts w:ascii="Segoe UI" w:hAnsi="Segoe UI" w:cs="Segoe UI"/>
          <w:b/>
          <w:bCs/>
          <w:sz w:val="22"/>
          <w:szCs w:val="22"/>
        </w:rPr>
      </w:pPr>
    </w:p>
    <w:p w14:paraId="08330265" w14:textId="3AA18B90" w:rsidR="008F077D" w:rsidRPr="0054786F" w:rsidRDefault="00F97C7F" w:rsidP="008F077D">
      <w:pPr>
        <w:jc w:val="both"/>
        <w:rPr>
          <w:rFonts w:ascii="Segoe UI" w:hAnsi="Segoe UI" w:cs="Segoe UI"/>
          <w:sz w:val="22"/>
          <w:szCs w:val="22"/>
        </w:rPr>
      </w:pPr>
      <w:r w:rsidRPr="0054786F">
        <w:rPr>
          <w:rFonts w:ascii="Segoe UI" w:hAnsi="Segoe UI" w:cs="Segoe UI"/>
          <w:sz w:val="22"/>
          <w:szCs w:val="22"/>
        </w:rPr>
        <w:t>This</w:t>
      </w:r>
      <w:r w:rsidR="008F077D" w:rsidRPr="0054786F">
        <w:rPr>
          <w:rFonts w:ascii="Segoe UI" w:hAnsi="Segoe UI" w:cs="Segoe UI"/>
          <w:sz w:val="22"/>
          <w:szCs w:val="22"/>
        </w:rPr>
        <w:t xml:space="preserve"> month’s report </w:t>
      </w:r>
      <w:r w:rsidR="000557E0" w:rsidRPr="0054786F">
        <w:rPr>
          <w:rFonts w:ascii="Segoe UI" w:hAnsi="Segoe UI" w:cs="Segoe UI"/>
          <w:sz w:val="22"/>
          <w:szCs w:val="22"/>
        </w:rPr>
        <w:t xml:space="preserve">again </w:t>
      </w:r>
      <w:r w:rsidR="008F077D" w:rsidRPr="0054786F">
        <w:rPr>
          <w:rFonts w:ascii="Segoe UI" w:hAnsi="Segoe UI" w:cs="Segoe UI"/>
          <w:sz w:val="22"/>
          <w:szCs w:val="22"/>
        </w:rPr>
        <w:t xml:space="preserve">includes in the Reading Room examples of the impact of specific team functions beyond the compliance and regulation aspects of the remit of the Director of Corporate Affairs/Company Secretary in order to </w:t>
      </w:r>
      <w:r w:rsidR="00955D15" w:rsidRPr="0054786F">
        <w:rPr>
          <w:rFonts w:ascii="Segoe UI" w:hAnsi="Segoe UI" w:cs="Segoe UI"/>
          <w:sz w:val="22"/>
          <w:szCs w:val="22"/>
        </w:rPr>
        <w:t>alert the Board to</w:t>
      </w:r>
      <w:r w:rsidR="008F077D" w:rsidRPr="0054786F">
        <w:rPr>
          <w:rFonts w:ascii="Segoe UI" w:hAnsi="Segoe UI" w:cs="Segoe UI"/>
          <w:sz w:val="22"/>
          <w:szCs w:val="22"/>
        </w:rPr>
        <w:t xml:space="preserve"> activity across the Corporate Affairs portfolio.  </w:t>
      </w:r>
      <w:r w:rsidR="000A31D1" w:rsidRPr="0054786F">
        <w:rPr>
          <w:rFonts w:ascii="Segoe UI" w:hAnsi="Segoe UI" w:cs="Segoe UI"/>
          <w:sz w:val="22"/>
          <w:szCs w:val="22"/>
        </w:rPr>
        <w:t>Ongoing</w:t>
      </w:r>
      <w:r w:rsidR="008F077D" w:rsidRPr="0054786F">
        <w:rPr>
          <w:rFonts w:ascii="Segoe UI" w:hAnsi="Segoe UI" w:cs="Segoe UI"/>
          <w:sz w:val="22"/>
          <w:szCs w:val="22"/>
        </w:rPr>
        <w:t xml:space="preserve"> iterations of the update report will include these updates as considered </w:t>
      </w:r>
      <w:r w:rsidR="0021533A" w:rsidRPr="0054786F">
        <w:rPr>
          <w:rFonts w:ascii="Segoe UI" w:hAnsi="Segoe UI" w:cs="Segoe UI"/>
          <w:sz w:val="22"/>
          <w:szCs w:val="22"/>
        </w:rPr>
        <w:t>pertinent</w:t>
      </w:r>
      <w:r w:rsidR="006E0C0B" w:rsidRPr="0054786F">
        <w:rPr>
          <w:rFonts w:ascii="Segoe UI" w:hAnsi="Segoe UI" w:cs="Segoe UI"/>
          <w:sz w:val="22"/>
          <w:szCs w:val="22"/>
        </w:rPr>
        <w:t>/</w:t>
      </w:r>
      <w:r w:rsidR="008F077D" w:rsidRPr="0054786F">
        <w:rPr>
          <w:rFonts w:ascii="Segoe UI" w:hAnsi="Segoe UI" w:cs="Segoe UI"/>
          <w:sz w:val="22"/>
          <w:szCs w:val="22"/>
        </w:rPr>
        <w:t>useful</w:t>
      </w:r>
      <w:r w:rsidR="006E0C0B" w:rsidRPr="0054786F">
        <w:rPr>
          <w:rFonts w:ascii="Segoe UI" w:hAnsi="Segoe UI" w:cs="Segoe UI"/>
          <w:sz w:val="22"/>
          <w:szCs w:val="22"/>
        </w:rPr>
        <w:t xml:space="preserve"> in the prevailing circumstances</w:t>
      </w:r>
      <w:r w:rsidR="008F077D" w:rsidRPr="0054786F">
        <w:rPr>
          <w:rFonts w:ascii="Segoe UI" w:hAnsi="Segoe UI" w:cs="Segoe UI"/>
          <w:sz w:val="22"/>
          <w:szCs w:val="22"/>
        </w:rPr>
        <w:t>.</w:t>
      </w:r>
    </w:p>
    <w:p w14:paraId="6273F026" w14:textId="14D0BDAB" w:rsidR="009B7668" w:rsidRPr="0054786F" w:rsidRDefault="009B7668" w:rsidP="008F077D">
      <w:pPr>
        <w:jc w:val="both"/>
        <w:rPr>
          <w:rFonts w:ascii="Segoe UI" w:hAnsi="Segoe UI" w:cs="Segoe UI"/>
          <w:sz w:val="22"/>
          <w:szCs w:val="22"/>
        </w:rPr>
      </w:pPr>
    </w:p>
    <w:p w14:paraId="360A6927" w14:textId="77777777" w:rsidR="009B2265" w:rsidRDefault="007500F3" w:rsidP="005727CB">
      <w:pPr>
        <w:jc w:val="both"/>
        <w:rPr>
          <w:rFonts w:ascii="Segoe UI" w:hAnsi="Segoe UI" w:cs="Segoe UI"/>
          <w:sz w:val="22"/>
          <w:szCs w:val="22"/>
        </w:rPr>
      </w:pPr>
      <w:r w:rsidRPr="007500F3">
        <w:rPr>
          <w:rFonts w:ascii="Segoe UI" w:hAnsi="Segoe UI" w:cs="Segoe UI"/>
          <w:b/>
          <w:bCs/>
          <w:sz w:val="22"/>
          <w:szCs w:val="22"/>
        </w:rPr>
        <w:t>Charity, Involvement &amp; Volunteering</w:t>
      </w:r>
      <w:r>
        <w:rPr>
          <w:rFonts w:ascii="Segoe UI" w:hAnsi="Segoe UI" w:cs="Segoe UI"/>
          <w:sz w:val="22"/>
          <w:szCs w:val="22"/>
        </w:rPr>
        <w:t xml:space="preserve">:  </w:t>
      </w:r>
      <w:r w:rsidR="009B7668" w:rsidRPr="0054786F">
        <w:rPr>
          <w:rFonts w:ascii="Segoe UI" w:hAnsi="Segoe UI" w:cs="Segoe UI"/>
          <w:sz w:val="22"/>
          <w:szCs w:val="22"/>
        </w:rPr>
        <w:t xml:space="preserve">Included </w:t>
      </w:r>
      <w:r w:rsidR="005622C2" w:rsidRPr="0054786F">
        <w:rPr>
          <w:rFonts w:ascii="Segoe UI" w:hAnsi="Segoe UI" w:cs="Segoe UI"/>
          <w:sz w:val="22"/>
          <w:szCs w:val="22"/>
        </w:rPr>
        <w:t>is the Charity an</w:t>
      </w:r>
      <w:r w:rsidR="00CF0A15" w:rsidRPr="0054786F">
        <w:rPr>
          <w:rFonts w:ascii="Segoe UI" w:hAnsi="Segoe UI" w:cs="Segoe UI"/>
          <w:sz w:val="22"/>
          <w:szCs w:val="22"/>
        </w:rPr>
        <w:t>d Involvement impact report which</w:t>
      </w:r>
      <w:r w:rsidR="008E585D" w:rsidRPr="0054786F">
        <w:rPr>
          <w:rFonts w:ascii="Segoe UI" w:hAnsi="Segoe UI" w:cs="Segoe UI"/>
          <w:sz w:val="22"/>
          <w:szCs w:val="22"/>
        </w:rPr>
        <w:t xml:space="preserve"> </w:t>
      </w:r>
      <w:r w:rsidR="00880E53" w:rsidRPr="0054786F">
        <w:rPr>
          <w:rFonts w:ascii="Segoe UI" w:hAnsi="Segoe UI" w:cs="Segoe UI"/>
          <w:sz w:val="22"/>
          <w:szCs w:val="22"/>
        </w:rPr>
        <w:t>evidence</w:t>
      </w:r>
      <w:r w:rsidR="008E585D" w:rsidRPr="0054786F">
        <w:rPr>
          <w:rFonts w:ascii="Segoe UI" w:hAnsi="Segoe UI" w:cs="Segoe UI"/>
          <w:sz w:val="22"/>
          <w:szCs w:val="22"/>
        </w:rPr>
        <w:t xml:space="preserve"> for Board the extensive </w:t>
      </w:r>
      <w:r w:rsidR="00BE6F59" w:rsidRPr="0054786F">
        <w:rPr>
          <w:rFonts w:ascii="Segoe UI" w:hAnsi="Segoe UI" w:cs="Segoe UI"/>
          <w:sz w:val="22"/>
          <w:szCs w:val="22"/>
        </w:rPr>
        <w:t xml:space="preserve">activity regarding the charity, volunteering and involvement as well as a forward view.  </w:t>
      </w:r>
      <w:r w:rsidR="00955954" w:rsidRPr="0054786F">
        <w:rPr>
          <w:rFonts w:ascii="Segoe UI" w:hAnsi="Segoe UI" w:cs="Segoe UI"/>
          <w:sz w:val="22"/>
          <w:szCs w:val="22"/>
        </w:rPr>
        <w:t xml:space="preserve">Board members are encouraged to </w:t>
      </w:r>
      <w:r w:rsidR="00751488" w:rsidRPr="0054786F">
        <w:rPr>
          <w:rFonts w:ascii="Segoe UI" w:hAnsi="Segoe UI" w:cs="Segoe UI"/>
          <w:sz w:val="22"/>
          <w:szCs w:val="22"/>
        </w:rPr>
        <w:t xml:space="preserve">read the </w:t>
      </w:r>
      <w:r w:rsidR="00880E53" w:rsidRPr="0054786F">
        <w:rPr>
          <w:rFonts w:ascii="Segoe UI" w:hAnsi="Segoe UI" w:cs="Segoe UI"/>
          <w:sz w:val="22"/>
          <w:szCs w:val="22"/>
        </w:rPr>
        <w:t>vast</w:t>
      </w:r>
      <w:r w:rsidR="00751488" w:rsidRPr="0054786F">
        <w:rPr>
          <w:rFonts w:ascii="Segoe UI" w:hAnsi="Segoe UI" w:cs="Segoe UI"/>
          <w:sz w:val="22"/>
          <w:szCs w:val="22"/>
        </w:rPr>
        <w:t xml:space="preserve"> activity undertaken over recent weeks</w:t>
      </w:r>
      <w:r w:rsidR="00E66F09">
        <w:rPr>
          <w:rFonts w:ascii="Segoe UI" w:hAnsi="Segoe UI" w:cs="Segoe UI"/>
          <w:sz w:val="22"/>
          <w:szCs w:val="22"/>
        </w:rPr>
        <w:t xml:space="preserve"> and to look to get involved </w:t>
      </w:r>
      <w:r w:rsidR="009B2265">
        <w:rPr>
          <w:rFonts w:ascii="Segoe UI" w:hAnsi="Segoe UI" w:cs="Segoe UI"/>
          <w:sz w:val="22"/>
          <w:szCs w:val="22"/>
        </w:rPr>
        <w:t xml:space="preserve">in the charity </w:t>
      </w:r>
      <w:r w:rsidR="00E66F09">
        <w:rPr>
          <w:rFonts w:ascii="Segoe UI" w:hAnsi="Segoe UI" w:cs="Segoe UI"/>
          <w:sz w:val="22"/>
          <w:szCs w:val="22"/>
        </w:rPr>
        <w:t xml:space="preserve">where possible.  </w:t>
      </w:r>
      <w:r w:rsidR="0038207A">
        <w:rPr>
          <w:rFonts w:ascii="Segoe UI" w:hAnsi="Segoe UI" w:cs="Segoe UI"/>
          <w:sz w:val="22"/>
          <w:szCs w:val="22"/>
        </w:rPr>
        <w:t xml:space="preserve">I </w:t>
      </w:r>
      <w:r w:rsidR="00410182">
        <w:rPr>
          <w:rFonts w:ascii="Segoe UI" w:hAnsi="Segoe UI" w:cs="Segoe UI"/>
          <w:sz w:val="22"/>
          <w:szCs w:val="22"/>
        </w:rPr>
        <w:t xml:space="preserve">did over 10 miles for OHC ROSY appeal in April and ran (and walked) for the </w:t>
      </w:r>
      <w:r w:rsidR="00356075">
        <w:rPr>
          <w:rFonts w:ascii="Segoe UI" w:hAnsi="Segoe UI" w:cs="Segoe UI"/>
          <w:sz w:val="22"/>
          <w:szCs w:val="22"/>
        </w:rPr>
        <w:t>OHC at the Blenheim 7k Fun Run</w:t>
      </w:r>
      <w:r w:rsidR="005727CB">
        <w:rPr>
          <w:rFonts w:ascii="Segoe UI" w:hAnsi="Segoe UI" w:cs="Segoe UI"/>
          <w:sz w:val="22"/>
          <w:szCs w:val="22"/>
        </w:rPr>
        <w:t xml:space="preserve"> last weekend</w:t>
      </w:r>
      <w:r w:rsidR="00356075">
        <w:rPr>
          <w:rFonts w:ascii="Segoe UI" w:hAnsi="Segoe UI" w:cs="Segoe UI"/>
          <w:sz w:val="22"/>
          <w:szCs w:val="22"/>
        </w:rPr>
        <w:t xml:space="preserve"> where the charity team had a strong presen</w:t>
      </w:r>
      <w:r w:rsidR="005727CB">
        <w:rPr>
          <w:rFonts w:ascii="Segoe UI" w:hAnsi="Segoe UI" w:cs="Segoe UI"/>
          <w:sz w:val="22"/>
          <w:szCs w:val="22"/>
        </w:rPr>
        <w:t>ce</w:t>
      </w:r>
      <w:r w:rsidR="00751488" w:rsidRPr="0054786F">
        <w:rPr>
          <w:rFonts w:ascii="Segoe UI" w:hAnsi="Segoe UI" w:cs="Segoe UI"/>
          <w:sz w:val="22"/>
          <w:szCs w:val="22"/>
        </w:rPr>
        <w:t xml:space="preserve">.  </w:t>
      </w:r>
    </w:p>
    <w:p w14:paraId="2C9BF1E6" w14:textId="77777777" w:rsidR="009B2265" w:rsidRDefault="009B2265" w:rsidP="005727CB">
      <w:pPr>
        <w:jc w:val="both"/>
        <w:rPr>
          <w:rFonts w:ascii="Segoe UI" w:hAnsi="Segoe UI" w:cs="Segoe UI"/>
          <w:sz w:val="22"/>
          <w:szCs w:val="22"/>
        </w:rPr>
      </w:pPr>
    </w:p>
    <w:p w14:paraId="6AA6DCF8" w14:textId="20B66164" w:rsidR="005727CB" w:rsidRPr="005727CB" w:rsidRDefault="00751488" w:rsidP="005727CB">
      <w:pPr>
        <w:jc w:val="both"/>
        <w:rPr>
          <w:rFonts w:ascii="Segoe UI" w:hAnsi="Segoe UI" w:cs="Segoe UI"/>
          <w:sz w:val="22"/>
          <w:szCs w:val="22"/>
          <w:lang w:val="en-GB"/>
        </w:rPr>
      </w:pPr>
      <w:r w:rsidRPr="0054786F">
        <w:rPr>
          <w:rFonts w:ascii="Segoe UI" w:hAnsi="Segoe UI" w:cs="Segoe UI"/>
          <w:sz w:val="22"/>
          <w:szCs w:val="22"/>
        </w:rPr>
        <w:t xml:space="preserve">The report </w:t>
      </w:r>
      <w:r w:rsidR="00FE4CBB" w:rsidRPr="0054786F">
        <w:rPr>
          <w:rFonts w:ascii="Segoe UI" w:hAnsi="Segoe UI" w:cs="Segoe UI"/>
          <w:sz w:val="22"/>
          <w:szCs w:val="22"/>
        </w:rPr>
        <w:t>also incorporates</w:t>
      </w:r>
      <w:r w:rsidR="009B7668" w:rsidRPr="0054786F">
        <w:rPr>
          <w:rFonts w:ascii="Segoe UI" w:hAnsi="Segoe UI" w:cs="Segoe UI"/>
          <w:sz w:val="22"/>
          <w:szCs w:val="22"/>
        </w:rPr>
        <w:t xml:space="preserve"> this month </w:t>
      </w:r>
      <w:r w:rsidR="007670F6" w:rsidRPr="0054786F">
        <w:rPr>
          <w:rFonts w:ascii="Segoe UI" w:hAnsi="Segoe UI" w:cs="Segoe UI"/>
          <w:sz w:val="22"/>
          <w:szCs w:val="22"/>
        </w:rPr>
        <w:t>a specific focus on Voluntary Services</w:t>
      </w:r>
      <w:r w:rsidR="005727CB">
        <w:rPr>
          <w:rFonts w:ascii="Segoe UI" w:hAnsi="Segoe UI" w:cs="Segoe UI"/>
          <w:sz w:val="22"/>
          <w:szCs w:val="22"/>
        </w:rPr>
        <w:t xml:space="preserve"> through a </w:t>
      </w:r>
      <w:r w:rsidR="004B530D">
        <w:rPr>
          <w:rFonts w:ascii="Segoe UI" w:hAnsi="Segoe UI" w:cs="Segoe UI"/>
          <w:sz w:val="22"/>
          <w:szCs w:val="22"/>
        </w:rPr>
        <w:t>review of our position against t</w:t>
      </w:r>
      <w:r w:rsidR="005727CB" w:rsidRPr="005727CB">
        <w:rPr>
          <w:rFonts w:ascii="Segoe UI" w:hAnsi="Segoe UI" w:cs="Segoe UI"/>
          <w:sz w:val="22"/>
          <w:szCs w:val="22"/>
          <w:lang w:val="en-GB"/>
        </w:rPr>
        <w:t>he Investing in Volunteers Standard</w:t>
      </w:r>
      <w:r w:rsidR="004B530D">
        <w:rPr>
          <w:rFonts w:ascii="Segoe UI" w:hAnsi="Segoe UI" w:cs="Segoe UI"/>
          <w:sz w:val="22"/>
          <w:szCs w:val="22"/>
          <w:lang w:val="en-GB"/>
        </w:rPr>
        <w:t>.</w:t>
      </w:r>
      <w:r w:rsidR="005727CB" w:rsidRPr="005727CB">
        <w:rPr>
          <w:rFonts w:ascii="Segoe UI" w:hAnsi="Segoe UI" w:cs="Segoe UI"/>
          <w:sz w:val="22"/>
          <w:szCs w:val="22"/>
          <w:lang w:val="en-GB"/>
        </w:rPr>
        <w:t xml:space="preserve"> </w:t>
      </w:r>
      <w:r w:rsidR="004B530D">
        <w:rPr>
          <w:rFonts w:ascii="Segoe UI" w:hAnsi="Segoe UI" w:cs="Segoe UI"/>
          <w:sz w:val="22"/>
          <w:szCs w:val="22"/>
          <w:lang w:val="en-GB"/>
        </w:rPr>
        <w:t xml:space="preserve">This </w:t>
      </w:r>
      <w:r w:rsidR="005727CB" w:rsidRPr="005727CB">
        <w:rPr>
          <w:rFonts w:ascii="Segoe UI" w:hAnsi="Segoe UI" w:cs="Segoe UI"/>
          <w:sz w:val="22"/>
          <w:szCs w:val="22"/>
          <w:lang w:val="en-GB"/>
        </w:rPr>
        <w:t>is a nationally recognised standard for the support and development of volunteering within organisations</w:t>
      </w:r>
      <w:r w:rsidR="006A3202">
        <w:rPr>
          <w:rFonts w:ascii="Segoe UI" w:hAnsi="Segoe UI" w:cs="Segoe UI"/>
          <w:sz w:val="22"/>
          <w:szCs w:val="22"/>
          <w:lang w:val="en-GB"/>
        </w:rPr>
        <w:t>. T</w:t>
      </w:r>
      <w:r w:rsidR="005727CB" w:rsidRPr="005727CB">
        <w:rPr>
          <w:rFonts w:ascii="Segoe UI" w:hAnsi="Segoe UI" w:cs="Segoe UI"/>
          <w:sz w:val="22"/>
          <w:szCs w:val="22"/>
          <w:lang w:val="en-GB"/>
        </w:rPr>
        <w:t xml:space="preserve">he use of this standard </w:t>
      </w:r>
      <w:r w:rsidR="00117095">
        <w:rPr>
          <w:rFonts w:ascii="Segoe UI" w:hAnsi="Segoe UI" w:cs="Segoe UI"/>
          <w:sz w:val="22"/>
          <w:szCs w:val="22"/>
          <w:lang w:val="en-GB"/>
        </w:rPr>
        <w:t>ensures</w:t>
      </w:r>
      <w:r w:rsidR="005727CB" w:rsidRPr="005727CB">
        <w:rPr>
          <w:rFonts w:ascii="Segoe UI" w:hAnsi="Segoe UI" w:cs="Segoe UI"/>
          <w:sz w:val="22"/>
          <w:szCs w:val="22"/>
          <w:lang w:val="en-GB"/>
        </w:rPr>
        <w:t xml:space="preserve"> our Trust programme is providing a positive and meaningful experience for those involved</w:t>
      </w:r>
      <w:r w:rsidR="00117095">
        <w:rPr>
          <w:rFonts w:ascii="Segoe UI" w:hAnsi="Segoe UI" w:cs="Segoe UI"/>
          <w:sz w:val="22"/>
          <w:szCs w:val="22"/>
          <w:lang w:val="en-GB"/>
        </w:rPr>
        <w:t xml:space="preserve"> and </w:t>
      </w:r>
      <w:r w:rsidR="005727CB" w:rsidRPr="005727CB">
        <w:rPr>
          <w:rFonts w:ascii="Segoe UI" w:hAnsi="Segoe UI" w:cs="Segoe UI"/>
          <w:sz w:val="22"/>
          <w:szCs w:val="22"/>
          <w:lang w:val="en-GB"/>
        </w:rPr>
        <w:t>boosts potential for volunteers to consider further opportunities within the Trust or wider NHS, in line with our involvement in the Volunteer to Career programme</w:t>
      </w:r>
      <w:r w:rsidR="00723753">
        <w:rPr>
          <w:rFonts w:ascii="Segoe UI" w:hAnsi="Segoe UI" w:cs="Segoe UI"/>
          <w:sz w:val="22"/>
          <w:szCs w:val="22"/>
          <w:lang w:val="en-GB"/>
        </w:rPr>
        <w:t>.</w:t>
      </w:r>
      <w:r w:rsidR="001615D6">
        <w:rPr>
          <w:rFonts w:ascii="Segoe UI" w:hAnsi="Segoe UI" w:cs="Segoe UI"/>
          <w:sz w:val="22"/>
          <w:szCs w:val="22"/>
          <w:lang w:val="en-GB"/>
        </w:rPr>
        <w:t xml:space="preserve"> </w:t>
      </w:r>
    </w:p>
    <w:p w14:paraId="2D9A25B0" w14:textId="0DA4A310" w:rsidR="00174E9D" w:rsidRPr="0054786F" w:rsidRDefault="00174E9D" w:rsidP="009B7668">
      <w:pPr>
        <w:jc w:val="both"/>
        <w:rPr>
          <w:rFonts w:ascii="Segoe UI" w:hAnsi="Segoe UI" w:cs="Segoe UI"/>
          <w:sz w:val="22"/>
          <w:szCs w:val="22"/>
        </w:rPr>
      </w:pPr>
    </w:p>
    <w:p w14:paraId="4A20B6D6" w14:textId="1B46F84F" w:rsidR="007779AA" w:rsidRDefault="009C0EA9" w:rsidP="009B7668">
      <w:pPr>
        <w:jc w:val="both"/>
        <w:rPr>
          <w:rFonts w:ascii="Segoe UI" w:hAnsi="Segoe UI" w:cs="Segoe UI"/>
          <w:bCs/>
          <w:sz w:val="22"/>
          <w:szCs w:val="22"/>
        </w:rPr>
      </w:pPr>
      <w:r w:rsidRPr="0054786F">
        <w:rPr>
          <w:rFonts w:ascii="Segoe UI" w:hAnsi="Segoe UI" w:cs="Segoe UI"/>
          <w:bCs/>
          <w:sz w:val="22"/>
          <w:szCs w:val="22"/>
        </w:rPr>
        <w:t xml:space="preserve">Finally, this section concludes with </w:t>
      </w:r>
      <w:r w:rsidR="000D6A05" w:rsidRPr="0054786F">
        <w:rPr>
          <w:rFonts w:ascii="Segoe UI" w:hAnsi="Segoe UI" w:cs="Segoe UI"/>
          <w:bCs/>
          <w:sz w:val="22"/>
          <w:szCs w:val="22"/>
        </w:rPr>
        <w:t xml:space="preserve">the </w:t>
      </w:r>
      <w:r w:rsidR="000D6A05" w:rsidRPr="007500F3">
        <w:rPr>
          <w:rFonts w:ascii="Segoe UI" w:hAnsi="Segoe UI" w:cs="Segoe UI"/>
          <w:b/>
          <w:sz w:val="22"/>
          <w:szCs w:val="22"/>
        </w:rPr>
        <w:t>communications and engagement</w:t>
      </w:r>
      <w:r w:rsidR="000D6A05" w:rsidRPr="0054786F">
        <w:rPr>
          <w:rFonts w:ascii="Segoe UI" w:hAnsi="Segoe UI" w:cs="Segoe UI"/>
          <w:bCs/>
          <w:sz w:val="22"/>
          <w:szCs w:val="22"/>
        </w:rPr>
        <w:t xml:space="preserve"> report highlighting an extensive array of activity in </w:t>
      </w:r>
      <w:r w:rsidR="00E74D68" w:rsidRPr="0054786F">
        <w:rPr>
          <w:rFonts w:ascii="Segoe UI" w:hAnsi="Segoe UI" w:cs="Segoe UI"/>
          <w:bCs/>
          <w:sz w:val="22"/>
          <w:szCs w:val="22"/>
        </w:rPr>
        <w:t>recent weeks</w:t>
      </w:r>
      <w:r w:rsidR="000D6A05" w:rsidRPr="0054786F">
        <w:rPr>
          <w:rFonts w:ascii="Segoe UI" w:hAnsi="Segoe UI" w:cs="Segoe UI"/>
          <w:bCs/>
          <w:sz w:val="22"/>
          <w:szCs w:val="22"/>
        </w:rPr>
        <w:t>, and again a forward view</w:t>
      </w:r>
      <w:r w:rsidR="00154BCF" w:rsidRPr="0054786F">
        <w:rPr>
          <w:rFonts w:ascii="Segoe UI" w:hAnsi="Segoe UI" w:cs="Segoe UI"/>
          <w:bCs/>
          <w:sz w:val="22"/>
          <w:szCs w:val="22"/>
        </w:rPr>
        <w:t xml:space="preserve"> of upcoming focus.  Another </w:t>
      </w:r>
      <w:r w:rsidR="0054786F" w:rsidRPr="0054786F">
        <w:rPr>
          <w:rFonts w:ascii="Segoe UI" w:hAnsi="Segoe UI" w:cs="Segoe UI"/>
          <w:bCs/>
          <w:sz w:val="22"/>
          <w:szCs w:val="22"/>
        </w:rPr>
        <w:t>very busy period for the tea</w:t>
      </w:r>
      <w:r w:rsidR="0054786F">
        <w:rPr>
          <w:rFonts w:ascii="Segoe UI" w:hAnsi="Segoe UI" w:cs="Segoe UI"/>
          <w:bCs/>
          <w:sz w:val="22"/>
          <w:szCs w:val="22"/>
        </w:rPr>
        <w:t xml:space="preserve">m and significant support afforded </w:t>
      </w:r>
      <w:r w:rsidR="00E6278D">
        <w:rPr>
          <w:rFonts w:ascii="Segoe UI" w:hAnsi="Segoe UI" w:cs="Segoe UI"/>
          <w:bCs/>
          <w:sz w:val="22"/>
          <w:szCs w:val="22"/>
        </w:rPr>
        <w:t xml:space="preserve">a number of areas of import.  </w:t>
      </w:r>
      <w:r w:rsidR="007779AA">
        <w:rPr>
          <w:rFonts w:ascii="Segoe UI" w:hAnsi="Segoe UI" w:cs="Segoe UI"/>
          <w:bCs/>
          <w:sz w:val="22"/>
          <w:szCs w:val="22"/>
        </w:rPr>
        <w:t xml:space="preserve"> </w:t>
      </w:r>
      <w:r w:rsidR="002A1A7E" w:rsidRPr="002A1A7E">
        <w:rPr>
          <w:rFonts w:ascii="Segoe UI" w:hAnsi="Segoe UI" w:cs="Segoe UI"/>
          <w:bCs/>
          <w:sz w:val="22"/>
          <w:szCs w:val="22"/>
        </w:rPr>
        <w:t xml:space="preserve">The annual staff awards in April were a great opportunity to recognise and celebrate our colleagues, both in teams, individuals, and volunteers. It was a return to face-to-face events after Covid, and was very well attended. Feedback about the chance to share best practice and network was also very positive, and we received very positive coverage from the Oxford Mail. </w:t>
      </w:r>
    </w:p>
    <w:p w14:paraId="4A8B7D7B" w14:textId="77777777" w:rsidR="007779AA" w:rsidRDefault="007779AA" w:rsidP="009B7668">
      <w:pPr>
        <w:jc w:val="both"/>
        <w:rPr>
          <w:rFonts w:ascii="Segoe UI" w:hAnsi="Segoe UI" w:cs="Segoe UI"/>
          <w:bCs/>
          <w:sz w:val="22"/>
          <w:szCs w:val="22"/>
        </w:rPr>
      </w:pPr>
    </w:p>
    <w:p w14:paraId="45C8D0C9" w14:textId="6413114C" w:rsidR="002A1A7E" w:rsidRDefault="002A1A7E" w:rsidP="009B7668">
      <w:pPr>
        <w:jc w:val="both"/>
        <w:rPr>
          <w:rFonts w:ascii="Segoe UI" w:hAnsi="Segoe UI" w:cs="Segoe UI"/>
          <w:bCs/>
          <w:sz w:val="22"/>
          <w:szCs w:val="22"/>
        </w:rPr>
      </w:pPr>
      <w:r w:rsidRPr="002A1A7E">
        <w:rPr>
          <w:rFonts w:ascii="Segoe UI" w:hAnsi="Segoe UI" w:cs="Segoe UI"/>
          <w:bCs/>
          <w:sz w:val="22"/>
          <w:szCs w:val="22"/>
        </w:rPr>
        <w:t xml:space="preserve">This event complements our regular monthly Exceptional People Award, and our nursing Bee and Daisy awards, ensuring we have a substantial programme of staff recognition.  April saw a general focus on staff engagement, with publicity around the value of PDR, listening to staff opinions via the Pulse Survey, and the continued revamp of our weekly staff Bulletin to manage a steady flow of relevant and timely information to staff.   Work is ongoing to assess the scope and capacity of the </w:t>
      </w:r>
      <w:r w:rsidR="00A4463D" w:rsidRPr="002A1A7E">
        <w:rPr>
          <w:rFonts w:ascii="Segoe UI" w:hAnsi="Segoe UI" w:cs="Segoe UI"/>
          <w:bCs/>
          <w:sz w:val="22"/>
          <w:szCs w:val="22"/>
        </w:rPr>
        <w:t>team and</w:t>
      </w:r>
      <w:r w:rsidRPr="002A1A7E">
        <w:rPr>
          <w:rFonts w:ascii="Segoe UI" w:hAnsi="Segoe UI" w:cs="Segoe UI"/>
          <w:bCs/>
          <w:sz w:val="22"/>
          <w:szCs w:val="22"/>
        </w:rPr>
        <w:t xml:space="preserve"> ensure that our priorities are aligned with the business objectives of the Trust.</w:t>
      </w:r>
    </w:p>
    <w:p w14:paraId="5E9A038E" w14:textId="77777777" w:rsidR="007668AE" w:rsidRPr="009B7668" w:rsidRDefault="007668AE" w:rsidP="009B7668">
      <w:pPr>
        <w:jc w:val="both"/>
        <w:rPr>
          <w:rFonts w:ascii="Segoe UI" w:hAnsi="Segoe UI" w:cs="Segoe UI"/>
          <w:bCs/>
          <w:sz w:val="22"/>
          <w:szCs w:val="22"/>
        </w:rPr>
      </w:pPr>
    </w:p>
    <w:p w14:paraId="64712ED4" w14:textId="3098DFB8" w:rsidR="007506D5" w:rsidRDefault="009A1618" w:rsidP="004A11CA">
      <w:pPr>
        <w:jc w:val="both"/>
        <w:rPr>
          <w:rFonts w:ascii="Segoe UI" w:hAnsi="Segoe UI" w:cs="Segoe UI"/>
          <w:b/>
          <w:bCs/>
          <w:sz w:val="22"/>
          <w:szCs w:val="22"/>
        </w:rPr>
      </w:pPr>
      <w:r w:rsidRPr="009A1618">
        <w:rPr>
          <w:rFonts w:ascii="Segoe UI" w:hAnsi="Segoe UI" w:cs="Segoe UI"/>
          <w:b/>
          <w:bCs/>
          <w:sz w:val="22"/>
          <w:szCs w:val="22"/>
        </w:rPr>
        <w:t>Compliance matters</w:t>
      </w:r>
      <w:r w:rsidR="003C632D">
        <w:rPr>
          <w:rFonts w:ascii="Segoe UI" w:hAnsi="Segoe UI" w:cs="Segoe UI"/>
          <w:b/>
          <w:bCs/>
          <w:sz w:val="22"/>
          <w:szCs w:val="22"/>
        </w:rPr>
        <w:t xml:space="preserve"> and prospective analysis</w:t>
      </w:r>
    </w:p>
    <w:p w14:paraId="798B1D03" w14:textId="77777777" w:rsidR="00DC7F52" w:rsidRPr="009A1618" w:rsidRDefault="00DC7F52" w:rsidP="004A11CA">
      <w:pPr>
        <w:jc w:val="both"/>
        <w:rPr>
          <w:rFonts w:ascii="Segoe UI" w:hAnsi="Segoe UI" w:cs="Segoe UI"/>
          <w:b/>
          <w:bCs/>
          <w:sz w:val="22"/>
          <w:szCs w:val="22"/>
        </w:rPr>
      </w:pPr>
    </w:p>
    <w:p w14:paraId="097D8AD0" w14:textId="5843B426"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w:t>
      </w:r>
      <w:r w:rsidR="006E0C0B">
        <w:rPr>
          <w:rFonts w:ascii="Segoe UI" w:hAnsi="Segoe UI" w:cs="Segoe UI"/>
          <w:sz w:val="22"/>
          <w:szCs w:val="22"/>
        </w:rPr>
        <w:t xml:space="preserve">Legal Regulatory and Policy </w:t>
      </w:r>
      <w:r w:rsidRPr="00D357BC">
        <w:rPr>
          <w:rFonts w:ascii="Segoe UI" w:hAnsi="Segoe UI" w:cs="Segoe UI"/>
          <w:sz w:val="22"/>
          <w:szCs w:val="22"/>
        </w:rPr>
        <w:t xml:space="preserve">Update Report is designed to reflect changes in legislation, guidance, the structure of the NHS, and government policy and direction on health and social care. A summation of the change is provided for each item and where relevant, a sense of the Trust’s position with regard to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note the content of the report and where relevant, members should each be satisfied of their individual and collective assurances that the internal controls in place to deliver compliance against any Trust’s obligations are effective.  </w:t>
      </w:r>
      <w:r w:rsidRPr="00EA626C">
        <w:rPr>
          <w:rFonts w:ascii="Segoe UI" w:hAnsi="Segoe UI" w:cs="Segoe UI"/>
          <w:bCs/>
          <w:sz w:val="22"/>
          <w:szCs w:val="22"/>
        </w:rPr>
        <w:t>The Appendix should</w:t>
      </w:r>
      <w:r w:rsidR="005C74DE" w:rsidRPr="00EA626C">
        <w:rPr>
          <w:rFonts w:ascii="Segoe UI" w:hAnsi="Segoe UI" w:cs="Segoe UI"/>
          <w:bCs/>
          <w:sz w:val="22"/>
          <w:szCs w:val="22"/>
        </w:rPr>
        <w:t>, on a risk bas</w:t>
      </w:r>
      <w:r w:rsidR="00B54FB9" w:rsidRPr="00EA626C">
        <w:rPr>
          <w:rFonts w:ascii="Segoe UI" w:hAnsi="Segoe UI" w:cs="Segoe UI"/>
          <w:bCs/>
          <w:sz w:val="22"/>
          <w:szCs w:val="22"/>
        </w:rPr>
        <w:t>is,</w:t>
      </w:r>
      <w:r w:rsidRPr="00EA626C">
        <w:rPr>
          <w:rFonts w:ascii="Segoe UI" w:hAnsi="Segoe UI" w:cs="Segoe UI"/>
          <w:bCs/>
          <w:sz w:val="22"/>
          <w:szCs w:val="22"/>
        </w:rPr>
        <w:t xml:space="preserve"> prompt consideration of the need to commission any deep dive (</w:t>
      </w:r>
      <w:r w:rsidR="00E00681" w:rsidRPr="00EA626C">
        <w:rPr>
          <w:rFonts w:ascii="Segoe UI" w:hAnsi="Segoe UI" w:cs="Segoe UI"/>
          <w:bCs/>
          <w:sz w:val="22"/>
          <w:szCs w:val="22"/>
        </w:rPr>
        <w:t xml:space="preserve">or </w:t>
      </w:r>
      <w:r w:rsidRPr="00EA626C">
        <w:rPr>
          <w:rFonts w:ascii="Segoe UI" w:hAnsi="Segoe UI" w:cs="Segoe UI"/>
          <w:bCs/>
          <w:sz w:val="22"/>
          <w:szCs w:val="22"/>
        </w:rPr>
        <w:t>‘true for us’ review</w:t>
      </w:r>
      <w:r w:rsidR="00E00681" w:rsidRPr="00EA626C">
        <w:rPr>
          <w:rFonts w:ascii="Segoe UI" w:hAnsi="Segoe UI" w:cs="Segoe UI"/>
          <w:bCs/>
          <w:sz w:val="22"/>
          <w:szCs w:val="22"/>
        </w:rPr>
        <w:t>s</w:t>
      </w:r>
      <w:r w:rsidRPr="00EA626C">
        <w:rPr>
          <w:rFonts w:ascii="Segoe UI" w:hAnsi="Segoe UI" w:cs="Segoe UI"/>
          <w:bCs/>
          <w:sz w:val="22"/>
          <w:szCs w:val="22"/>
        </w:rPr>
        <w:t>) in order to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70DDF87F" w14:textId="036A2591" w:rsidR="004A11CA"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relevant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w:t>
      </w:r>
      <w:r w:rsidR="00EC4CC4">
        <w:rPr>
          <w:rFonts w:ascii="Segoe UI" w:hAnsi="Segoe UI" w:cs="Segoe UI"/>
          <w:sz w:val="22"/>
          <w:szCs w:val="22"/>
        </w:rPr>
        <w:t xml:space="preserve">routine </w:t>
      </w:r>
      <w:r w:rsidRPr="00D357BC">
        <w:rPr>
          <w:rFonts w:ascii="Segoe UI" w:hAnsi="Segoe UI" w:cs="Segoe UI"/>
          <w:sz w:val="22"/>
          <w:szCs w:val="22"/>
        </w:rPr>
        <w:t>Board reports of individual Executives.</w:t>
      </w:r>
    </w:p>
    <w:p w14:paraId="1A2FDC9B" w14:textId="77777777" w:rsidR="00D55F3D" w:rsidRDefault="00D55F3D" w:rsidP="004A11CA">
      <w:pPr>
        <w:jc w:val="both"/>
        <w:rPr>
          <w:rFonts w:ascii="Segoe UI" w:hAnsi="Segoe UI" w:cs="Segoe UI"/>
          <w:sz w:val="22"/>
          <w:szCs w:val="22"/>
        </w:rPr>
      </w:pPr>
    </w:p>
    <w:p w14:paraId="62750377" w14:textId="26D0A86E" w:rsidR="00206623" w:rsidRDefault="00206623" w:rsidP="004A11CA">
      <w:pPr>
        <w:jc w:val="both"/>
        <w:rPr>
          <w:rFonts w:ascii="Segoe UI" w:hAnsi="Segoe UI" w:cs="Segoe UI"/>
          <w:sz w:val="22"/>
          <w:szCs w:val="22"/>
        </w:rPr>
      </w:pPr>
      <w:r w:rsidRPr="00206623">
        <w:rPr>
          <w:rFonts w:ascii="Segoe UI" w:hAnsi="Segoe UI" w:cs="Segoe UI"/>
          <w:sz w:val="22"/>
          <w:szCs w:val="22"/>
        </w:rPr>
        <w:t xml:space="preserve">The principal Committee meetings of the Board are aligned to the cadence of the Board calendar, with the Chair of each Committee providing the Board with their latest updates and recommendations for approval.  Following the </w:t>
      </w:r>
      <w:r w:rsidR="00A47CBF">
        <w:rPr>
          <w:rFonts w:ascii="Segoe UI" w:hAnsi="Segoe UI" w:cs="Segoe UI"/>
          <w:sz w:val="22"/>
          <w:szCs w:val="22"/>
        </w:rPr>
        <w:t>final report of</w:t>
      </w:r>
      <w:r w:rsidRPr="00206623">
        <w:rPr>
          <w:rFonts w:ascii="Segoe UI" w:hAnsi="Segoe UI" w:cs="Segoe UI"/>
          <w:sz w:val="22"/>
          <w:szCs w:val="22"/>
        </w:rPr>
        <w:t xml:space="preserve"> the Good Governance Institute as part of the external review against the Well Led framework into quality governance, the Chair of each Committee </w:t>
      </w:r>
      <w:r w:rsidR="00A47CBF">
        <w:rPr>
          <w:rFonts w:ascii="Segoe UI" w:hAnsi="Segoe UI" w:cs="Segoe UI"/>
          <w:sz w:val="22"/>
          <w:szCs w:val="22"/>
        </w:rPr>
        <w:t>has since</w:t>
      </w:r>
      <w:r w:rsidRPr="00206623">
        <w:rPr>
          <w:rFonts w:ascii="Segoe UI" w:hAnsi="Segoe UI" w:cs="Segoe UI"/>
          <w:sz w:val="22"/>
          <w:szCs w:val="22"/>
        </w:rPr>
        <w:t xml:space="preserve"> November adopt</w:t>
      </w:r>
      <w:r w:rsidR="00A47CBF">
        <w:rPr>
          <w:rFonts w:ascii="Segoe UI" w:hAnsi="Segoe UI" w:cs="Segoe UI"/>
          <w:sz w:val="22"/>
          <w:szCs w:val="22"/>
        </w:rPr>
        <w:t>ed</w:t>
      </w:r>
      <w:r w:rsidRPr="00206623">
        <w:rPr>
          <w:rFonts w:ascii="Segoe UI" w:hAnsi="Segoe UI" w:cs="Segoe UI"/>
          <w:sz w:val="22"/>
          <w:szCs w:val="22"/>
        </w:rPr>
        <w:t xml:space="preserve"> a ‘Three A’s’ approach to upward reporting to Board (Advice, Alert, Assur</w:t>
      </w:r>
      <w:r w:rsidR="00B824C5">
        <w:rPr>
          <w:rFonts w:ascii="Segoe UI" w:hAnsi="Segoe UI" w:cs="Segoe UI"/>
          <w:sz w:val="22"/>
          <w:szCs w:val="22"/>
        </w:rPr>
        <w:t>e</w:t>
      </w:r>
      <w:r w:rsidRPr="00206623">
        <w:rPr>
          <w:rFonts w:ascii="Segoe UI" w:hAnsi="Segoe UI" w:cs="Segoe UI"/>
          <w:sz w:val="22"/>
          <w:szCs w:val="22"/>
        </w:rPr>
        <w:t>).  In addition to the matters in this report, the Board will need to use the Committee Chair’s updates to also influence its identification and assessment of new/emerging risk.</w:t>
      </w:r>
      <w:r w:rsidR="003507C3">
        <w:rPr>
          <w:rFonts w:ascii="Segoe UI" w:hAnsi="Segoe UI" w:cs="Segoe UI"/>
          <w:sz w:val="22"/>
          <w:szCs w:val="22"/>
        </w:rPr>
        <w:t xml:space="preserve">  </w:t>
      </w:r>
    </w:p>
    <w:p w14:paraId="58E97D36" w14:textId="10756879" w:rsidR="00D55F3D" w:rsidRDefault="00D55F3D" w:rsidP="004A11CA">
      <w:pPr>
        <w:jc w:val="both"/>
        <w:rPr>
          <w:rFonts w:ascii="Segoe UI" w:hAnsi="Segoe UI" w:cs="Segoe UI"/>
          <w:sz w:val="22"/>
          <w:szCs w:val="22"/>
        </w:rPr>
      </w:pPr>
    </w:p>
    <w:p w14:paraId="4426D8A1" w14:textId="2E98DBD7" w:rsidR="00D55F3D" w:rsidRPr="00D55F3D" w:rsidRDefault="00D55F3D" w:rsidP="00D55F3D">
      <w:pPr>
        <w:jc w:val="both"/>
        <w:rPr>
          <w:rFonts w:ascii="Segoe UI" w:hAnsi="Segoe UI" w:cs="Segoe UI"/>
          <w:sz w:val="22"/>
          <w:szCs w:val="22"/>
        </w:rPr>
      </w:pPr>
      <w:r w:rsidRPr="00D55F3D">
        <w:rPr>
          <w:rFonts w:ascii="Segoe UI" w:hAnsi="Segoe UI" w:cs="Segoe UI"/>
          <w:sz w:val="22"/>
          <w:szCs w:val="22"/>
        </w:rPr>
        <w:t>Early consideration</w:t>
      </w:r>
      <w:r w:rsidR="00060F22">
        <w:rPr>
          <w:rFonts w:ascii="Segoe UI" w:hAnsi="Segoe UI" w:cs="Segoe UI"/>
          <w:sz w:val="22"/>
          <w:szCs w:val="22"/>
        </w:rPr>
        <w:t xml:space="preserve"> of matters in this report</w:t>
      </w:r>
      <w:r w:rsidRPr="00D55F3D">
        <w:rPr>
          <w:rFonts w:ascii="Segoe UI" w:hAnsi="Segoe UI" w:cs="Segoe UI"/>
          <w:sz w:val="22"/>
          <w:szCs w:val="22"/>
        </w:rPr>
        <w:t xml:space="preserve"> supports a prospective understanding of risk and opportunity.  Chairs </w:t>
      </w:r>
      <w:r w:rsidR="00353AD0">
        <w:rPr>
          <w:rFonts w:ascii="Segoe UI" w:hAnsi="Segoe UI" w:cs="Segoe UI"/>
          <w:sz w:val="22"/>
          <w:szCs w:val="22"/>
        </w:rPr>
        <w:t xml:space="preserve">and members </w:t>
      </w:r>
      <w:r w:rsidRPr="00D55F3D">
        <w:rPr>
          <w:rFonts w:ascii="Segoe UI" w:hAnsi="Segoe UI" w:cs="Segoe UI"/>
          <w:sz w:val="22"/>
          <w:szCs w:val="22"/>
        </w:rPr>
        <w:t>of Board Committees should consider whether more detailed assurances relevant to their committees, are necessary, utilising this report as a constructive stimulant to inform the composition of meeting agendas and reporting focus as necessary or appropriate.</w:t>
      </w:r>
    </w:p>
    <w:p w14:paraId="0E9325E3" w14:textId="77777777" w:rsidR="004A11CA" w:rsidRPr="00D357BC" w:rsidRDefault="004A11CA" w:rsidP="004A11CA">
      <w:pPr>
        <w:jc w:val="both"/>
        <w:rPr>
          <w:rFonts w:ascii="Segoe UI" w:hAnsi="Segoe UI" w:cs="Segoe UI"/>
          <w:sz w:val="22"/>
          <w:szCs w:val="22"/>
        </w:rPr>
      </w:pPr>
    </w:p>
    <w:p w14:paraId="5BA479A6" w14:textId="78F1C6EE" w:rsidR="008E2BDA" w:rsidRPr="00602C81" w:rsidRDefault="004A11CA" w:rsidP="008F2D28">
      <w:pPr>
        <w:jc w:val="both"/>
        <w:rPr>
          <w:rFonts w:ascii="Segoe UI" w:hAnsi="Segoe UI" w:cs="Segoe UI"/>
          <w:sz w:val="22"/>
          <w:szCs w:val="22"/>
        </w:rPr>
      </w:pPr>
      <w:r w:rsidRPr="00602C81">
        <w:rPr>
          <w:rFonts w:ascii="Segoe UI" w:hAnsi="Segoe UI" w:cs="Segoe UI"/>
          <w:b/>
          <w:bCs/>
          <w:sz w:val="22"/>
          <w:szCs w:val="22"/>
        </w:rPr>
        <w:t>In this m</w:t>
      </w:r>
      <w:r w:rsidR="0071150B" w:rsidRPr="00602C81">
        <w:rPr>
          <w:rFonts w:ascii="Segoe UI" w:hAnsi="Segoe UI" w:cs="Segoe UI"/>
          <w:b/>
          <w:bCs/>
          <w:sz w:val="22"/>
          <w:szCs w:val="22"/>
        </w:rPr>
        <w:t>onth</w:t>
      </w:r>
      <w:r w:rsidRPr="00602C81">
        <w:rPr>
          <w:rFonts w:ascii="Segoe UI" w:hAnsi="Segoe UI" w:cs="Segoe UI"/>
          <w:b/>
          <w:bCs/>
          <w:sz w:val="22"/>
          <w:szCs w:val="22"/>
        </w:rPr>
        <w:t>’s Legal and Regulatory Update</w:t>
      </w:r>
      <w:r w:rsidRPr="00602C81">
        <w:rPr>
          <w:rFonts w:ascii="Segoe UI" w:hAnsi="Segoe UI" w:cs="Segoe UI"/>
          <w:sz w:val="22"/>
          <w:szCs w:val="22"/>
        </w:rPr>
        <w:t xml:space="preserve">, </w:t>
      </w:r>
      <w:r w:rsidR="0011419A">
        <w:rPr>
          <w:rFonts w:ascii="Segoe UI" w:hAnsi="Segoe UI" w:cs="Segoe UI"/>
          <w:sz w:val="22"/>
          <w:szCs w:val="22"/>
        </w:rPr>
        <w:t xml:space="preserve"> there has been a much smaller number </w:t>
      </w:r>
      <w:r w:rsidR="008A0701">
        <w:rPr>
          <w:rFonts w:ascii="Segoe UI" w:hAnsi="Segoe UI" w:cs="Segoe UI"/>
          <w:sz w:val="22"/>
          <w:szCs w:val="22"/>
        </w:rPr>
        <w:t>of legal and regulatory matters of import than in many previous reports.  A</w:t>
      </w:r>
      <w:r w:rsidR="00B12FA8" w:rsidRPr="00602C81">
        <w:rPr>
          <w:rFonts w:ascii="Segoe UI" w:hAnsi="Segoe UI" w:cs="Segoe UI"/>
          <w:sz w:val="22"/>
          <w:szCs w:val="22"/>
        </w:rPr>
        <w:t xml:space="preserve"> number of </w:t>
      </w:r>
      <w:r w:rsidR="00034F7E" w:rsidRPr="00602C81">
        <w:rPr>
          <w:rFonts w:ascii="Segoe UI" w:hAnsi="Segoe UI" w:cs="Segoe UI"/>
          <w:sz w:val="22"/>
          <w:szCs w:val="22"/>
        </w:rPr>
        <w:t>p</w:t>
      </w:r>
      <w:r w:rsidR="00300E3B" w:rsidRPr="00602C81">
        <w:rPr>
          <w:rFonts w:ascii="Segoe UI" w:hAnsi="Segoe UI" w:cs="Segoe UI"/>
          <w:sz w:val="22"/>
          <w:szCs w:val="22"/>
        </w:rPr>
        <w:t>ublication</w:t>
      </w:r>
      <w:r w:rsidR="00034F7E" w:rsidRPr="00602C81">
        <w:rPr>
          <w:rFonts w:ascii="Segoe UI" w:hAnsi="Segoe UI" w:cs="Segoe UI"/>
          <w:sz w:val="22"/>
          <w:szCs w:val="22"/>
        </w:rPr>
        <w:t xml:space="preserve">s </w:t>
      </w:r>
      <w:r w:rsidR="000F6F5F" w:rsidRPr="00602C81">
        <w:rPr>
          <w:rFonts w:ascii="Segoe UI" w:hAnsi="Segoe UI" w:cs="Segoe UI"/>
          <w:sz w:val="22"/>
          <w:szCs w:val="22"/>
        </w:rPr>
        <w:t xml:space="preserve">have significance for the </w:t>
      </w:r>
      <w:r w:rsidR="00602C81" w:rsidRPr="00602C81">
        <w:rPr>
          <w:rFonts w:ascii="Segoe UI" w:hAnsi="Segoe UI" w:cs="Segoe UI"/>
          <w:sz w:val="22"/>
          <w:szCs w:val="22"/>
        </w:rPr>
        <w:t>Trust.</w:t>
      </w:r>
    </w:p>
    <w:p w14:paraId="06FC95BC" w14:textId="77777777" w:rsidR="009B4D94" w:rsidRPr="009B4D94" w:rsidRDefault="009B4D94" w:rsidP="009B4D94">
      <w:pPr>
        <w:jc w:val="both"/>
        <w:rPr>
          <w:rFonts w:ascii="Segoe UI" w:hAnsi="Segoe UI" w:cs="Segoe UI"/>
          <w:sz w:val="22"/>
          <w:szCs w:val="22"/>
          <w:lang w:val="en-GB"/>
        </w:rPr>
      </w:pPr>
    </w:p>
    <w:p w14:paraId="05A7923D" w14:textId="799E2165" w:rsidR="00081AA3" w:rsidRDefault="009B4D94" w:rsidP="009B4D94">
      <w:pPr>
        <w:jc w:val="both"/>
        <w:rPr>
          <w:rFonts w:ascii="Segoe UI" w:hAnsi="Segoe UI" w:cs="Segoe UI"/>
          <w:sz w:val="22"/>
          <w:szCs w:val="22"/>
          <w:lang w:val="en-GB"/>
        </w:rPr>
      </w:pPr>
      <w:r w:rsidRPr="009B4D94">
        <w:rPr>
          <w:rFonts w:ascii="Segoe UI" w:hAnsi="Segoe UI" w:cs="Segoe UI"/>
          <w:sz w:val="22"/>
          <w:szCs w:val="22"/>
          <w:lang w:val="en-GB"/>
        </w:rPr>
        <w:t xml:space="preserve">The </w:t>
      </w:r>
      <w:r w:rsidRPr="009B4D94">
        <w:rPr>
          <w:rFonts w:ascii="Segoe UI" w:hAnsi="Segoe UI" w:cs="Segoe UI"/>
          <w:b/>
          <w:bCs/>
          <w:sz w:val="22"/>
          <w:szCs w:val="22"/>
          <w:lang w:val="en-GB"/>
        </w:rPr>
        <w:t>provider licence</w:t>
      </w:r>
      <w:r w:rsidR="008A0701">
        <w:rPr>
          <w:rFonts w:ascii="Segoe UI" w:hAnsi="Segoe UI" w:cs="Segoe UI"/>
          <w:b/>
          <w:bCs/>
          <w:sz w:val="22"/>
          <w:szCs w:val="22"/>
          <w:lang w:val="en-GB"/>
        </w:rPr>
        <w:t xml:space="preserve"> </w:t>
      </w:r>
      <w:r w:rsidR="008A0701" w:rsidRPr="008A0701">
        <w:rPr>
          <w:rFonts w:ascii="Segoe UI" w:hAnsi="Segoe UI" w:cs="Segoe UI"/>
          <w:sz w:val="22"/>
          <w:szCs w:val="22"/>
          <w:lang w:val="en-GB"/>
        </w:rPr>
        <w:t>is one such areas, and</w:t>
      </w:r>
      <w:r w:rsidR="008A0701">
        <w:rPr>
          <w:rFonts w:ascii="Segoe UI" w:hAnsi="Segoe UI" w:cs="Segoe UI"/>
          <w:b/>
          <w:bCs/>
          <w:sz w:val="22"/>
          <w:szCs w:val="22"/>
          <w:lang w:val="en-GB"/>
        </w:rPr>
        <w:t xml:space="preserve"> </w:t>
      </w:r>
      <w:r w:rsidRPr="009B4D94">
        <w:rPr>
          <w:rFonts w:ascii="Segoe UI" w:hAnsi="Segoe UI" w:cs="Segoe UI"/>
          <w:sz w:val="22"/>
          <w:szCs w:val="22"/>
          <w:lang w:val="en-GB"/>
        </w:rPr>
        <w:t>forms part of the oversight arrangements for NHS providers. The NHS Oversight Framework (SOF) details the overall principles, responsibilities and key metrics for oversight, while the provider licence serves as the legal mechanism for any formal regulatory intervention and underpins mandated support for the most challenged providers.</w:t>
      </w:r>
    </w:p>
    <w:p w14:paraId="49BFB1EE" w14:textId="77777777" w:rsidR="005E62D3" w:rsidRDefault="005E62D3" w:rsidP="009B4D94">
      <w:pPr>
        <w:jc w:val="both"/>
        <w:rPr>
          <w:rFonts w:ascii="Segoe UI" w:hAnsi="Segoe UI" w:cs="Segoe UI"/>
          <w:sz w:val="22"/>
          <w:szCs w:val="22"/>
          <w:lang w:val="en-GB"/>
        </w:rPr>
      </w:pPr>
    </w:p>
    <w:p w14:paraId="19C9E054" w14:textId="13608C04" w:rsidR="0052266F" w:rsidRDefault="005E62D3" w:rsidP="0052266F">
      <w:pPr>
        <w:jc w:val="both"/>
      </w:pPr>
      <w:r w:rsidRPr="005E62D3">
        <w:rPr>
          <w:rFonts w:ascii="Segoe UI" w:hAnsi="Segoe UI" w:cs="Segoe UI"/>
          <w:sz w:val="22"/>
          <w:szCs w:val="22"/>
          <w:lang w:val="en-GB"/>
        </w:rPr>
        <w:t>The need to change the licence has arisen from changes to the statutory and operating environment, including a shift of emphasis from economic regulation and competition to system working and collaboration. The changes</w:t>
      </w:r>
      <w:r w:rsidR="003315C0">
        <w:rPr>
          <w:rFonts w:ascii="Segoe UI" w:hAnsi="Segoe UI" w:cs="Segoe UI"/>
          <w:sz w:val="22"/>
          <w:szCs w:val="22"/>
          <w:lang w:val="en-GB"/>
        </w:rPr>
        <w:t xml:space="preserve"> </w:t>
      </w:r>
      <w:r w:rsidRPr="005E62D3">
        <w:rPr>
          <w:rFonts w:ascii="Segoe UI" w:hAnsi="Segoe UI" w:cs="Segoe UI"/>
          <w:sz w:val="22"/>
          <w:szCs w:val="22"/>
          <w:lang w:val="en-GB"/>
        </w:rPr>
        <w:t>bring the licence up to date, reflecting the new legislation and supporting providers to work effectively as part of integrated care systems (ICSs).</w:t>
      </w:r>
      <w:r w:rsidR="0052266F" w:rsidRPr="0052266F">
        <w:t xml:space="preserve"> </w:t>
      </w:r>
    </w:p>
    <w:p w14:paraId="291B49B4" w14:textId="77777777" w:rsidR="00E51C60" w:rsidRDefault="00E51C60" w:rsidP="0052266F">
      <w:pPr>
        <w:jc w:val="both"/>
      </w:pPr>
    </w:p>
    <w:p w14:paraId="67D944E4" w14:textId="0FFC35F7" w:rsidR="00512645" w:rsidRPr="00512645" w:rsidRDefault="00094887" w:rsidP="00512645">
      <w:pPr>
        <w:jc w:val="both"/>
        <w:rPr>
          <w:rFonts w:ascii="Segoe UI" w:hAnsi="Segoe UI" w:cs="Segoe UI"/>
          <w:sz w:val="22"/>
          <w:szCs w:val="22"/>
          <w:lang w:val="en-GB"/>
        </w:rPr>
      </w:pPr>
      <w:r>
        <w:rPr>
          <w:rFonts w:ascii="Segoe UI" w:hAnsi="Segoe UI" w:cs="Segoe UI"/>
          <w:sz w:val="22"/>
          <w:szCs w:val="22"/>
          <w:lang w:val="en-GB"/>
        </w:rPr>
        <w:t>R</w:t>
      </w:r>
      <w:r w:rsidR="0052266F" w:rsidRPr="0052266F">
        <w:rPr>
          <w:rFonts w:ascii="Segoe UI" w:hAnsi="Segoe UI" w:cs="Segoe UI"/>
          <w:sz w:val="22"/>
          <w:szCs w:val="22"/>
          <w:lang w:val="en-GB"/>
        </w:rPr>
        <w:t xml:space="preserve">equirements around self-certification for NHS trusts and foundation trusts, </w:t>
      </w:r>
      <w:r>
        <w:rPr>
          <w:rFonts w:ascii="Segoe UI" w:hAnsi="Segoe UI" w:cs="Segoe UI"/>
          <w:sz w:val="22"/>
          <w:szCs w:val="22"/>
          <w:lang w:val="en-GB"/>
        </w:rPr>
        <w:t xml:space="preserve">have been removed </w:t>
      </w:r>
      <w:r w:rsidR="0052266F" w:rsidRPr="0052266F">
        <w:rPr>
          <w:rFonts w:ascii="Segoe UI" w:hAnsi="Segoe UI" w:cs="Segoe UI"/>
          <w:sz w:val="22"/>
          <w:szCs w:val="22"/>
          <w:lang w:val="en-GB"/>
        </w:rPr>
        <w:t>due to duplication with annual reporting</w:t>
      </w:r>
      <w:r>
        <w:rPr>
          <w:rFonts w:ascii="Segoe UI" w:hAnsi="Segoe UI" w:cs="Segoe UI"/>
          <w:sz w:val="22"/>
          <w:szCs w:val="22"/>
          <w:lang w:val="en-GB"/>
        </w:rPr>
        <w:t xml:space="preserve"> </w:t>
      </w:r>
      <w:r w:rsidR="0052266F" w:rsidRPr="0052266F">
        <w:rPr>
          <w:rFonts w:ascii="Segoe UI" w:hAnsi="Segoe UI" w:cs="Segoe UI"/>
          <w:sz w:val="22"/>
          <w:szCs w:val="22"/>
          <w:lang w:val="en-GB"/>
        </w:rPr>
        <w:t>requirements and to reduce regulatory burden</w:t>
      </w:r>
      <w:r w:rsidR="000B437E">
        <w:rPr>
          <w:rFonts w:ascii="Segoe UI" w:hAnsi="Segoe UI" w:cs="Segoe UI"/>
          <w:sz w:val="22"/>
          <w:szCs w:val="22"/>
          <w:lang w:val="en-GB"/>
        </w:rPr>
        <w:t xml:space="preserve"> by </w:t>
      </w:r>
      <w:r w:rsidR="00512645" w:rsidRPr="00512645">
        <w:rPr>
          <w:rFonts w:ascii="Segoe UI" w:hAnsi="Segoe UI" w:cs="Segoe UI"/>
          <w:sz w:val="22"/>
          <w:szCs w:val="22"/>
          <w:lang w:val="en-GB"/>
        </w:rPr>
        <w:t>re</w:t>
      </w:r>
      <w:r w:rsidR="008730F6">
        <w:rPr>
          <w:rFonts w:ascii="Segoe UI" w:hAnsi="Segoe UI" w:cs="Segoe UI"/>
          <w:sz w:val="22"/>
          <w:szCs w:val="22"/>
          <w:lang w:val="en-GB"/>
        </w:rPr>
        <w:t>moving reporting</w:t>
      </w:r>
      <w:r w:rsidR="00512645" w:rsidRPr="00512645">
        <w:rPr>
          <w:rFonts w:ascii="Segoe UI" w:hAnsi="Segoe UI" w:cs="Segoe UI"/>
          <w:sz w:val="22"/>
          <w:szCs w:val="22"/>
          <w:lang w:val="en-GB"/>
        </w:rPr>
        <w:t xml:space="preserve"> requirements from General Condition 6 (Systems for compliance), which requires licensees to self-certify against the licence, and Foundation Trust Condition 4/Controlled Provider condition 1, which requires foundation trusts to report on past and future compliance with the licence and to prepare a Corporate Governance Statement.  </w:t>
      </w:r>
    </w:p>
    <w:p w14:paraId="0A212CF2" w14:textId="77777777" w:rsidR="008C530B" w:rsidRDefault="008C530B" w:rsidP="00512645">
      <w:pPr>
        <w:jc w:val="both"/>
        <w:rPr>
          <w:rFonts w:ascii="Segoe UI" w:hAnsi="Segoe UI" w:cs="Segoe UI"/>
          <w:sz w:val="22"/>
          <w:szCs w:val="22"/>
          <w:lang w:val="en-GB"/>
        </w:rPr>
      </w:pPr>
    </w:p>
    <w:p w14:paraId="1C6DEE29" w14:textId="2AFDAEC1" w:rsidR="00512645" w:rsidRDefault="00773013" w:rsidP="00512645">
      <w:pPr>
        <w:jc w:val="both"/>
        <w:rPr>
          <w:rFonts w:ascii="Segoe UI" w:hAnsi="Segoe UI" w:cs="Segoe UI"/>
          <w:sz w:val="22"/>
          <w:szCs w:val="22"/>
          <w:lang w:val="en-GB"/>
        </w:rPr>
      </w:pPr>
      <w:r>
        <w:rPr>
          <w:rFonts w:ascii="Segoe UI" w:hAnsi="Segoe UI" w:cs="Segoe UI"/>
          <w:sz w:val="22"/>
          <w:szCs w:val="22"/>
          <w:lang w:val="en-GB"/>
        </w:rPr>
        <w:t>Th</w:t>
      </w:r>
      <w:r w:rsidR="006A16BD">
        <w:rPr>
          <w:rFonts w:ascii="Segoe UI" w:hAnsi="Segoe UI" w:cs="Segoe UI"/>
          <w:sz w:val="22"/>
          <w:szCs w:val="22"/>
          <w:lang w:val="en-GB"/>
        </w:rPr>
        <w:t xml:space="preserve">is will </w:t>
      </w:r>
      <w:r w:rsidR="00512645" w:rsidRPr="00512645">
        <w:rPr>
          <w:rFonts w:ascii="Segoe UI" w:hAnsi="Segoe UI" w:cs="Segoe UI"/>
          <w:sz w:val="22"/>
          <w:szCs w:val="22"/>
          <w:lang w:val="en-GB"/>
        </w:rPr>
        <w:t xml:space="preserve">streamline requirements and reduce burden. However, </w:t>
      </w:r>
      <w:r w:rsidR="006A16BD">
        <w:rPr>
          <w:rFonts w:ascii="Segoe UI" w:hAnsi="Segoe UI" w:cs="Segoe UI"/>
          <w:sz w:val="22"/>
          <w:szCs w:val="22"/>
          <w:lang w:val="en-GB"/>
        </w:rPr>
        <w:t>we may at some point wish to consider the</w:t>
      </w:r>
      <w:r w:rsidR="00512645" w:rsidRPr="00512645">
        <w:rPr>
          <w:rFonts w:ascii="Segoe UI" w:hAnsi="Segoe UI" w:cs="Segoe UI"/>
          <w:sz w:val="22"/>
          <w:szCs w:val="22"/>
          <w:lang w:val="en-GB"/>
        </w:rPr>
        <w:t xml:space="preserve"> usefulness of the Corporate Governance Statement in focusing Board attention to governance processes and compliance issues and </w:t>
      </w:r>
      <w:r w:rsidR="006A16BD">
        <w:rPr>
          <w:rFonts w:ascii="Segoe UI" w:hAnsi="Segoe UI" w:cs="Segoe UI"/>
          <w:sz w:val="22"/>
          <w:szCs w:val="22"/>
          <w:lang w:val="en-GB"/>
        </w:rPr>
        <w:t>decide if there is benefit in continuing</w:t>
      </w:r>
      <w:r w:rsidR="00512645" w:rsidRPr="00512645">
        <w:rPr>
          <w:rFonts w:ascii="Segoe UI" w:hAnsi="Segoe UI" w:cs="Segoe UI"/>
          <w:sz w:val="22"/>
          <w:szCs w:val="22"/>
          <w:lang w:val="en-GB"/>
        </w:rPr>
        <w:t xml:space="preserve"> this process internally.</w:t>
      </w:r>
    </w:p>
    <w:p w14:paraId="37379DCF" w14:textId="77777777" w:rsidR="006A16BD" w:rsidRPr="00512645" w:rsidRDefault="006A16BD" w:rsidP="00512645">
      <w:pPr>
        <w:jc w:val="both"/>
        <w:rPr>
          <w:rFonts w:ascii="Segoe UI" w:hAnsi="Segoe UI" w:cs="Segoe UI"/>
          <w:sz w:val="22"/>
          <w:szCs w:val="22"/>
          <w:lang w:val="en-GB"/>
        </w:rPr>
      </w:pPr>
    </w:p>
    <w:p w14:paraId="405667B2" w14:textId="284F61C1" w:rsidR="00512645" w:rsidRPr="00512645" w:rsidRDefault="00882A1B" w:rsidP="00512645">
      <w:pPr>
        <w:jc w:val="both"/>
        <w:rPr>
          <w:rFonts w:ascii="Segoe UI" w:hAnsi="Segoe UI" w:cs="Segoe UI"/>
          <w:sz w:val="22"/>
          <w:szCs w:val="22"/>
          <w:lang w:val="en-GB"/>
        </w:rPr>
      </w:pPr>
      <w:r>
        <w:rPr>
          <w:rFonts w:ascii="Segoe UI" w:hAnsi="Segoe UI" w:cs="Segoe UI"/>
          <w:sz w:val="22"/>
          <w:szCs w:val="22"/>
          <w:lang w:val="en-GB"/>
        </w:rPr>
        <w:t xml:space="preserve">It is </w:t>
      </w:r>
      <w:r w:rsidR="00512645" w:rsidRPr="00512645">
        <w:rPr>
          <w:rFonts w:ascii="Segoe UI" w:hAnsi="Segoe UI" w:cs="Segoe UI"/>
          <w:sz w:val="22"/>
          <w:szCs w:val="22"/>
          <w:lang w:val="en-GB"/>
        </w:rPr>
        <w:t xml:space="preserve">noted the range of other reporting mechanisms </w:t>
      </w:r>
      <w:r w:rsidR="00DB798B">
        <w:rPr>
          <w:rFonts w:ascii="Segoe UI" w:hAnsi="Segoe UI" w:cs="Segoe UI"/>
          <w:sz w:val="22"/>
          <w:szCs w:val="22"/>
          <w:lang w:val="en-GB"/>
        </w:rPr>
        <w:t>will</w:t>
      </w:r>
      <w:r w:rsidR="00512645" w:rsidRPr="00512645">
        <w:rPr>
          <w:rFonts w:ascii="Segoe UI" w:hAnsi="Segoe UI" w:cs="Segoe UI"/>
          <w:sz w:val="22"/>
          <w:szCs w:val="22"/>
          <w:lang w:val="en-GB"/>
        </w:rPr>
        <w:t xml:space="preserve"> continue, such as the annual report, annual governance statements and through any CQC well-led review. These will require</w:t>
      </w:r>
      <w:r>
        <w:rPr>
          <w:rFonts w:ascii="Segoe UI" w:hAnsi="Segoe UI" w:cs="Segoe UI"/>
          <w:sz w:val="22"/>
          <w:szCs w:val="22"/>
          <w:lang w:val="en-GB"/>
        </w:rPr>
        <w:t xml:space="preserve"> the</w:t>
      </w:r>
      <w:r w:rsidR="00512645" w:rsidRPr="00512645">
        <w:rPr>
          <w:rFonts w:ascii="Segoe UI" w:hAnsi="Segoe UI" w:cs="Segoe UI"/>
          <w:sz w:val="22"/>
          <w:szCs w:val="22"/>
          <w:lang w:val="en-GB"/>
        </w:rPr>
        <w:t xml:space="preserve"> Board to continue to assess compliance with corporate governance standards, and evidence of this compliance will continue to be considered as part of well-led assessments</w:t>
      </w:r>
      <w:r w:rsidR="003D3763">
        <w:rPr>
          <w:rFonts w:ascii="Segoe UI" w:hAnsi="Segoe UI" w:cs="Segoe UI"/>
          <w:sz w:val="22"/>
          <w:szCs w:val="22"/>
          <w:lang w:val="en-GB"/>
        </w:rPr>
        <w:t xml:space="preserve">.  </w:t>
      </w:r>
      <w:r w:rsidR="00512645" w:rsidRPr="00512645">
        <w:rPr>
          <w:rFonts w:ascii="Segoe UI" w:hAnsi="Segoe UI" w:cs="Segoe UI"/>
          <w:sz w:val="22"/>
          <w:szCs w:val="22"/>
          <w:lang w:val="en-GB"/>
        </w:rPr>
        <w:t xml:space="preserve">On balance,  any reduction in duplication and regulatory burden </w:t>
      </w:r>
      <w:r w:rsidR="003D3763">
        <w:rPr>
          <w:rFonts w:ascii="Segoe UI" w:hAnsi="Segoe UI" w:cs="Segoe UI"/>
          <w:sz w:val="22"/>
          <w:szCs w:val="22"/>
          <w:lang w:val="en-GB"/>
        </w:rPr>
        <w:t>is</w:t>
      </w:r>
      <w:r w:rsidR="00512645" w:rsidRPr="00512645">
        <w:rPr>
          <w:rFonts w:ascii="Segoe UI" w:hAnsi="Segoe UI" w:cs="Segoe UI"/>
          <w:sz w:val="22"/>
          <w:szCs w:val="22"/>
          <w:lang w:val="en-GB"/>
        </w:rPr>
        <w:t xml:space="preserve"> welcome</w:t>
      </w:r>
      <w:r w:rsidR="0019172F">
        <w:rPr>
          <w:rFonts w:ascii="Segoe UI" w:hAnsi="Segoe UI" w:cs="Segoe UI"/>
          <w:sz w:val="22"/>
          <w:szCs w:val="22"/>
          <w:lang w:val="en-GB"/>
        </w:rPr>
        <w:t>.</w:t>
      </w:r>
    </w:p>
    <w:p w14:paraId="607249D9" w14:textId="4DD4F879" w:rsidR="005E62D3" w:rsidRDefault="005E62D3" w:rsidP="0052266F">
      <w:pPr>
        <w:jc w:val="both"/>
        <w:rPr>
          <w:rFonts w:ascii="Segoe UI" w:hAnsi="Segoe UI" w:cs="Segoe UI"/>
          <w:sz w:val="22"/>
          <w:szCs w:val="22"/>
          <w:lang w:val="en-GB"/>
        </w:rPr>
      </w:pPr>
    </w:p>
    <w:p w14:paraId="07CF1DF7" w14:textId="28232D9A" w:rsidR="00522407" w:rsidRDefault="00522407" w:rsidP="001D2C93">
      <w:pPr>
        <w:jc w:val="both"/>
        <w:rPr>
          <w:rFonts w:ascii="Segoe UI" w:hAnsi="Segoe UI" w:cs="Segoe UI"/>
          <w:sz w:val="22"/>
          <w:szCs w:val="22"/>
        </w:rPr>
      </w:pPr>
      <w:r w:rsidRPr="00522407">
        <w:rPr>
          <w:rFonts w:ascii="Segoe UI" w:hAnsi="Segoe UI" w:cs="Segoe UI"/>
          <w:sz w:val="22"/>
          <w:szCs w:val="22"/>
        </w:rPr>
        <w:t>Amend</w:t>
      </w:r>
      <w:r w:rsidR="00E60EBC">
        <w:rPr>
          <w:rFonts w:ascii="Segoe UI" w:hAnsi="Segoe UI" w:cs="Segoe UI"/>
          <w:sz w:val="22"/>
          <w:szCs w:val="22"/>
        </w:rPr>
        <w:t>ments have been made to</w:t>
      </w:r>
      <w:r w:rsidRPr="00522407">
        <w:rPr>
          <w:rFonts w:ascii="Segoe UI" w:hAnsi="Segoe UI" w:cs="Segoe UI"/>
          <w:sz w:val="22"/>
          <w:szCs w:val="22"/>
        </w:rPr>
        <w:t xml:space="preserve"> the </w:t>
      </w:r>
      <w:r w:rsidRPr="0019172F">
        <w:rPr>
          <w:rFonts w:ascii="Segoe UI" w:hAnsi="Segoe UI" w:cs="Segoe UI"/>
          <w:b/>
          <w:bCs/>
          <w:sz w:val="22"/>
          <w:szCs w:val="22"/>
        </w:rPr>
        <w:t>Fit and Proper Persons</w:t>
      </w:r>
      <w:r w:rsidRPr="00522407">
        <w:rPr>
          <w:rFonts w:ascii="Segoe UI" w:hAnsi="Segoe UI" w:cs="Segoe UI"/>
          <w:sz w:val="22"/>
          <w:szCs w:val="22"/>
        </w:rPr>
        <w:t xml:space="preserve"> condition</w:t>
      </w:r>
      <w:r w:rsidR="00E60EBC">
        <w:rPr>
          <w:rFonts w:ascii="Segoe UI" w:hAnsi="Segoe UI" w:cs="Segoe UI"/>
          <w:sz w:val="22"/>
          <w:szCs w:val="22"/>
        </w:rPr>
        <w:t xml:space="preserve"> i</w:t>
      </w:r>
      <w:r w:rsidRPr="00522407">
        <w:rPr>
          <w:rFonts w:ascii="Segoe UI" w:hAnsi="Segoe UI" w:cs="Segoe UI"/>
          <w:sz w:val="22"/>
          <w:szCs w:val="22"/>
        </w:rPr>
        <w:t>n line with the Health and Social Care</w:t>
      </w:r>
      <w:r w:rsidR="001D2C93">
        <w:rPr>
          <w:rFonts w:ascii="Segoe UI" w:hAnsi="Segoe UI" w:cs="Segoe UI"/>
          <w:sz w:val="22"/>
          <w:szCs w:val="22"/>
        </w:rPr>
        <w:t xml:space="preserve"> </w:t>
      </w:r>
      <w:r w:rsidRPr="00522407">
        <w:rPr>
          <w:rFonts w:ascii="Segoe UI" w:hAnsi="Segoe UI" w:cs="Segoe UI"/>
          <w:sz w:val="22"/>
          <w:szCs w:val="22"/>
        </w:rPr>
        <w:t>Act 2008 (Regulated Activities) Regulations 2014</w:t>
      </w:r>
      <w:r w:rsidR="001D2C93">
        <w:rPr>
          <w:rFonts w:ascii="Segoe UI" w:hAnsi="Segoe UI" w:cs="Segoe UI"/>
          <w:sz w:val="22"/>
          <w:szCs w:val="22"/>
        </w:rPr>
        <w:t xml:space="preserve">.  We have always assessed the regulations </w:t>
      </w:r>
      <w:r w:rsidR="00C804CA">
        <w:rPr>
          <w:rFonts w:ascii="Segoe UI" w:hAnsi="Segoe UI" w:cs="Segoe UI"/>
          <w:sz w:val="22"/>
          <w:szCs w:val="22"/>
        </w:rPr>
        <w:t>against the Act</w:t>
      </w:r>
      <w:r w:rsidR="00032C50">
        <w:rPr>
          <w:rFonts w:ascii="Segoe UI" w:hAnsi="Segoe UI" w:cs="Segoe UI"/>
          <w:sz w:val="22"/>
          <w:szCs w:val="22"/>
        </w:rPr>
        <w:t xml:space="preserve"> in any event.</w:t>
      </w:r>
    </w:p>
    <w:p w14:paraId="71F9E28C" w14:textId="77777777" w:rsidR="00534D26" w:rsidRDefault="00534D26" w:rsidP="001D2C93">
      <w:pPr>
        <w:jc w:val="both"/>
        <w:rPr>
          <w:rFonts w:ascii="Segoe UI" w:hAnsi="Segoe UI" w:cs="Segoe UI"/>
          <w:sz w:val="22"/>
          <w:szCs w:val="22"/>
        </w:rPr>
      </w:pPr>
    </w:p>
    <w:p w14:paraId="191D53E8" w14:textId="1BE5D1DD" w:rsidR="00534D26" w:rsidRPr="009B4D94" w:rsidRDefault="00534D26" w:rsidP="001D2C93">
      <w:pPr>
        <w:jc w:val="both"/>
        <w:rPr>
          <w:rFonts w:ascii="Segoe UI" w:hAnsi="Segoe UI" w:cs="Segoe UI"/>
          <w:sz w:val="22"/>
          <w:szCs w:val="22"/>
        </w:rPr>
      </w:pPr>
      <w:r w:rsidRPr="00534D26">
        <w:rPr>
          <w:rFonts w:ascii="Segoe UI" w:hAnsi="Segoe UI" w:cs="Segoe UI"/>
          <w:sz w:val="22"/>
          <w:szCs w:val="22"/>
        </w:rPr>
        <w:t xml:space="preserve">The </w:t>
      </w:r>
      <w:r w:rsidR="00523A44">
        <w:rPr>
          <w:rFonts w:ascii="Segoe UI" w:hAnsi="Segoe UI" w:cs="Segoe UI"/>
          <w:sz w:val="22"/>
          <w:szCs w:val="22"/>
        </w:rPr>
        <w:t xml:space="preserve">Rt Hon </w:t>
      </w:r>
      <w:r w:rsidRPr="00534D26">
        <w:rPr>
          <w:rFonts w:ascii="Segoe UI" w:hAnsi="Segoe UI" w:cs="Segoe UI"/>
          <w:b/>
          <w:bCs/>
          <w:sz w:val="22"/>
          <w:szCs w:val="22"/>
        </w:rPr>
        <w:t>Hewitt Review</w:t>
      </w:r>
      <w:r w:rsidRPr="00534D26">
        <w:rPr>
          <w:rFonts w:ascii="Segoe UI" w:hAnsi="Segoe UI" w:cs="Segoe UI"/>
          <w:sz w:val="22"/>
          <w:szCs w:val="22"/>
        </w:rPr>
        <w:t xml:space="preserve"> </w:t>
      </w:r>
      <w:r>
        <w:rPr>
          <w:rFonts w:ascii="Segoe UI" w:hAnsi="Segoe UI" w:cs="Segoe UI"/>
          <w:sz w:val="22"/>
          <w:szCs w:val="22"/>
        </w:rPr>
        <w:t>highlights</w:t>
      </w:r>
      <w:r w:rsidRPr="00534D26">
        <w:rPr>
          <w:rFonts w:ascii="Segoe UI" w:hAnsi="Segoe UI" w:cs="Segoe UI"/>
          <w:sz w:val="22"/>
          <w:szCs w:val="22"/>
        </w:rPr>
        <w:t xml:space="preserve"> an ambitious and extensive review </w:t>
      </w:r>
      <w:r>
        <w:rPr>
          <w:rFonts w:ascii="Segoe UI" w:hAnsi="Segoe UI" w:cs="Segoe UI"/>
          <w:sz w:val="22"/>
          <w:szCs w:val="22"/>
        </w:rPr>
        <w:t>seeking</w:t>
      </w:r>
      <w:r w:rsidRPr="00534D26">
        <w:rPr>
          <w:rFonts w:ascii="Segoe UI" w:hAnsi="Segoe UI" w:cs="Segoe UI"/>
          <w:sz w:val="22"/>
          <w:szCs w:val="22"/>
        </w:rPr>
        <w:t xml:space="preserve"> to maximise the opportunities ICSs bring to improve population health and wellbeing. There is welcome recognition throughout of the issues hindering progress and placing unhelpful burdens on system players. The report recognises that without investment, workforce and leadership development, recurrent and multi-year funding, reduction of duplicative or unnecessary data requests, and effective planning (centrally and locally), systems will be unable to achieve their potential.</w:t>
      </w:r>
      <w:r w:rsidR="00BA6185" w:rsidRPr="00BA6185">
        <w:t xml:space="preserve"> </w:t>
      </w:r>
      <w:r w:rsidR="00BA6185" w:rsidRPr="00BA6185">
        <w:rPr>
          <w:rFonts w:ascii="Segoe UI" w:hAnsi="Segoe UI" w:cs="Segoe UI"/>
          <w:sz w:val="22"/>
          <w:szCs w:val="22"/>
        </w:rPr>
        <w:t>The report</w:t>
      </w:r>
      <w:r w:rsidR="00BA6185">
        <w:rPr>
          <w:rFonts w:ascii="Segoe UI" w:hAnsi="Segoe UI" w:cs="Segoe UI"/>
          <w:sz w:val="22"/>
          <w:szCs w:val="22"/>
        </w:rPr>
        <w:t xml:space="preserve"> also</w:t>
      </w:r>
      <w:r w:rsidR="00BA6185" w:rsidRPr="00BA6185">
        <w:rPr>
          <w:rFonts w:ascii="Segoe UI" w:hAnsi="Segoe UI" w:cs="Segoe UI"/>
          <w:sz w:val="22"/>
          <w:szCs w:val="22"/>
        </w:rPr>
        <w:t xml:space="preserve"> makes the case for reducing the number of national targets to give local leaders the ‘time and space’ to lead. Hewitt suggests that there should be no more than ten national priorities, and that local priorities should be treated with equal weight.</w:t>
      </w:r>
      <w:r w:rsidR="005C3467" w:rsidRPr="005C3467">
        <w:t xml:space="preserve"> </w:t>
      </w:r>
      <w:r w:rsidR="005C3467" w:rsidRPr="005C3467">
        <w:rPr>
          <w:rFonts w:ascii="Segoe UI" w:hAnsi="Segoe UI" w:cs="Segoe UI"/>
          <w:sz w:val="22"/>
          <w:szCs w:val="22"/>
        </w:rPr>
        <w:t xml:space="preserve">The political appetite for such significant change (and necessary investment over the longer term) </w:t>
      </w:r>
      <w:r w:rsidR="00484C6C">
        <w:rPr>
          <w:rFonts w:ascii="Segoe UI" w:hAnsi="Segoe UI" w:cs="Segoe UI"/>
          <w:sz w:val="22"/>
          <w:szCs w:val="22"/>
        </w:rPr>
        <w:t xml:space="preserve">is not yet known but </w:t>
      </w:r>
      <w:r w:rsidR="005C3467" w:rsidRPr="005C3467">
        <w:rPr>
          <w:rFonts w:ascii="Segoe UI" w:hAnsi="Segoe UI" w:cs="Segoe UI"/>
          <w:sz w:val="22"/>
          <w:szCs w:val="22"/>
        </w:rPr>
        <w:t>the Department of Health and Social Care (DHSC) has so far only committed to</w:t>
      </w:r>
      <w:r w:rsidR="00484C6C">
        <w:rPr>
          <w:rFonts w:ascii="Segoe UI" w:hAnsi="Segoe UI" w:cs="Segoe UI"/>
          <w:sz w:val="22"/>
          <w:szCs w:val="22"/>
        </w:rPr>
        <w:t xml:space="preserve"> </w:t>
      </w:r>
      <w:r w:rsidR="005C3467" w:rsidRPr="005C3467">
        <w:rPr>
          <w:rFonts w:ascii="Segoe UI" w:hAnsi="Segoe UI" w:cs="Segoe UI"/>
          <w:sz w:val="22"/>
          <w:szCs w:val="22"/>
        </w:rPr>
        <w:t>review the report’s recommendations</w:t>
      </w:r>
      <w:r w:rsidR="00484C6C">
        <w:rPr>
          <w:rFonts w:ascii="Segoe UI" w:hAnsi="Segoe UI" w:cs="Segoe UI"/>
          <w:sz w:val="22"/>
          <w:szCs w:val="22"/>
        </w:rPr>
        <w:t>.</w:t>
      </w:r>
    </w:p>
    <w:p w14:paraId="33866D13" w14:textId="471333EA" w:rsidR="0019268C" w:rsidRPr="000F7D49" w:rsidRDefault="0019268C" w:rsidP="004A11CA">
      <w:pPr>
        <w:jc w:val="both"/>
        <w:rPr>
          <w:rFonts w:ascii="Segoe UI" w:hAnsi="Segoe UI" w:cs="Segoe UI"/>
          <w:sz w:val="22"/>
          <w:szCs w:val="22"/>
          <w:highlight w:val="yellow"/>
        </w:rPr>
      </w:pPr>
    </w:p>
    <w:p w14:paraId="229DF49F" w14:textId="77777777" w:rsidR="008003F6" w:rsidRPr="00B87F65" w:rsidRDefault="00B7188B" w:rsidP="00721162">
      <w:pPr>
        <w:jc w:val="both"/>
        <w:rPr>
          <w:rFonts w:ascii="Segoe UI" w:hAnsi="Segoe UI" w:cs="Segoe UI"/>
          <w:sz w:val="22"/>
          <w:szCs w:val="22"/>
        </w:rPr>
      </w:pPr>
      <w:r w:rsidRPr="00B87F65">
        <w:rPr>
          <w:rFonts w:ascii="Segoe UI" w:hAnsi="Segoe UI" w:cs="Segoe UI"/>
          <w:sz w:val="22"/>
          <w:szCs w:val="22"/>
        </w:rPr>
        <w:t>The appendix includes a</w:t>
      </w:r>
      <w:r w:rsidR="00F227E7" w:rsidRPr="00B87F65">
        <w:rPr>
          <w:rFonts w:ascii="Segoe UI" w:hAnsi="Segoe UI" w:cs="Segoe UI"/>
          <w:sz w:val="22"/>
          <w:szCs w:val="22"/>
        </w:rPr>
        <w:t xml:space="preserve"> number of </w:t>
      </w:r>
      <w:r w:rsidR="00F227E7" w:rsidRPr="00B87F65">
        <w:rPr>
          <w:rFonts w:ascii="Segoe UI" w:hAnsi="Segoe UI" w:cs="Segoe UI"/>
          <w:b/>
          <w:bCs/>
          <w:sz w:val="22"/>
          <w:szCs w:val="22"/>
        </w:rPr>
        <w:t>CQC reviews</w:t>
      </w:r>
      <w:r w:rsidR="00F227E7" w:rsidRPr="00B87F65">
        <w:rPr>
          <w:rFonts w:ascii="Segoe UI" w:hAnsi="Segoe UI" w:cs="Segoe UI"/>
          <w:sz w:val="22"/>
          <w:szCs w:val="22"/>
        </w:rPr>
        <w:t xml:space="preserve"> </w:t>
      </w:r>
      <w:r w:rsidR="00824DAD" w:rsidRPr="00B87F65">
        <w:rPr>
          <w:rFonts w:ascii="Segoe UI" w:hAnsi="Segoe UI" w:cs="Segoe UI"/>
          <w:sz w:val="22"/>
          <w:szCs w:val="22"/>
        </w:rPr>
        <w:t xml:space="preserve">offering members of the Board opportunity to consider our own position against some of the areas </w:t>
      </w:r>
      <w:r w:rsidR="008003F6" w:rsidRPr="00B87F65">
        <w:rPr>
          <w:rFonts w:ascii="Segoe UI" w:hAnsi="Segoe UI" w:cs="Segoe UI"/>
          <w:sz w:val="22"/>
          <w:szCs w:val="22"/>
        </w:rPr>
        <w:t xml:space="preserve">of good governance </w:t>
      </w:r>
      <w:r w:rsidR="00824DAD" w:rsidRPr="00B87F65">
        <w:rPr>
          <w:rFonts w:ascii="Segoe UI" w:hAnsi="Segoe UI" w:cs="Segoe UI"/>
          <w:sz w:val="22"/>
          <w:szCs w:val="22"/>
        </w:rPr>
        <w:t xml:space="preserve">highlighted to be </w:t>
      </w:r>
      <w:r w:rsidR="008003F6" w:rsidRPr="00B87F65">
        <w:rPr>
          <w:rFonts w:ascii="Segoe UI" w:hAnsi="Segoe UI" w:cs="Segoe UI"/>
          <w:sz w:val="22"/>
          <w:szCs w:val="22"/>
        </w:rPr>
        <w:t>suboptimal</w:t>
      </w:r>
      <w:r w:rsidR="00824DAD" w:rsidRPr="00B87F65">
        <w:rPr>
          <w:rFonts w:ascii="Segoe UI" w:hAnsi="Segoe UI" w:cs="Segoe UI"/>
          <w:sz w:val="22"/>
          <w:szCs w:val="22"/>
        </w:rPr>
        <w:t>.</w:t>
      </w:r>
      <w:r w:rsidR="00CF5AE7" w:rsidRPr="00B87F65">
        <w:rPr>
          <w:rFonts w:ascii="Segoe UI" w:hAnsi="Segoe UI" w:cs="Segoe UI"/>
          <w:sz w:val="22"/>
          <w:szCs w:val="22"/>
        </w:rPr>
        <w:t xml:space="preserve">  Local and peer Trusts Southern Health, AWP and Oxford University Hospitals NHS </w:t>
      </w:r>
      <w:r w:rsidR="00E80588" w:rsidRPr="00B87F65">
        <w:rPr>
          <w:rFonts w:ascii="Segoe UI" w:hAnsi="Segoe UI" w:cs="Segoe UI"/>
          <w:sz w:val="22"/>
          <w:szCs w:val="22"/>
        </w:rPr>
        <w:t>FTs have each been inspected</w:t>
      </w:r>
      <w:r w:rsidR="00D21506" w:rsidRPr="00B87F65">
        <w:rPr>
          <w:rFonts w:ascii="Segoe UI" w:hAnsi="Segoe UI" w:cs="Segoe UI"/>
          <w:sz w:val="22"/>
          <w:szCs w:val="22"/>
        </w:rPr>
        <w:t xml:space="preserve"> with reports published.  </w:t>
      </w:r>
    </w:p>
    <w:p w14:paraId="3DD7CEF1" w14:textId="77777777" w:rsidR="008003F6" w:rsidRPr="00B87F65" w:rsidRDefault="008003F6" w:rsidP="00721162">
      <w:pPr>
        <w:jc w:val="both"/>
        <w:rPr>
          <w:rFonts w:ascii="Segoe UI" w:hAnsi="Segoe UI" w:cs="Segoe UI"/>
          <w:sz w:val="22"/>
          <w:szCs w:val="22"/>
        </w:rPr>
      </w:pPr>
    </w:p>
    <w:p w14:paraId="507A976D" w14:textId="0FE02485" w:rsidR="00721162" w:rsidRPr="00B87F65" w:rsidRDefault="008003F6" w:rsidP="00721162">
      <w:pPr>
        <w:jc w:val="both"/>
        <w:rPr>
          <w:rFonts w:ascii="Segoe UI" w:hAnsi="Segoe UI" w:cs="Segoe UI"/>
          <w:sz w:val="22"/>
          <w:szCs w:val="22"/>
          <w:lang w:val="en-GB"/>
        </w:rPr>
      </w:pPr>
      <w:r w:rsidRPr="00B87F65">
        <w:rPr>
          <w:rFonts w:ascii="Segoe UI" w:hAnsi="Segoe UI" w:cs="Segoe UI"/>
          <w:sz w:val="22"/>
          <w:szCs w:val="22"/>
        </w:rPr>
        <w:t xml:space="preserve">Also in the appendix </w:t>
      </w:r>
      <w:r w:rsidR="009F2694" w:rsidRPr="00B87F65">
        <w:rPr>
          <w:rFonts w:ascii="Segoe UI" w:hAnsi="Segoe UI" w:cs="Segoe UI"/>
          <w:sz w:val="22"/>
          <w:szCs w:val="22"/>
        </w:rPr>
        <w:t xml:space="preserve">is the announcement </w:t>
      </w:r>
      <w:r w:rsidR="00721162" w:rsidRPr="00B87F65">
        <w:rPr>
          <w:rFonts w:ascii="Segoe UI" w:hAnsi="Segoe UI" w:cs="Segoe UI"/>
          <w:sz w:val="22"/>
          <w:szCs w:val="22"/>
          <w:lang w:val="en-GB"/>
        </w:rPr>
        <w:t xml:space="preserve">that the implementation of the </w:t>
      </w:r>
      <w:r w:rsidR="00721162" w:rsidRPr="00B87F65">
        <w:rPr>
          <w:rFonts w:ascii="Segoe UI" w:hAnsi="Segoe UI" w:cs="Segoe UI"/>
          <w:b/>
          <w:bCs/>
          <w:sz w:val="22"/>
          <w:szCs w:val="22"/>
          <w:lang w:val="en-GB"/>
        </w:rPr>
        <w:t>Liberty Protection Safeguards (LPS</w:t>
      </w:r>
      <w:r w:rsidR="00721162" w:rsidRPr="00B87F65">
        <w:rPr>
          <w:rFonts w:ascii="Segoe UI" w:hAnsi="Segoe UI" w:cs="Segoe UI"/>
          <w:sz w:val="22"/>
          <w:szCs w:val="22"/>
          <w:lang w:val="en-GB"/>
        </w:rPr>
        <w:t>) will not go ahead this side of a general election</w:t>
      </w:r>
      <w:r w:rsidR="00721162" w:rsidRPr="00B87F65">
        <w:rPr>
          <w:rFonts w:ascii="Segoe UI" w:hAnsi="Segoe UI" w:cs="Segoe UI"/>
          <w:b/>
          <w:bCs/>
          <w:sz w:val="22"/>
          <w:szCs w:val="22"/>
          <w:lang w:val="en-GB"/>
        </w:rPr>
        <w:t> </w:t>
      </w:r>
      <w:r w:rsidR="00721162" w:rsidRPr="00B87F65">
        <w:rPr>
          <w:rFonts w:ascii="Segoe UI" w:hAnsi="Segoe UI" w:cs="Segoe UI"/>
          <w:sz w:val="22"/>
          <w:szCs w:val="22"/>
          <w:lang w:val="en-GB"/>
        </w:rPr>
        <w:t xml:space="preserve">(anticipated to be in Autumn 2024). </w:t>
      </w:r>
      <w:r w:rsidR="00721162" w:rsidRPr="00721162">
        <w:rPr>
          <w:rFonts w:ascii="Segoe UI" w:hAnsi="Segoe UI" w:cs="Segoe UI"/>
          <w:sz w:val="22"/>
          <w:szCs w:val="22"/>
          <w:lang w:val="en-GB"/>
        </w:rPr>
        <w:t>The legislation outlining the LPS – the long-awaited replacement to the Deprivation of Liberty Safeguards (DoLS) – was passed in May 2019 and was originally due to be implemented in October 2020</w:t>
      </w:r>
      <w:r w:rsidR="005839BD" w:rsidRPr="00B87F65">
        <w:rPr>
          <w:rFonts w:ascii="Segoe UI" w:hAnsi="Segoe UI" w:cs="Segoe UI"/>
          <w:sz w:val="22"/>
          <w:szCs w:val="22"/>
          <w:lang w:val="en-GB"/>
        </w:rPr>
        <w:t xml:space="preserve"> </w:t>
      </w:r>
      <w:r w:rsidR="001B16AB" w:rsidRPr="00B87F65">
        <w:rPr>
          <w:rFonts w:ascii="Segoe UI" w:hAnsi="Segoe UI" w:cs="Segoe UI"/>
          <w:sz w:val="22"/>
          <w:szCs w:val="22"/>
          <w:lang w:val="en-GB"/>
        </w:rPr>
        <w:t xml:space="preserve">with </w:t>
      </w:r>
      <w:r w:rsidR="00721162" w:rsidRPr="00721162">
        <w:rPr>
          <w:rFonts w:ascii="Segoe UI" w:hAnsi="Segoe UI" w:cs="Segoe UI"/>
          <w:sz w:val="22"/>
          <w:szCs w:val="22"/>
          <w:lang w:val="en-GB"/>
        </w:rPr>
        <w:t>the reforms in the hands of any incoming government in late 2024.</w:t>
      </w:r>
    </w:p>
    <w:p w14:paraId="1E5E6136" w14:textId="77777777" w:rsidR="001B16AB" w:rsidRPr="00721162" w:rsidRDefault="001B16AB" w:rsidP="00721162">
      <w:pPr>
        <w:jc w:val="both"/>
        <w:rPr>
          <w:rFonts w:ascii="Segoe UI" w:hAnsi="Segoe UI" w:cs="Segoe UI"/>
          <w:sz w:val="22"/>
          <w:szCs w:val="22"/>
          <w:lang w:val="en-GB"/>
        </w:rPr>
      </w:pPr>
    </w:p>
    <w:p w14:paraId="2AB54033" w14:textId="02F6615C" w:rsidR="00721162" w:rsidRPr="00721162" w:rsidRDefault="00721162" w:rsidP="00721162">
      <w:pPr>
        <w:jc w:val="both"/>
        <w:rPr>
          <w:rFonts w:ascii="Segoe UI" w:hAnsi="Segoe UI" w:cs="Segoe UI"/>
          <w:sz w:val="22"/>
          <w:szCs w:val="22"/>
          <w:lang w:val="en-GB"/>
        </w:rPr>
      </w:pPr>
      <w:r w:rsidRPr="00721162">
        <w:rPr>
          <w:rFonts w:ascii="Segoe UI" w:hAnsi="Segoe UI" w:cs="Segoe UI"/>
          <w:sz w:val="22"/>
          <w:szCs w:val="22"/>
          <w:lang w:val="en-GB"/>
        </w:rPr>
        <w:t xml:space="preserve">Even if the LPS is one of the new government’s priorities in late 2024, the timescale to revive the policy, deal with the outstanding controversies, and set up afresh the road map to implementation </w:t>
      </w:r>
      <w:r w:rsidR="0074473A" w:rsidRPr="00B87F65">
        <w:rPr>
          <w:rFonts w:ascii="Segoe UI" w:hAnsi="Segoe UI" w:cs="Segoe UI"/>
          <w:sz w:val="22"/>
          <w:szCs w:val="22"/>
          <w:lang w:val="en-GB"/>
        </w:rPr>
        <w:t>suggests it could be some time</w:t>
      </w:r>
      <w:r w:rsidRPr="00721162">
        <w:rPr>
          <w:rFonts w:ascii="Segoe UI" w:hAnsi="Segoe UI" w:cs="Segoe UI"/>
          <w:sz w:val="22"/>
          <w:szCs w:val="22"/>
          <w:lang w:val="en-GB"/>
        </w:rPr>
        <w:t>. By then, of course, other related policy issues, such as any reform of the Mental Health Act, may mean a change in approach.</w:t>
      </w:r>
      <w:r w:rsidR="00455CC1">
        <w:rPr>
          <w:rFonts w:ascii="Segoe UI" w:hAnsi="Segoe UI" w:cs="Segoe UI"/>
          <w:sz w:val="22"/>
          <w:szCs w:val="22"/>
          <w:lang w:val="en-GB"/>
        </w:rPr>
        <w:t xml:space="preserve">  </w:t>
      </w:r>
      <w:r w:rsidR="00813FA2" w:rsidRPr="00B87F65">
        <w:rPr>
          <w:rFonts w:ascii="Segoe UI" w:hAnsi="Segoe UI" w:cs="Segoe UI"/>
          <w:sz w:val="22"/>
          <w:szCs w:val="22"/>
          <w:lang w:val="en-GB"/>
        </w:rPr>
        <w:t xml:space="preserve">This </w:t>
      </w:r>
      <w:r w:rsidRPr="00721162">
        <w:rPr>
          <w:rFonts w:ascii="Segoe UI" w:hAnsi="Segoe UI" w:cs="Segoe UI"/>
          <w:sz w:val="22"/>
          <w:szCs w:val="22"/>
          <w:lang w:val="en-GB"/>
        </w:rPr>
        <w:t xml:space="preserve">of course,  leaves us with all the problems with the current system that LPS was supposed to address, </w:t>
      </w:r>
      <w:r w:rsidR="00813FA2" w:rsidRPr="00B87F65">
        <w:rPr>
          <w:rFonts w:ascii="Segoe UI" w:hAnsi="Segoe UI" w:cs="Segoe UI"/>
          <w:sz w:val="22"/>
          <w:szCs w:val="22"/>
          <w:lang w:val="en-GB"/>
        </w:rPr>
        <w:t xml:space="preserve">and the MHA&amp;L Committee gave consideration to LPS delays at its meeting in May.  </w:t>
      </w:r>
    </w:p>
    <w:p w14:paraId="1C977D3C" w14:textId="77777777" w:rsidR="00721162" w:rsidRDefault="00721162" w:rsidP="0019268C">
      <w:pPr>
        <w:jc w:val="both"/>
        <w:rPr>
          <w:rFonts w:ascii="Segoe UI" w:hAnsi="Segoe UI" w:cs="Segoe UI"/>
          <w:sz w:val="22"/>
          <w:szCs w:val="22"/>
          <w:highlight w:val="yellow"/>
        </w:rPr>
      </w:pPr>
    </w:p>
    <w:p w14:paraId="1DCC214E" w14:textId="5E941998" w:rsidR="0019268C" w:rsidRPr="00954D66" w:rsidRDefault="00A4655A" w:rsidP="0019268C">
      <w:pPr>
        <w:jc w:val="both"/>
        <w:rPr>
          <w:rFonts w:ascii="Segoe UI" w:hAnsi="Segoe UI" w:cs="Segoe UI"/>
          <w:sz w:val="22"/>
          <w:szCs w:val="22"/>
          <w:lang w:val="en-GB"/>
        </w:rPr>
      </w:pPr>
      <w:r>
        <w:rPr>
          <w:rFonts w:ascii="Segoe UI" w:hAnsi="Segoe UI" w:cs="Segoe UI"/>
          <w:sz w:val="22"/>
          <w:szCs w:val="22"/>
        </w:rPr>
        <w:t>T</w:t>
      </w:r>
      <w:r w:rsidR="00F4036D" w:rsidRPr="00954D66">
        <w:rPr>
          <w:rFonts w:ascii="Segoe UI" w:hAnsi="Segoe UI" w:cs="Segoe UI"/>
          <w:sz w:val="22"/>
          <w:szCs w:val="22"/>
        </w:rPr>
        <w:t xml:space="preserve">he </w:t>
      </w:r>
      <w:r w:rsidR="00F4036D" w:rsidRPr="00954D66">
        <w:rPr>
          <w:rFonts w:ascii="Segoe UI" w:hAnsi="Segoe UI" w:cs="Segoe UI"/>
          <w:b/>
          <w:bCs/>
          <w:sz w:val="22"/>
          <w:szCs w:val="22"/>
        </w:rPr>
        <w:t>True for Us section</w:t>
      </w:r>
      <w:r w:rsidR="00F4036D" w:rsidRPr="00954D66">
        <w:rPr>
          <w:rFonts w:ascii="Segoe UI" w:hAnsi="Segoe UI" w:cs="Segoe UI"/>
          <w:sz w:val="22"/>
          <w:szCs w:val="22"/>
        </w:rPr>
        <w:t xml:space="preserve"> of this report continues to elaborate on the</w:t>
      </w:r>
      <w:r w:rsidR="0019268C" w:rsidRPr="00954D66">
        <w:rPr>
          <w:rFonts w:ascii="Segoe UI" w:hAnsi="Segoe UI" w:cs="Segoe UI"/>
          <w:sz w:val="22"/>
          <w:szCs w:val="22"/>
          <w:lang w:val="en-GB"/>
        </w:rPr>
        <w:t xml:space="preserve"> unacceptable reports of abuse and poor care</w:t>
      </w:r>
      <w:r w:rsidR="00C370E8" w:rsidRPr="00954D66">
        <w:rPr>
          <w:rFonts w:ascii="Segoe UI" w:hAnsi="Segoe UI" w:cs="Segoe UI"/>
          <w:sz w:val="22"/>
          <w:szCs w:val="22"/>
          <w:lang w:val="en-GB"/>
        </w:rPr>
        <w:t xml:space="preserve">, in recent months in particular </w:t>
      </w:r>
      <w:r w:rsidR="0019268C" w:rsidRPr="00954D66">
        <w:rPr>
          <w:rFonts w:ascii="Segoe UI" w:hAnsi="Segoe UI" w:cs="Segoe UI"/>
          <w:sz w:val="22"/>
          <w:szCs w:val="22"/>
          <w:lang w:val="en-GB"/>
        </w:rPr>
        <w:t>in mental health</w:t>
      </w:r>
      <w:r w:rsidR="00C370E8" w:rsidRPr="00954D66">
        <w:rPr>
          <w:rFonts w:ascii="Segoe UI" w:hAnsi="Segoe UI" w:cs="Segoe UI"/>
          <w:sz w:val="22"/>
          <w:szCs w:val="22"/>
          <w:lang w:val="en-GB"/>
        </w:rPr>
        <w:t xml:space="preserve"> and learning disability</w:t>
      </w:r>
      <w:r w:rsidR="0019268C" w:rsidRPr="00954D66">
        <w:rPr>
          <w:rFonts w:ascii="Segoe UI" w:hAnsi="Segoe UI" w:cs="Segoe UI"/>
          <w:sz w:val="22"/>
          <w:szCs w:val="22"/>
          <w:lang w:val="en-GB"/>
        </w:rPr>
        <w:t xml:space="preserve"> services. </w:t>
      </w:r>
      <w:r w:rsidR="00143E0D" w:rsidRPr="00954D66">
        <w:rPr>
          <w:rFonts w:ascii="Segoe UI" w:hAnsi="Segoe UI" w:cs="Segoe UI"/>
          <w:sz w:val="22"/>
          <w:szCs w:val="22"/>
          <w:lang w:val="en-GB"/>
        </w:rPr>
        <w:t xml:space="preserve">The </w:t>
      </w:r>
      <w:r w:rsidR="00220DA3" w:rsidRPr="00954D66">
        <w:rPr>
          <w:rFonts w:ascii="Segoe UI" w:hAnsi="Segoe UI" w:cs="Segoe UI"/>
          <w:sz w:val="22"/>
          <w:szCs w:val="22"/>
          <w:lang w:val="en-GB"/>
        </w:rPr>
        <w:t xml:space="preserve">development of our True for Us framework will </w:t>
      </w:r>
      <w:r w:rsidR="005A3F08" w:rsidRPr="00954D66">
        <w:rPr>
          <w:rFonts w:ascii="Segoe UI" w:hAnsi="Segoe UI" w:cs="Segoe UI"/>
          <w:sz w:val="22"/>
          <w:szCs w:val="22"/>
          <w:lang w:val="en-GB"/>
        </w:rPr>
        <w:t>ensure there are</w:t>
      </w:r>
      <w:r w:rsidR="0019268C" w:rsidRPr="00954D66">
        <w:rPr>
          <w:rFonts w:ascii="Segoe UI" w:hAnsi="Segoe UI" w:cs="Segoe UI"/>
          <w:sz w:val="22"/>
          <w:szCs w:val="22"/>
          <w:lang w:val="en-GB"/>
        </w:rPr>
        <w:t xml:space="preserve"> review</w:t>
      </w:r>
      <w:r w:rsidR="005A3F08" w:rsidRPr="00954D66">
        <w:rPr>
          <w:rFonts w:ascii="Segoe UI" w:hAnsi="Segoe UI" w:cs="Segoe UI"/>
          <w:sz w:val="22"/>
          <w:szCs w:val="22"/>
          <w:lang w:val="en-GB"/>
        </w:rPr>
        <w:t>s of</w:t>
      </w:r>
      <w:r w:rsidR="00E55210" w:rsidRPr="00954D66">
        <w:rPr>
          <w:rFonts w:ascii="Segoe UI" w:hAnsi="Segoe UI" w:cs="Segoe UI"/>
          <w:sz w:val="22"/>
          <w:szCs w:val="22"/>
          <w:lang w:val="en-GB"/>
        </w:rPr>
        <w:t xml:space="preserve"> our</w:t>
      </w:r>
      <w:r w:rsidR="0019268C" w:rsidRPr="00954D66">
        <w:rPr>
          <w:rFonts w:ascii="Segoe UI" w:hAnsi="Segoe UI" w:cs="Segoe UI"/>
          <w:sz w:val="22"/>
          <w:szCs w:val="22"/>
          <w:lang w:val="en-GB"/>
        </w:rPr>
        <w:t xml:space="preserve"> services as well as </w:t>
      </w:r>
      <w:r w:rsidR="005A3F08" w:rsidRPr="00954D66">
        <w:rPr>
          <w:rFonts w:ascii="Segoe UI" w:hAnsi="Segoe UI" w:cs="Segoe UI"/>
          <w:sz w:val="22"/>
          <w:szCs w:val="22"/>
          <w:lang w:val="en-GB"/>
        </w:rPr>
        <w:t>our</w:t>
      </w:r>
      <w:r w:rsidR="0019268C" w:rsidRPr="00954D66">
        <w:rPr>
          <w:rFonts w:ascii="Segoe UI" w:hAnsi="Segoe UI" w:cs="Segoe UI"/>
          <w:sz w:val="22"/>
          <w:szCs w:val="22"/>
          <w:lang w:val="en-GB"/>
        </w:rPr>
        <w:t xml:space="preserve"> approach to oversight and assurance of safety, quality of care and management of risk.</w:t>
      </w:r>
      <w:r w:rsidR="006208A1" w:rsidRPr="00954D66">
        <w:rPr>
          <w:rFonts w:ascii="Segoe UI" w:hAnsi="Segoe UI" w:cs="Segoe UI"/>
          <w:sz w:val="22"/>
          <w:szCs w:val="22"/>
          <w:lang w:val="en-GB"/>
        </w:rPr>
        <w:t xml:space="preserve">  The True for Us section references </w:t>
      </w:r>
      <w:r w:rsidR="008121B0">
        <w:rPr>
          <w:rFonts w:ascii="Segoe UI" w:hAnsi="Segoe UI" w:cs="Segoe UI"/>
          <w:sz w:val="22"/>
          <w:szCs w:val="22"/>
          <w:lang w:val="en-GB"/>
        </w:rPr>
        <w:t xml:space="preserve">a number of high profile reviews each finding significant weakness in the oversight, curiosity and </w:t>
      </w:r>
      <w:r w:rsidR="003626A4">
        <w:rPr>
          <w:rFonts w:ascii="Segoe UI" w:hAnsi="Segoe UI" w:cs="Segoe UI"/>
          <w:sz w:val="22"/>
          <w:szCs w:val="22"/>
          <w:lang w:val="en-GB"/>
        </w:rPr>
        <w:t>awareness of Boards and executive teams.</w:t>
      </w:r>
    </w:p>
    <w:p w14:paraId="776198DC" w14:textId="763230A5" w:rsidR="007F6E14" w:rsidRPr="00954D66" w:rsidRDefault="007F6E14" w:rsidP="0019268C">
      <w:pPr>
        <w:jc w:val="both"/>
        <w:rPr>
          <w:rFonts w:ascii="Segoe UI" w:hAnsi="Segoe UI" w:cs="Segoe UI"/>
          <w:sz w:val="22"/>
          <w:szCs w:val="22"/>
          <w:lang w:val="en-GB"/>
        </w:rPr>
      </w:pPr>
    </w:p>
    <w:p w14:paraId="7E812C8A" w14:textId="05461FE6" w:rsidR="007F6E14" w:rsidRDefault="007F6E14" w:rsidP="0019268C">
      <w:pPr>
        <w:jc w:val="both"/>
        <w:rPr>
          <w:rFonts w:ascii="Segoe UI" w:hAnsi="Segoe UI" w:cs="Segoe UI"/>
          <w:sz w:val="22"/>
          <w:szCs w:val="22"/>
          <w:lang w:val="en-GB"/>
        </w:rPr>
      </w:pPr>
      <w:r w:rsidRPr="00954D66">
        <w:rPr>
          <w:rFonts w:ascii="Segoe UI" w:hAnsi="Segoe UI" w:cs="Segoe UI"/>
          <w:sz w:val="22"/>
          <w:szCs w:val="22"/>
        </w:rPr>
        <w:t xml:space="preserve">This routine section of the report will always seek to amplify </w:t>
      </w:r>
      <w:r w:rsidRPr="00954D66">
        <w:rPr>
          <w:rFonts w:ascii="Segoe UI" w:hAnsi="Segoe UI" w:cs="Segoe UI"/>
          <w:sz w:val="22"/>
          <w:szCs w:val="22"/>
          <w:lang w:val="en-GB"/>
        </w:rPr>
        <w:t>how every board member must examine the culture within the Trust and how they listen and respond to staff. It promotes that we each take steps to assure ourselves, and the communities we serve, that the leadership and culture across our organisation(s) positively supports the care and experience we provide. Board members need to reflect on how effective assurance mechanisms are at ‘reading the signals</w:t>
      </w:r>
      <w:r w:rsidR="00480F6D" w:rsidRPr="00954D66">
        <w:rPr>
          <w:rFonts w:ascii="Segoe UI" w:hAnsi="Segoe UI" w:cs="Segoe UI"/>
          <w:sz w:val="22"/>
          <w:szCs w:val="22"/>
          <w:lang w:val="en-GB"/>
        </w:rPr>
        <w:t>.</w:t>
      </w:r>
      <w:r w:rsidRPr="00954D66">
        <w:rPr>
          <w:rFonts w:ascii="Segoe UI" w:hAnsi="Segoe UI" w:cs="Segoe UI"/>
          <w:sz w:val="22"/>
          <w:szCs w:val="22"/>
          <w:lang w:val="en-GB"/>
        </w:rPr>
        <w:t xml:space="preserve">’ </w:t>
      </w:r>
      <w:r w:rsidR="00480F6D" w:rsidRPr="00954D66">
        <w:rPr>
          <w:rFonts w:ascii="Segoe UI" w:hAnsi="Segoe UI" w:cs="Segoe UI"/>
          <w:sz w:val="22"/>
          <w:szCs w:val="22"/>
          <w:lang w:val="en-GB"/>
        </w:rPr>
        <w:t>T</w:t>
      </w:r>
      <w:r w:rsidRPr="00954D66">
        <w:rPr>
          <w:rFonts w:ascii="Segoe UI" w:hAnsi="Segoe UI" w:cs="Segoe UI"/>
          <w:sz w:val="22"/>
          <w:szCs w:val="22"/>
          <w:lang w:val="en-GB"/>
        </w:rPr>
        <w:t>he Deputy Director of Corporate Affairs will conduct True for Us reviews going forwards.</w:t>
      </w:r>
      <w:r w:rsidRPr="007F6E14">
        <w:rPr>
          <w:rFonts w:ascii="Segoe UI" w:hAnsi="Segoe UI" w:cs="Segoe UI"/>
          <w:sz w:val="22"/>
          <w:szCs w:val="22"/>
          <w:lang w:val="en-GB"/>
        </w:rPr>
        <w:t xml:space="preserve">  </w:t>
      </w:r>
    </w:p>
    <w:p w14:paraId="20297852" w14:textId="77777777" w:rsidR="00C52013" w:rsidRPr="0019268C" w:rsidRDefault="00C52013" w:rsidP="0019268C">
      <w:pPr>
        <w:jc w:val="both"/>
        <w:rPr>
          <w:rFonts w:ascii="Segoe UI" w:hAnsi="Segoe UI" w:cs="Segoe UI"/>
          <w:sz w:val="22"/>
          <w:szCs w:val="22"/>
          <w:lang w:val="en-GB"/>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55CDB0C3" w14:textId="4A46F17D" w:rsidR="00EF522A" w:rsidRDefault="004A11CA" w:rsidP="004A11CA">
      <w:pPr>
        <w:jc w:val="both"/>
        <w:rPr>
          <w:rFonts w:ascii="Segoe UI" w:hAnsi="Segoe UI" w:cs="Segoe UI"/>
          <w:sz w:val="22"/>
          <w:szCs w:val="22"/>
        </w:rPr>
      </w:pPr>
      <w:r w:rsidRPr="009C3CC8">
        <w:rPr>
          <w:rFonts w:ascii="Segoe UI" w:hAnsi="Segoe UI" w:cs="Segoe UI"/>
          <w:sz w:val="22"/>
          <w:szCs w:val="22"/>
        </w:rPr>
        <w:t>This is a routine report with direct relevance to the Board</w:t>
      </w:r>
      <w:r w:rsidR="00FD27BE">
        <w:rPr>
          <w:rFonts w:ascii="Segoe UI" w:hAnsi="Segoe UI" w:cs="Segoe UI"/>
          <w:sz w:val="22"/>
          <w:szCs w:val="22"/>
        </w:rPr>
        <w:t xml:space="preserve"> and its committees and serves to provide</w:t>
      </w:r>
      <w:r w:rsidR="00165B79">
        <w:rPr>
          <w:rFonts w:ascii="Segoe UI" w:hAnsi="Segoe UI" w:cs="Segoe UI"/>
          <w:sz w:val="22"/>
          <w:szCs w:val="22"/>
        </w:rPr>
        <w:t xml:space="preserve"> early insight into the changing legal, regulatory and policy environment thereby allowing a risk based approach to </w:t>
      </w:r>
      <w:r w:rsidR="00D1294F">
        <w:rPr>
          <w:rFonts w:ascii="Segoe UI" w:hAnsi="Segoe UI" w:cs="Segoe UI"/>
          <w:sz w:val="22"/>
          <w:szCs w:val="22"/>
        </w:rPr>
        <w:t>stimulating further enquiry</w:t>
      </w:r>
      <w:r w:rsidR="00C4631C">
        <w:rPr>
          <w:rFonts w:ascii="Segoe UI" w:hAnsi="Segoe UI" w:cs="Segoe UI"/>
          <w:sz w:val="22"/>
          <w:szCs w:val="22"/>
        </w:rPr>
        <w:t xml:space="preserve"> where relevant</w:t>
      </w:r>
      <w:r w:rsidRPr="009C3CC8">
        <w:rPr>
          <w:rFonts w:ascii="Segoe UI" w:hAnsi="Segoe UI" w:cs="Segoe UI"/>
          <w:sz w:val="22"/>
          <w:szCs w:val="22"/>
        </w:rPr>
        <w:t xml:space="preserve">. </w:t>
      </w:r>
      <w:r w:rsidR="000A371D">
        <w:rPr>
          <w:rFonts w:ascii="Segoe UI" w:hAnsi="Segoe UI" w:cs="Segoe UI"/>
          <w:sz w:val="22"/>
          <w:szCs w:val="22"/>
        </w:rPr>
        <w:t xml:space="preserve"> </w:t>
      </w:r>
      <w:r w:rsidR="00BB770F">
        <w:rPr>
          <w:rFonts w:ascii="Segoe UI" w:hAnsi="Segoe UI" w:cs="Segoe UI"/>
          <w:sz w:val="22"/>
          <w:szCs w:val="22"/>
        </w:rPr>
        <w:t xml:space="preserve">The governance framework </w:t>
      </w:r>
      <w:r w:rsidR="00353564">
        <w:rPr>
          <w:rFonts w:ascii="Segoe UI" w:hAnsi="Segoe UI" w:cs="Segoe UI"/>
          <w:sz w:val="22"/>
          <w:szCs w:val="22"/>
        </w:rPr>
        <w:t xml:space="preserve">(Board, committees, legal duties and management functions) </w:t>
      </w:r>
      <w:r w:rsidR="00065F3A">
        <w:rPr>
          <w:rFonts w:ascii="Segoe UI" w:hAnsi="Segoe UI" w:cs="Segoe UI"/>
          <w:sz w:val="22"/>
          <w:szCs w:val="22"/>
        </w:rPr>
        <w:t>facilitate responsive and effective decision making, ensuring the Board and its Committees and the Executive Management Committee and senior management are able to collaborate</w:t>
      </w:r>
      <w:r w:rsidR="00995699">
        <w:rPr>
          <w:rFonts w:ascii="Segoe UI" w:hAnsi="Segoe UI" w:cs="Segoe UI"/>
          <w:sz w:val="22"/>
          <w:szCs w:val="22"/>
        </w:rPr>
        <w:t xml:space="preserve">, consider issues and respond. </w:t>
      </w:r>
    </w:p>
    <w:p w14:paraId="42C110EA" w14:textId="77777777" w:rsidR="00EF522A" w:rsidRDefault="00EF522A" w:rsidP="004A11CA">
      <w:pPr>
        <w:jc w:val="both"/>
        <w:rPr>
          <w:rFonts w:ascii="Segoe UI" w:hAnsi="Segoe UI" w:cs="Segoe UI"/>
          <w:sz w:val="22"/>
          <w:szCs w:val="22"/>
        </w:rPr>
      </w:pPr>
    </w:p>
    <w:p w14:paraId="7D036735" w14:textId="1720358C" w:rsidR="000D0030" w:rsidRPr="000D0030" w:rsidRDefault="00EF522A" w:rsidP="000D0030">
      <w:pPr>
        <w:jc w:val="both"/>
        <w:rPr>
          <w:rFonts w:ascii="Segoe UI" w:hAnsi="Segoe UI" w:cs="Segoe UI"/>
          <w:sz w:val="22"/>
          <w:szCs w:val="22"/>
        </w:rPr>
      </w:pPr>
      <w:r>
        <w:rPr>
          <w:rFonts w:ascii="Segoe UI" w:hAnsi="Segoe UI" w:cs="Segoe UI"/>
          <w:sz w:val="22"/>
          <w:szCs w:val="22"/>
        </w:rPr>
        <w:t>Good governance is at the core</w:t>
      </w:r>
      <w:r w:rsidR="00AE504F">
        <w:rPr>
          <w:rFonts w:ascii="Segoe UI" w:hAnsi="Segoe UI" w:cs="Segoe UI"/>
          <w:sz w:val="22"/>
          <w:szCs w:val="22"/>
        </w:rPr>
        <w:t xml:space="preserve"> of successful operation, ensuring considered and efficient decision making in furtherance of our overarching strategy and </w:t>
      </w:r>
      <w:r w:rsidR="00EC3CA0">
        <w:rPr>
          <w:rFonts w:ascii="Segoe UI" w:hAnsi="Segoe UI" w:cs="Segoe UI"/>
          <w:sz w:val="22"/>
          <w:szCs w:val="22"/>
        </w:rPr>
        <w:t>long-term</w:t>
      </w:r>
      <w:r w:rsidR="00AE504F">
        <w:rPr>
          <w:rFonts w:ascii="Segoe UI" w:hAnsi="Segoe UI" w:cs="Segoe UI"/>
          <w:sz w:val="22"/>
          <w:szCs w:val="22"/>
        </w:rPr>
        <w:t xml:space="preserve"> sustainability.</w:t>
      </w:r>
      <w:r w:rsidR="00995699">
        <w:rPr>
          <w:rFonts w:ascii="Segoe UI" w:hAnsi="Segoe UI" w:cs="Segoe UI"/>
          <w:sz w:val="22"/>
          <w:szCs w:val="22"/>
        </w:rPr>
        <w:t xml:space="preserve"> </w:t>
      </w:r>
      <w:r w:rsidR="00BF3A16">
        <w:rPr>
          <w:rFonts w:ascii="Segoe UI" w:hAnsi="Segoe UI" w:cs="Segoe UI"/>
          <w:sz w:val="22"/>
          <w:szCs w:val="22"/>
        </w:rPr>
        <w:t>In discharging its duties the Board is supported by its various Board Committees</w:t>
      </w:r>
      <w:r w:rsidR="00EC3CA0">
        <w:rPr>
          <w:rFonts w:ascii="Segoe UI" w:hAnsi="Segoe UI" w:cs="Segoe UI"/>
          <w:sz w:val="22"/>
          <w:szCs w:val="22"/>
        </w:rPr>
        <w:t>.</w:t>
      </w:r>
      <w:r w:rsidR="009F20B9">
        <w:rPr>
          <w:rFonts w:ascii="Segoe UI" w:hAnsi="Segoe UI" w:cs="Segoe UI"/>
          <w:sz w:val="22"/>
          <w:szCs w:val="22"/>
        </w:rPr>
        <w:t xml:space="preserve">  </w:t>
      </w:r>
      <w:r w:rsidR="000D0030" w:rsidRPr="000D0030">
        <w:rPr>
          <w:rFonts w:ascii="Segoe UI" w:hAnsi="Segoe UI" w:cs="Segoe UI"/>
          <w:sz w:val="22"/>
          <w:szCs w:val="22"/>
        </w:rPr>
        <w:t>The principal Committee meetings of the Board are aligned to the cadence of the Board calendar, with the Chair of each Committee providing the Board with their latest updates and recommendations for approval.  In addition to the matters in this report, and other Board reporting, the Board will need to use the Committee Chair’s updates to also influence its identification and assessment of new/emerging risk</w:t>
      </w:r>
      <w:r w:rsidR="00641B8C">
        <w:rPr>
          <w:rFonts w:ascii="Segoe UI" w:hAnsi="Segoe UI" w:cs="Segoe UI"/>
          <w:sz w:val="22"/>
          <w:szCs w:val="22"/>
        </w:rPr>
        <w:t xml:space="preserve"> to performance or objectives</w:t>
      </w:r>
      <w:r w:rsidR="000D0030" w:rsidRPr="000D0030">
        <w:rPr>
          <w:rFonts w:ascii="Segoe UI" w:hAnsi="Segoe UI" w:cs="Segoe UI"/>
          <w:sz w:val="22"/>
          <w:szCs w:val="22"/>
        </w:rPr>
        <w:t>.</w:t>
      </w:r>
    </w:p>
    <w:p w14:paraId="03CB8FFF" w14:textId="77777777" w:rsidR="007F48A4" w:rsidRPr="009C3CC8" w:rsidRDefault="007F48A4" w:rsidP="004A11CA">
      <w:pPr>
        <w:jc w:val="both"/>
        <w:rPr>
          <w:rFonts w:ascii="Segoe UI" w:hAnsi="Segoe UI" w:cs="Segoe UI"/>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71025515" w14:textId="47AA3215" w:rsidR="004A1914" w:rsidRDefault="004A11CA" w:rsidP="004A11CA">
      <w:pPr>
        <w:jc w:val="both"/>
        <w:rPr>
          <w:rFonts w:ascii="Segoe UI" w:hAnsi="Segoe UI" w:cs="Segoe UI"/>
          <w:sz w:val="22"/>
          <w:szCs w:val="22"/>
        </w:rPr>
      </w:pPr>
      <w:r w:rsidRPr="0072538C">
        <w:rPr>
          <w:rFonts w:ascii="Segoe UI" w:hAnsi="Segoe UI" w:cs="Segoe UI"/>
          <w:sz w:val="22"/>
          <w:szCs w:val="22"/>
        </w:rPr>
        <w:t>The Board of Directors is invited to consider and be aware of the content of the report and where relevant, members should each be satisfied of their individual and collective assurances</w:t>
      </w:r>
      <w:r w:rsidR="00277CF2">
        <w:rPr>
          <w:rFonts w:ascii="Segoe UI" w:hAnsi="Segoe UI" w:cs="Segoe UI"/>
          <w:sz w:val="22"/>
          <w:szCs w:val="22"/>
        </w:rPr>
        <w:t xml:space="preserve"> and reassurance</w:t>
      </w:r>
      <w:r w:rsidRPr="0072538C">
        <w:rPr>
          <w:rFonts w:ascii="Segoe UI" w:hAnsi="Segoe UI" w:cs="Segoe UI"/>
          <w:sz w:val="22"/>
          <w:szCs w:val="22"/>
        </w:rPr>
        <w:t xml:space="preserve"> that the internal plans and controls in place to deliver compliance against </w:t>
      </w:r>
      <w:r w:rsidR="00EE0CBF">
        <w:rPr>
          <w:rFonts w:ascii="Segoe UI" w:hAnsi="Segoe UI" w:cs="Segoe UI"/>
          <w:sz w:val="22"/>
          <w:szCs w:val="22"/>
        </w:rPr>
        <w:t>relevant</w:t>
      </w:r>
      <w:r w:rsidRPr="0072538C">
        <w:rPr>
          <w:rFonts w:ascii="Segoe UI" w:hAnsi="Segoe UI" w:cs="Segoe UI"/>
          <w:sz w:val="22"/>
          <w:szCs w:val="22"/>
        </w:rPr>
        <w:t xml:space="preserve"> Trust obligations are appropriate and effective.  Chairs of Board Committees should consider whether more detailed assurances relevant to their committees, are necessary, utilising this report as a constructive stimulant to inform the composition of meeting agendas and reporting focus as </w:t>
      </w:r>
      <w:r w:rsidR="004A1914">
        <w:rPr>
          <w:rFonts w:ascii="Segoe UI" w:hAnsi="Segoe UI" w:cs="Segoe UI"/>
          <w:sz w:val="22"/>
          <w:szCs w:val="22"/>
        </w:rPr>
        <w:t>necessary</w:t>
      </w:r>
      <w:r w:rsidR="00FF19D5">
        <w:rPr>
          <w:rFonts w:ascii="Segoe UI" w:hAnsi="Segoe UI" w:cs="Segoe UI"/>
          <w:sz w:val="22"/>
          <w:szCs w:val="22"/>
        </w:rPr>
        <w:t>.</w:t>
      </w:r>
    </w:p>
    <w:p w14:paraId="10DEFDF0" w14:textId="55C08CB2" w:rsidR="00DF3814" w:rsidRDefault="00DF3814" w:rsidP="004A11CA">
      <w:pPr>
        <w:jc w:val="both"/>
        <w:rPr>
          <w:rFonts w:ascii="Segoe UI" w:hAnsi="Segoe UI" w:cs="Segoe UI"/>
          <w:sz w:val="22"/>
          <w:szCs w:val="22"/>
        </w:rPr>
      </w:pPr>
    </w:p>
    <w:p w14:paraId="1277E282" w14:textId="56A3F1AA" w:rsidR="004A11CA" w:rsidRPr="0072538C" w:rsidRDefault="004A11CA" w:rsidP="00265772">
      <w:pPr>
        <w:rPr>
          <w:rFonts w:ascii="Segoe UI" w:hAnsi="Segoe UI" w:cs="Segoe UI"/>
          <w:sz w:val="22"/>
          <w:szCs w:val="22"/>
        </w:rPr>
      </w:pPr>
      <w:r w:rsidRPr="0072538C">
        <w:rPr>
          <w:rFonts w:ascii="Segoe UI" w:hAnsi="Segoe UI" w:cs="Segoe UI"/>
          <w:b/>
          <w:sz w:val="22"/>
          <w:szCs w:val="22"/>
        </w:rPr>
        <w:t>Author and Title: Kerry Rogers, Director of Corporate Affairs &amp;</w:t>
      </w:r>
      <w:r w:rsidR="002F1393">
        <w:rPr>
          <w:rFonts w:ascii="Segoe UI" w:hAnsi="Segoe UI" w:cs="Segoe UI"/>
          <w:b/>
          <w:sz w:val="22"/>
          <w:szCs w:val="22"/>
        </w:rPr>
        <w:t xml:space="preserve"> </w:t>
      </w:r>
      <w:r w:rsidRPr="0072538C">
        <w:rPr>
          <w:rFonts w:ascii="Segoe UI" w:hAnsi="Segoe UI" w:cs="Segoe UI"/>
          <w:b/>
          <w:sz w:val="22"/>
          <w:szCs w:val="22"/>
        </w:rPr>
        <w:t xml:space="preserve">Company Secretary </w:t>
      </w:r>
    </w:p>
    <w:p w14:paraId="071D6BBF" w14:textId="77777777" w:rsidR="00FF19D5" w:rsidRDefault="004A11CA" w:rsidP="00265772">
      <w:pPr>
        <w:rPr>
          <w:rFonts w:ascii="Segoe UI" w:hAnsi="Segoe UI" w:cs="Segoe UI"/>
          <w:b/>
          <w:sz w:val="22"/>
          <w:szCs w:val="22"/>
        </w:rPr>
      </w:pPr>
      <w:r w:rsidRPr="0072538C">
        <w:rPr>
          <w:rFonts w:ascii="Segoe UI" w:hAnsi="Segoe UI" w:cs="Segoe UI"/>
          <w:b/>
          <w:sz w:val="22"/>
          <w:szCs w:val="22"/>
        </w:rPr>
        <w:t>Lead Exec:</w:t>
      </w:r>
      <w:r w:rsidR="00265772">
        <w:rPr>
          <w:rFonts w:ascii="Segoe UI" w:hAnsi="Segoe UI" w:cs="Segoe UI"/>
          <w:b/>
          <w:sz w:val="22"/>
          <w:szCs w:val="22"/>
        </w:rPr>
        <w:t xml:space="preserve"> </w:t>
      </w:r>
      <w:r w:rsidRPr="0072538C">
        <w:rPr>
          <w:rFonts w:ascii="Segoe UI" w:hAnsi="Segoe UI" w:cs="Segoe UI"/>
          <w:b/>
          <w:sz w:val="22"/>
          <w:szCs w:val="22"/>
        </w:rPr>
        <w:t xml:space="preserve">Kerry Rogers, Director of Corporate Affairs &amp; Company Secretary </w:t>
      </w:r>
    </w:p>
    <w:p w14:paraId="1C394901" w14:textId="67501AB4" w:rsidR="004A11CA" w:rsidRPr="0072538C" w:rsidRDefault="004A11CA" w:rsidP="00265772">
      <w:pPr>
        <w:rPr>
          <w:rFonts w:ascii="Segoe UI" w:hAnsi="Segoe UI" w:cs="Segoe UI"/>
          <w:b/>
          <w:sz w:val="22"/>
          <w:szCs w:val="22"/>
        </w:rPr>
      </w:pPr>
      <w:r w:rsidRPr="0072538C">
        <w:rPr>
          <w:rFonts w:ascii="Segoe UI" w:hAnsi="Segoe UI" w:cs="Segoe UI"/>
          <w:sz w:val="22"/>
          <w:szCs w:val="22"/>
        </w:rPr>
        <w:tab/>
        <w:t xml:space="preserve"> </w:t>
      </w: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30231B52"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w:t>
      </w:r>
      <w:r w:rsidR="00EC3CA0">
        <w:rPr>
          <w:rFonts w:ascii="Segoe UI" w:hAnsi="Segoe UI" w:cs="Segoe UI"/>
          <w:i/>
          <w:sz w:val="20"/>
          <w:szCs w:val="20"/>
        </w:rPr>
        <w:t xml:space="preserve">all </w:t>
      </w:r>
      <w:r w:rsidRPr="0072538C">
        <w:rPr>
          <w:rFonts w:ascii="Segoe UI" w:hAnsi="Segoe UI" w:cs="Segoe UI"/>
          <w:i/>
          <w:sz w:val="20"/>
          <w:szCs w:val="20"/>
        </w:rPr>
        <w:t xml:space="preserve">aspects of each of the Strategic Objectives/Priorities of the Trust </w:t>
      </w:r>
    </w:p>
    <w:sectPr w:rsidR="004A11CA" w:rsidRPr="007253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09CD" w14:textId="77777777" w:rsidR="000764F1" w:rsidRDefault="000764F1" w:rsidP="004A11CA">
      <w:r>
        <w:separator/>
      </w:r>
    </w:p>
  </w:endnote>
  <w:endnote w:type="continuationSeparator" w:id="0">
    <w:p w14:paraId="5A8FCFD0" w14:textId="77777777" w:rsidR="000764F1" w:rsidRDefault="000764F1"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CDF9" w14:textId="77777777" w:rsidR="000764F1" w:rsidRDefault="000764F1" w:rsidP="004A11CA">
      <w:r>
        <w:separator/>
      </w:r>
    </w:p>
  </w:footnote>
  <w:footnote w:type="continuationSeparator" w:id="0">
    <w:p w14:paraId="6CD244F7" w14:textId="77777777" w:rsidR="000764F1" w:rsidRDefault="000764F1"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C7B02"/>
    <w:multiLevelType w:val="multilevel"/>
    <w:tmpl w:val="97E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462D2"/>
    <w:multiLevelType w:val="hybridMultilevel"/>
    <w:tmpl w:val="C1FC9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8420EA"/>
    <w:multiLevelType w:val="multilevel"/>
    <w:tmpl w:val="CEFAE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723D7"/>
    <w:multiLevelType w:val="hybridMultilevel"/>
    <w:tmpl w:val="72DCD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8E0D6C"/>
    <w:multiLevelType w:val="hybridMultilevel"/>
    <w:tmpl w:val="76369A68"/>
    <w:lvl w:ilvl="0" w:tplc="11DEEBB8">
      <w:start w:val="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13CF0"/>
    <w:multiLevelType w:val="multilevel"/>
    <w:tmpl w:val="E68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6132C4"/>
    <w:multiLevelType w:val="multilevel"/>
    <w:tmpl w:val="6D40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109121">
    <w:abstractNumId w:val="23"/>
  </w:num>
  <w:num w:numId="2" w16cid:durableId="1934626909">
    <w:abstractNumId w:val="12"/>
  </w:num>
  <w:num w:numId="3" w16cid:durableId="820000199">
    <w:abstractNumId w:val="17"/>
  </w:num>
  <w:num w:numId="4" w16cid:durableId="632366924">
    <w:abstractNumId w:val="1"/>
  </w:num>
  <w:num w:numId="5" w16cid:durableId="2096052687">
    <w:abstractNumId w:val="18"/>
  </w:num>
  <w:num w:numId="6" w16cid:durableId="1545143745">
    <w:abstractNumId w:val="5"/>
  </w:num>
  <w:num w:numId="7" w16cid:durableId="1458915799">
    <w:abstractNumId w:val="20"/>
  </w:num>
  <w:num w:numId="8" w16cid:durableId="2109033176">
    <w:abstractNumId w:val="3"/>
  </w:num>
  <w:num w:numId="9" w16cid:durableId="2095467055">
    <w:abstractNumId w:val="21"/>
  </w:num>
  <w:num w:numId="10" w16cid:durableId="7221000">
    <w:abstractNumId w:val="25"/>
  </w:num>
  <w:num w:numId="11" w16cid:durableId="33577368">
    <w:abstractNumId w:val="0"/>
  </w:num>
  <w:num w:numId="12" w16cid:durableId="1463305832">
    <w:abstractNumId w:val="6"/>
  </w:num>
  <w:num w:numId="13" w16cid:durableId="632294134">
    <w:abstractNumId w:val="7"/>
  </w:num>
  <w:num w:numId="14" w16cid:durableId="1717582699">
    <w:abstractNumId w:val="19"/>
  </w:num>
  <w:num w:numId="15" w16cid:durableId="175702135">
    <w:abstractNumId w:val="11"/>
  </w:num>
  <w:num w:numId="16" w16cid:durableId="1415204654">
    <w:abstractNumId w:val="4"/>
  </w:num>
  <w:num w:numId="17" w16cid:durableId="2098479416">
    <w:abstractNumId w:val="9"/>
  </w:num>
  <w:num w:numId="18" w16cid:durableId="1376733317">
    <w:abstractNumId w:val="14"/>
  </w:num>
  <w:num w:numId="19" w16cid:durableId="1453670450">
    <w:abstractNumId w:val="2"/>
  </w:num>
  <w:num w:numId="20" w16cid:durableId="18177921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383391">
    <w:abstractNumId w:val="22"/>
  </w:num>
  <w:num w:numId="22" w16cid:durableId="297077331">
    <w:abstractNumId w:val="24"/>
  </w:num>
  <w:num w:numId="23" w16cid:durableId="1354499769">
    <w:abstractNumId w:val="8"/>
  </w:num>
  <w:num w:numId="24" w16cid:durableId="1883519489">
    <w:abstractNumId w:val="10"/>
  </w:num>
  <w:num w:numId="25" w16cid:durableId="296692835">
    <w:abstractNumId w:val="16"/>
  </w:num>
  <w:num w:numId="26" w16cid:durableId="15389332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04DCB"/>
    <w:rsid w:val="0002032E"/>
    <w:rsid w:val="00023B36"/>
    <w:rsid w:val="000266FF"/>
    <w:rsid w:val="0003007F"/>
    <w:rsid w:val="00030C5F"/>
    <w:rsid w:val="00031C4C"/>
    <w:rsid w:val="00032C50"/>
    <w:rsid w:val="00034F7E"/>
    <w:rsid w:val="000377E0"/>
    <w:rsid w:val="000557E0"/>
    <w:rsid w:val="00057A24"/>
    <w:rsid w:val="000606E6"/>
    <w:rsid w:val="00060F22"/>
    <w:rsid w:val="00062312"/>
    <w:rsid w:val="00065F3A"/>
    <w:rsid w:val="00067B1A"/>
    <w:rsid w:val="000764F1"/>
    <w:rsid w:val="00081AA3"/>
    <w:rsid w:val="00092012"/>
    <w:rsid w:val="00092559"/>
    <w:rsid w:val="00094887"/>
    <w:rsid w:val="000A31D1"/>
    <w:rsid w:val="000A371D"/>
    <w:rsid w:val="000A3EF8"/>
    <w:rsid w:val="000B223F"/>
    <w:rsid w:val="000B437E"/>
    <w:rsid w:val="000B5FC0"/>
    <w:rsid w:val="000C2CB9"/>
    <w:rsid w:val="000D0030"/>
    <w:rsid w:val="000D6A05"/>
    <w:rsid w:val="000E0B04"/>
    <w:rsid w:val="000E6E09"/>
    <w:rsid w:val="000F1C94"/>
    <w:rsid w:val="000F2C61"/>
    <w:rsid w:val="000F327B"/>
    <w:rsid w:val="000F47E7"/>
    <w:rsid w:val="000F6F5F"/>
    <w:rsid w:val="000F7910"/>
    <w:rsid w:val="000F7D49"/>
    <w:rsid w:val="00106344"/>
    <w:rsid w:val="00107B6F"/>
    <w:rsid w:val="00107C10"/>
    <w:rsid w:val="001130D1"/>
    <w:rsid w:val="00113D45"/>
    <w:rsid w:val="0011419A"/>
    <w:rsid w:val="00114805"/>
    <w:rsid w:val="00116FD7"/>
    <w:rsid w:val="00117040"/>
    <w:rsid w:val="00117095"/>
    <w:rsid w:val="00122BC2"/>
    <w:rsid w:val="00125939"/>
    <w:rsid w:val="00125E83"/>
    <w:rsid w:val="001266CA"/>
    <w:rsid w:val="00130DE0"/>
    <w:rsid w:val="001312B3"/>
    <w:rsid w:val="001361D1"/>
    <w:rsid w:val="00136CA4"/>
    <w:rsid w:val="0014008C"/>
    <w:rsid w:val="0014257B"/>
    <w:rsid w:val="00143E0D"/>
    <w:rsid w:val="00144752"/>
    <w:rsid w:val="0014738E"/>
    <w:rsid w:val="00151A8C"/>
    <w:rsid w:val="00154BCF"/>
    <w:rsid w:val="00156597"/>
    <w:rsid w:val="00157098"/>
    <w:rsid w:val="00160BFF"/>
    <w:rsid w:val="001615D6"/>
    <w:rsid w:val="00165B79"/>
    <w:rsid w:val="00167981"/>
    <w:rsid w:val="00174C01"/>
    <w:rsid w:val="00174E9D"/>
    <w:rsid w:val="00177DAE"/>
    <w:rsid w:val="0018017E"/>
    <w:rsid w:val="0019172F"/>
    <w:rsid w:val="001923A5"/>
    <w:rsid w:val="0019268C"/>
    <w:rsid w:val="001932D2"/>
    <w:rsid w:val="00193B95"/>
    <w:rsid w:val="001940A9"/>
    <w:rsid w:val="0019586F"/>
    <w:rsid w:val="001B16AB"/>
    <w:rsid w:val="001B3846"/>
    <w:rsid w:val="001B3C6A"/>
    <w:rsid w:val="001D251A"/>
    <w:rsid w:val="001D2C93"/>
    <w:rsid w:val="001D2D43"/>
    <w:rsid w:val="001D3D2E"/>
    <w:rsid w:val="001D62D7"/>
    <w:rsid w:val="001D79D5"/>
    <w:rsid w:val="001E0518"/>
    <w:rsid w:val="001E10DE"/>
    <w:rsid w:val="001E2BAC"/>
    <w:rsid w:val="001E37C2"/>
    <w:rsid w:val="001E6484"/>
    <w:rsid w:val="001E6A3C"/>
    <w:rsid w:val="001F4335"/>
    <w:rsid w:val="001F5DCC"/>
    <w:rsid w:val="001F6EF4"/>
    <w:rsid w:val="00206623"/>
    <w:rsid w:val="002147C1"/>
    <w:rsid w:val="002147D3"/>
    <w:rsid w:val="0021533A"/>
    <w:rsid w:val="00216000"/>
    <w:rsid w:val="00220DA3"/>
    <w:rsid w:val="002235C2"/>
    <w:rsid w:val="002271A4"/>
    <w:rsid w:val="00250F2D"/>
    <w:rsid w:val="00256C62"/>
    <w:rsid w:val="00260D0E"/>
    <w:rsid w:val="00262B7A"/>
    <w:rsid w:val="0026412D"/>
    <w:rsid w:val="002645FC"/>
    <w:rsid w:val="00265772"/>
    <w:rsid w:val="0027043D"/>
    <w:rsid w:val="00277CF2"/>
    <w:rsid w:val="0028433A"/>
    <w:rsid w:val="002846D2"/>
    <w:rsid w:val="00291B83"/>
    <w:rsid w:val="00294C71"/>
    <w:rsid w:val="00295BF3"/>
    <w:rsid w:val="00297881"/>
    <w:rsid w:val="002A12B0"/>
    <w:rsid w:val="002A1A7E"/>
    <w:rsid w:val="002A3A11"/>
    <w:rsid w:val="002B3F05"/>
    <w:rsid w:val="002B4D8C"/>
    <w:rsid w:val="002B77FE"/>
    <w:rsid w:val="002C4E90"/>
    <w:rsid w:val="002C5536"/>
    <w:rsid w:val="002C6CB7"/>
    <w:rsid w:val="002D1EAB"/>
    <w:rsid w:val="002D3E71"/>
    <w:rsid w:val="002D572D"/>
    <w:rsid w:val="002F1393"/>
    <w:rsid w:val="002F3B32"/>
    <w:rsid w:val="00300E3B"/>
    <w:rsid w:val="00303E88"/>
    <w:rsid w:val="00307135"/>
    <w:rsid w:val="00310CDE"/>
    <w:rsid w:val="00320775"/>
    <w:rsid w:val="00320879"/>
    <w:rsid w:val="00325CB7"/>
    <w:rsid w:val="00330C61"/>
    <w:rsid w:val="003315C0"/>
    <w:rsid w:val="00331AB0"/>
    <w:rsid w:val="00336423"/>
    <w:rsid w:val="003448D5"/>
    <w:rsid w:val="003466E5"/>
    <w:rsid w:val="003507C3"/>
    <w:rsid w:val="00353564"/>
    <w:rsid w:val="00353AD0"/>
    <w:rsid w:val="00356075"/>
    <w:rsid w:val="003626A4"/>
    <w:rsid w:val="00362B82"/>
    <w:rsid w:val="00362DD2"/>
    <w:rsid w:val="00372B37"/>
    <w:rsid w:val="003742D5"/>
    <w:rsid w:val="003809E6"/>
    <w:rsid w:val="00380B84"/>
    <w:rsid w:val="0038207A"/>
    <w:rsid w:val="0038289A"/>
    <w:rsid w:val="00385298"/>
    <w:rsid w:val="003944B0"/>
    <w:rsid w:val="00396C63"/>
    <w:rsid w:val="003A64E2"/>
    <w:rsid w:val="003A6A8A"/>
    <w:rsid w:val="003B7350"/>
    <w:rsid w:val="003C1B7E"/>
    <w:rsid w:val="003C2862"/>
    <w:rsid w:val="003C3824"/>
    <w:rsid w:val="003C4368"/>
    <w:rsid w:val="003C4F0F"/>
    <w:rsid w:val="003C625E"/>
    <w:rsid w:val="003C632D"/>
    <w:rsid w:val="003D1715"/>
    <w:rsid w:val="003D3763"/>
    <w:rsid w:val="003D4122"/>
    <w:rsid w:val="003E1AC2"/>
    <w:rsid w:val="003E287C"/>
    <w:rsid w:val="003F203D"/>
    <w:rsid w:val="003F391D"/>
    <w:rsid w:val="003F4380"/>
    <w:rsid w:val="003F5F1E"/>
    <w:rsid w:val="003F728D"/>
    <w:rsid w:val="00401CF4"/>
    <w:rsid w:val="00402A7B"/>
    <w:rsid w:val="00407298"/>
    <w:rsid w:val="00410182"/>
    <w:rsid w:val="00421A29"/>
    <w:rsid w:val="00424DBF"/>
    <w:rsid w:val="00425453"/>
    <w:rsid w:val="0043077B"/>
    <w:rsid w:val="00433227"/>
    <w:rsid w:val="004411C2"/>
    <w:rsid w:val="0044240B"/>
    <w:rsid w:val="00444F70"/>
    <w:rsid w:val="00447952"/>
    <w:rsid w:val="00455CC1"/>
    <w:rsid w:val="00457AB4"/>
    <w:rsid w:val="00461F54"/>
    <w:rsid w:val="00462FEA"/>
    <w:rsid w:val="00465D9D"/>
    <w:rsid w:val="00467D2D"/>
    <w:rsid w:val="00470CEB"/>
    <w:rsid w:val="00471765"/>
    <w:rsid w:val="00475801"/>
    <w:rsid w:val="00480F6D"/>
    <w:rsid w:val="00484C6C"/>
    <w:rsid w:val="00485207"/>
    <w:rsid w:val="0048538B"/>
    <w:rsid w:val="00487157"/>
    <w:rsid w:val="0049614D"/>
    <w:rsid w:val="004A11CA"/>
    <w:rsid w:val="004A1914"/>
    <w:rsid w:val="004A448A"/>
    <w:rsid w:val="004A5F02"/>
    <w:rsid w:val="004B28D3"/>
    <w:rsid w:val="004B4256"/>
    <w:rsid w:val="004B530D"/>
    <w:rsid w:val="004B655D"/>
    <w:rsid w:val="004C048B"/>
    <w:rsid w:val="004C4344"/>
    <w:rsid w:val="004C6DE4"/>
    <w:rsid w:val="004D04B8"/>
    <w:rsid w:val="004D11F8"/>
    <w:rsid w:val="004D75C0"/>
    <w:rsid w:val="004E0CC0"/>
    <w:rsid w:val="004E3477"/>
    <w:rsid w:val="004E430A"/>
    <w:rsid w:val="004E4DE8"/>
    <w:rsid w:val="004E747D"/>
    <w:rsid w:val="004F2459"/>
    <w:rsid w:val="004F65C5"/>
    <w:rsid w:val="004F6964"/>
    <w:rsid w:val="005037F7"/>
    <w:rsid w:val="0051008F"/>
    <w:rsid w:val="0051103D"/>
    <w:rsid w:val="00512645"/>
    <w:rsid w:val="00514F2C"/>
    <w:rsid w:val="0051742A"/>
    <w:rsid w:val="00521762"/>
    <w:rsid w:val="00522407"/>
    <w:rsid w:val="0052266F"/>
    <w:rsid w:val="00523A44"/>
    <w:rsid w:val="00530CA4"/>
    <w:rsid w:val="00532A30"/>
    <w:rsid w:val="00534D26"/>
    <w:rsid w:val="0053524E"/>
    <w:rsid w:val="00537556"/>
    <w:rsid w:val="00543DB9"/>
    <w:rsid w:val="0054786F"/>
    <w:rsid w:val="00547C0F"/>
    <w:rsid w:val="00550441"/>
    <w:rsid w:val="005622C2"/>
    <w:rsid w:val="005635EE"/>
    <w:rsid w:val="00564B8C"/>
    <w:rsid w:val="00564D8A"/>
    <w:rsid w:val="00565269"/>
    <w:rsid w:val="005677D9"/>
    <w:rsid w:val="00571F14"/>
    <w:rsid w:val="005727CB"/>
    <w:rsid w:val="00576544"/>
    <w:rsid w:val="005839BD"/>
    <w:rsid w:val="00583F86"/>
    <w:rsid w:val="005A3F08"/>
    <w:rsid w:val="005A4334"/>
    <w:rsid w:val="005A7132"/>
    <w:rsid w:val="005B2F2A"/>
    <w:rsid w:val="005B5D23"/>
    <w:rsid w:val="005C3467"/>
    <w:rsid w:val="005C4DD0"/>
    <w:rsid w:val="005C74DE"/>
    <w:rsid w:val="005D0259"/>
    <w:rsid w:val="005D070F"/>
    <w:rsid w:val="005D0950"/>
    <w:rsid w:val="005D2BF9"/>
    <w:rsid w:val="005D2EFF"/>
    <w:rsid w:val="005E62D3"/>
    <w:rsid w:val="005E728B"/>
    <w:rsid w:val="005E78C6"/>
    <w:rsid w:val="005F1DE7"/>
    <w:rsid w:val="006023E7"/>
    <w:rsid w:val="00602C81"/>
    <w:rsid w:val="00603998"/>
    <w:rsid w:val="006208A1"/>
    <w:rsid w:val="00630B94"/>
    <w:rsid w:val="00641B8C"/>
    <w:rsid w:val="006437F4"/>
    <w:rsid w:val="006439DC"/>
    <w:rsid w:val="00643E94"/>
    <w:rsid w:val="00645375"/>
    <w:rsid w:val="006538B9"/>
    <w:rsid w:val="0065439C"/>
    <w:rsid w:val="006610E2"/>
    <w:rsid w:val="00666517"/>
    <w:rsid w:val="00667E4A"/>
    <w:rsid w:val="006744D8"/>
    <w:rsid w:val="00676658"/>
    <w:rsid w:val="00686064"/>
    <w:rsid w:val="00687367"/>
    <w:rsid w:val="00692776"/>
    <w:rsid w:val="006A0D10"/>
    <w:rsid w:val="006A16BD"/>
    <w:rsid w:val="006A3202"/>
    <w:rsid w:val="006A3848"/>
    <w:rsid w:val="006A434E"/>
    <w:rsid w:val="006A4B39"/>
    <w:rsid w:val="006B6DFB"/>
    <w:rsid w:val="006C6D91"/>
    <w:rsid w:val="006D5417"/>
    <w:rsid w:val="006E0C0B"/>
    <w:rsid w:val="006E4495"/>
    <w:rsid w:val="006E6111"/>
    <w:rsid w:val="006E74B1"/>
    <w:rsid w:val="006E769B"/>
    <w:rsid w:val="006F1406"/>
    <w:rsid w:val="006F249A"/>
    <w:rsid w:val="006F3167"/>
    <w:rsid w:val="007009D0"/>
    <w:rsid w:val="00701134"/>
    <w:rsid w:val="00703D87"/>
    <w:rsid w:val="00706EF0"/>
    <w:rsid w:val="00710FEF"/>
    <w:rsid w:val="0071150B"/>
    <w:rsid w:val="00712CF0"/>
    <w:rsid w:val="007146F9"/>
    <w:rsid w:val="00720481"/>
    <w:rsid w:val="00721162"/>
    <w:rsid w:val="007223AD"/>
    <w:rsid w:val="00722727"/>
    <w:rsid w:val="00723753"/>
    <w:rsid w:val="0073401D"/>
    <w:rsid w:val="00735A31"/>
    <w:rsid w:val="007409D9"/>
    <w:rsid w:val="00741ACE"/>
    <w:rsid w:val="0074242B"/>
    <w:rsid w:val="0074473A"/>
    <w:rsid w:val="007500F3"/>
    <w:rsid w:val="007506D5"/>
    <w:rsid w:val="00751488"/>
    <w:rsid w:val="00751E93"/>
    <w:rsid w:val="00757581"/>
    <w:rsid w:val="00760536"/>
    <w:rsid w:val="00760A48"/>
    <w:rsid w:val="007668AE"/>
    <w:rsid w:val="007670F6"/>
    <w:rsid w:val="00771C22"/>
    <w:rsid w:val="00773013"/>
    <w:rsid w:val="00776661"/>
    <w:rsid w:val="007779AA"/>
    <w:rsid w:val="00777AD0"/>
    <w:rsid w:val="00786C88"/>
    <w:rsid w:val="00787A89"/>
    <w:rsid w:val="007929AA"/>
    <w:rsid w:val="007B0364"/>
    <w:rsid w:val="007B5CCE"/>
    <w:rsid w:val="007C0342"/>
    <w:rsid w:val="007C0E7F"/>
    <w:rsid w:val="007C0EF0"/>
    <w:rsid w:val="007C5675"/>
    <w:rsid w:val="007E1F1D"/>
    <w:rsid w:val="007E79F2"/>
    <w:rsid w:val="007F48A4"/>
    <w:rsid w:val="007F6E14"/>
    <w:rsid w:val="008003F6"/>
    <w:rsid w:val="00802F03"/>
    <w:rsid w:val="008033D4"/>
    <w:rsid w:val="00806FF7"/>
    <w:rsid w:val="00810091"/>
    <w:rsid w:val="008121B0"/>
    <w:rsid w:val="00813FA2"/>
    <w:rsid w:val="008147D4"/>
    <w:rsid w:val="00816D22"/>
    <w:rsid w:val="00821896"/>
    <w:rsid w:val="00824264"/>
    <w:rsid w:val="00824DAD"/>
    <w:rsid w:val="008330FA"/>
    <w:rsid w:val="00836DDB"/>
    <w:rsid w:val="008414E8"/>
    <w:rsid w:val="008466C2"/>
    <w:rsid w:val="008505BE"/>
    <w:rsid w:val="008520BF"/>
    <w:rsid w:val="008543FD"/>
    <w:rsid w:val="00854F9E"/>
    <w:rsid w:val="00855834"/>
    <w:rsid w:val="00860199"/>
    <w:rsid w:val="00860D75"/>
    <w:rsid w:val="00860ED7"/>
    <w:rsid w:val="00863656"/>
    <w:rsid w:val="00865CFB"/>
    <w:rsid w:val="008730F6"/>
    <w:rsid w:val="00880E53"/>
    <w:rsid w:val="00882A1B"/>
    <w:rsid w:val="008919CF"/>
    <w:rsid w:val="008950A1"/>
    <w:rsid w:val="00895E05"/>
    <w:rsid w:val="008A0701"/>
    <w:rsid w:val="008A73B7"/>
    <w:rsid w:val="008B0BA3"/>
    <w:rsid w:val="008B6B34"/>
    <w:rsid w:val="008C4F3F"/>
    <w:rsid w:val="008C530B"/>
    <w:rsid w:val="008D0D26"/>
    <w:rsid w:val="008D2B30"/>
    <w:rsid w:val="008D4315"/>
    <w:rsid w:val="008E2BDA"/>
    <w:rsid w:val="008E585D"/>
    <w:rsid w:val="008E705C"/>
    <w:rsid w:val="008F077D"/>
    <w:rsid w:val="008F2D28"/>
    <w:rsid w:val="008F2E96"/>
    <w:rsid w:val="00900349"/>
    <w:rsid w:val="00902271"/>
    <w:rsid w:val="009026C1"/>
    <w:rsid w:val="009034BE"/>
    <w:rsid w:val="00917655"/>
    <w:rsid w:val="009224BD"/>
    <w:rsid w:val="00923F05"/>
    <w:rsid w:val="00924D87"/>
    <w:rsid w:val="009250D8"/>
    <w:rsid w:val="0092629F"/>
    <w:rsid w:val="00930716"/>
    <w:rsid w:val="0093599B"/>
    <w:rsid w:val="00935FB1"/>
    <w:rsid w:val="009405DE"/>
    <w:rsid w:val="00942E62"/>
    <w:rsid w:val="009437DD"/>
    <w:rsid w:val="00944BB1"/>
    <w:rsid w:val="00946625"/>
    <w:rsid w:val="0095238E"/>
    <w:rsid w:val="00952650"/>
    <w:rsid w:val="00953514"/>
    <w:rsid w:val="00954D66"/>
    <w:rsid w:val="00955954"/>
    <w:rsid w:val="00955D15"/>
    <w:rsid w:val="009601FD"/>
    <w:rsid w:val="009615A4"/>
    <w:rsid w:val="00965BFC"/>
    <w:rsid w:val="0097097E"/>
    <w:rsid w:val="00970D65"/>
    <w:rsid w:val="00975498"/>
    <w:rsid w:val="009828FE"/>
    <w:rsid w:val="00983AA9"/>
    <w:rsid w:val="009849A3"/>
    <w:rsid w:val="0098599E"/>
    <w:rsid w:val="00987931"/>
    <w:rsid w:val="009901C8"/>
    <w:rsid w:val="00993793"/>
    <w:rsid w:val="00993F1C"/>
    <w:rsid w:val="00995699"/>
    <w:rsid w:val="009A1618"/>
    <w:rsid w:val="009A1D28"/>
    <w:rsid w:val="009A3C5F"/>
    <w:rsid w:val="009A61EA"/>
    <w:rsid w:val="009A6C9D"/>
    <w:rsid w:val="009B2265"/>
    <w:rsid w:val="009B4D94"/>
    <w:rsid w:val="009B7668"/>
    <w:rsid w:val="009C0EA9"/>
    <w:rsid w:val="009C21F7"/>
    <w:rsid w:val="009C2785"/>
    <w:rsid w:val="009E1D77"/>
    <w:rsid w:val="009F20B9"/>
    <w:rsid w:val="009F2694"/>
    <w:rsid w:val="009F6820"/>
    <w:rsid w:val="009F7084"/>
    <w:rsid w:val="00A009FD"/>
    <w:rsid w:val="00A01D33"/>
    <w:rsid w:val="00A03722"/>
    <w:rsid w:val="00A058E7"/>
    <w:rsid w:val="00A07AC3"/>
    <w:rsid w:val="00A14BFF"/>
    <w:rsid w:val="00A15841"/>
    <w:rsid w:val="00A30F7A"/>
    <w:rsid w:val="00A32BFE"/>
    <w:rsid w:val="00A33CA1"/>
    <w:rsid w:val="00A36117"/>
    <w:rsid w:val="00A4463D"/>
    <w:rsid w:val="00A45310"/>
    <w:rsid w:val="00A4631F"/>
    <w:rsid w:val="00A4655A"/>
    <w:rsid w:val="00A474EE"/>
    <w:rsid w:val="00A475A1"/>
    <w:rsid w:val="00A47CBF"/>
    <w:rsid w:val="00A522C5"/>
    <w:rsid w:val="00A5280F"/>
    <w:rsid w:val="00A52B23"/>
    <w:rsid w:val="00A54E68"/>
    <w:rsid w:val="00A56B04"/>
    <w:rsid w:val="00A67AB5"/>
    <w:rsid w:val="00A82196"/>
    <w:rsid w:val="00A86710"/>
    <w:rsid w:val="00A96E43"/>
    <w:rsid w:val="00AA4E52"/>
    <w:rsid w:val="00AA57F8"/>
    <w:rsid w:val="00AB442B"/>
    <w:rsid w:val="00AB51E9"/>
    <w:rsid w:val="00AC1950"/>
    <w:rsid w:val="00AD1412"/>
    <w:rsid w:val="00AD2618"/>
    <w:rsid w:val="00AD7BA6"/>
    <w:rsid w:val="00AE1EA6"/>
    <w:rsid w:val="00AE458A"/>
    <w:rsid w:val="00AE504F"/>
    <w:rsid w:val="00AE5312"/>
    <w:rsid w:val="00AE5694"/>
    <w:rsid w:val="00AE60CD"/>
    <w:rsid w:val="00AF2F7E"/>
    <w:rsid w:val="00AF35D6"/>
    <w:rsid w:val="00B06DFE"/>
    <w:rsid w:val="00B12FA8"/>
    <w:rsid w:val="00B159CE"/>
    <w:rsid w:val="00B215CC"/>
    <w:rsid w:val="00B234F5"/>
    <w:rsid w:val="00B33DAD"/>
    <w:rsid w:val="00B3687A"/>
    <w:rsid w:val="00B46118"/>
    <w:rsid w:val="00B47D87"/>
    <w:rsid w:val="00B537C7"/>
    <w:rsid w:val="00B54FB9"/>
    <w:rsid w:val="00B564AD"/>
    <w:rsid w:val="00B6381A"/>
    <w:rsid w:val="00B7188B"/>
    <w:rsid w:val="00B722D1"/>
    <w:rsid w:val="00B74059"/>
    <w:rsid w:val="00B824C5"/>
    <w:rsid w:val="00B83425"/>
    <w:rsid w:val="00B87F65"/>
    <w:rsid w:val="00B96FF5"/>
    <w:rsid w:val="00B97147"/>
    <w:rsid w:val="00BA2515"/>
    <w:rsid w:val="00BA25B9"/>
    <w:rsid w:val="00BA5950"/>
    <w:rsid w:val="00BA6185"/>
    <w:rsid w:val="00BB763C"/>
    <w:rsid w:val="00BB770F"/>
    <w:rsid w:val="00BC1773"/>
    <w:rsid w:val="00BC464C"/>
    <w:rsid w:val="00BC627F"/>
    <w:rsid w:val="00BC6C69"/>
    <w:rsid w:val="00BD1D7A"/>
    <w:rsid w:val="00BD64A7"/>
    <w:rsid w:val="00BD732E"/>
    <w:rsid w:val="00BE1137"/>
    <w:rsid w:val="00BE1179"/>
    <w:rsid w:val="00BE26A9"/>
    <w:rsid w:val="00BE3D2E"/>
    <w:rsid w:val="00BE6F59"/>
    <w:rsid w:val="00BE7A0C"/>
    <w:rsid w:val="00BF3A16"/>
    <w:rsid w:val="00BF3CA8"/>
    <w:rsid w:val="00BF422C"/>
    <w:rsid w:val="00C158F5"/>
    <w:rsid w:val="00C17088"/>
    <w:rsid w:val="00C176AD"/>
    <w:rsid w:val="00C17998"/>
    <w:rsid w:val="00C22E7D"/>
    <w:rsid w:val="00C2463D"/>
    <w:rsid w:val="00C32FFE"/>
    <w:rsid w:val="00C33F7E"/>
    <w:rsid w:val="00C370E8"/>
    <w:rsid w:val="00C416E2"/>
    <w:rsid w:val="00C4631C"/>
    <w:rsid w:val="00C46AC9"/>
    <w:rsid w:val="00C52013"/>
    <w:rsid w:val="00C558E8"/>
    <w:rsid w:val="00C64219"/>
    <w:rsid w:val="00C72345"/>
    <w:rsid w:val="00C72352"/>
    <w:rsid w:val="00C7779D"/>
    <w:rsid w:val="00C804CA"/>
    <w:rsid w:val="00C84F83"/>
    <w:rsid w:val="00C909AB"/>
    <w:rsid w:val="00C9519A"/>
    <w:rsid w:val="00C960D3"/>
    <w:rsid w:val="00C96D06"/>
    <w:rsid w:val="00CA22E0"/>
    <w:rsid w:val="00CA4411"/>
    <w:rsid w:val="00CB1278"/>
    <w:rsid w:val="00CC0182"/>
    <w:rsid w:val="00CC5F36"/>
    <w:rsid w:val="00CC6510"/>
    <w:rsid w:val="00CC6535"/>
    <w:rsid w:val="00CD0B48"/>
    <w:rsid w:val="00CD16D5"/>
    <w:rsid w:val="00CD756D"/>
    <w:rsid w:val="00CE51B4"/>
    <w:rsid w:val="00CE7219"/>
    <w:rsid w:val="00CF0A15"/>
    <w:rsid w:val="00CF17EA"/>
    <w:rsid w:val="00CF4D3F"/>
    <w:rsid w:val="00CF5AE7"/>
    <w:rsid w:val="00CF6F6F"/>
    <w:rsid w:val="00D02E70"/>
    <w:rsid w:val="00D04BD1"/>
    <w:rsid w:val="00D074FF"/>
    <w:rsid w:val="00D1294F"/>
    <w:rsid w:val="00D15DF8"/>
    <w:rsid w:val="00D16013"/>
    <w:rsid w:val="00D21506"/>
    <w:rsid w:val="00D21C9E"/>
    <w:rsid w:val="00D26C42"/>
    <w:rsid w:val="00D33E8C"/>
    <w:rsid w:val="00D35EAA"/>
    <w:rsid w:val="00D434AC"/>
    <w:rsid w:val="00D43AB5"/>
    <w:rsid w:val="00D46F07"/>
    <w:rsid w:val="00D51C06"/>
    <w:rsid w:val="00D5383E"/>
    <w:rsid w:val="00D55F3D"/>
    <w:rsid w:val="00D61200"/>
    <w:rsid w:val="00D6133C"/>
    <w:rsid w:val="00D61913"/>
    <w:rsid w:val="00D74317"/>
    <w:rsid w:val="00D751F1"/>
    <w:rsid w:val="00D836FB"/>
    <w:rsid w:val="00D838FE"/>
    <w:rsid w:val="00D84C0F"/>
    <w:rsid w:val="00D853C5"/>
    <w:rsid w:val="00D91F4E"/>
    <w:rsid w:val="00D92B34"/>
    <w:rsid w:val="00DA6449"/>
    <w:rsid w:val="00DB1595"/>
    <w:rsid w:val="00DB5A13"/>
    <w:rsid w:val="00DB798B"/>
    <w:rsid w:val="00DC1D0C"/>
    <w:rsid w:val="00DC4ED4"/>
    <w:rsid w:val="00DC70B0"/>
    <w:rsid w:val="00DC7F52"/>
    <w:rsid w:val="00DD0715"/>
    <w:rsid w:val="00DD0D9E"/>
    <w:rsid w:val="00DD4D85"/>
    <w:rsid w:val="00DE1255"/>
    <w:rsid w:val="00DF3814"/>
    <w:rsid w:val="00DF3E47"/>
    <w:rsid w:val="00DF74DE"/>
    <w:rsid w:val="00E00681"/>
    <w:rsid w:val="00E00AD3"/>
    <w:rsid w:val="00E0344D"/>
    <w:rsid w:val="00E20D11"/>
    <w:rsid w:val="00E269F0"/>
    <w:rsid w:val="00E36833"/>
    <w:rsid w:val="00E4487B"/>
    <w:rsid w:val="00E50430"/>
    <w:rsid w:val="00E510F7"/>
    <w:rsid w:val="00E51C60"/>
    <w:rsid w:val="00E52441"/>
    <w:rsid w:val="00E53642"/>
    <w:rsid w:val="00E55210"/>
    <w:rsid w:val="00E55250"/>
    <w:rsid w:val="00E60EBC"/>
    <w:rsid w:val="00E6278D"/>
    <w:rsid w:val="00E63661"/>
    <w:rsid w:val="00E65935"/>
    <w:rsid w:val="00E65EFC"/>
    <w:rsid w:val="00E66F09"/>
    <w:rsid w:val="00E721EF"/>
    <w:rsid w:val="00E74A0B"/>
    <w:rsid w:val="00E74D68"/>
    <w:rsid w:val="00E764CB"/>
    <w:rsid w:val="00E800C8"/>
    <w:rsid w:val="00E80588"/>
    <w:rsid w:val="00E80BF0"/>
    <w:rsid w:val="00E90044"/>
    <w:rsid w:val="00E95F9C"/>
    <w:rsid w:val="00EA2E2D"/>
    <w:rsid w:val="00EA4E9E"/>
    <w:rsid w:val="00EA626C"/>
    <w:rsid w:val="00EB01A3"/>
    <w:rsid w:val="00EB41DD"/>
    <w:rsid w:val="00EB62E5"/>
    <w:rsid w:val="00EC3CA0"/>
    <w:rsid w:val="00EC4CC4"/>
    <w:rsid w:val="00EC4E04"/>
    <w:rsid w:val="00EC7BCE"/>
    <w:rsid w:val="00ED48EA"/>
    <w:rsid w:val="00ED7834"/>
    <w:rsid w:val="00EE0CBF"/>
    <w:rsid w:val="00EE178A"/>
    <w:rsid w:val="00EE1B35"/>
    <w:rsid w:val="00EE5704"/>
    <w:rsid w:val="00EF142C"/>
    <w:rsid w:val="00EF44A4"/>
    <w:rsid w:val="00EF522A"/>
    <w:rsid w:val="00EF57CB"/>
    <w:rsid w:val="00F01451"/>
    <w:rsid w:val="00F02E20"/>
    <w:rsid w:val="00F04F71"/>
    <w:rsid w:val="00F05F8E"/>
    <w:rsid w:val="00F10E91"/>
    <w:rsid w:val="00F11573"/>
    <w:rsid w:val="00F14001"/>
    <w:rsid w:val="00F227E7"/>
    <w:rsid w:val="00F234DC"/>
    <w:rsid w:val="00F24B7B"/>
    <w:rsid w:val="00F27E3F"/>
    <w:rsid w:val="00F338D8"/>
    <w:rsid w:val="00F4036D"/>
    <w:rsid w:val="00F4645E"/>
    <w:rsid w:val="00F46E11"/>
    <w:rsid w:val="00F60A3C"/>
    <w:rsid w:val="00F6595F"/>
    <w:rsid w:val="00F663EF"/>
    <w:rsid w:val="00F66E53"/>
    <w:rsid w:val="00F675B1"/>
    <w:rsid w:val="00F74073"/>
    <w:rsid w:val="00F74D05"/>
    <w:rsid w:val="00F76F9B"/>
    <w:rsid w:val="00F77791"/>
    <w:rsid w:val="00F8500B"/>
    <w:rsid w:val="00F8673A"/>
    <w:rsid w:val="00F8722F"/>
    <w:rsid w:val="00F87895"/>
    <w:rsid w:val="00F900F8"/>
    <w:rsid w:val="00F952C8"/>
    <w:rsid w:val="00F960A6"/>
    <w:rsid w:val="00F97C7F"/>
    <w:rsid w:val="00FA4B30"/>
    <w:rsid w:val="00FB1841"/>
    <w:rsid w:val="00FB70A9"/>
    <w:rsid w:val="00FB7861"/>
    <w:rsid w:val="00FD1F38"/>
    <w:rsid w:val="00FD2668"/>
    <w:rsid w:val="00FD27BE"/>
    <w:rsid w:val="00FD6E03"/>
    <w:rsid w:val="00FE2084"/>
    <w:rsid w:val="00FE4CBB"/>
    <w:rsid w:val="00FF19D5"/>
    <w:rsid w:val="00FF56CB"/>
    <w:rsid w:val="00FF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4">
    <w:name w:val="heading 4"/>
    <w:basedOn w:val="Normal"/>
    <w:next w:val="Normal"/>
    <w:link w:val="Heading4Char"/>
    <w:uiPriority w:val="9"/>
    <w:semiHidden/>
    <w:unhideWhenUsed/>
    <w:qFormat/>
    <w:rsid w:val="005126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nhideWhenUsed/>
    <w:rsid w:val="004A11CA"/>
  </w:style>
  <w:style w:type="character" w:styleId="UnresolvedMention">
    <w:name w:val="Unresolved Mention"/>
    <w:basedOn w:val="DefaultParagraphFont"/>
    <w:uiPriority w:val="99"/>
    <w:semiHidden/>
    <w:unhideWhenUsed/>
    <w:rsid w:val="00786C88"/>
    <w:rPr>
      <w:color w:val="605E5C"/>
      <w:shd w:val="clear" w:color="auto" w:fill="E1DFDD"/>
    </w:rPr>
  </w:style>
  <w:style w:type="character" w:customStyle="1" w:styleId="Heading4Char">
    <w:name w:val="Heading 4 Char"/>
    <w:basedOn w:val="DefaultParagraphFont"/>
    <w:link w:val="Heading4"/>
    <w:uiPriority w:val="9"/>
    <w:semiHidden/>
    <w:rsid w:val="00512645"/>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3520">
      <w:bodyDiv w:val="1"/>
      <w:marLeft w:val="0"/>
      <w:marRight w:val="0"/>
      <w:marTop w:val="0"/>
      <w:marBottom w:val="0"/>
      <w:divBdr>
        <w:top w:val="none" w:sz="0" w:space="0" w:color="auto"/>
        <w:left w:val="none" w:sz="0" w:space="0" w:color="auto"/>
        <w:bottom w:val="none" w:sz="0" w:space="0" w:color="auto"/>
        <w:right w:val="none" w:sz="0" w:space="0" w:color="auto"/>
      </w:divBdr>
    </w:div>
    <w:div w:id="305621796">
      <w:bodyDiv w:val="1"/>
      <w:marLeft w:val="0"/>
      <w:marRight w:val="0"/>
      <w:marTop w:val="0"/>
      <w:marBottom w:val="0"/>
      <w:divBdr>
        <w:top w:val="none" w:sz="0" w:space="0" w:color="auto"/>
        <w:left w:val="none" w:sz="0" w:space="0" w:color="auto"/>
        <w:bottom w:val="none" w:sz="0" w:space="0" w:color="auto"/>
        <w:right w:val="none" w:sz="0" w:space="0" w:color="auto"/>
      </w:divBdr>
    </w:div>
    <w:div w:id="434709503">
      <w:bodyDiv w:val="1"/>
      <w:marLeft w:val="0"/>
      <w:marRight w:val="0"/>
      <w:marTop w:val="0"/>
      <w:marBottom w:val="0"/>
      <w:divBdr>
        <w:top w:val="none" w:sz="0" w:space="0" w:color="auto"/>
        <w:left w:val="none" w:sz="0" w:space="0" w:color="auto"/>
        <w:bottom w:val="none" w:sz="0" w:space="0" w:color="auto"/>
        <w:right w:val="none" w:sz="0" w:space="0" w:color="auto"/>
      </w:divBdr>
    </w:div>
    <w:div w:id="482895843">
      <w:bodyDiv w:val="1"/>
      <w:marLeft w:val="0"/>
      <w:marRight w:val="0"/>
      <w:marTop w:val="0"/>
      <w:marBottom w:val="0"/>
      <w:divBdr>
        <w:top w:val="none" w:sz="0" w:space="0" w:color="auto"/>
        <w:left w:val="none" w:sz="0" w:space="0" w:color="auto"/>
        <w:bottom w:val="none" w:sz="0" w:space="0" w:color="auto"/>
        <w:right w:val="none" w:sz="0" w:space="0" w:color="auto"/>
      </w:divBdr>
    </w:div>
    <w:div w:id="579295943">
      <w:bodyDiv w:val="1"/>
      <w:marLeft w:val="0"/>
      <w:marRight w:val="0"/>
      <w:marTop w:val="0"/>
      <w:marBottom w:val="0"/>
      <w:divBdr>
        <w:top w:val="none" w:sz="0" w:space="0" w:color="auto"/>
        <w:left w:val="none" w:sz="0" w:space="0" w:color="auto"/>
        <w:bottom w:val="none" w:sz="0" w:space="0" w:color="auto"/>
        <w:right w:val="none" w:sz="0" w:space="0" w:color="auto"/>
      </w:divBdr>
    </w:div>
    <w:div w:id="783384501">
      <w:bodyDiv w:val="1"/>
      <w:marLeft w:val="0"/>
      <w:marRight w:val="0"/>
      <w:marTop w:val="0"/>
      <w:marBottom w:val="0"/>
      <w:divBdr>
        <w:top w:val="none" w:sz="0" w:space="0" w:color="auto"/>
        <w:left w:val="none" w:sz="0" w:space="0" w:color="auto"/>
        <w:bottom w:val="none" w:sz="0" w:space="0" w:color="auto"/>
        <w:right w:val="none" w:sz="0" w:space="0" w:color="auto"/>
      </w:divBdr>
    </w:div>
    <w:div w:id="807355643">
      <w:bodyDiv w:val="1"/>
      <w:marLeft w:val="0"/>
      <w:marRight w:val="0"/>
      <w:marTop w:val="0"/>
      <w:marBottom w:val="0"/>
      <w:divBdr>
        <w:top w:val="none" w:sz="0" w:space="0" w:color="auto"/>
        <w:left w:val="none" w:sz="0" w:space="0" w:color="auto"/>
        <w:bottom w:val="none" w:sz="0" w:space="0" w:color="auto"/>
        <w:right w:val="none" w:sz="0" w:space="0" w:color="auto"/>
      </w:divBdr>
    </w:div>
    <w:div w:id="909925083">
      <w:bodyDiv w:val="1"/>
      <w:marLeft w:val="0"/>
      <w:marRight w:val="0"/>
      <w:marTop w:val="0"/>
      <w:marBottom w:val="0"/>
      <w:divBdr>
        <w:top w:val="none" w:sz="0" w:space="0" w:color="auto"/>
        <w:left w:val="none" w:sz="0" w:space="0" w:color="auto"/>
        <w:bottom w:val="none" w:sz="0" w:space="0" w:color="auto"/>
        <w:right w:val="none" w:sz="0" w:space="0" w:color="auto"/>
      </w:divBdr>
    </w:div>
    <w:div w:id="1157265063">
      <w:bodyDiv w:val="1"/>
      <w:marLeft w:val="0"/>
      <w:marRight w:val="0"/>
      <w:marTop w:val="0"/>
      <w:marBottom w:val="0"/>
      <w:divBdr>
        <w:top w:val="none" w:sz="0" w:space="0" w:color="auto"/>
        <w:left w:val="none" w:sz="0" w:space="0" w:color="auto"/>
        <w:bottom w:val="none" w:sz="0" w:space="0" w:color="auto"/>
        <w:right w:val="none" w:sz="0" w:space="0" w:color="auto"/>
      </w:divBdr>
    </w:div>
    <w:div w:id="1179542133">
      <w:bodyDiv w:val="1"/>
      <w:marLeft w:val="0"/>
      <w:marRight w:val="0"/>
      <w:marTop w:val="0"/>
      <w:marBottom w:val="0"/>
      <w:divBdr>
        <w:top w:val="none" w:sz="0" w:space="0" w:color="auto"/>
        <w:left w:val="none" w:sz="0" w:space="0" w:color="auto"/>
        <w:bottom w:val="none" w:sz="0" w:space="0" w:color="auto"/>
        <w:right w:val="none" w:sz="0" w:space="0" w:color="auto"/>
      </w:divBdr>
    </w:div>
    <w:div w:id="1454207209">
      <w:bodyDiv w:val="1"/>
      <w:marLeft w:val="0"/>
      <w:marRight w:val="0"/>
      <w:marTop w:val="0"/>
      <w:marBottom w:val="0"/>
      <w:divBdr>
        <w:top w:val="none" w:sz="0" w:space="0" w:color="auto"/>
        <w:left w:val="none" w:sz="0" w:space="0" w:color="auto"/>
        <w:bottom w:val="none" w:sz="0" w:space="0" w:color="auto"/>
        <w:right w:val="none" w:sz="0" w:space="0" w:color="auto"/>
      </w:divBdr>
    </w:div>
    <w:div w:id="1566330011">
      <w:bodyDiv w:val="1"/>
      <w:marLeft w:val="0"/>
      <w:marRight w:val="0"/>
      <w:marTop w:val="0"/>
      <w:marBottom w:val="0"/>
      <w:divBdr>
        <w:top w:val="none" w:sz="0" w:space="0" w:color="auto"/>
        <w:left w:val="none" w:sz="0" w:space="0" w:color="auto"/>
        <w:bottom w:val="none" w:sz="0" w:space="0" w:color="auto"/>
        <w:right w:val="none" w:sz="0" w:space="0" w:color="auto"/>
      </w:divBdr>
    </w:div>
    <w:div w:id="1867863185">
      <w:bodyDiv w:val="1"/>
      <w:marLeft w:val="0"/>
      <w:marRight w:val="0"/>
      <w:marTop w:val="0"/>
      <w:marBottom w:val="0"/>
      <w:divBdr>
        <w:top w:val="none" w:sz="0" w:space="0" w:color="auto"/>
        <w:left w:val="none" w:sz="0" w:space="0" w:color="auto"/>
        <w:bottom w:val="none" w:sz="0" w:space="0" w:color="auto"/>
        <w:right w:val="none" w:sz="0" w:space="0" w:color="auto"/>
      </w:divBdr>
    </w:div>
    <w:div w:id="21179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Props1.xml><?xml version="1.0" encoding="utf-8"?>
<ds:datastoreItem xmlns:ds="http://schemas.openxmlformats.org/officeDocument/2006/customXml" ds:itemID="{CD7964B4-3CA8-4C64-9B9E-E9345536E76E}"/>
</file>

<file path=customXml/itemProps2.xml><?xml version="1.0" encoding="utf-8"?>
<ds:datastoreItem xmlns:ds="http://schemas.openxmlformats.org/officeDocument/2006/customXml" ds:itemID="{52C479FE-F7AC-4A7F-803B-EDAF93D159F3}"/>
</file>

<file path=customXml/itemProps3.xml><?xml version="1.0" encoding="utf-8"?>
<ds:datastoreItem xmlns:ds="http://schemas.openxmlformats.org/officeDocument/2006/customXml" ds:itemID="{32554379-CF77-4D51-A28B-BEB30390BBC8}"/>
</file>

<file path=docProps/app.xml><?xml version="1.0" encoding="utf-8"?>
<Properties xmlns="http://schemas.openxmlformats.org/officeDocument/2006/extended-properties" xmlns:vt="http://schemas.openxmlformats.org/officeDocument/2006/docPropsVTypes">
  <Template>Normal</Template>
  <TotalTime>142</TotalTime>
  <Pages>6</Pages>
  <Words>2792</Words>
  <Characters>15917</Characters>
  <Application>Microsoft Office Word</Application>
  <DocSecurity>0</DocSecurity>
  <Lines>132</Lines>
  <Paragraphs>37</Paragraphs>
  <ScaleCrop>false</ScaleCrop>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Gill Nicola (RNU) Oxford Health</cp:lastModifiedBy>
  <cp:revision>98</cp:revision>
  <dcterms:created xsi:type="dcterms:W3CDTF">2023-03-26T21:41:00Z</dcterms:created>
  <dcterms:modified xsi:type="dcterms:W3CDTF">2023-05-22T06:02:00Z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0x010100D40FE3C776672E4F98EC78CFC5673726</vt:lpwstr>
  </property>
</Properties>
</file>