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6E51" w14:textId="77777777" w:rsidR="005F7DD3" w:rsidRPr="002A1519" w:rsidRDefault="002F0B8A" w:rsidP="00A269B9">
      <w:pPr>
        <w:ind w:right="-1"/>
        <w:jc w:val="right"/>
        <w:rPr>
          <w:rFonts w:ascii="Segoe UI" w:hAnsi="Segoe UI" w:cs="Segoe UI"/>
        </w:rPr>
      </w:pPr>
      <w:r>
        <w:rPr>
          <w:rFonts w:ascii="Segoe UI" w:hAnsi="Segoe UI" w:cs="Segoe UI"/>
          <w:noProof/>
        </w:rPr>
        <w:drawing>
          <wp:inline distT="0" distB="0" distL="0" distR="0" wp14:anchorId="27DC2C92" wp14:editId="44A69B61">
            <wp:extent cx="1914525" cy="857250"/>
            <wp:effectExtent l="0" t="0" r="0" b="0"/>
            <wp:docPr id="1" name="Picture 1" descr="A4%20logo%2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20logo%20size"/>
                    <pic:cNvPicPr>
                      <a:picLocks noChangeAspect="1" noChangeArrowheads="1"/>
                    </pic:cNvPicPr>
                  </pic:nvPicPr>
                  <pic:blipFill>
                    <a:blip r:embed="rId7" cstate="print">
                      <a:extLst>
                        <a:ext uri="{28A0092B-C50C-407E-A947-70E740481C1C}">
                          <a14:useLocalDpi xmlns:a14="http://schemas.microsoft.com/office/drawing/2010/main" val="0"/>
                        </a:ext>
                      </a:extLst>
                    </a:blip>
                    <a:srcRect t="19737" r="13362" b="21053"/>
                    <a:stretch>
                      <a:fillRect/>
                    </a:stretch>
                  </pic:blipFill>
                  <pic:spPr bwMode="auto">
                    <a:xfrm>
                      <a:off x="0" y="0"/>
                      <a:ext cx="1914525" cy="857250"/>
                    </a:xfrm>
                    <a:prstGeom prst="rect">
                      <a:avLst/>
                    </a:prstGeom>
                    <a:noFill/>
                    <a:ln>
                      <a:noFill/>
                    </a:ln>
                  </pic:spPr>
                </pic:pic>
              </a:graphicData>
            </a:graphic>
          </wp:inline>
        </w:drawing>
      </w:r>
    </w:p>
    <w:p w14:paraId="5961F703" w14:textId="77777777" w:rsidR="005F7DD3" w:rsidRPr="002A1519" w:rsidRDefault="005F7DD3" w:rsidP="00EB26E3">
      <w:pPr>
        <w:pStyle w:val="Heading1"/>
        <w:numPr>
          <w:ilvl w:val="0"/>
          <w:numId w:val="0"/>
        </w:numPr>
        <w:jc w:val="center"/>
        <w:rPr>
          <w:rFonts w:ascii="Segoe UI" w:hAnsi="Segoe UI" w:cs="Segoe UI"/>
          <w:sz w:val="28"/>
        </w:rPr>
      </w:pPr>
      <w:r w:rsidRPr="002A1519">
        <w:rPr>
          <w:rFonts w:ascii="Segoe UI" w:hAnsi="Segoe UI" w:cs="Segoe UI"/>
          <w:sz w:val="28"/>
        </w:rPr>
        <w:t xml:space="preserve">Report to the Meeting of the </w:t>
      </w:r>
      <w:r w:rsidR="00EB26E3">
        <w:rPr>
          <w:rFonts w:ascii="Segoe UI" w:hAnsi="Segoe UI" w:cs="Segoe UI"/>
          <w:sz w:val="28"/>
        </w:rPr>
        <w:br/>
      </w:r>
      <w:r w:rsidRPr="002A1519">
        <w:rPr>
          <w:rFonts w:ascii="Segoe UI" w:hAnsi="Segoe UI" w:cs="Segoe UI"/>
          <w:sz w:val="28"/>
        </w:rPr>
        <w:t>Oxford Health NHS Foundation Trust</w:t>
      </w:r>
    </w:p>
    <w:p w14:paraId="1E4E02E9" w14:textId="77777777" w:rsidR="005F7DD3" w:rsidRPr="002A1519" w:rsidRDefault="00FE6519" w:rsidP="005F7DD3">
      <w:pPr>
        <w:pStyle w:val="Heading1"/>
        <w:numPr>
          <w:ilvl w:val="0"/>
          <w:numId w:val="0"/>
        </w:numPr>
        <w:jc w:val="center"/>
        <w:rPr>
          <w:rFonts w:ascii="Segoe UI" w:hAnsi="Segoe UI" w:cs="Segoe UI"/>
          <w:sz w:val="28"/>
        </w:rPr>
      </w:pPr>
      <w:r>
        <w:rPr>
          <w:rFonts w:ascii="Segoe UI" w:hAnsi="Segoe UI" w:cs="Segoe UI"/>
          <w:sz w:val="28"/>
        </w:rPr>
        <w:t>Quality</w:t>
      </w:r>
      <w:r w:rsidR="005F7DD3" w:rsidRPr="002A1519">
        <w:rPr>
          <w:rFonts w:ascii="Segoe UI" w:hAnsi="Segoe UI" w:cs="Segoe UI"/>
          <w:sz w:val="28"/>
        </w:rPr>
        <w:t xml:space="preserve"> Committee</w:t>
      </w:r>
    </w:p>
    <w:p w14:paraId="31D26FCC" w14:textId="77777777" w:rsidR="005F7DD3" w:rsidRPr="002A1519" w:rsidRDefault="002F0B8A" w:rsidP="00EB26E3">
      <w:pPr>
        <w:rPr>
          <w:rFonts w:ascii="Segoe UI" w:hAnsi="Segoe UI" w:cs="Segoe UI"/>
          <w:b/>
        </w:rPr>
      </w:pPr>
      <w:r w:rsidRPr="002A1519">
        <w:rPr>
          <w:rFonts w:ascii="Segoe UI" w:hAnsi="Segoe UI" w:cs="Segoe UI"/>
          <w:noProof/>
          <w:sz w:val="20"/>
        </w:rPr>
        <mc:AlternateContent>
          <mc:Choice Requires="wps">
            <w:drawing>
              <wp:anchor distT="0" distB="0" distL="114300" distR="114300" simplePos="0" relativeHeight="251657728" behindDoc="0" locked="0" layoutInCell="1" allowOverlap="1" wp14:anchorId="46A3B6DF" wp14:editId="11AB72AA">
                <wp:simplePos x="0" y="0"/>
                <wp:positionH relativeFrom="column">
                  <wp:posOffset>4457700</wp:posOffset>
                </wp:positionH>
                <wp:positionV relativeFrom="paragraph">
                  <wp:posOffset>30480</wp:posOffset>
                </wp:positionV>
                <wp:extent cx="1371600" cy="443230"/>
                <wp:effectExtent l="9525" t="1270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32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9FE4B" w14:textId="010A6BE3" w:rsidR="00615607" w:rsidRPr="000F433A" w:rsidRDefault="0018498E" w:rsidP="005F7DD3">
                            <w:pPr>
                              <w:pStyle w:val="BodyText"/>
                              <w:rPr>
                                <w:rFonts w:ascii="Segoe UI" w:hAnsi="Segoe UI" w:cs="Segoe UI"/>
                              </w:rPr>
                            </w:pPr>
                            <w:r>
                              <w:rPr>
                                <w:rFonts w:ascii="Segoe UI" w:hAnsi="Segoe UI" w:cs="Segoe UI"/>
                              </w:rPr>
                              <w:t>RR-App 10</w:t>
                            </w:r>
                            <w:r w:rsidR="00615607" w:rsidRPr="000F433A">
                              <w:rPr>
                                <w:rFonts w:ascii="Segoe UI" w:hAnsi="Segoe UI" w:cs="Segoe UI"/>
                              </w:rPr>
                              <w:t>/</w:t>
                            </w:r>
                            <w:r w:rsidR="001926F4">
                              <w:rPr>
                                <w:rFonts w:ascii="Segoe UI" w:hAnsi="Segoe UI" w:cs="Segoe UI"/>
                              </w:rPr>
                              <w:t>20</w:t>
                            </w:r>
                            <w:r w:rsidR="008E7EDD">
                              <w:rPr>
                                <w:rFonts w:ascii="Segoe UI" w:hAnsi="Segoe UI" w:cs="Segoe UI"/>
                              </w:rPr>
                              <w:t>2</w:t>
                            </w:r>
                            <w:r w:rsidR="00F814F9">
                              <w:rPr>
                                <w:rFonts w:ascii="Segoe UI" w:hAnsi="Segoe UI" w:cs="Segoe UI"/>
                              </w:rPr>
                              <w:t>3</w:t>
                            </w:r>
                          </w:p>
                          <w:p w14:paraId="57BD6759" w14:textId="15475069" w:rsidR="00615607" w:rsidRPr="000F433A" w:rsidRDefault="00615607" w:rsidP="005F7DD3">
                            <w:pPr>
                              <w:pStyle w:val="BodyText"/>
                              <w:rPr>
                                <w:rFonts w:ascii="Segoe UI" w:hAnsi="Segoe UI" w:cs="Segoe UI"/>
                                <w:b w:val="0"/>
                                <w:sz w:val="22"/>
                                <w:szCs w:val="22"/>
                              </w:rPr>
                            </w:pPr>
                            <w:r w:rsidRPr="000F433A">
                              <w:rPr>
                                <w:rFonts w:ascii="Segoe UI" w:hAnsi="Segoe UI" w:cs="Segoe UI"/>
                                <w:b w:val="0"/>
                                <w:sz w:val="22"/>
                                <w:szCs w:val="22"/>
                              </w:rPr>
                              <w:t xml:space="preserve">(Agenda item: </w:t>
                            </w:r>
                            <w:r w:rsidR="0018498E">
                              <w:rPr>
                                <w:rFonts w:ascii="Segoe UI" w:hAnsi="Segoe UI" w:cs="Segoe UI"/>
                                <w:b w:val="0"/>
                                <w:sz w:val="22"/>
                                <w:szCs w:val="22"/>
                              </w:rPr>
                              <w:t>26</w:t>
                            </w:r>
                            <w:r w:rsidRPr="000F433A">
                              <w:rPr>
                                <w:rFonts w:ascii="Segoe UI" w:hAnsi="Segoe UI" w:cs="Segoe UI"/>
                                <w:b w:val="0"/>
                                <w:sz w:val="22"/>
                                <w:szCs w:val="22"/>
                              </w:rPr>
                              <w:t>)</w:t>
                            </w:r>
                          </w:p>
                          <w:p w14:paraId="1832B4F3" w14:textId="77777777" w:rsidR="00615607" w:rsidRDefault="00615607" w:rsidP="005F7DD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B6DF" id="Rectangle 2" o:spid="_x0000_s1026" style="position:absolute;margin-left:351pt;margin-top:2.4pt;width:108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">
                <v:textbox inset="0,0,0,0">
                  <w:txbxContent>
                    <w:p w14:paraId="3D99FE4B" w14:textId="010A6BE3" w:rsidR="00615607" w:rsidRPr="000F433A" w:rsidRDefault="0018498E" w:rsidP="005F7DD3">
                      <w:pPr>
                        <w:pStyle w:val="BodyText"/>
                        <w:rPr>
                          <w:rFonts w:ascii="Segoe UI" w:hAnsi="Segoe UI" w:cs="Segoe UI"/>
                        </w:rPr>
                      </w:pPr>
                      <w:r>
                        <w:rPr>
                          <w:rFonts w:ascii="Segoe UI" w:hAnsi="Segoe UI" w:cs="Segoe UI"/>
                        </w:rPr>
                        <w:t>RR-App 10</w:t>
                      </w:r>
                      <w:r w:rsidR="00615607" w:rsidRPr="000F433A">
                        <w:rPr>
                          <w:rFonts w:ascii="Segoe UI" w:hAnsi="Segoe UI" w:cs="Segoe UI"/>
                        </w:rPr>
                        <w:t>/</w:t>
                      </w:r>
                      <w:r w:rsidR="001926F4">
                        <w:rPr>
                          <w:rFonts w:ascii="Segoe UI" w:hAnsi="Segoe UI" w:cs="Segoe UI"/>
                        </w:rPr>
                        <w:t>20</w:t>
                      </w:r>
                      <w:r w:rsidR="008E7EDD">
                        <w:rPr>
                          <w:rFonts w:ascii="Segoe UI" w:hAnsi="Segoe UI" w:cs="Segoe UI"/>
                        </w:rPr>
                        <w:t>2</w:t>
                      </w:r>
                      <w:r w:rsidR="00F814F9">
                        <w:rPr>
                          <w:rFonts w:ascii="Segoe UI" w:hAnsi="Segoe UI" w:cs="Segoe UI"/>
                        </w:rPr>
                        <w:t>3</w:t>
                      </w:r>
                    </w:p>
                    <w:p w14:paraId="57BD6759" w14:textId="15475069" w:rsidR="00615607" w:rsidRPr="000F433A" w:rsidRDefault="00615607" w:rsidP="005F7DD3">
                      <w:pPr>
                        <w:pStyle w:val="BodyText"/>
                        <w:rPr>
                          <w:rFonts w:ascii="Segoe UI" w:hAnsi="Segoe UI" w:cs="Segoe UI"/>
                          <w:b w:val="0"/>
                          <w:sz w:val="22"/>
                          <w:szCs w:val="22"/>
                        </w:rPr>
                      </w:pPr>
                      <w:r w:rsidRPr="000F433A">
                        <w:rPr>
                          <w:rFonts w:ascii="Segoe UI" w:hAnsi="Segoe UI" w:cs="Segoe UI"/>
                          <w:b w:val="0"/>
                          <w:sz w:val="22"/>
                          <w:szCs w:val="22"/>
                        </w:rPr>
                        <w:t xml:space="preserve">(Agenda item: </w:t>
                      </w:r>
                      <w:r w:rsidR="0018498E">
                        <w:rPr>
                          <w:rFonts w:ascii="Segoe UI" w:hAnsi="Segoe UI" w:cs="Segoe UI"/>
                          <w:b w:val="0"/>
                          <w:sz w:val="22"/>
                          <w:szCs w:val="22"/>
                        </w:rPr>
                        <w:t>26</w:t>
                      </w:r>
                      <w:r w:rsidRPr="000F433A">
                        <w:rPr>
                          <w:rFonts w:ascii="Segoe UI" w:hAnsi="Segoe UI" w:cs="Segoe UI"/>
                          <w:b w:val="0"/>
                          <w:sz w:val="22"/>
                          <w:szCs w:val="22"/>
                        </w:rPr>
                        <w:t>)</w:t>
                      </w:r>
                    </w:p>
                    <w:p w14:paraId="1832B4F3" w14:textId="77777777" w:rsidR="00615607" w:rsidRDefault="00615607" w:rsidP="005F7DD3">
                      <w:pPr>
                        <w:jc w:val="center"/>
                        <w:rPr>
                          <w:b/>
                        </w:rPr>
                      </w:pPr>
                    </w:p>
                  </w:txbxContent>
                </v:textbox>
              </v:rect>
            </w:pict>
          </mc:Fallback>
        </mc:AlternateContent>
      </w:r>
    </w:p>
    <w:p w14:paraId="7117C610" w14:textId="3DA24EB9" w:rsidR="005F7DD3" w:rsidRPr="002A1519" w:rsidRDefault="00A269B9" w:rsidP="005F7DD3">
      <w:pPr>
        <w:jc w:val="center"/>
        <w:rPr>
          <w:rFonts w:ascii="Segoe UI" w:hAnsi="Segoe UI" w:cs="Segoe UI"/>
          <w:b/>
        </w:rPr>
      </w:pPr>
      <w:r>
        <w:rPr>
          <w:rFonts w:ascii="Segoe UI" w:hAnsi="Segoe UI" w:cs="Segoe UI"/>
          <w:b/>
        </w:rPr>
        <w:t>9</w:t>
      </w:r>
      <w:r w:rsidRPr="00A269B9">
        <w:rPr>
          <w:rFonts w:ascii="Segoe UI" w:hAnsi="Segoe UI" w:cs="Segoe UI"/>
          <w:b/>
          <w:vertAlign w:val="superscript"/>
        </w:rPr>
        <w:t>th</w:t>
      </w:r>
      <w:r>
        <w:rPr>
          <w:rFonts w:ascii="Segoe UI" w:hAnsi="Segoe UI" w:cs="Segoe UI"/>
          <w:b/>
        </w:rPr>
        <w:t xml:space="preserve"> February</w:t>
      </w:r>
      <w:r w:rsidR="00151D80">
        <w:rPr>
          <w:rFonts w:ascii="Segoe UI" w:hAnsi="Segoe UI" w:cs="Segoe UI"/>
          <w:b/>
        </w:rPr>
        <w:t xml:space="preserve"> 20</w:t>
      </w:r>
      <w:r w:rsidR="008E7EDD">
        <w:rPr>
          <w:rFonts w:ascii="Segoe UI" w:hAnsi="Segoe UI" w:cs="Segoe UI"/>
          <w:b/>
        </w:rPr>
        <w:t>2</w:t>
      </w:r>
      <w:r w:rsidR="006A4B38">
        <w:rPr>
          <w:rFonts w:ascii="Segoe UI" w:hAnsi="Segoe UI" w:cs="Segoe UI"/>
          <w:b/>
        </w:rPr>
        <w:t>3</w:t>
      </w:r>
    </w:p>
    <w:p w14:paraId="381655AA" w14:textId="77777777" w:rsidR="005F7DD3" w:rsidRPr="002A1519" w:rsidRDefault="005F7DD3" w:rsidP="005F7DD3">
      <w:pPr>
        <w:jc w:val="center"/>
        <w:rPr>
          <w:rFonts w:ascii="Segoe UI" w:hAnsi="Segoe UI" w:cs="Segoe UI"/>
          <w:b/>
        </w:rPr>
      </w:pPr>
    </w:p>
    <w:p w14:paraId="4BE12C5B" w14:textId="06107E9D" w:rsidR="005F7DD3" w:rsidRPr="00757096" w:rsidRDefault="00A269B9" w:rsidP="005F7DD3">
      <w:pPr>
        <w:jc w:val="center"/>
        <w:rPr>
          <w:rFonts w:asciiTheme="minorHAnsi" w:hAnsiTheme="minorHAnsi" w:cstheme="minorHAnsi"/>
          <w:b/>
        </w:rPr>
      </w:pPr>
      <w:r w:rsidRPr="00757096">
        <w:rPr>
          <w:rFonts w:asciiTheme="minorHAnsi" w:hAnsiTheme="minorHAnsi" w:cstheme="minorHAnsi"/>
          <w:b/>
        </w:rPr>
        <w:t>Quality and Safety Dashboard</w:t>
      </w:r>
    </w:p>
    <w:p w14:paraId="186F717C" w14:textId="4E860CAE" w:rsidR="00BB19E4" w:rsidRPr="00757096" w:rsidRDefault="00EB26E3" w:rsidP="00EB26E3">
      <w:pPr>
        <w:jc w:val="center"/>
        <w:rPr>
          <w:rFonts w:asciiTheme="minorHAnsi" w:hAnsiTheme="minorHAnsi" w:cstheme="minorHAnsi"/>
          <w:b/>
        </w:rPr>
      </w:pPr>
      <w:r w:rsidRPr="00757096">
        <w:rPr>
          <w:rFonts w:asciiTheme="minorHAnsi" w:hAnsiTheme="minorHAnsi" w:cstheme="minorHAnsi"/>
          <w:b/>
        </w:rPr>
        <w:t>For Inf</w:t>
      </w:r>
      <w:r w:rsidR="00A269B9" w:rsidRPr="00757096">
        <w:rPr>
          <w:rFonts w:asciiTheme="minorHAnsi" w:hAnsiTheme="minorHAnsi" w:cstheme="minorHAnsi"/>
          <w:b/>
        </w:rPr>
        <w:t xml:space="preserve">ormation and </w:t>
      </w:r>
      <w:r w:rsidRPr="00757096">
        <w:rPr>
          <w:rFonts w:asciiTheme="minorHAnsi" w:hAnsiTheme="minorHAnsi" w:cstheme="minorHAnsi"/>
          <w:b/>
        </w:rPr>
        <w:t>Assurance</w:t>
      </w:r>
    </w:p>
    <w:p w14:paraId="5DFB5448" w14:textId="77777777" w:rsidR="00D901C4" w:rsidRPr="00757096" w:rsidRDefault="00D901C4" w:rsidP="00BB19E4">
      <w:pPr>
        <w:rPr>
          <w:rFonts w:asciiTheme="minorHAnsi" w:hAnsiTheme="minorHAnsi" w:cstheme="minorHAnsi"/>
          <w:b/>
        </w:rPr>
      </w:pPr>
    </w:p>
    <w:p w14:paraId="0DDD4406" w14:textId="77777777" w:rsidR="00BB29DD" w:rsidRPr="00757096" w:rsidRDefault="00BB29DD" w:rsidP="00BB29DD">
      <w:pPr>
        <w:jc w:val="both"/>
        <w:rPr>
          <w:rFonts w:asciiTheme="minorHAnsi" w:hAnsiTheme="minorHAnsi" w:cstheme="minorHAnsi"/>
          <w:b/>
        </w:rPr>
      </w:pPr>
      <w:r w:rsidRPr="00757096">
        <w:rPr>
          <w:rFonts w:asciiTheme="minorHAnsi" w:hAnsiTheme="minorHAnsi" w:cstheme="minorHAnsi"/>
          <w:b/>
        </w:rPr>
        <w:t>Executive Summary</w:t>
      </w:r>
    </w:p>
    <w:p w14:paraId="5D44BA22" w14:textId="18D2A6D1" w:rsidR="00A269B9" w:rsidRPr="00221EC8" w:rsidRDefault="00701951" w:rsidP="00221EC8">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provides a summary of the key escalations from the </w:t>
      </w:r>
      <w:r w:rsidR="00A269B9" w:rsidRPr="00221EC8">
        <w:rPr>
          <w:rFonts w:asciiTheme="minorHAnsi" w:eastAsiaTheme="minorHAnsi" w:hAnsiTheme="minorHAnsi" w:cstheme="minorHAnsi"/>
          <w:lang w:eastAsia="en-US"/>
        </w:rPr>
        <w:t>Quality and Safety Dashboard</w:t>
      </w:r>
      <w:r>
        <w:rPr>
          <w:rFonts w:asciiTheme="minorHAnsi" w:eastAsiaTheme="minorHAnsi" w:hAnsiTheme="minorHAnsi" w:cstheme="minorHAnsi"/>
          <w:lang w:eastAsia="en-US"/>
        </w:rPr>
        <w:t xml:space="preserve"> as of</w:t>
      </w:r>
      <w:r w:rsidR="00A269B9" w:rsidRPr="00221EC8">
        <w:rPr>
          <w:rFonts w:asciiTheme="minorHAnsi" w:eastAsiaTheme="minorHAnsi" w:hAnsiTheme="minorHAnsi" w:cstheme="minorHAnsi"/>
          <w:lang w:eastAsia="en-US"/>
        </w:rPr>
        <w:t xml:space="preserve"> 31</w:t>
      </w:r>
      <w:r w:rsidR="00A269B9" w:rsidRPr="00221EC8">
        <w:rPr>
          <w:rFonts w:asciiTheme="minorHAnsi" w:eastAsiaTheme="minorHAnsi" w:hAnsiTheme="minorHAnsi" w:cstheme="minorHAnsi"/>
          <w:vertAlign w:val="superscript"/>
          <w:lang w:eastAsia="en-US"/>
        </w:rPr>
        <w:t>st</w:t>
      </w:r>
      <w:r w:rsidR="00A269B9" w:rsidRPr="00221EC8">
        <w:rPr>
          <w:rFonts w:asciiTheme="minorHAnsi" w:eastAsiaTheme="minorHAnsi" w:hAnsiTheme="minorHAnsi" w:cstheme="minorHAnsi"/>
          <w:lang w:eastAsia="en-US"/>
        </w:rPr>
        <w:t xml:space="preserve"> December 2022.</w:t>
      </w:r>
    </w:p>
    <w:p w14:paraId="30A5A409" w14:textId="77777777" w:rsidR="00A269B9" w:rsidRPr="00221EC8" w:rsidRDefault="00A269B9" w:rsidP="00221EC8">
      <w:pPr>
        <w:jc w:val="both"/>
        <w:rPr>
          <w:rFonts w:asciiTheme="minorHAnsi" w:eastAsiaTheme="minorHAnsi" w:hAnsiTheme="minorHAnsi" w:cstheme="minorHAnsi"/>
          <w:lang w:eastAsia="en-US"/>
        </w:rPr>
      </w:pPr>
    </w:p>
    <w:p w14:paraId="5D92C682" w14:textId="77777777" w:rsidR="00A269B9" w:rsidRPr="00221EC8" w:rsidRDefault="00A269B9" w:rsidP="00221EC8">
      <w:pPr>
        <w:jc w:val="both"/>
        <w:rPr>
          <w:rFonts w:asciiTheme="minorHAnsi" w:eastAsiaTheme="minorHAnsi" w:hAnsiTheme="minorHAnsi" w:cstheme="minorHAnsi"/>
          <w:lang w:eastAsia="en-US"/>
        </w:rPr>
      </w:pPr>
      <w:r w:rsidRPr="00221EC8">
        <w:rPr>
          <w:rFonts w:asciiTheme="minorHAnsi" w:eastAsiaTheme="minorHAnsi" w:hAnsiTheme="minorHAnsi" w:cstheme="minorHAnsi"/>
          <w:lang w:eastAsia="en-US"/>
        </w:rPr>
        <w:t>From reviewing a range of quality and workforce (vacancies, turnover, agency use, sickness) indicators the below wards and community teams are highlighted by exception as flagging with an area of concern based on position in December 2022 and trend over the last 3 months. Data on activity indicators such as bed occupancy, referrals and waiting times have been unavailable since August 2022 but will be reintroduced when possible.</w:t>
      </w:r>
    </w:p>
    <w:p w14:paraId="62D64FE0" w14:textId="77777777" w:rsidR="00A269B9" w:rsidRPr="00221EC8" w:rsidRDefault="00A269B9" w:rsidP="00221EC8">
      <w:pPr>
        <w:jc w:val="both"/>
        <w:rPr>
          <w:rFonts w:asciiTheme="minorHAnsi" w:eastAsiaTheme="minorHAnsi" w:hAnsiTheme="minorHAnsi" w:cstheme="minorHAnsi"/>
          <w:lang w:eastAsia="en-US"/>
        </w:rPr>
      </w:pPr>
    </w:p>
    <w:p w14:paraId="52C33EBB" w14:textId="6FEA73F5" w:rsidR="00A269B9" w:rsidRPr="00221EC8" w:rsidRDefault="00A269B9" w:rsidP="00221EC8">
      <w:pPr>
        <w:jc w:val="both"/>
        <w:rPr>
          <w:rFonts w:asciiTheme="minorHAnsi" w:eastAsiaTheme="minorHAnsi" w:hAnsiTheme="minorHAnsi" w:cstheme="minorHAnsi"/>
          <w:lang w:eastAsia="en-US"/>
        </w:rPr>
      </w:pPr>
      <w:r w:rsidRPr="00221EC8">
        <w:rPr>
          <w:rFonts w:asciiTheme="minorHAnsi" w:eastAsiaTheme="minorHAnsi" w:hAnsiTheme="minorHAnsi" w:cstheme="minorHAnsi"/>
          <w:lang w:eastAsia="en-US"/>
        </w:rPr>
        <w:t xml:space="preserve">The </w:t>
      </w:r>
      <w:r w:rsidRPr="00701951">
        <w:rPr>
          <w:rFonts w:asciiTheme="minorHAnsi" w:eastAsiaTheme="minorHAnsi" w:hAnsiTheme="minorHAnsi" w:cstheme="minorHAnsi"/>
          <w:b/>
          <w:bCs/>
          <w:lang w:eastAsia="en-US"/>
        </w:rPr>
        <w:t>accompanying excel sheet provides the full dashboard</w:t>
      </w:r>
      <w:r w:rsidRPr="00221EC8">
        <w:rPr>
          <w:rFonts w:asciiTheme="minorHAnsi" w:eastAsiaTheme="minorHAnsi" w:hAnsiTheme="minorHAnsi" w:cstheme="minorHAnsi"/>
          <w:lang w:eastAsia="en-US"/>
        </w:rPr>
        <w:t xml:space="preserve"> for ease of viewing with a tab for the 33 wards and a tab for the community teams. The monthly inpatient staff fill rates are included in the information, although further work is needed to validate the accuracy as this often differs to the daily SITREP on staffing levels. The presentation for the community teams dashboard is different to the wards because of the number of teams, so it is </w:t>
      </w:r>
      <w:r w:rsidRPr="00221EC8">
        <w:rPr>
          <w:rFonts w:asciiTheme="minorHAnsi" w:eastAsiaTheme="minorHAnsi" w:hAnsiTheme="minorHAnsi" w:cstheme="minorHAnsi"/>
          <w:u w:val="single"/>
          <w:lang w:eastAsia="en-US"/>
        </w:rPr>
        <w:t>by exception</w:t>
      </w:r>
      <w:r w:rsidRPr="00221EC8">
        <w:rPr>
          <w:rFonts w:asciiTheme="minorHAnsi" w:eastAsiaTheme="minorHAnsi" w:hAnsiTheme="minorHAnsi" w:cstheme="minorHAnsi"/>
          <w:lang w:eastAsia="en-US"/>
        </w:rPr>
        <w:t>.</w:t>
      </w:r>
    </w:p>
    <w:p w14:paraId="274A7D87" w14:textId="77777777" w:rsidR="00A269B9" w:rsidRPr="00221EC8" w:rsidRDefault="00A269B9" w:rsidP="00221EC8">
      <w:pPr>
        <w:jc w:val="both"/>
        <w:rPr>
          <w:rFonts w:asciiTheme="minorHAnsi" w:eastAsiaTheme="minorHAnsi" w:hAnsiTheme="minorHAnsi" w:cstheme="minorHAnsi"/>
          <w:lang w:eastAsia="en-US"/>
        </w:rPr>
      </w:pPr>
    </w:p>
    <w:p w14:paraId="6FBE659A" w14:textId="77777777" w:rsidR="00A269B9" w:rsidRPr="00221EC8" w:rsidRDefault="00A269B9" w:rsidP="00221EC8">
      <w:pPr>
        <w:jc w:val="both"/>
        <w:rPr>
          <w:rFonts w:asciiTheme="minorHAnsi" w:eastAsiaTheme="minorHAnsi" w:hAnsiTheme="minorHAnsi" w:cstheme="minorHAnsi"/>
          <w:lang w:eastAsia="en-US"/>
        </w:rPr>
      </w:pPr>
      <w:r w:rsidRPr="00221EC8">
        <w:rPr>
          <w:rFonts w:asciiTheme="minorHAnsi" w:eastAsiaTheme="minorHAnsi" w:hAnsiTheme="minorHAnsi" w:cstheme="minorHAnsi"/>
          <w:lang w:eastAsia="en-US"/>
        </w:rPr>
        <w:t>The highlighted wards/teams have been split into 2 groups; to keep a watching eye and alert status. A watching eye means the area has workforce challenges such as vacancies and 1 quality indicator flagging, whereas alert status means the areas has workforce challenges and at least 2 quality indicators flagging. The teams/wards highlighted in the last dashboard at alert status are shown in blue text.</w:t>
      </w:r>
    </w:p>
    <w:p w14:paraId="764CC2AC" w14:textId="77777777" w:rsidR="00A269B9" w:rsidRPr="00221EC8" w:rsidRDefault="00A269B9" w:rsidP="00221EC8">
      <w:pPr>
        <w:jc w:val="both"/>
        <w:rPr>
          <w:rFonts w:asciiTheme="minorHAnsi" w:eastAsiaTheme="minorHAnsi" w:hAnsiTheme="minorHAnsi" w:cstheme="minorHAnsi"/>
          <w:lang w:eastAsia="en-US"/>
        </w:rPr>
      </w:pPr>
    </w:p>
    <w:p w14:paraId="79D538E4" w14:textId="77777777" w:rsidR="00A269B9" w:rsidRPr="00221EC8" w:rsidRDefault="00A269B9" w:rsidP="00221EC8">
      <w:pPr>
        <w:jc w:val="both"/>
        <w:rPr>
          <w:rFonts w:asciiTheme="minorHAnsi" w:eastAsiaTheme="minorHAnsi" w:hAnsiTheme="minorHAnsi" w:cstheme="minorHAnsi"/>
          <w:lang w:eastAsia="en-US"/>
        </w:rPr>
      </w:pPr>
      <w:r w:rsidRPr="00221EC8">
        <w:rPr>
          <w:rFonts w:asciiTheme="minorHAnsi" w:eastAsiaTheme="minorHAnsi" w:hAnsiTheme="minorHAnsi" w:cstheme="minorHAnsi"/>
          <w:lang w:eastAsia="en-US"/>
        </w:rPr>
        <w:t>Highlighted wards/teams by exception:</w:t>
      </w:r>
    </w:p>
    <w:p w14:paraId="03F47F23" w14:textId="77777777" w:rsidR="00A269B9" w:rsidRPr="00221EC8" w:rsidRDefault="00A269B9" w:rsidP="00221EC8">
      <w:pPr>
        <w:jc w:val="both"/>
        <w:rPr>
          <w:rFonts w:asciiTheme="minorHAnsi" w:eastAsiaTheme="minorHAnsi" w:hAnsiTheme="minorHAnsi" w:cstheme="minorHAnsi"/>
          <w:lang w:eastAsia="en-US"/>
        </w:rPr>
      </w:pPr>
    </w:p>
    <w:tbl>
      <w:tblPr>
        <w:tblStyle w:val="TableGrid"/>
        <w:tblW w:w="9776" w:type="dxa"/>
        <w:tblLook w:val="04A0" w:firstRow="1" w:lastRow="0" w:firstColumn="1" w:lastColumn="0" w:noHBand="0" w:noVBand="1"/>
      </w:tblPr>
      <w:tblGrid>
        <w:gridCol w:w="1714"/>
        <w:gridCol w:w="3889"/>
        <w:gridCol w:w="4173"/>
      </w:tblGrid>
      <w:tr w:rsidR="00A269B9" w:rsidRPr="00221EC8" w14:paraId="0B4C1153" w14:textId="77777777" w:rsidTr="00A269B9">
        <w:trPr>
          <w:tblHeader/>
        </w:trPr>
        <w:tc>
          <w:tcPr>
            <w:tcW w:w="1714" w:type="dxa"/>
          </w:tcPr>
          <w:p w14:paraId="55BE2261" w14:textId="77777777" w:rsidR="00A269B9" w:rsidRPr="00221EC8" w:rsidRDefault="00A269B9" w:rsidP="00221EC8">
            <w:pPr>
              <w:jc w:val="both"/>
              <w:rPr>
                <w:rFonts w:cstheme="minorHAnsi"/>
              </w:rPr>
            </w:pPr>
          </w:p>
        </w:tc>
        <w:tc>
          <w:tcPr>
            <w:tcW w:w="3889" w:type="dxa"/>
          </w:tcPr>
          <w:p w14:paraId="7A39B3B5" w14:textId="77777777" w:rsidR="00A269B9" w:rsidRPr="00221EC8" w:rsidRDefault="00A269B9" w:rsidP="00221EC8">
            <w:pPr>
              <w:jc w:val="both"/>
              <w:rPr>
                <w:rFonts w:cstheme="minorHAnsi"/>
                <w:b/>
                <w:bCs/>
              </w:rPr>
            </w:pPr>
            <w:r w:rsidRPr="00221EC8">
              <w:rPr>
                <w:rFonts w:cstheme="minorHAnsi"/>
                <w:b/>
                <w:bCs/>
              </w:rPr>
              <w:t>Alert Status</w:t>
            </w:r>
          </w:p>
        </w:tc>
        <w:tc>
          <w:tcPr>
            <w:tcW w:w="4173" w:type="dxa"/>
          </w:tcPr>
          <w:p w14:paraId="12B02A1B" w14:textId="77777777" w:rsidR="00A269B9" w:rsidRPr="00221EC8" w:rsidRDefault="00A269B9" w:rsidP="00221EC8">
            <w:pPr>
              <w:jc w:val="both"/>
              <w:rPr>
                <w:rFonts w:cstheme="minorHAnsi"/>
                <w:b/>
                <w:bCs/>
              </w:rPr>
            </w:pPr>
            <w:r w:rsidRPr="00221EC8">
              <w:rPr>
                <w:rFonts w:cstheme="minorHAnsi"/>
                <w:b/>
                <w:bCs/>
              </w:rPr>
              <w:t>Keep a Watching eye</w:t>
            </w:r>
          </w:p>
        </w:tc>
      </w:tr>
      <w:tr w:rsidR="00A269B9" w:rsidRPr="00221EC8" w14:paraId="5F5628D6" w14:textId="77777777" w:rsidTr="00A269B9">
        <w:tc>
          <w:tcPr>
            <w:tcW w:w="1714" w:type="dxa"/>
          </w:tcPr>
          <w:p w14:paraId="00414385" w14:textId="77777777" w:rsidR="00A269B9" w:rsidRPr="00221EC8" w:rsidRDefault="00A269B9" w:rsidP="00221EC8">
            <w:pPr>
              <w:jc w:val="both"/>
              <w:rPr>
                <w:rFonts w:cstheme="minorHAnsi"/>
              </w:rPr>
            </w:pPr>
            <w:r w:rsidRPr="00221EC8">
              <w:rPr>
                <w:rFonts w:cstheme="minorHAnsi"/>
              </w:rPr>
              <w:t>Community Teams</w:t>
            </w:r>
          </w:p>
        </w:tc>
        <w:tc>
          <w:tcPr>
            <w:tcW w:w="3889" w:type="dxa"/>
          </w:tcPr>
          <w:p w14:paraId="62C7F8CA" w14:textId="77777777" w:rsidR="00A269B9" w:rsidRPr="00221EC8" w:rsidRDefault="00A269B9" w:rsidP="00221EC8">
            <w:pPr>
              <w:numPr>
                <w:ilvl w:val="0"/>
                <w:numId w:val="14"/>
              </w:numPr>
              <w:ind w:left="303"/>
              <w:contextualSpacing/>
              <w:jc w:val="both"/>
              <w:rPr>
                <w:rFonts w:cstheme="minorHAnsi"/>
                <w:color w:val="4472C4" w:themeColor="accent1"/>
              </w:rPr>
            </w:pPr>
            <w:r w:rsidRPr="00221EC8">
              <w:rPr>
                <w:rFonts w:cstheme="minorHAnsi"/>
                <w:color w:val="4472C4" w:themeColor="accent1"/>
              </w:rPr>
              <w:t>District Nursing teams</w:t>
            </w:r>
          </w:p>
          <w:p w14:paraId="2CA0556C" w14:textId="77777777" w:rsidR="00A269B9" w:rsidRPr="00221EC8" w:rsidRDefault="00A269B9" w:rsidP="00221EC8">
            <w:pPr>
              <w:numPr>
                <w:ilvl w:val="0"/>
                <w:numId w:val="14"/>
              </w:numPr>
              <w:ind w:left="303"/>
              <w:contextualSpacing/>
              <w:jc w:val="both"/>
              <w:rPr>
                <w:rFonts w:cstheme="minorHAnsi"/>
                <w:color w:val="4472C4" w:themeColor="accent1"/>
              </w:rPr>
            </w:pPr>
            <w:r w:rsidRPr="00221EC8">
              <w:rPr>
                <w:rFonts w:cstheme="minorHAnsi"/>
                <w:color w:val="4472C4" w:themeColor="accent1"/>
              </w:rPr>
              <w:t>GP OOH</w:t>
            </w:r>
          </w:p>
          <w:p w14:paraId="1DF9D1A6" w14:textId="77777777" w:rsidR="00A269B9" w:rsidRPr="00221EC8" w:rsidRDefault="00A269B9" w:rsidP="00221EC8">
            <w:pPr>
              <w:numPr>
                <w:ilvl w:val="0"/>
                <w:numId w:val="14"/>
              </w:numPr>
              <w:ind w:left="303"/>
              <w:contextualSpacing/>
              <w:jc w:val="both"/>
              <w:rPr>
                <w:rFonts w:cstheme="minorHAnsi"/>
                <w:color w:val="4472C4" w:themeColor="accent1"/>
              </w:rPr>
            </w:pPr>
            <w:r w:rsidRPr="00221EC8">
              <w:rPr>
                <w:rFonts w:cstheme="minorHAnsi"/>
                <w:color w:val="4472C4" w:themeColor="accent1"/>
              </w:rPr>
              <w:t>Bucks OA South CMHT</w:t>
            </w:r>
          </w:p>
          <w:p w14:paraId="13EC96BD" w14:textId="77777777" w:rsidR="00A269B9" w:rsidRPr="00221EC8" w:rsidRDefault="00A269B9" w:rsidP="00221EC8">
            <w:pPr>
              <w:numPr>
                <w:ilvl w:val="0"/>
                <w:numId w:val="14"/>
              </w:numPr>
              <w:ind w:left="303"/>
              <w:contextualSpacing/>
              <w:jc w:val="both"/>
              <w:rPr>
                <w:rFonts w:cstheme="minorHAnsi"/>
              </w:rPr>
            </w:pPr>
            <w:r w:rsidRPr="00221EC8">
              <w:rPr>
                <w:rFonts w:cstheme="minorHAnsi"/>
              </w:rPr>
              <w:t>Oxon City and NE AMHT</w:t>
            </w:r>
          </w:p>
        </w:tc>
        <w:tc>
          <w:tcPr>
            <w:tcW w:w="4173" w:type="dxa"/>
          </w:tcPr>
          <w:p w14:paraId="765F846F" w14:textId="77777777" w:rsidR="00A269B9" w:rsidRPr="00221EC8" w:rsidRDefault="00A269B9" w:rsidP="00221EC8">
            <w:pPr>
              <w:numPr>
                <w:ilvl w:val="0"/>
                <w:numId w:val="14"/>
              </w:numPr>
              <w:ind w:left="274"/>
              <w:contextualSpacing/>
              <w:jc w:val="both"/>
              <w:rPr>
                <w:rFonts w:cstheme="minorHAnsi"/>
              </w:rPr>
            </w:pPr>
            <w:r w:rsidRPr="00221EC8">
              <w:rPr>
                <w:rFonts w:cstheme="minorHAnsi"/>
              </w:rPr>
              <w:t>Oxon North &amp; West AMHT</w:t>
            </w:r>
          </w:p>
          <w:p w14:paraId="496883DF" w14:textId="77777777" w:rsidR="00A269B9" w:rsidRPr="00221EC8" w:rsidRDefault="00A269B9" w:rsidP="00221EC8">
            <w:pPr>
              <w:numPr>
                <w:ilvl w:val="0"/>
                <w:numId w:val="14"/>
              </w:numPr>
              <w:ind w:left="274"/>
              <w:contextualSpacing/>
              <w:jc w:val="both"/>
              <w:rPr>
                <w:rFonts w:cstheme="minorHAnsi"/>
              </w:rPr>
            </w:pPr>
            <w:r w:rsidRPr="00221EC8">
              <w:rPr>
                <w:rFonts w:cstheme="minorHAnsi"/>
              </w:rPr>
              <w:t>Oxon South AMHT</w:t>
            </w:r>
          </w:p>
          <w:p w14:paraId="4997CB11" w14:textId="77777777" w:rsidR="00A269B9" w:rsidRPr="00221EC8" w:rsidRDefault="00A269B9" w:rsidP="00221EC8">
            <w:pPr>
              <w:numPr>
                <w:ilvl w:val="0"/>
                <w:numId w:val="14"/>
              </w:numPr>
              <w:ind w:left="274"/>
              <w:contextualSpacing/>
              <w:jc w:val="both"/>
              <w:rPr>
                <w:rFonts w:cstheme="minorHAnsi"/>
              </w:rPr>
            </w:pPr>
            <w:r w:rsidRPr="00221EC8">
              <w:rPr>
                <w:rFonts w:cstheme="minorHAnsi"/>
              </w:rPr>
              <w:t>Oxon Children’s Integrated Therapies</w:t>
            </w:r>
          </w:p>
        </w:tc>
      </w:tr>
      <w:tr w:rsidR="00A269B9" w:rsidRPr="00221EC8" w14:paraId="5325DA68" w14:textId="77777777" w:rsidTr="00A269B9">
        <w:tc>
          <w:tcPr>
            <w:tcW w:w="1714" w:type="dxa"/>
          </w:tcPr>
          <w:p w14:paraId="07697588" w14:textId="77777777" w:rsidR="00A269B9" w:rsidRPr="00221EC8" w:rsidRDefault="00A269B9" w:rsidP="00221EC8">
            <w:pPr>
              <w:jc w:val="both"/>
              <w:rPr>
                <w:rFonts w:cstheme="minorHAnsi"/>
              </w:rPr>
            </w:pPr>
            <w:r w:rsidRPr="00221EC8">
              <w:rPr>
                <w:rFonts w:cstheme="minorHAnsi"/>
              </w:rPr>
              <w:t>Inpatient Wards</w:t>
            </w:r>
          </w:p>
        </w:tc>
        <w:tc>
          <w:tcPr>
            <w:tcW w:w="3889" w:type="dxa"/>
          </w:tcPr>
          <w:p w14:paraId="73CEA96F" w14:textId="77777777" w:rsidR="00A269B9" w:rsidRPr="00221EC8" w:rsidRDefault="00A269B9" w:rsidP="00221EC8">
            <w:pPr>
              <w:numPr>
                <w:ilvl w:val="0"/>
                <w:numId w:val="15"/>
              </w:numPr>
              <w:ind w:left="303"/>
              <w:contextualSpacing/>
              <w:jc w:val="both"/>
              <w:rPr>
                <w:rFonts w:cstheme="minorHAnsi"/>
              </w:rPr>
            </w:pPr>
            <w:r w:rsidRPr="00221EC8">
              <w:rPr>
                <w:rFonts w:cstheme="minorHAnsi"/>
              </w:rPr>
              <w:t xml:space="preserve">VT </w:t>
            </w:r>
          </w:p>
          <w:p w14:paraId="5A470F05" w14:textId="77777777" w:rsidR="00A269B9" w:rsidRPr="00221EC8" w:rsidRDefault="00A269B9" w:rsidP="00221EC8">
            <w:pPr>
              <w:numPr>
                <w:ilvl w:val="0"/>
                <w:numId w:val="15"/>
              </w:numPr>
              <w:ind w:left="303"/>
              <w:contextualSpacing/>
              <w:jc w:val="both"/>
              <w:rPr>
                <w:rFonts w:cstheme="minorHAnsi"/>
              </w:rPr>
            </w:pPr>
            <w:r w:rsidRPr="00221EC8">
              <w:rPr>
                <w:rFonts w:cstheme="minorHAnsi"/>
              </w:rPr>
              <w:t xml:space="preserve">Phoenix </w:t>
            </w:r>
          </w:p>
          <w:p w14:paraId="73180ADB" w14:textId="77777777" w:rsidR="00A269B9" w:rsidRPr="00221EC8" w:rsidRDefault="00A269B9" w:rsidP="00221EC8">
            <w:pPr>
              <w:numPr>
                <w:ilvl w:val="0"/>
                <w:numId w:val="15"/>
              </w:numPr>
              <w:ind w:left="303"/>
              <w:contextualSpacing/>
              <w:jc w:val="both"/>
              <w:rPr>
                <w:rFonts w:cstheme="minorHAnsi"/>
              </w:rPr>
            </w:pPr>
            <w:r w:rsidRPr="00221EC8">
              <w:rPr>
                <w:rFonts w:cstheme="minorHAnsi"/>
              </w:rPr>
              <w:t>Sapphire</w:t>
            </w:r>
          </w:p>
        </w:tc>
        <w:tc>
          <w:tcPr>
            <w:tcW w:w="4173" w:type="dxa"/>
          </w:tcPr>
          <w:p w14:paraId="7C655DCE" w14:textId="77777777" w:rsidR="00A269B9" w:rsidRPr="00221EC8" w:rsidRDefault="00A269B9" w:rsidP="00221EC8">
            <w:pPr>
              <w:numPr>
                <w:ilvl w:val="0"/>
                <w:numId w:val="15"/>
              </w:numPr>
              <w:ind w:left="274" w:hanging="283"/>
              <w:contextualSpacing/>
              <w:jc w:val="both"/>
              <w:rPr>
                <w:rFonts w:cstheme="minorHAnsi"/>
              </w:rPr>
            </w:pPr>
            <w:r w:rsidRPr="00221EC8">
              <w:rPr>
                <w:rFonts w:cstheme="minorHAnsi"/>
              </w:rPr>
              <w:t>Allen</w:t>
            </w:r>
          </w:p>
          <w:p w14:paraId="57CC978E" w14:textId="77777777" w:rsidR="00A269B9" w:rsidRPr="00221EC8" w:rsidRDefault="00A269B9" w:rsidP="00221EC8">
            <w:pPr>
              <w:numPr>
                <w:ilvl w:val="0"/>
                <w:numId w:val="15"/>
              </w:numPr>
              <w:ind w:left="274" w:hanging="283"/>
              <w:contextualSpacing/>
              <w:jc w:val="both"/>
              <w:rPr>
                <w:rFonts w:cstheme="minorHAnsi"/>
              </w:rPr>
            </w:pPr>
            <w:proofErr w:type="spellStart"/>
            <w:r w:rsidRPr="00221EC8">
              <w:rPr>
                <w:rFonts w:cstheme="minorHAnsi"/>
              </w:rPr>
              <w:t>Wintle</w:t>
            </w:r>
            <w:proofErr w:type="spellEnd"/>
          </w:p>
          <w:p w14:paraId="5EDEF5D4" w14:textId="77777777" w:rsidR="00A269B9" w:rsidRPr="00221EC8" w:rsidRDefault="00A269B9" w:rsidP="00221EC8">
            <w:pPr>
              <w:numPr>
                <w:ilvl w:val="0"/>
                <w:numId w:val="15"/>
              </w:numPr>
              <w:ind w:left="274" w:hanging="283"/>
              <w:contextualSpacing/>
              <w:jc w:val="both"/>
              <w:rPr>
                <w:rFonts w:cstheme="minorHAnsi"/>
                <w:color w:val="4472C4" w:themeColor="accent1"/>
              </w:rPr>
            </w:pPr>
            <w:r w:rsidRPr="00221EC8">
              <w:rPr>
                <w:rFonts w:cstheme="minorHAnsi"/>
                <w:color w:val="4472C4" w:themeColor="accent1"/>
              </w:rPr>
              <w:t>Ashurst</w:t>
            </w:r>
          </w:p>
          <w:p w14:paraId="2A89BEA7" w14:textId="77777777" w:rsidR="00A269B9" w:rsidRPr="00221EC8" w:rsidRDefault="00A269B9" w:rsidP="00221EC8">
            <w:pPr>
              <w:numPr>
                <w:ilvl w:val="0"/>
                <w:numId w:val="15"/>
              </w:numPr>
              <w:ind w:left="274" w:hanging="283"/>
              <w:contextualSpacing/>
              <w:jc w:val="both"/>
              <w:rPr>
                <w:rFonts w:cstheme="minorHAnsi"/>
              </w:rPr>
            </w:pPr>
            <w:r w:rsidRPr="00221EC8">
              <w:rPr>
                <w:rFonts w:cstheme="minorHAnsi"/>
              </w:rPr>
              <w:lastRenderedPageBreak/>
              <w:t>Cherwell</w:t>
            </w:r>
          </w:p>
          <w:p w14:paraId="0163D115" w14:textId="77777777" w:rsidR="00A269B9" w:rsidRPr="00221EC8" w:rsidRDefault="00A269B9" w:rsidP="00221EC8">
            <w:pPr>
              <w:numPr>
                <w:ilvl w:val="0"/>
                <w:numId w:val="15"/>
              </w:numPr>
              <w:ind w:left="274" w:hanging="283"/>
              <w:contextualSpacing/>
              <w:jc w:val="both"/>
              <w:rPr>
                <w:rFonts w:cstheme="minorHAnsi"/>
                <w:color w:val="4472C4" w:themeColor="accent1"/>
              </w:rPr>
            </w:pPr>
            <w:r w:rsidRPr="00221EC8">
              <w:rPr>
                <w:rFonts w:cstheme="minorHAnsi"/>
                <w:color w:val="4472C4" w:themeColor="accent1"/>
              </w:rPr>
              <w:t>Ruby</w:t>
            </w:r>
          </w:p>
          <w:p w14:paraId="6D58BFE2" w14:textId="77777777" w:rsidR="00A269B9" w:rsidRPr="00221EC8" w:rsidRDefault="00A269B9" w:rsidP="00221EC8">
            <w:pPr>
              <w:numPr>
                <w:ilvl w:val="0"/>
                <w:numId w:val="15"/>
              </w:numPr>
              <w:ind w:left="274" w:hanging="283"/>
              <w:contextualSpacing/>
              <w:jc w:val="both"/>
              <w:rPr>
                <w:rFonts w:cstheme="minorHAnsi"/>
              </w:rPr>
            </w:pPr>
            <w:r w:rsidRPr="00221EC8">
              <w:rPr>
                <w:rFonts w:cstheme="minorHAnsi"/>
              </w:rPr>
              <w:t>Abbey</w:t>
            </w:r>
          </w:p>
          <w:p w14:paraId="00C63638" w14:textId="77777777" w:rsidR="00A269B9" w:rsidRPr="00221EC8" w:rsidRDefault="00A269B9" w:rsidP="00221EC8">
            <w:pPr>
              <w:numPr>
                <w:ilvl w:val="0"/>
                <w:numId w:val="15"/>
              </w:numPr>
              <w:ind w:left="274" w:hanging="283"/>
              <w:contextualSpacing/>
              <w:jc w:val="both"/>
              <w:rPr>
                <w:rFonts w:cstheme="minorHAnsi"/>
                <w:color w:val="4472C4" w:themeColor="accent1"/>
              </w:rPr>
            </w:pPr>
            <w:r w:rsidRPr="00221EC8">
              <w:rPr>
                <w:rFonts w:cstheme="minorHAnsi"/>
                <w:color w:val="4472C4" w:themeColor="accent1"/>
              </w:rPr>
              <w:t>Woodlands</w:t>
            </w:r>
          </w:p>
          <w:p w14:paraId="4F1ABDC3" w14:textId="77777777" w:rsidR="00A269B9" w:rsidRPr="00221EC8" w:rsidRDefault="00A269B9" w:rsidP="00221EC8">
            <w:pPr>
              <w:numPr>
                <w:ilvl w:val="0"/>
                <w:numId w:val="15"/>
              </w:numPr>
              <w:ind w:left="274" w:hanging="283"/>
              <w:contextualSpacing/>
              <w:jc w:val="both"/>
              <w:rPr>
                <w:rFonts w:cstheme="minorHAnsi"/>
              </w:rPr>
            </w:pPr>
            <w:proofErr w:type="spellStart"/>
            <w:r w:rsidRPr="00221EC8">
              <w:rPr>
                <w:rFonts w:cstheme="minorHAnsi"/>
              </w:rPr>
              <w:t>Glyme</w:t>
            </w:r>
            <w:proofErr w:type="spellEnd"/>
          </w:p>
          <w:p w14:paraId="4FEEBD41" w14:textId="77777777" w:rsidR="00A269B9" w:rsidRPr="00221EC8" w:rsidRDefault="00A269B9" w:rsidP="00221EC8">
            <w:pPr>
              <w:numPr>
                <w:ilvl w:val="0"/>
                <w:numId w:val="15"/>
              </w:numPr>
              <w:ind w:left="274" w:hanging="283"/>
              <w:contextualSpacing/>
              <w:jc w:val="both"/>
              <w:rPr>
                <w:rFonts w:cstheme="minorHAnsi"/>
                <w:color w:val="4472C4" w:themeColor="accent1"/>
              </w:rPr>
            </w:pPr>
            <w:r w:rsidRPr="00221EC8">
              <w:rPr>
                <w:rFonts w:cstheme="minorHAnsi"/>
                <w:color w:val="4472C4" w:themeColor="accent1"/>
              </w:rPr>
              <w:t>Kestrel</w:t>
            </w:r>
          </w:p>
          <w:p w14:paraId="14DF3CA2" w14:textId="77777777" w:rsidR="00A269B9" w:rsidRPr="00221EC8" w:rsidRDefault="00A269B9" w:rsidP="00221EC8">
            <w:pPr>
              <w:numPr>
                <w:ilvl w:val="0"/>
                <w:numId w:val="15"/>
              </w:numPr>
              <w:ind w:left="274" w:hanging="283"/>
              <w:contextualSpacing/>
              <w:jc w:val="both"/>
              <w:rPr>
                <w:rFonts w:cstheme="minorHAnsi"/>
              </w:rPr>
            </w:pPr>
            <w:r w:rsidRPr="00221EC8">
              <w:rPr>
                <w:rFonts w:cstheme="minorHAnsi"/>
                <w:color w:val="4472C4" w:themeColor="accent1"/>
              </w:rPr>
              <w:t>Kingfisher</w:t>
            </w:r>
          </w:p>
        </w:tc>
      </w:tr>
    </w:tbl>
    <w:p w14:paraId="6E38B387" w14:textId="2F513310" w:rsidR="00A269B9" w:rsidRPr="00221EC8" w:rsidRDefault="00A269B9" w:rsidP="00221EC8">
      <w:pPr>
        <w:jc w:val="both"/>
        <w:rPr>
          <w:rFonts w:asciiTheme="minorHAnsi" w:eastAsiaTheme="minorHAnsi" w:hAnsiTheme="minorHAnsi" w:cstheme="minorHAnsi"/>
          <w:lang w:eastAsia="en-US"/>
        </w:rPr>
      </w:pPr>
    </w:p>
    <w:p w14:paraId="5920B604" w14:textId="07A5FA46" w:rsidR="00A269B9" w:rsidRPr="00221EC8" w:rsidRDefault="00A269B9" w:rsidP="00221EC8">
      <w:pPr>
        <w:jc w:val="both"/>
        <w:rPr>
          <w:rFonts w:asciiTheme="minorHAnsi" w:eastAsiaTheme="minorHAnsi" w:hAnsiTheme="minorHAnsi" w:cstheme="minorHAnsi"/>
          <w:lang w:eastAsia="en-US"/>
        </w:rPr>
      </w:pPr>
      <w:r w:rsidRPr="00221EC8">
        <w:rPr>
          <w:rFonts w:asciiTheme="minorHAnsi" w:eastAsiaTheme="minorHAnsi" w:hAnsiTheme="minorHAnsi" w:cstheme="minorHAnsi"/>
          <w:lang w:eastAsia="en-US"/>
        </w:rPr>
        <w:t>The report includes further detail about each of the wards/teams at ‘alert status’ and the mitigations and actions being taken.</w:t>
      </w:r>
    </w:p>
    <w:p w14:paraId="5BC2FD44" w14:textId="77777777" w:rsidR="00A269B9" w:rsidRPr="00221EC8" w:rsidRDefault="00A269B9" w:rsidP="00221EC8">
      <w:pPr>
        <w:jc w:val="both"/>
        <w:rPr>
          <w:rFonts w:asciiTheme="minorHAnsi" w:eastAsiaTheme="minorHAnsi" w:hAnsiTheme="minorHAnsi" w:cstheme="minorHAnsi"/>
          <w:lang w:eastAsia="en-US"/>
        </w:rPr>
      </w:pPr>
    </w:p>
    <w:p w14:paraId="104C2387" w14:textId="77777777" w:rsidR="00A269B9" w:rsidRPr="00221EC8" w:rsidRDefault="00A269B9" w:rsidP="00221EC8">
      <w:pPr>
        <w:jc w:val="both"/>
        <w:rPr>
          <w:rFonts w:asciiTheme="minorHAnsi" w:eastAsiaTheme="minorHAnsi" w:hAnsiTheme="minorHAnsi" w:cstheme="minorHAnsi"/>
          <w:lang w:eastAsia="en-US"/>
        </w:rPr>
      </w:pPr>
      <w:r w:rsidRPr="00221EC8">
        <w:rPr>
          <w:rFonts w:asciiTheme="minorHAnsi" w:eastAsiaTheme="minorHAnsi" w:hAnsiTheme="minorHAnsi" w:cstheme="minorHAnsi"/>
          <w:lang w:eastAsia="en-US"/>
        </w:rPr>
        <w:t>In addition, to the teams/wards highlighted above there are a number of areas with high vacancies although none of the key quality indicators are flagging. These teams are listed below to show a complete picture.</w:t>
      </w:r>
      <w:r w:rsidRPr="00221EC8">
        <w:rPr>
          <w:rFonts w:asciiTheme="minorHAnsi" w:eastAsiaTheme="minorHAnsi" w:hAnsiTheme="minorHAnsi" w:cstheme="minorHAnsi"/>
          <w:bCs/>
        </w:rPr>
        <w:t xml:space="preserve"> The Trust has an improvement programme of work called ‘Improving Quality, Reducing Agency use’ which has eight workstreams, each implementing a</w:t>
      </w:r>
      <w:r w:rsidRPr="00221EC8">
        <w:rPr>
          <w:rFonts w:asciiTheme="minorHAnsi" w:eastAsiaTheme="minorHAnsi" w:hAnsiTheme="minorHAnsi" w:cstheme="minorHAnsi"/>
          <w:lang w:eastAsia="en-US"/>
        </w:rPr>
        <w:t xml:space="preserve"> number of </w:t>
      </w:r>
      <w:r w:rsidRPr="00221EC8">
        <w:rPr>
          <w:rFonts w:asciiTheme="minorHAnsi" w:eastAsiaTheme="minorHAnsi" w:hAnsiTheme="minorHAnsi" w:cstheme="minorHAnsi"/>
          <w:bCs/>
        </w:rPr>
        <w:t>Trust-wide recruitment initiatives.</w:t>
      </w:r>
      <w:r w:rsidRPr="00221EC8">
        <w:rPr>
          <w:rFonts w:asciiTheme="minorHAnsi" w:eastAsiaTheme="minorHAnsi" w:hAnsiTheme="minorHAnsi" w:cstheme="minorHAnsi"/>
          <w:lang w:eastAsia="en-US"/>
        </w:rPr>
        <w:t xml:space="preserve"> In addition each month the wards and teams with the highest vacancies are discussed with the HR recruitment campaign consultants.</w:t>
      </w:r>
    </w:p>
    <w:p w14:paraId="6F66B596" w14:textId="77777777" w:rsidR="00A269B9" w:rsidRPr="00221EC8" w:rsidRDefault="00A269B9" w:rsidP="00221EC8">
      <w:pPr>
        <w:jc w:val="both"/>
        <w:rPr>
          <w:rFonts w:asciiTheme="minorHAnsi" w:eastAsiaTheme="minorHAnsi" w:hAnsiTheme="minorHAnsi" w:cstheme="minorHAnsi"/>
          <w:lang w:eastAsia="en-US"/>
        </w:rPr>
      </w:pPr>
    </w:p>
    <w:tbl>
      <w:tblPr>
        <w:tblStyle w:val="TableGrid"/>
        <w:tblW w:w="9776" w:type="dxa"/>
        <w:tblLook w:val="04A0" w:firstRow="1" w:lastRow="0" w:firstColumn="1" w:lastColumn="0" w:noHBand="0" w:noVBand="1"/>
      </w:tblPr>
      <w:tblGrid>
        <w:gridCol w:w="9776"/>
      </w:tblGrid>
      <w:tr w:rsidR="00A269B9" w:rsidRPr="00221EC8" w14:paraId="0D4A1D02" w14:textId="77777777" w:rsidTr="00A269B9">
        <w:tc>
          <w:tcPr>
            <w:tcW w:w="9776" w:type="dxa"/>
          </w:tcPr>
          <w:p w14:paraId="5251201F" w14:textId="77777777" w:rsidR="00A269B9" w:rsidRPr="00221EC8" w:rsidRDefault="00A269B9" w:rsidP="00221EC8">
            <w:pPr>
              <w:jc w:val="both"/>
              <w:rPr>
                <w:rFonts w:cstheme="minorHAnsi"/>
                <w:b/>
                <w:bCs/>
              </w:rPr>
            </w:pPr>
            <w:r w:rsidRPr="00221EC8">
              <w:rPr>
                <w:rFonts w:cstheme="minorHAnsi"/>
                <w:b/>
                <w:bCs/>
              </w:rPr>
              <w:t>Areas with High Vacancies - 30% or above but no quality indicators are flagging</w:t>
            </w:r>
          </w:p>
        </w:tc>
      </w:tr>
      <w:tr w:rsidR="00A269B9" w:rsidRPr="00221EC8" w14:paraId="1CA1F85D" w14:textId="77777777" w:rsidTr="00A269B9">
        <w:tc>
          <w:tcPr>
            <w:tcW w:w="9776" w:type="dxa"/>
          </w:tcPr>
          <w:p w14:paraId="6F477DBC"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LD intensive support team 43% vacancies decline from Nov</w:t>
            </w:r>
          </w:p>
          <w:p w14:paraId="24AF955A"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Oxon Street Triage 31% vacancies decline from Nov.</w:t>
            </w:r>
          </w:p>
          <w:p w14:paraId="7F016180"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Oxon Adult Eating Disorder community non-medics 32% decline from Nov and medics 31% decline.</w:t>
            </w:r>
          </w:p>
          <w:p w14:paraId="73067A76"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 xml:space="preserve">Wiltshire Adult Eating Disorder non-medics 45% improved from Nov. </w:t>
            </w:r>
          </w:p>
          <w:p w14:paraId="5A94F095"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Bucks Adult Eating Disorder non-medics 40% similar to Nov and medics high.</w:t>
            </w:r>
          </w:p>
          <w:p w14:paraId="1EDE7DBD"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Oxon Talking Space Plus 30% decline from Nov.</w:t>
            </w:r>
          </w:p>
          <w:p w14:paraId="588A8DEE"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 xml:space="preserve">Oxon CAMHS specialist teams - </w:t>
            </w:r>
            <w:proofErr w:type="spellStart"/>
            <w:r w:rsidRPr="00221EC8">
              <w:rPr>
                <w:rFonts w:cstheme="minorHAnsi"/>
              </w:rPr>
              <w:t>Fass</w:t>
            </w:r>
            <w:proofErr w:type="spellEnd"/>
            <w:r w:rsidRPr="00221EC8">
              <w:rPr>
                <w:rFonts w:cstheme="minorHAnsi"/>
              </w:rPr>
              <w:t xml:space="preserve"> 43% vacancies similar to Nov and forensic 57% similar to Nov.</w:t>
            </w:r>
          </w:p>
          <w:p w14:paraId="5673CE3C"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Oxon CAMHS getting more help south 39% vacancies similar to Nov. Oxon CAMHS Crisis 47% improved from Nov.</w:t>
            </w:r>
          </w:p>
          <w:p w14:paraId="33BBA76B"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 xml:space="preserve">Banes CAMHS community 30% slightly improved from Nov. Wiltshire SPA 33% similar to Nov. BSW </w:t>
            </w:r>
            <w:proofErr w:type="spellStart"/>
            <w:r w:rsidRPr="00221EC8">
              <w:rPr>
                <w:rFonts w:cstheme="minorHAnsi"/>
              </w:rPr>
              <w:t>Inreach</w:t>
            </w:r>
            <w:proofErr w:type="spellEnd"/>
            <w:r w:rsidRPr="00221EC8">
              <w:rPr>
                <w:rFonts w:cstheme="minorHAnsi"/>
              </w:rPr>
              <w:t xml:space="preserve"> 59% improved from Nov.</w:t>
            </w:r>
          </w:p>
          <w:p w14:paraId="4112829F"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Bucks Aylesbury CRHT 31% decline from Nov.</w:t>
            </w:r>
          </w:p>
          <w:p w14:paraId="7E29E3ED"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Bucks Adult Chiltern/South CMHT 36% decline from Nov.</w:t>
            </w:r>
          </w:p>
          <w:p w14:paraId="2819F6F5"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Bucks PIRLS 40% similar to Nov.</w:t>
            </w:r>
          </w:p>
          <w:p w14:paraId="0723D239"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Bucks CAMHS medic 47% same as Nov.</w:t>
            </w:r>
          </w:p>
          <w:p w14:paraId="0444978C"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Bucks OA CMHT medic 35% decline from Nov.</w:t>
            </w:r>
          </w:p>
          <w:p w14:paraId="56768A3C" w14:textId="77777777" w:rsidR="00A269B9" w:rsidRPr="00221EC8" w:rsidRDefault="00A269B9" w:rsidP="00221EC8">
            <w:pPr>
              <w:numPr>
                <w:ilvl w:val="0"/>
                <w:numId w:val="16"/>
              </w:numPr>
              <w:ind w:left="241" w:hanging="241"/>
              <w:contextualSpacing/>
              <w:jc w:val="both"/>
              <w:rPr>
                <w:rFonts w:cstheme="minorHAnsi"/>
              </w:rPr>
            </w:pPr>
            <w:r w:rsidRPr="00221EC8">
              <w:rPr>
                <w:rFonts w:cstheme="minorHAnsi"/>
              </w:rPr>
              <w:t>Kennet ward 33%</w:t>
            </w:r>
          </w:p>
        </w:tc>
      </w:tr>
    </w:tbl>
    <w:p w14:paraId="45BFEF23" w14:textId="77777777" w:rsidR="00BB29DD" w:rsidRPr="00221EC8" w:rsidRDefault="00BB29DD" w:rsidP="00221EC8">
      <w:pPr>
        <w:jc w:val="both"/>
        <w:rPr>
          <w:rFonts w:asciiTheme="minorHAnsi" w:hAnsiTheme="minorHAnsi" w:cstheme="minorHAnsi"/>
          <w:bCs/>
        </w:rPr>
      </w:pPr>
    </w:p>
    <w:p w14:paraId="6F45E675" w14:textId="77777777" w:rsidR="00BB29DD" w:rsidRPr="00221EC8" w:rsidRDefault="00BB29DD" w:rsidP="00221EC8">
      <w:pPr>
        <w:jc w:val="both"/>
        <w:rPr>
          <w:rFonts w:asciiTheme="minorHAnsi" w:hAnsiTheme="minorHAnsi" w:cstheme="minorHAnsi"/>
        </w:rPr>
      </w:pPr>
      <w:r w:rsidRPr="00221EC8">
        <w:rPr>
          <w:rFonts w:asciiTheme="minorHAnsi" w:hAnsiTheme="minorHAnsi" w:cstheme="minorHAnsi"/>
          <w:b/>
        </w:rPr>
        <w:t>Governance Route/Approval Process</w:t>
      </w:r>
    </w:p>
    <w:p w14:paraId="67A7010D" w14:textId="04C18859" w:rsidR="00D901C4" w:rsidRPr="00221EC8" w:rsidRDefault="00A269B9" w:rsidP="00221EC8">
      <w:pPr>
        <w:jc w:val="both"/>
        <w:rPr>
          <w:rFonts w:asciiTheme="minorHAnsi" w:hAnsiTheme="minorHAnsi" w:cstheme="minorHAnsi"/>
          <w:iCs/>
        </w:rPr>
      </w:pPr>
      <w:r w:rsidRPr="00221EC8">
        <w:rPr>
          <w:rFonts w:asciiTheme="minorHAnsi" w:hAnsiTheme="minorHAnsi" w:cstheme="minorHAnsi"/>
          <w:iCs/>
        </w:rPr>
        <w:t>The Dashboard is a regular paper, developed with input from the Clinical Directorates and was presented to the Quality and Clinical Governance Sub-Committee on 31</w:t>
      </w:r>
      <w:r w:rsidRPr="00221EC8">
        <w:rPr>
          <w:rFonts w:asciiTheme="minorHAnsi" w:hAnsiTheme="minorHAnsi" w:cstheme="minorHAnsi"/>
          <w:iCs/>
          <w:vertAlign w:val="superscript"/>
        </w:rPr>
        <w:t>st</w:t>
      </w:r>
      <w:r w:rsidRPr="00221EC8">
        <w:rPr>
          <w:rFonts w:asciiTheme="minorHAnsi" w:hAnsiTheme="minorHAnsi" w:cstheme="minorHAnsi"/>
          <w:iCs/>
        </w:rPr>
        <w:t xml:space="preserve"> January 2023.</w:t>
      </w:r>
    </w:p>
    <w:p w14:paraId="1B581312" w14:textId="77777777" w:rsidR="00757096" w:rsidRPr="00221EC8" w:rsidRDefault="00757096" w:rsidP="00221EC8">
      <w:pPr>
        <w:jc w:val="both"/>
        <w:rPr>
          <w:rFonts w:asciiTheme="minorHAnsi" w:hAnsiTheme="minorHAnsi" w:cstheme="minorHAnsi"/>
          <w:i/>
        </w:rPr>
      </w:pPr>
    </w:p>
    <w:p w14:paraId="7E75B287" w14:textId="26349D5F" w:rsidR="00EB26E3" w:rsidRPr="00221EC8" w:rsidRDefault="00EB26E3" w:rsidP="00221EC8">
      <w:pPr>
        <w:jc w:val="both"/>
        <w:rPr>
          <w:rFonts w:asciiTheme="minorHAnsi" w:hAnsiTheme="minorHAnsi" w:cstheme="minorHAnsi"/>
        </w:rPr>
      </w:pPr>
      <w:bookmarkStart w:id="0" w:name="_Hlk527920910"/>
      <w:r w:rsidRPr="00221EC8">
        <w:rPr>
          <w:rFonts w:asciiTheme="minorHAnsi" w:hAnsiTheme="minorHAnsi" w:cstheme="minorHAnsi"/>
          <w:b/>
        </w:rPr>
        <w:t>Statutory or Regulatory responsibilities</w:t>
      </w:r>
    </w:p>
    <w:bookmarkEnd w:id="0"/>
    <w:p w14:paraId="125E0E09" w14:textId="77777777" w:rsidR="00A269B9" w:rsidRPr="00221EC8" w:rsidRDefault="00A269B9" w:rsidP="00221EC8">
      <w:pPr>
        <w:jc w:val="both"/>
        <w:rPr>
          <w:rFonts w:asciiTheme="minorHAnsi" w:hAnsiTheme="minorHAnsi" w:cstheme="minorHAnsi"/>
          <w:bCs/>
        </w:rPr>
      </w:pPr>
      <w:r w:rsidRPr="00221EC8">
        <w:rPr>
          <w:rFonts w:asciiTheme="minorHAnsi" w:hAnsiTheme="minorHAnsi" w:cstheme="minorHAnsi"/>
          <w:bCs/>
        </w:rPr>
        <w:t>We are required to report on the inpatient staff fill rates to Trust Board members which has been delegated to the Quality Committee. This information is included in the inpatient dashboard.</w:t>
      </w:r>
    </w:p>
    <w:p w14:paraId="738881A7" w14:textId="77777777" w:rsidR="00757096" w:rsidRPr="00221EC8" w:rsidRDefault="00757096" w:rsidP="00221EC8">
      <w:pPr>
        <w:jc w:val="both"/>
        <w:rPr>
          <w:rFonts w:asciiTheme="minorHAnsi" w:hAnsiTheme="minorHAnsi" w:cstheme="minorHAnsi"/>
          <w:b/>
        </w:rPr>
      </w:pPr>
    </w:p>
    <w:p w14:paraId="54523747" w14:textId="204433EB" w:rsidR="00EB26E3" w:rsidRPr="00221EC8" w:rsidRDefault="00757096" w:rsidP="00221EC8">
      <w:pPr>
        <w:jc w:val="both"/>
        <w:rPr>
          <w:rFonts w:asciiTheme="minorHAnsi" w:hAnsiTheme="minorHAnsi" w:cstheme="minorHAnsi"/>
          <w:b/>
        </w:rPr>
      </w:pPr>
      <w:r w:rsidRPr="00221EC8">
        <w:rPr>
          <w:rFonts w:asciiTheme="minorHAnsi" w:hAnsiTheme="minorHAnsi" w:cstheme="minorHAnsi"/>
          <w:b/>
        </w:rPr>
        <w:lastRenderedPageBreak/>
        <w:br/>
        <w:t>Recommendation</w:t>
      </w:r>
    </w:p>
    <w:p w14:paraId="62B010F1" w14:textId="77777777" w:rsidR="00757096" w:rsidRPr="00221EC8" w:rsidRDefault="00757096" w:rsidP="00221EC8">
      <w:pPr>
        <w:jc w:val="both"/>
        <w:rPr>
          <w:rFonts w:asciiTheme="minorHAnsi" w:hAnsiTheme="minorHAnsi" w:cstheme="minorHAnsi"/>
        </w:rPr>
      </w:pPr>
      <w:r w:rsidRPr="00221EC8">
        <w:rPr>
          <w:rFonts w:asciiTheme="minorHAnsi" w:hAnsiTheme="minorHAnsi" w:cstheme="minorHAnsi"/>
        </w:rPr>
        <w:t>The Committee is asked to note the report and the actions being taken to support the teams highlighted.</w:t>
      </w:r>
    </w:p>
    <w:p w14:paraId="1786E570" w14:textId="77777777" w:rsidR="00757096" w:rsidRPr="00757096" w:rsidRDefault="00757096" w:rsidP="00757096">
      <w:pPr>
        <w:tabs>
          <w:tab w:val="left" w:pos="6264"/>
        </w:tabs>
        <w:jc w:val="both"/>
        <w:rPr>
          <w:rFonts w:asciiTheme="minorHAnsi" w:hAnsiTheme="minorHAnsi" w:cstheme="minorHAnsi"/>
          <w:b/>
        </w:rPr>
      </w:pPr>
    </w:p>
    <w:p w14:paraId="2D1CC524" w14:textId="77777777" w:rsidR="00757096" w:rsidRPr="00757096" w:rsidRDefault="00757096" w:rsidP="00757096">
      <w:pPr>
        <w:jc w:val="both"/>
        <w:rPr>
          <w:rFonts w:asciiTheme="minorHAnsi" w:hAnsiTheme="minorHAnsi" w:cstheme="minorHAnsi"/>
        </w:rPr>
      </w:pPr>
      <w:r w:rsidRPr="00757096">
        <w:rPr>
          <w:rFonts w:asciiTheme="minorHAnsi" w:hAnsiTheme="minorHAnsi" w:cstheme="minorHAnsi"/>
          <w:b/>
        </w:rPr>
        <w:t>Author and title:</w:t>
      </w:r>
      <w:r w:rsidRPr="00757096">
        <w:rPr>
          <w:rFonts w:asciiTheme="minorHAnsi" w:hAnsiTheme="minorHAnsi" w:cstheme="minorHAnsi"/>
        </w:rPr>
        <w:t xml:space="preserve"> </w:t>
      </w:r>
      <w:r w:rsidRPr="00757096">
        <w:rPr>
          <w:rFonts w:asciiTheme="minorHAnsi" w:hAnsiTheme="minorHAnsi" w:cstheme="minorHAnsi"/>
        </w:rPr>
        <w:tab/>
      </w:r>
      <w:r w:rsidRPr="00757096">
        <w:rPr>
          <w:rFonts w:asciiTheme="minorHAnsi" w:hAnsiTheme="minorHAnsi" w:cstheme="minorHAnsi"/>
        </w:rPr>
        <w:tab/>
        <w:t>Jane Kershaw, Head of Quality Governance</w:t>
      </w:r>
    </w:p>
    <w:p w14:paraId="43C3CC8C" w14:textId="77777777" w:rsidR="00757096" w:rsidRPr="00757096" w:rsidRDefault="00757096" w:rsidP="00757096">
      <w:pPr>
        <w:jc w:val="both"/>
        <w:rPr>
          <w:rFonts w:asciiTheme="minorHAnsi" w:hAnsiTheme="minorHAnsi" w:cstheme="minorHAnsi"/>
          <w:b/>
        </w:rPr>
      </w:pPr>
      <w:r w:rsidRPr="00757096">
        <w:rPr>
          <w:rFonts w:asciiTheme="minorHAnsi" w:hAnsiTheme="minorHAnsi" w:cstheme="minorHAnsi"/>
          <w:b/>
        </w:rPr>
        <w:t>Lead Executive Director:</w:t>
      </w:r>
      <w:r w:rsidRPr="00757096">
        <w:rPr>
          <w:rFonts w:asciiTheme="minorHAnsi" w:hAnsiTheme="minorHAnsi" w:cstheme="minorHAnsi"/>
          <w:b/>
        </w:rPr>
        <w:tab/>
      </w:r>
      <w:r w:rsidRPr="00757096">
        <w:rPr>
          <w:rFonts w:asciiTheme="minorHAnsi" w:hAnsiTheme="minorHAnsi" w:cstheme="minorHAnsi"/>
          <w:bCs/>
        </w:rPr>
        <w:t>Marie Crofts, Chief Nurse</w:t>
      </w:r>
    </w:p>
    <w:p w14:paraId="4BBC151F" w14:textId="77777777" w:rsidR="00BB29DD" w:rsidRPr="0072070D" w:rsidRDefault="00BB29DD" w:rsidP="00BB29DD">
      <w:pPr>
        <w:jc w:val="both"/>
        <w:rPr>
          <w:rFonts w:ascii="Segoe UI" w:hAnsi="Segoe UI" w:cs="Segoe UI"/>
        </w:rPr>
      </w:pPr>
    </w:p>
    <w:p w14:paraId="098312FE" w14:textId="7730D175" w:rsidR="00BB29DD" w:rsidRPr="00757096" w:rsidRDefault="00BB29DD" w:rsidP="00BB29DD">
      <w:pPr>
        <w:numPr>
          <w:ilvl w:val="0"/>
          <w:numId w:val="5"/>
        </w:numPr>
        <w:jc w:val="both"/>
        <w:rPr>
          <w:rFonts w:ascii="Segoe UI" w:hAnsi="Segoe UI" w:cs="Segoe UI"/>
          <w:i/>
          <w:sz w:val="18"/>
          <w:szCs w:val="18"/>
        </w:rPr>
      </w:pPr>
      <w:r w:rsidRPr="00757096">
        <w:rPr>
          <w:rFonts w:ascii="Segoe UI" w:hAnsi="Segoe UI" w:cs="Segoe UI"/>
          <w:i/>
          <w:sz w:val="18"/>
          <w:szCs w:val="18"/>
        </w:rPr>
        <w:t xml:space="preserve">A </w:t>
      </w:r>
      <w:r w:rsidRPr="00757096">
        <w:rPr>
          <w:rFonts w:ascii="Segoe UI" w:hAnsi="Segoe UI" w:cs="Segoe UI"/>
          <w:b/>
          <w:i/>
          <w:sz w:val="18"/>
          <w:szCs w:val="18"/>
        </w:rPr>
        <w:t>risk assessment has been undertaken around the legal issues</w:t>
      </w:r>
      <w:r w:rsidRPr="00757096">
        <w:rPr>
          <w:rFonts w:ascii="Segoe UI" w:hAnsi="Segoe UI" w:cs="Segoe UI"/>
          <w:i/>
          <w:sz w:val="18"/>
          <w:szCs w:val="18"/>
        </w:rPr>
        <w:t xml:space="preserve"> that this report presents and there are no issues that need to be referred to the Trust Solicitors.</w:t>
      </w:r>
    </w:p>
    <w:p w14:paraId="047C4DC1" w14:textId="77777777" w:rsidR="00BB29DD" w:rsidRPr="00757096" w:rsidRDefault="00BB29DD" w:rsidP="00BB29DD">
      <w:pPr>
        <w:ind w:left="720"/>
        <w:jc w:val="both"/>
        <w:rPr>
          <w:rFonts w:ascii="Segoe UI" w:hAnsi="Segoe UI" w:cs="Segoe UI"/>
          <w:i/>
          <w:sz w:val="18"/>
          <w:szCs w:val="18"/>
        </w:rPr>
      </w:pPr>
    </w:p>
    <w:p w14:paraId="116CE0E2" w14:textId="765BB7C0" w:rsidR="00912702" w:rsidRPr="00757096" w:rsidRDefault="00912702" w:rsidP="00912702">
      <w:pPr>
        <w:numPr>
          <w:ilvl w:val="0"/>
          <w:numId w:val="5"/>
        </w:numPr>
        <w:jc w:val="both"/>
        <w:rPr>
          <w:rFonts w:ascii="Segoe UI" w:hAnsi="Segoe UI" w:cs="Segoe UI"/>
          <w:i/>
          <w:sz w:val="18"/>
          <w:szCs w:val="18"/>
        </w:rPr>
      </w:pPr>
      <w:bookmarkStart w:id="1" w:name="_Hlk527920969"/>
      <w:r w:rsidRPr="00757096">
        <w:rPr>
          <w:rFonts w:ascii="Segoe UI" w:hAnsi="Segoe UI" w:cs="Segoe UI"/>
          <w:b/>
          <w:i/>
          <w:sz w:val="18"/>
          <w:szCs w:val="18"/>
        </w:rPr>
        <w:t>Strategic Objectives/Priorities</w:t>
      </w:r>
      <w:r w:rsidR="00AB23BF" w:rsidRPr="00757096">
        <w:rPr>
          <w:rFonts w:ascii="Segoe UI" w:hAnsi="Segoe UI" w:cs="Segoe UI"/>
          <w:b/>
          <w:i/>
          <w:sz w:val="18"/>
          <w:szCs w:val="18"/>
        </w:rPr>
        <w:t xml:space="preserve"> and strategic Board Assurance Framework (BAF) risk themes</w:t>
      </w:r>
      <w:r w:rsidRPr="00757096">
        <w:rPr>
          <w:rFonts w:ascii="Segoe UI" w:hAnsi="Segoe UI" w:cs="Segoe UI"/>
          <w:b/>
          <w:i/>
          <w:sz w:val="18"/>
          <w:szCs w:val="18"/>
        </w:rPr>
        <w:t xml:space="preserve"> </w:t>
      </w:r>
      <w:r w:rsidRPr="00757096">
        <w:rPr>
          <w:rFonts w:ascii="Segoe UI" w:hAnsi="Segoe UI" w:cs="Segoe UI"/>
          <w:i/>
          <w:sz w:val="18"/>
          <w:szCs w:val="18"/>
        </w:rPr>
        <w:t>- this report relates to, or provides assurance and evidence against, the following Strategic Objective(s)/Priority(</w:t>
      </w:r>
      <w:proofErr w:type="spellStart"/>
      <w:r w:rsidRPr="00757096">
        <w:rPr>
          <w:rFonts w:ascii="Segoe UI" w:hAnsi="Segoe UI" w:cs="Segoe UI"/>
          <w:i/>
          <w:sz w:val="18"/>
          <w:szCs w:val="18"/>
        </w:rPr>
        <w:t>ies</w:t>
      </w:r>
      <w:proofErr w:type="spellEnd"/>
      <w:r w:rsidRPr="00757096">
        <w:rPr>
          <w:rFonts w:ascii="Segoe UI" w:hAnsi="Segoe UI" w:cs="Segoe UI"/>
          <w:i/>
          <w:sz w:val="18"/>
          <w:szCs w:val="18"/>
        </w:rPr>
        <w:t>) of the Trust</w:t>
      </w:r>
      <w:r w:rsidR="00757096" w:rsidRPr="00757096">
        <w:rPr>
          <w:rFonts w:ascii="Segoe UI" w:hAnsi="Segoe UI" w:cs="Segoe UI"/>
          <w:i/>
          <w:sz w:val="18"/>
          <w:szCs w:val="18"/>
        </w:rPr>
        <w:t>;</w:t>
      </w:r>
    </w:p>
    <w:p w14:paraId="03DBA65F" w14:textId="77777777" w:rsidR="00757096" w:rsidRDefault="00757096" w:rsidP="00757096">
      <w:pPr>
        <w:ind w:firstLine="720"/>
        <w:jc w:val="both"/>
        <w:rPr>
          <w:rFonts w:ascii="Segoe UI" w:hAnsi="Segoe UI" w:cs="Segoe UI"/>
          <w:i/>
          <w:sz w:val="18"/>
          <w:szCs w:val="18"/>
        </w:rPr>
      </w:pPr>
    </w:p>
    <w:p w14:paraId="153BA342" w14:textId="147266BA" w:rsidR="00912702" w:rsidRPr="00757096" w:rsidRDefault="00912702" w:rsidP="00757096">
      <w:pPr>
        <w:ind w:firstLine="720"/>
        <w:jc w:val="both"/>
        <w:rPr>
          <w:rFonts w:ascii="Segoe UI" w:hAnsi="Segoe UI" w:cs="Segoe UI"/>
          <w:i/>
          <w:sz w:val="18"/>
          <w:szCs w:val="18"/>
        </w:rPr>
      </w:pPr>
      <w:r w:rsidRPr="00757096">
        <w:rPr>
          <w:rFonts w:ascii="Segoe UI" w:hAnsi="Segoe UI" w:cs="Segoe UI"/>
          <w:i/>
          <w:sz w:val="18"/>
          <w:szCs w:val="18"/>
        </w:rPr>
        <w:t>Quality - Deliver the best possible clinical care and health outcomes</w:t>
      </w:r>
    </w:p>
    <w:p w14:paraId="2FCB5458" w14:textId="50B15E4B" w:rsidR="00AB23BF" w:rsidRPr="00757096" w:rsidRDefault="00AB23BF" w:rsidP="00D73F13">
      <w:pPr>
        <w:ind w:left="720"/>
        <w:jc w:val="both"/>
        <w:rPr>
          <w:rFonts w:ascii="Segoe UI" w:hAnsi="Segoe UI" w:cs="Segoe UI"/>
          <w:i/>
          <w:sz w:val="18"/>
          <w:szCs w:val="18"/>
        </w:rPr>
      </w:pPr>
      <w:r w:rsidRPr="00757096">
        <w:rPr>
          <w:rFonts w:ascii="Segoe UI" w:hAnsi="Segoe UI" w:cs="Segoe UI"/>
          <w:i/>
          <w:sz w:val="18"/>
          <w:szCs w:val="18"/>
        </w:rPr>
        <w:t>Strategic risk themes: Triangulating data and learning to drive Quality Improvement (QI);  Unavailability of beds/demand and capacity (Mental Health inpatient and LD); and demand and capacity (Community Oxfordshire).</w:t>
      </w:r>
    </w:p>
    <w:p w14:paraId="2BF2DC51" w14:textId="77777777" w:rsidR="00912702" w:rsidRPr="00757096" w:rsidRDefault="00912702" w:rsidP="00912702">
      <w:pPr>
        <w:jc w:val="both"/>
        <w:rPr>
          <w:rFonts w:ascii="Segoe UI" w:hAnsi="Segoe UI" w:cs="Segoe UI"/>
          <w:i/>
          <w:sz w:val="18"/>
          <w:szCs w:val="18"/>
        </w:rPr>
      </w:pPr>
    </w:p>
    <w:bookmarkEnd w:id="1"/>
    <w:p w14:paraId="7B066B1F" w14:textId="2C224C07" w:rsidR="004777C1" w:rsidRPr="00757096" w:rsidRDefault="00BB29DD" w:rsidP="00BB29DD">
      <w:pPr>
        <w:numPr>
          <w:ilvl w:val="0"/>
          <w:numId w:val="5"/>
        </w:numPr>
        <w:jc w:val="both"/>
        <w:rPr>
          <w:rFonts w:ascii="Segoe UI" w:hAnsi="Segoe UI" w:cs="Segoe UI"/>
          <w:i/>
          <w:sz w:val="18"/>
          <w:szCs w:val="18"/>
        </w:rPr>
      </w:pPr>
      <w:r w:rsidRPr="00757096">
        <w:rPr>
          <w:rFonts w:ascii="Segoe UI" w:hAnsi="Segoe UI" w:cs="Segoe UI"/>
          <w:i/>
          <w:sz w:val="18"/>
          <w:szCs w:val="18"/>
        </w:rPr>
        <w:t xml:space="preserve">This report satisfies or provides assurance and evidence against the requirements of the following </w:t>
      </w:r>
      <w:r w:rsidRPr="00757096">
        <w:rPr>
          <w:rFonts w:ascii="Segoe UI" w:hAnsi="Segoe UI" w:cs="Segoe UI"/>
          <w:b/>
          <w:i/>
          <w:sz w:val="18"/>
          <w:szCs w:val="18"/>
        </w:rPr>
        <w:t xml:space="preserve">Terms of Reference of the </w:t>
      </w:r>
      <w:r w:rsidR="007D1EE9" w:rsidRPr="00757096">
        <w:rPr>
          <w:rFonts w:ascii="Segoe UI" w:hAnsi="Segoe UI" w:cs="Segoe UI"/>
          <w:b/>
          <w:i/>
          <w:sz w:val="18"/>
          <w:szCs w:val="18"/>
        </w:rPr>
        <w:t xml:space="preserve">Quality </w:t>
      </w:r>
      <w:r w:rsidRPr="00757096">
        <w:rPr>
          <w:rFonts w:ascii="Segoe UI" w:hAnsi="Segoe UI" w:cs="Segoe UI"/>
          <w:b/>
          <w:i/>
          <w:sz w:val="18"/>
          <w:szCs w:val="18"/>
        </w:rPr>
        <w:t>Committee</w:t>
      </w:r>
      <w:r w:rsidR="00757096" w:rsidRPr="00757096">
        <w:rPr>
          <w:rFonts w:ascii="Segoe UI" w:hAnsi="Segoe UI" w:cs="Segoe UI"/>
          <w:i/>
          <w:sz w:val="18"/>
          <w:szCs w:val="18"/>
        </w:rPr>
        <w:t>;</w:t>
      </w:r>
    </w:p>
    <w:p w14:paraId="40487554" w14:textId="77777777" w:rsidR="00BB29DD" w:rsidRPr="00757096" w:rsidRDefault="00BB29DD" w:rsidP="00BB29DD">
      <w:pPr>
        <w:ind w:left="720"/>
        <w:jc w:val="both"/>
        <w:rPr>
          <w:rFonts w:ascii="Segoe UI" w:hAnsi="Segoe UI" w:cs="Segoe UI"/>
          <w:i/>
          <w:sz w:val="18"/>
          <w:szCs w:val="18"/>
        </w:rPr>
      </w:pPr>
    </w:p>
    <w:p w14:paraId="36C9F51A" w14:textId="77777777" w:rsidR="00FE6519" w:rsidRPr="00757096" w:rsidRDefault="0081114E" w:rsidP="00757096">
      <w:pPr>
        <w:numPr>
          <w:ilvl w:val="0"/>
          <w:numId w:val="7"/>
        </w:numPr>
        <w:ind w:left="1440"/>
        <w:jc w:val="both"/>
        <w:rPr>
          <w:rFonts w:ascii="Segoe UI" w:hAnsi="Segoe UI" w:cs="Segoe UI"/>
          <w:i/>
          <w:sz w:val="18"/>
          <w:szCs w:val="18"/>
        </w:rPr>
      </w:pPr>
      <w:r w:rsidRPr="00757096">
        <w:rPr>
          <w:rFonts w:ascii="Segoe UI" w:hAnsi="Segoe UI" w:cs="Segoe UI"/>
          <w:i/>
          <w:sz w:val="18"/>
          <w:szCs w:val="18"/>
        </w:rPr>
        <w:t xml:space="preserve">to </w:t>
      </w:r>
      <w:r w:rsidR="006504C1" w:rsidRPr="00757096">
        <w:rPr>
          <w:rFonts w:ascii="Segoe UI" w:hAnsi="Segoe UI" w:cs="Segoe UI"/>
          <w:i/>
          <w:sz w:val="18"/>
          <w:szCs w:val="18"/>
        </w:rPr>
        <w:t xml:space="preserve">oversee the effective development of the Trust’s </w:t>
      </w:r>
      <w:r w:rsidR="006504C1" w:rsidRPr="00757096">
        <w:rPr>
          <w:rFonts w:ascii="Segoe UI" w:hAnsi="Segoe UI" w:cs="Segoe UI"/>
          <w:b/>
          <w:i/>
          <w:sz w:val="18"/>
          <w:szCs w:val="18"/>
        </w:rPr>
        <w:t>corporate and clinical governance</w:t>
      </w:r>
      <w:r w:rsidR="006504C1" w:rsidRPr="00757096">
        <w:rPr>
          <w:rFonts w:ascii="Segoe UI" w:hAnsi="Segoe UI" w:cs="Segoe UI"/>
          <w:i/>
          <w:sz w:val="18"/>
          <w:szCs w:val="18"/>
        </w:rPr>
        <w:t xml:space="preserve"> arrangements; </w:t>
      </w:r>
    </w:p>
    <w:p w14:paraId="7CCCBB43" w14:textId="77777777" w:rsidR="006504C1" w:rsidRPr="00757096" w:rsidRDefault="006504C1" w:rsidP="00757096">
      <w:pPr>
        <w:ind w:left="1440"/>
        <w:jc w:val="both"/>
        <w:rPr>
          <w:rFonts w:ascii="Segoe UI" w:hAnsi="Segoe UI" w:cs="Segoe UI"/>
          <w:i/>
          <w:sz w:val="18"/>
          <w:szCs w:val="18"/>
        </w:rPr>
      </w:pPr>
    </w:p>
    <w:p w14:paraId="5538EADB" w14:textId="77777777" w:rsidR="00840713" w:rsidRPr="00757096" w:rsidRDefault="00BB7D5C" w:rsidP="00757096">
      <w:pPr>
        <w:numPr>
          <w:ilvl w:val="0"/>
          <w:numId w:val="7"/>
        </w:numPr>
        <w:ind w:left="1440"/>
        <w:jc w:val="both"/>
        <w:rPr>
          <w:rFonts w:ascii="Segoe UI" w:hAnsi="Segoe UI" w:cs="Segoe UI"/>
          <w:i/>
          <w:sz w:val="18"/>
          <w:szCs w:val="18"/>
        </w:rPr>
      </w:pPr>
      <w:r w:rsidRPr="00757096">
        <w:rPr>
          <w:rFonts w:ascii="Segoe UI" w:hAnsi="Segoe UI" w:cs="Segoe UI"/>
          <w:i/>
          <w:sz w:val="18"/>
          <w:szCs w:val="18"/>
        </w:rPr>
        <w:t xml:space="preserve">to ensure that there is an objective and systematic approach to the </w:t>
      </w:r>
      <w:r w:rsidRPr="00757096">
        <w:rPr>
          <w:rFonts w:ascii="Segoe UI" w:hAnsi="Segoe UI" w:cs="Segoe UI"/>
          <w:b/>
          <w:i/>
          <w:sz w:val="18"/>
          <w:szCs w:val="18"/>
        </w:rPr>
        <w:t>identification and assessment of risk and delivery of the organisation’s priorities</w:t>
      </w:r>
      <w:r w:rsidRPr="00757096">
        <w:rPr>
          <w:rFonts w:ascii="Segoe UI" w:hAnsi="Segoe UI" w:cs="Segoe UI"/>
          <w:i/>
          <w:sz w:val="18"/>
          <w:szCs w:val="18"/>
        </w:rPr>
        <w:t xml:space="preserve"> in the context of all national standards; </w:t>
      </w:r>
    </w:p>
    <w:p w14:paraId="17680E2B" w14:textId="77777777" w:rsidR="000B3F1A" w:rsidRPr="00757096" w:rsidRDefault="000B3F1A" w:rsidP="00757096">
      <w:pPr>
        <w:ind w:left="720"/>
        <w:rPr>
          <w:rFonts w:ascii="Segoe UI" w:hAnsi="Segoe UI" w:cs="Segoe UI"/>
          <w:i/>
          <w:sz w:val="18"/>
          <w:szCs w:val="18"/>
        </w:rPr>
      </w:pPr>
    </w:p>
    <w:p w14:paraId="0DF43D20" w14:textId="77777777" w:rsidR="000B3F1A" w:rsidRPr="00757096" w:rsidRDefault="006556F4" w:rsidP="00757096">
      <w:pPr>
        <w:numPr>
          <w:ilvl w:val="0"/>
          <w:numId w:val="7"/>
        </w:numPr>
        <w:ind w:left="1440"/>
        <w:rPr>
          <w:rFonts w:ascii="Segoe UI" w:hAnsi="Segoe UI" w:cs="Segoe UI"/>
          <w:i/>
          <w:sz w:val="18"/>
          <w:szCs w:val="18"/>
        </w:rPr>
      </w:pPr>
      <w:r w:rsidRPr="00757096">
        <w:rPr>
          <w:rFonts w:ascii="Segoe UI" w:hAnsi="Segoe UI" w:cs="Segoe UI"/>
          <w:i/>
          <w:sz w:val="18"/>
          <w:szCs w:val="18"/>
        </w:rPr>
        <w:t xml:space="preserve">to ensure effective </w:t>
      </w:r>
      <w:r w:rsidRPr="00757096">
        <w:rPr>
          <w:rFonts w:ascii="Segoe UI" w:hAnsi="Segoe UI" w:cs="Segoe UI"/>
          <w:b/>
          <w:i/>
          <w:sz w:val="18"/>
          <w:szCs w:val="18"/>
        </w:rPr>
        <w:t>interfaces between the quality sub-committees and the co-ordination of risk management</w:t>
      </w:r>
      <w:r w:rsidRPr="00757096">
        <w:rPr>
          <w:rFonts w:ascii="Segoe UI" w:hAnsi="Segoe UI" w:cs="Segoe UI"/>
          <w:i/>
          <w:sz w:val="18"/>
          <w:szCs w:val="18"/>
        </w:rPr>
        <w:t xml:space="preserve"> processes across the Trust, both clinical and non-clinical;</w:t>
      </w:r>
    </w:p>
    <w:p w14:paraId="6DD99C42" w14:textId="77777777" w:rsidR="006556F4" w:rsidRDefault="006556F4" w:rsidP="006556F4">
      <w:pPr>
        <w:pStyle w:val="ListParagraph"/>
        <w:rPr>
          <w:rFonts w:ascii="Segoe UI" w:hAnsi="Segoe UI" w:cs="Segoe UI"/>
          <w:i/>
          <w:sz w:val="20"/>
          <w:szCs w:val="20"/>
        </w:rPr>
      </w:pPr>
    </w:p>
    <w:p w14:paraId="23EBCB1F" w14:textId="71AA115F" w:rsidR="00757096" w:rsidRDefault="00757096">
      <w:pPr>
        <w:rPr>
          <w:rFonts w:ascii="Segoe UI" w:hAnsi="Segoe UI" w:cs="Segoe UI"/>
          <w:sz w:val="20"/>
          <w:szCs w:val="20"/>
        </w:rPr>
      </w:pPr>
      <w:r>
        <w:rPr>
          <w:rFonts w:ascii="Segoe UI" w:hAnsi="Segoe UI" w:cs="Segoe UI"/>
          <w:sz w:val="20"/>
          <w:szCs w:val="20"/>
        </w:rPr>
        <w:br w:type="page"/>
      </w:r>
    </w:p>
    <w:p w14:paraId="5218B54D" w14:textId="2C004FA2" w:rsidR="00757096" w:rsidRPr="00757096" w:rsidRDefault="00757096" w:rsidP="00757096">
      <w:pPr>
        <w:jc w:val="both"/>
        <w:rPr>
          <w:rFonts w:asciiTheme="minorHAnsi" w:eastAsiaTheme="minorHAnsi" w:hAnsiTheme="minorHAnsi" w:cstheme="minorHAnsi"/>
          <w:u w:val="single"/>
          <w:lang w:eastAsia="en-US"/>
        </w:rPr>
      </w:pPr>
      <w:r w:rsidRPr="00757096">
        <w:rPr>
          <w:rFonts w:asciiTheme="minorHAnsi" w:eastAsiaTheme="minorHAnsi" w:hAnsiTheme="minorHAnsi" w:cstheme="minorHAnsi"/>
          <w:u w:val="single"/>
          <w:lang w:eastAsia="en-US"/>
        </w:rPr>
        <w:lastRenderedPageBreak/>
        <w:t>1. Introduction</w:t>
      </w:r>
    </w:p>
    <w:p w14:paraId="2132F105" w14:textId="77777777" w:rsidR="00701951" w:rsidRPr="00221EC8" w:rsidRDefault="00701951" w:rsidP="00701951">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provides a summary of the key escalations from the </w:t>
      </w:r>
      <w:r w:rsidRPr="00221EC8">
        <w:rPr>
          <w:rFonts w:asciiTheme="minorHAnsi" w:eastAsiaTheme="minorHAnsi" w:hAnsiTheme="minorHAnsi" w:cstheme="minorHAnsi"/>
          <w:lang w:eastAsia="en-US"/>
        </w:rPr>
        <w:t>Quality and Safety Dashboard</w:t>
      </w:r>
      <w:r>
        <w:rPr>
          <w:rFonts w:asciiTheme="minorHAnsi" w:eastAsiaTheme="minorHAnsi" w:hAnsiTheme="minorHAnsi" w:cstheme="minorHAnsi"/>
          <w:lang w:eastAsia="en-US"/>
        </w:rPr>
        <w:t xml:space="preserve"> as of</w:t>
      </w:r>
      <w:r w:rsidRPr="00221EC8">
        <w:rPr>
          <w:rFonts w:asciiTheme="minorHAnsi" w:eastAsiaTheme="minorHAnsi" w:hAnsiTheme="minorHAnsi" w:cstheme="minorHAnsi"/>
          <w:lang w:eastAsia="en-US"/>
        </w:rPr>
        <w:t xml:space="preserve"> 31</w:t>
      </w:r>
      <w:r w:rsidRPr="00221EC8">
        <w:rPr>
          <w:rFonts w:asciiTheme="minorHAnsi" w:eastAsiaTheme="minorHAnsi" w:hAnsiTheme="minorHAnsi" w:cstheme="minorHAnsi"/>
          <w:vertAlign w:val="superscript"/>
          <w:lang w:eastAsia="en-US"/>
        </w:rPr>
        <w:t>st</w:t>
      </w:r>
      <w:r w:rsidRPr="00221EC8">
        <w:rPr>
          <w:rFonts w:asciiTheme="minorHAnsi" w:eastAsiaTheme="minorHAnsi" w:hAnsiTheme="minorHAnsi" w:cstheme="minorHAnsi"/>
          <w:lang w:eastAsia="en-US"/>
        </w:rPr>
        <w:t xml:space="preserve"> December 2022.</w:t>
      </w:r>
    </w:p>
    <w:p w14:paraId="297BFDBA" w14:textId="77777777" w:rsidR="00757096" w:rsidRPr="00A269B9" w:rsidRDefault="00757096" w:rsidP="00757096">
      <w:pPr>
        <w:jc w:val="both"/>
        <w:rPr>
          <w:rFonts w:asciiTheme="minorHAnsi" w:eastAsiaTheme="minorHAnsi" w:hAnsiTheme="minorHAnsi" w:cstheme="minorHAnsi"/>
          <w:lang w:eastAsia="en-US"/>
        </w:rPr>
      </w:pPr>
    </w:p>
    <w:p w14:paraId="14C1905B" w14:textId="77777777" w:rsidR="00757096" w:rsidRPr="00A269B9" w:rsidRDefault="00757096" w:rsidP="00757096">
      <w:pPr>
        <w:jc w:val="both"/>
        <w:rPr>
          <w:rFonts w:asciiTheme="minorHAnsi" w:eastAsiaTheme="minorHAnsi" w:hAnsiTheme="minorHAnsi" w:cstheme="minorHAnsi"/>
          <w:lang w:eastAsia="en-US"/>
        </w:rPr>
      </w:pPr>
      <w:r w:rsidRPr="00A269B9">
        <w:rPr>
          <w:rFonts w:asciiTheme="minorHAnsi" w:eastAsiaTheme="minorHAnsi" w:hAnsiTheme="minorHAnsi" w:cstheme="minorHAnsi"/>
          <w:lang w:eastAsia="en-US"/>
        </w:rPr>
        <w:t>From reviewing a range of quality and workforce (vacancies, turnover, agency use, sickness) indicators the below wards and community teams are highlighted by exception as flagging with an area of concern based on position in December 2022 and trend over the last 3 months. Data on activity indicators such as bed occupancy, referrals and waiting times have been unavailable since August 2022 but will be reintroduced when possible.</w:t>
      </w:r>
    </w:p>
    <w:p w14:paraId="60CBA6FB" w14:textId="77777777" w:rsidR="00757096" w:rsidRPr="00A269B9" w:rsidRDefault="00757096" w:rsidP="00757096">
      <w:pPr>
        <w:jc w:val="both"/>
        <w:rPr>
          <w:rFonts w:asciiTheme="minorHAnsi" w:eastAsiaTheme="minorHAnsi" w:hAnsiTheme="minorHAnsi" w:cstheme="minorHAnsi"/>
          <w:lang w:eastAsia="en-US"/>
        </w:rPr>
      </w:pPr>
    </w:p>
    <w:p w14:paraId="26F25A76" w14:textId="7778F9D1" w:rsidR="00757096" w:rsidRDefault="00757096" w:rsidP="00757096">
      <w:pPr>
        <w:jc w:val="both"/>
        <w:rPr>
          <w:rFonts w:asciiTheme="minorHAnsi" w:eastAsiaTheme="minorHAnsi" w:hAnsiTheme="minorHAnsi" w:cstheme="minorHAnsi"/>
          <w:lang w:eastAsia="en-US"/>
        </w:rPr>
      </w:pPr>
      <w:r w:rsidRPr="00A269B9">
        <w:rPr>
          <w:rFonts w:asciiTheme="minorHAnsi" w:eastAsiaTheme="minorHAnsi" w:hAnsiTheme="minorHAnsi" w:cstheme="minorHAnsi"/>
          <w:lang w:eastAsia="en-US"/>
        </w:rPr>
        <w:t>The accompanying excel sheet provides the full dashboard</w:t>
      </w:r>
      <w:r>
        <w:rPr>
          <w:rFonts w:asciiTheme="minorHAnsi" w:eastAsiaTheme="minorHAnsi" w:hAnsiTheme="minorHAnsi" w:cstheme="minorHAnsi"/>
          <w:lang w:eastAsia="en-US"/>
        </w:rPr>
        <w:t>.</w:t>
      </w:r>
    </w:p>
    <w:p w14:paraId="20DFC952" w14:textId="77777777" w:rsidR="00757096" w:rsidRDefault="00757096" w:rsidP="00757096">
      <w:pPr>
        <w:jc w:val="both"/>
        <w:rPr>
          <w:rFonts w:asciiTheme="minorHAnsi" w:eastAsiaTheme="minorHAnsi" w:hAnsiTheme="minorHAnsi" w:cstheme="minorHAnsi"/>
          <w:lang w:eastAsia="en-US"/>
        </w:rPr>
      </w:pPr>
    </w:p>
    <w:p w14:paraId="0F86A48D" w14:textId="64B106CB" w:rsidR="00757096" w:rsidRPr="00A269B9" w:rsidRDefault="00757096" w:rsidP="00757096">
      <w:pPr>
        <w:jc w:val="both"/>
        <w:rPr>
          <w:rFonts w:asciiTheme="minorHAnsi" w:eastAsiaTheme="minorHAnsi" w:hAnsiTheme="minorHAnsi" w:cstheme="minorHAnsi"/>
          <w:lang w:eastAsia="en-US"/>
        </w:rPr>
      </w:pPr>
      <w:r w:rsidRPr="00A269B9">
        <w:rPr>
          <w:rFonts w:asciiTheme="minorHAnsi" w:eastAsiaTheme="minorHAnsi" w:hAnsiTheme="minorHAnsi" w:cstheme="minorHAnsi"/>
          <w:lang w:eastAsia="en-US"/>
        </w:rPr>
        <w:t xml:space="preserve">The </w:t>
      </w:r>
      <w:r>
        <w:rPr>
          <w:rFonts w:asciiTheme="minorHAnsi" w:eastAsiaTheme="minorHAnsi" w:hAnsiTheme="minorHAnsi" w:cstheme="minorHAnsi"/>
          <w:lang w:eastAsia="en-US"/>
        </w:rPr>
        <w:t>following w</w:t>
      </w:r>
      <w:r w:rsidRPr="00A269B9">
        <w:rPr>
          <w:rFonts w:asciiTheme="minorHAnsi" w:eastAsiaTheme="minorHAnsi" w:hAnsiTheme="minorHAnsi" w:cstheme="minorHAnsi"/>
          <w:lang w:eastAsia="en-US"/>
        </w:rPr>
        <w:t xml:space="preserve">ards/teams have been </w:t>
      </w:r>
      <w:r>
        <w:rPr>
          <w:rFonts w:asciiTheme="minorHAnsi" w:eastAsiaTheme="minorHAnsi" w:hAnsiTheme="minorHAnsi" w:cstheme="minorHAnsi"/>
          <w:lang w:eastAsia="en-US"/>
        </w:rPr>
        <w:t xml:space="preserve">highlighted, </w:t>
      </w:r>
      <w:r w:rsidRPr="00A269B9">
        <w:rPr>
          <w:rFonts w:asciiTheme="minorHAnsi" w:eastAsiaTheme="minorHAnsi" w:hAnsiTheme="minorHAnsi" w:cstheme="minorHAnsi"/>
          <w:lang w:eastAsia="en-US"/>
        </w:rPr>
        <w:t>split into 2 groups; to keep a watching eye and alert status. A watching eye means the area has workforce challenges such as vacancies and 1 quality indicator flagging, whereas alert status means the areas has workforce challenges and at least 2 quality indicators flagging. The teams/wards highlighted in the last dashboard at alert status are shown in blue text.</w:t>
      </w:r>
    </w:p>
    <w:p w14:paraId="3B637151" w14:textId="77777777" w:rsidR="00757096" w:rsidRPr="00A269B9" w:rsidRDefault="00757096" w:rsidP="00757096">
      <w:pPr>
        <w:jc w:val="both"/>
        <w:rPr>
          <w:rFonts w:asciiTheme="minorHAnsi" w:eastAsiaTheme="minorHAnsi" w:hAnsiTheme="minorHAnsi" w:cstheme="minorHAnsi"/>
          <w:lang w:eastAsia="en-US"/>
        </w:rPr>
      </w:pPr>
    </w:p>
    <w:p w14:paraId="70FEFDD3" w14:textId="77777777" w:rsidR="00757096" w:rsidRPr="00A269B9" w:rsidRDefault="00757096" w:rsidP="00757096">
      <w:pPr>
        <w:jc w:val="both"/>
        <w:rPr>
          <w:rFonts w:asciiTheme="minorHAnsi" w:eastAsiaTheme="minorHAnsi" w:hAnsiTheme="minorHAnsi" w:cstheme="minorHAnsi"/>
          <w:lang w:eastAsia="en-US"/>
        </w:rPr>
      </w:pPr>
      <w:r w:rsidRPr="00A269B9">
        <w:rPr>
          <w:rFonts w:asciiTheme="minorHAnsi" w:eastAsiaTheme="minorHAnsi" w:hAnsiTheme="minorHAnsi" w:cstheme="minorHAnsi"/>
          <w:lang w:eastAsia="en-US"/>
        </w:rPr>
        <w:t>Highlighted wards/teams by exception:</w:t>
      </w:r>
    </w:p>
    <w:p w14:paraId="015C79D9" w14:textId="77777777" w:rsidR="00757096" w:rsidRPr="00A269B9" w:rsidRDefault="00757096" w:rsidP="00757096">
      <w:pPr>
        <w:jc w:val="both"/>
        <w:rPr>
          <w:rFonts w:asciiTheme="minorHAnsi" w:eastAsiaTheme="minorHAnsi" w:hAnsiTheme="minorHAnsi" w:cstheme="minorHAnsi"/>
          <w:lang w:eastAsia="en-US"/>
        </w:rPr>
      </w:pPr>
    </w:p>
    <w:tbl>
      <w:tblPr>
        <w:tblStyle w:val="TableGrid"/>
        <w:tblW w:w="9776" w:type="dxa"/>
        <w:tblLook w:val="04A0" w:firstRow="1" w:lastRow="0" w:firstColumn="1" w:lastColumn="0" w:noHBand="0" w:noVBand="1"/>
      </w:tblPr>
      <w:tblGrid>
        <w:gridCol w:w="1714"/>
        <w:gridCol w:w="3889"/>
        <w:gridCol w:w="4173"/>
      </w:tblGrid>
      <w:tr w:rsidR="00757096" w:rsidRPr="00A269B9" w14:paraId="12A2CFB4" w14:textId="77777777" w:rsidTr="00926A53">
        <w:trPr>
          <w:tblHeader/>
        </w:trPr>
        <w:tc>
          <w:tcPr>
            <w:tcW w:w="1714" w:type="dxa"/>
          </w:tcPr>
          <w:p w14:paraId="53BB266A" w14:textId="77777777" w:rsidR="00757096" w:rsidRPr="00A269B9" w:rsidRDefault="00757096" w:rsidP="00926A53">
            <w:pPr>
              <w:jc w:val="both"/>
              <w:rPr>
                <w:rFonts w:cstheme="minorHAnsi"/>
              </w:rPr>
            </w:pPr>
          </w:p>
        </w:tc>
        <w:tc>
          <w:tcPr>
            <w:tcW w:w="3889" w:type="dxa"/>
          </w:tcPr>
          <w:p w14:paraId="4DBD8D45" w14:textId="77777777" w:rsidR="00757096" w:rsidRPr="00A269B9" w:rsidRDefault="00757096" w:rsidP="00926A53">
            <w:pPr>
              <w:rPr>
                <w:rFonts w:cstheme="minorHAnsi"/>
                <w:b/>
                <w:bCs/>
              </w:rPr>
            </w:pPr>
            <w:r w:rsidRPr="00A269B9">
              <w:rPr>
                <w:rFonts w:cstheme="minorHAnsi"/>
                <w:b/>
                <w:bCs/>
              </w:rPr>
              <w:t>Alert Status</w:t>
            </w:r>
          </w:p>
        </w:tc>
        <w:tc>
          <w:tcPr>
            <w:tcW w:w="4173" w:type="dxa"/>
          </w:tcPr>
          <w:p w14:paraId="7BE1706C" w14:textId="77777777" w:rsidR="00757096" w:rsidRPr="00A269B9" w:rsidRDefault="00757096" w:rsidP="00926A53">
            <w:pPr>
              <w:rPr>
                <w:rFonts w:cstheme="minorHAnsi"/>
                <w:b/>
                <w:bCs/>
              </w:rPr>
            </w:pPr>
            <w:r w:rsidRPr="00A269B9">
              <w:rPr>
                <w:rFonts w:cstheme="minorHAnsi"/>
                <w:b/>
                <w:bCs/>
              </w:rPr>
              <w:t>Keep a Watching eye</w:t>
            </w:r>
          </w:p>
        </w:tc>
      </w:tr>
      <w:tr w:rsidR="00757096" w:rsidRPr="00A269B9" w14:paraId="4831F832" w14:textId="77777777" w:rsidTr="00926A53">
        <w:tc>
          <w:tcPr>
            <w:tcW w:w="1714" w:type="dxa"/>
          </w:tcPr>
          <w:p w14:paraId="0B06F899" w14:textId="77777777" w:rsidR="00757096" w:rsidRPr="00A269B9" w:rsidRDefault="00757096" w:rsidP="00926A53">
            <w:pPr>
              <w:jc w:val="both"/>
              <w:rPr>
                <w:rFonts w:cstheme="minorHAnsi"/>
              </w:rPr>
            </w:pPr>
            <w:r w:rsidRPr="00A269B9">
              <w:rPr>
                <w:rFonts w:cstheme="minorHAnsi"/>
              </w:rPr>
              <w:t>Community Teams</w:t>
            </w:r>
          </w:p>
        </w:tc>
        <w:tc>
          <w:tcPr>
            <w:tcW w:w="3889" w:type="dxa"/>
          </w:tcPr>
          <w:p w14:paraId="257BAEA5" w14:textId="77777777" w:rsidR="00757096" w:rsidRPr="00A269B9" w:rsidRDefault="00757096" w:rsidP="00926A53">
            <w:pPr>
              <w:numPr>
                <w:ilvl w:val="0"/>
                <w:numId w:val="14"/>
              </w:numPr>
              <w:ind w:left="303"/>
              <w:contextualSpacing/>
              <w:rPr>
                <w:rFonts w:cstheme="minorHAnsi"/>
                <w:color w:val="4472C4" w:themeColor="accent1"/>
              </w:rPr>
            </w:pPr>
            <w:r w:rsidRPr="00A269B9">
              <w:rPr>
                <w:rFonts w:cstheme="minorHAnsi"/>
                <w:color w:val="4472C4" w:themeColor="accent1"/>
              </w:rPr>
              <w:t>District Nursing teams</w:t>
            </w:r>
          </w:p>
          <w:p w14:paraId="14E7B81A" w14:textId="77777777" w:rsidR="00757096" w:rsidRPr="00A269B9" w:rsidRDefault="00757096" w:rsidP="00926A53">
            <w:pPr>
              <w:numPr>
                <w:ilvl w:val="0"/>
                <w:numId w:val="14"/>
              </w:numPr>
              <w:ind w:left="303"/>
              <w:contextualSpacing/>
              <w:rPr>
                <w:rFonts w:cstheme="minorHAnsi"/>
                <w:color w:val="4472C4" w:themeColor="accent1"/>
              </w:rPr>
            </w:pPr>
            <w:r w:rsidRPr="00A269B9">
              <w:rPr>
                <w:rFonts w:cstheme="minorHAnsi"/>
                <w:color w:val="4472C4" w:themeColor="accent1"/>
              </w:rPr>
              <w:t>GP OOH</w:t>
            </w:r>
          </w:p>
          <w:p w14:paraId="188E6DDA" w14:textId="77777777" w:rsidR="00757096" w:rsidRPr="00A269B9" w:rsidRDefault="00757096" w:rsidP="00926A53">
            <w:pPr>
              <w:numPr>
                <w:ilvl w:val="0"/>
                <w:numId w:val="14"/>
              </w:numPr>
              <w:ind w:left="303"/>
              <w:contextualSpacing/>
              <w:rPr>
                <w:rFonts w:cstheme="minorHAnsi"/>
                <w:color w:val="4472C4" w:themeColor="accent1"/>
              </w:rPr>
            </w:pPr>
            <w:r w:rsidRPr="00A269B9">
              <w:rPr>
                <w:rFonts w:cstheme="minorHAnsi"/>
                <w:color w:val="4472C4" w:themeColor="accent1"/>
              </w:rPr>
              <w:t>Bucks OA South CMHT</w:t>
            </w:r>
          </w:p>
          <w:p w14:paraId="2B1904B6" w14:textId="77777777" w:rsidR="00757096" w:rsidRPr="00A269B9" w:rsidRDefault="00757096" w:rsidP="00926A53">
            <w:pPr>
              <w:numPr>
                <w:ilvl w:val="0"/>
                <w:numId w:val="14"/>
              </w:numPr>
              <w:ind w:left="303"/>
              <w:contextualSpacing/>
              <w:rPr>
                <w:rFonts w:cstheme="minorHAnsi"/>
              </w:rPr>
            </w:pPr>
            <w:r w:rsidRPr="00A269B9">
              <w:rPr>
                <w:rFonts w:cstheme="minorHAnsi"/>
              </w:rPr>
              <w:t>Oxon City and NE AMHT</w:t>
            </w:r>
          </w:p>
        </w:tc>
        <w:tc>
          <w:tcPr>
            <w:tcW w:w="4173" w:type="dxa"/>
          </w:tcPr>
          <w:p w14:paraId="79D67CA6" w14:textId="77777777" w:rsidR="00757096" w:rsidRPr="00A269B9" w:rsidRDefault="00757096" w:rsidP="00926A53">
            <w:pPr>
              <w:numPr>
                <w:ilvl w:val="0"/>
                <w:numId w:val="14"/>
              </w:numPr>
              <w:ind w:left="274"/>
              <w:contextualSpacing/>
              <w:rPr>
                <w:rFonts w:cstheme="minorHAnsi"/>
              </w:rPr>
            </w:pPr>
            <w:r w:rsidRPr="00A269B9">
              <w:rPr>
                <w:rFonts w:cstheme="minorHAnsi"/>
              </w:rPr>
              <w:t>Oxon North &amp; West AMHT</w:t>
            </w:r>
          </w:p>
          <w:p w14:paraId="3478F7E6" w14:textId="77777777" w:rsidR="00757096" w:rsidRPr="00A269B9" w:rsidRDefault="00757096" w:rsidP="00926A53">
            <w:pPr>
              <w:numPr>
                <w:ilvl w:val="0"/>
                <w:numId w:val="14"/>
              </w:numPr>
              <w:ind w:left="274"/>
              <w:contextualSpacing/>
              <w:rPr>
                <w:rFonts w:cstheme="minorHAnsi"/>
              </w:rPr>
            </w:pPr>
            <w:r w:rsidRPr="00A269B9">
              <w:rPr>
                <w:rFonts w:cstheme="minorHAnsi"/>
              </w:rPr>
              <w:t>Oxon South AMHT</w:t>
            </w:r>
          </w:p>
          <w:p w14:paraId="1FCAF551" w14:textId="77777777" w:rsidR="00757096" w:rsidRPr="00A269B9" w:rsidRDefault="00757096" w:rsidP="00926A53">
            <w:pPr>
              <w:numPr>
                <w:ilvl w:val="0"/>
                <w:numId w:val="14"/>
              </w:numPr>
              <w:ind w:left="274"/>
              <w:contextualSpacing/>
              <w:rPr>
                <w:rFonts w:cstheme="minorHAnsi"/>
              </w:rPr>
            </w:pPr>
            <w:r w:rsidRPr="00A269B9">
              <w:rPr>
                <w:rFonts w:cstheme="minorHAnsi"/>
              </w:rPr>
              <w:t>Oxon Children’s Integrated Therapies</w:t>
            </w:r>
          </w:p>
        </w:tc>
      </w:tr>
      <w:tr w:rsidR="00757096" w:rsidRPr="00A269B9" w14:paraId="61D122AF" w14:textId="77777777" w:rsidTr="00926A53">
        <w:tc>
          <w:tcPr>
            <w:tcW w:w="1714" w:type="dxa"/>
          </w:tcPr>
          <w:p w14:paraId="400B72DA" w14:textId="77777777" w:rsidR="00757096" w:rsidRPr="00A269B9" w:rsidRDefault="00757096" w:rsidP="00926A53">
            <w:pPr>
              <w:jc w:val="both"/>
              <w:rPr>
                <w:rFonts w:cstheme="minorHAnsi"/>
              </w:rPr>
            </w:pPr>
            <w:r w:rsidRPr="00A269B9">
              <w:rPr>
                <w:rFonts w:cstheme="minorHAnsi"/>
              </w:rPr>
              <w:t>Inpatient Wards</w:t>
            </w:r>
          </w:p>
        </w:tc>
        <w:tc>
          <w:tcPr>
            <w:tcW w:w="3889" w:type="dxa"/>
          </w:tcPr>
          <w:p w14:paraId="1241E320" w14:textId="77777777" w:rsidR="00757096" w:rsidRPr="00A269B9" w:rsidRDefault="00757096" w:rsidP="00926A53">
            <w:pPr>
              <w:numPr>
                <w:ilvl w:val="0"/>
                <w:numId w:val="15"/>
              </w:numPr>
              <w:ind w:left="303"/>
              <w:contextualSpacing/>
              <w:rPr>
                <w:rFonts w:cstheme="minorHAnsi"/>
              </w:rPr>
            </w:pPr>
            <w:r w:rsidRPr="00A269B9">
              <w:rPr>
                <w:rFonts w:cstheme="minorHAnsi"/>
              </w:rPr>
              <w:t xml:space="preserve">VT </w:t>
            </w:r>
          </w:p>
          <w:p w14:paraId="04B2F282" w14:textId="77777777" w:rsidR="00757096" w:rsidRPr="00A269B9" w:rsidRDefault="00757096" w:rsidP="00926A53">
            <w:pPr>
              <w:numPr>
                <w:ilvl w:val="0"/>
                <w:numId w:val="15"/>
              </w:numPr>
              <w:ind w:left="303"/>
              <w:contextualSpacing/>
              <w:rPr>
                <w:rFonts w:cstheme="minorHAnsi"/>
              </w:rPr>
            </w:pPr>
            <w:r w:rsidRPr="00A269B9">
              <w:rPr>
                <w:rFonts w:cstheme="minorHAnsi"/>
              </w:rPr>
              <w:t xml:space="preserve">Phoenix </w:t>
            </w:r>
          </w:p>
          <w:p w14:paraId="600E1B53" w14:textId="77777777" w:rsidR="00757096" w:rsidRPr="00A269B9" w:rsidRDefault="00757096" w:rsidP="00926A53">
            <w:pPr>
              <w:numPr>
                <w:ilvl w:val="0"/>
                <w:numId w:val="15"/>
              </w:numPr>
              <w:ind w:left="303"/>
              <w:contextualSpacing/>
              <w:rPr>
                <w:rFonts w:cstheme="minorHAnsi"/>
              </w:rPr>
            </w:pPr>
            <w:r w:rsidRPr="00A269B9">
              <w:rPr>
                <w:rFonts w:cstheme="minorHAnsi"/>
              </w:rPr>
              <w:t>Sapphire</w:t>
            </w:r>
          </w:p>
        </w:tc>
        <w:tc>
          <w:tcPr>
            <w:tcW w:w="4173" w:type="dxa"/>
          </w:tcPr>
          <w:p w14:paraId="183B1E8A" w14:textId="77777777" w:rsidR="00757096" w:rsidRPr="00A269B9" w:rsidRDefault="00757096" w:rsidP="00926A53">
            <w:pPr>
              <w:numPr>
                <w:ilvl w:val="0"/>
                <w:numId w:val="15"/>
              </w:numPr>
              <w:ind w:left="274" w:hanging="283"/>
              <w:contextualSpacing/>
              <w:rPr>
                <w:rFonts w:cstheme="minorHAnsi"/>
              </w:rPr>
            </w:pPr>
            <w:r w:rsidRPr="00A269B9">
              <w:rPr>
                <w:rFonts w:cstheme="minorHAnsi"/>
              </w:rPr>
              <w:t>Allen</w:t>
            </w:r>
          </w:p>
          <w:p w14:paraId="2F0F5060" w14:textId="77777777" w:rsidR="00757096" w:rsidRPr="00A269B9" w:rsidRDefault="00757096" w:rsidP="00926A53">
            <w:pPr>
              <w:numPr>
                <w:ilvl w:val="0"/>
                <w:numId w:val="15"/>
              </w:numPr>
              <w:ind w:left="274" w:hanging="283"/>
              <w:contextualSpacing/>
              <w:rPr>
                <w:rFonts w:cstheme="minorHAnsi"/>
              </w:rPr>
            </w:pPr>
            <w:proofErr w:type="spellStart"/>
            <w:r w:rsidRPr="00A269B9">
              <w:rPr>
                <w:rFonts w:cstheme="minorHAnsi"/>
              </w:rPr>
              <w:t>Wintle</w:t>
            </w:r>
            <w:proofErr w:type="spellEnd"/>
          </w:p>
          <w:p w14:paraId="798B4E36" w14:textId="77777777" w:rsidR="00757096" w:rsidRPr="00A269B9" w:rsidRDefault="00757096" w:rsidP="00926A53">
            <w:pPr>
              <w:numPr>
                <w:ilvl w:val="0"/>
                <w:numId w:val="15"/>
              </w:numPr>
              <w:ind w:left="274" w:hanging="283"/>
              <w:contextualSpacing/>
              <w:rPr>
                <w:rFonts w:cstheme="minorHAnsi"/>
                <w:color w:val="4472C4" w:themeColor="accent1"/>
              </w:rPr>
            </w:pPr>
            <w:r w:rsidRPr="00A269B9">
              <w:rPr>
                <w:rFonts w:cstheme="minorHAnsi"/>
                <w:color w:val="4472C4" w:themeColor="accent1"/>
              </w:rPr>
              <w:t>Ashurst</w:t>
            </w:r>
          </w:p>
          <w:p w14:paraId="70445790" w14:textId="77777777" w:rsidR="00757096" w:rsidRPr="00A269B9" w:rsidRDefault="00757096" w:rsidP="00926A53">
            <w:pPr>
              <w:numPr>
                <w:ilvl w:val="0"/>
                <w:numId w:val="15"/>
              </w:numPr>
              <w:ind w:left="274" w:hanging="283"/>
              <w:contextualSpacing/>
              <w:rPr>
                <w:rFonts w:cstheme="minorHAnsi"/>
              </w:rPr>
            </w:pPr>
            <w:r w:rsidRPr="00A269B9">
              <w:rPr>
                <w:rFonts w:cstheme="minorHAnsi"/>
              </w:rPr>
              <w:t>Cherwell</w:t>
            </w:r>
          </w:p>
          <w:p w14:paraId="08E02986" w14:textId="77777777" w:rsidR="00757096" w:rsidRPr="00A269B9" w:rsidRDefault="00757096" w:rsidP="00926A53">
            <w:pPr>
              <w:numPr>
                <w:ilvl w:val="0"/>
                <w:numId w:val="15"/>
              </w:numPr>
              <w:ind w:left="274" w:hanging="283"/>
              <w:contextualSpacing/>
              <w:rPr>
                <w:rFonts w:cstheme="minorHAnsi"/>
                <w:color w:val="4472C4" w:themeColor="accent1"/>
              </w:rPr>
            </w:pPr>
            <w:r w:rsidRPr="00A269B9">
              <w:rPr>
                <w:rFonts w:cstheme="minorHAnsi"/>
                <w:color w:val="4472C4" w:themeColor="accent1"/>
              </w:rPr>
              <w:t>Ruby</w:t>
            </w:r>
          </w:p>
          <w:p w14:paraId="1AA5B70C" w14:textId="77777777" w:rsidR="00757096" w:rsidRPr="00A269B9" w:rsidRDefault="00757096" w:rsidP="00926A53">
            <w:pPr>
              <w:numPr>
                <w:ilvl w:val="0"/>
                <w:numId w:val="15"/>
              </w:numPr>
              <w:ind w:left="274" w:hanging="283"/>
              <w:contextualSpacing/>
              <w:rPr>
                <w:rFonts w:cstheme="minorHAnsi"/>
              </w:rPr>
            </w:pPr>
            <w:r w:rsidRPr="00A269B9">
              <w:rPr>
                <w:rFonts w:cstheme="minorHAnsi"/>
              </w:rPr>
              <w:t>Abbey</w:t>
            </w:r>
          </w:p>
          <w:p w14:paraId="626C1821" w14:textId="77777777" w:rsidR="00757096" w:rsidRPr="00A269B9" w:rsidRDefault="00757096" w:rsidP="00926A53">
            <w:pPr>
              <w:numPr>
                <w:ilvl w:val="0"/>
                <w:numId w:val="15"/>
              </w:numPr>
              <w:ind w:left="274" w:hanging="283"/>
              <w:contextualSpacing/>
              <w:rPr>
                <w:rFonts w:cstheme="minorHAnsi"/>
                <w:color w:val="4472C4" w:themeColor="accent1"/>
              </w:rPr>
            </w:pPr>
            <w:r w:rsidRPr="00A269B9">
              <w:rPr>
                <w:rFonts w:cstheme="minorHAnsi"/>
                <w:color w:val="4472C4" w:themeColor="accent1"/>
              </w:rPr>
              <w:t>Woodlands</w:t>
            </w:r>
          </w:p>
          <w:p w14:paraId="67E6A2D8" w14:textId="77777777" w:rsidR="00757096" w:rsidRPr="00A269B9" w:rsidRDefault="00757096" w:rsidP="00926A53">
            <w:pPr>
              <w:numPr>
                <w:ilvl w:val="0"/>
                <w:numId w:val="15"/>
              </w:numPr>
              <w:ind w:left="274" w:hanging="283"/>
              <w:contextualSpacing/>
              <w:rPr>
                <w:rFonts w:cstheme="minorHAnsi"/>
              </w:rPr>
            </w:pPr>
            <w:proofErr w:type="spellStart"/>
            <w:r w:rsidRPr="00A269B9">
              <w:rPr>
                <w:rFonts w:cstheme="minorHAnsi"/>
              </w:rPr>
              <w:t>Glyme</w:t>
            </w:r>
            <w:proofErr w:type="spellEnd"/>
          </w:p>
          <w:p w14:paraId="16023826" w14:textId="77777777" w:rsidR="00757096" w:rsidRPr="00A269B9" w:rsidRDefault="00757096" w:rsidP="00926A53">
            <w:pPr>
              <w:numPr>
                <w:ilvl w:val="0"/>
                <w:numId w:val="15"/>
              </w:numPr>
              <w:ind w:left="274" w:hanging="283"/>
              <w:contextualSpacing/>
              <w:rPr>
                <w:rFonts w:cstheme="minorHAnsi"/>
                <w:color w:val="4472C4" w:themeColor="accent1"/>
              </w:rPr>
            </w:pPr>
            <w:r w:rsidRPr="00A269B9">
              <w:rPr>
                <w:rFonts w:cstheme="minorHAnsi"/>
                <w:color w:val="4472C4" w:themeColor="accent1"/>
              </w:rPr>
              <w:t>Kestrel</w:t>
            </w:r>
          </w:p>
          <w:p w14:paraId="6E30D10F" w14:textId="77777777" w:rsidR="00757096" w:rsidRPr="00A269B9" w:rsidRDefault="00757096" w:rsidP="00926A53">
            <w:pPr>
              <w:numPr>
                <w:ilvl w:val="0"/>
                <w:numId w:val="15"/>
              </w:numPr>
              <w:ind w:left="274" w:hanging="283"/>
              <w:contextualSpacing/>
              <w:rPr>
                <w:rFonts w:cstheme="minorHAnsi"/>
              </w:rPr>
            </w:pPr>
            <w:r w:rsidRPr="00A269B9">
              <w:rPr>
                <w:rFonts w:cstheme="minorHAnsi"/>
                <w:color w:val="4472C4" w:themeColor="accent1"/>
              </w:rPr>
              <w:t>Kingfisher</w:t>
            </w:r>
          </w:p>
        </w:tc>
      </w:tr>
    </w:tbl>
    <w:p w14:paraId="1674B18F" w14:textId="77777777" w:rsidR="00757096" w:rsidRPr="00757096" w:rsidRDefault="00757096" w:rsidP="00757096">
      <w:pPr>
        <w:jc w:val="both"/>
        <w:rPr>
          <w:rFonts w:asciiTheme="minorHAnsi" w:eastAsiaTheme="minorHAnsi" w:hAnsiTheme="minorHAnsi" w:cstheme="minorHAnsi"/>
          <w:lang w:eastAsia="en-US"/>
        </w:rPr>
      </w:pPr>
    </w:p>
    <w:p w14:paraId="3DD784CD" w14:textId="31E56D10"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 rest of the report provides the detail for the each of the wards/teams at ‘alert status’ and the mitigations and actions being taken.</w:t>
      </w:r>
    </w:p>
    <w:p w14:paraId="0EDBC5E9" w14:textId="77777777" w:rsidR="00757096" w:rsidRPr="00757096" w:rsidRDefault="00757096" w:rsidP="00757096">
      <w:pPr>
        <w:jc w:val="both"/>
        <w:rPr>
          <w:rFonts w:asciiTheme="minorHAnsi" w:eastAsiaTheme="minorHAnsi" w:hAnsiTheme="minorHAnsi" w:cstheme="minorHAnsi"/>
          <w:u w:val="single"/>
          <w:lang w:eastAsia="en-US"/>
        </w:rPr>
      </w:pPr>
    </w:p>
    <w:p w14:paraId="3EF5A681" w14:textId="42E59021" w:rsidR="00757096" w:rsidRPr="00757096" w:rsidRDefault="00757096" w:rsidP="00757096">
      <w:pPr>
        <w:jc w:val="both"/>
        <w:rPr>
          <w:rFonts w:asciiTheme="minorHAnsi" w:eastAsiaTheme="minorHAnsi" w:hAnsiTheme="minorHAnsi" w:cstheme="minorHAnsi"/>
          <w:u w:val="single"/>
          <w:lang w:eastAsia="en-US"/>
        </w:rPr>
      </w:pPr>
      <w:r w:rsidRPr="00757096">
        <w:rPr>
          <w:rFonts w:asciiTheme="minorHAnsi" w:eastAsiaTheme="minorHAnsi" w:hAnsiTheme="minorHAnsi" w:cstheme="minorHAnsi"/>
          <w:u w:val="single"/>
          <w:lang w:eastAsia="en-US"/>
        </w:rPr>
        <w:t>2. Wards Highlighted at Alert Status</w:t>
      </w:r>
    </w:p>
    <w:p w14:paraId="71016972"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 accompanying excel sheet provides the full dashboard for the 33 wards.</w:t>
      </w:r>
    </w:p>
    <w:p w14:paraId="5E3723C3" w14:textId="77777777" w:rsidR="00757096" w:rsidRPr="00757096" w:rsidRDefault="00757096" w:rsidP="00757096">
      <w:pPr>
        <w:jc w:val="both"/>
        <w:rPr>
          <w:rFonts w:asciiTheme="minorHAnsi" w:eastAsiaTheme="minorHAnsi" w:hAnsiTheme="minorHAnsi" w:cstheme="minorHAnsi"/>
          <w:lang w:eastAsia="en-US"/>
        </w:rPr>
      </w:pPr>
    </w:p>
    <w:p w14:paraId="0463D8AB"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Three wards have been highlighted; VT, Phoenix and Sapphire, with further details below and the actions being taken.</w:t>
      </w:r>
    </w:p>
    <w:p w14:paraId="057BD006" w14:textId="3D8EA905" w:rsidR="00757096" w:rsidRDefault="00757096" w:rsidP="00757096">
      <w:pPr>
        <w:jc w:val="both"/>
        <w:rPr>
          <w:rFonts w:asciiTheme="minorHAnsi" w:eastAsiaTheme="minorHAnsi" w:hAnsiTheme="minorHAnsi" w:cstheme="minorHAnsi"/>
          <w:lang w:eastAsia="en-US"/>
        </w:rPr>
      </w:pPr>
    </w:p>
    <w:p w14:paraId="24F70C4B" w14:textId="349F6D2B" w:rsidR="00701951" w:rsidRDefault="00701951" w:rsidP="00757096">
      <w:pPr>
        <w:jc w:val="both"/>
        <w:rPr>
          <w:rFonts w:asciiTheme="minorHAnsi" w:eastAsiaTheme="minorHAnsi" w:hAnsiTheme="minorHAnsi" w:cstheme="minorHAnsi"/>
          <w:lang w:eastAsia="en-US"/>
        </w:rPr>
      </w:pPr>
    </w:p>
    <w:p w14:paraId="632BCEE1" w14:textId="22AC79C9" w:rsidR="00701951" w:rsidRDefault="00701951" w:rsidP="00757096">
      <w:pPr>
        <w:jc w:val="both"/>
        <w:rPr>
          <w:rFonts w:asciiTheme="minorHAnsi" w:eastAsiaTheme="minorHAnsi" w:hAnsiTheme="minorHAnsi" w:cstheme="minorHAnsi"/>
          <w:lang w:eastAsia="en-US"/>
        </w:rPr>
      </w:pPr>
    </w:p>
    <w:p w14:paraId="4DC8EB03" w14:textId="77777777" w:rsidR="00701951" w:rsidRPr="00757096" w:rsidRDefault="00701951" w:rsidP="00757096">
      <w:pPr>
        <w:jc w:val="both"/>
        <w:rPr>
          <w:rFonts w:asciiTheme="minorHAnsi" w:eastAsiaTheme="minorHAnsi" w:hAnsiTheme="minorHAnsi" w:cstheme="minorHAnsi"/>
          <w:lang w:eastAsia="en-US"/>
        </w:rPr>
      </w:pPr>
    </w:p>
    <w:p w14:paraId="79E8169F" w14:textId="77777777" w:rsidR="00757096" w:rsidRPr="00757096" w:rsidRDefault="00757096" w:rsidP="00757096">
      <w:pPr>
        <w:shd w:val="clear" w:color="auto" w:fill="4472C4" w:themeFill="accent1"/>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lastRenderedPageBreak/>
        <w:t>VT ward</w:t>
      </w:r>
    </w:p>
    <w:p w14:paraId="6659398D" w14:textId="77777777" w:rsidR="00757096" w:rsidRPr="00757096" w:rsidRDefault="00757096" w:rsidP="00757096">
      <w:pPr>
        <w:jc w:val="both"/>
        <w:rPr>
          <w:rFonts w:asciiTheme="minorHAnsi" w:hAnsiTheme="minorHAnsi" w:cstheme="minorHAnsi"/>
          <w:lang w:eastAsia="en-US"/>
        </w:rPr>
      </w:pPr>
      <w:r w:rsidRPr="00757096">
        <w:rPr>
          <w:rFonts w:asciiTheme="minorHAnsi" w:eastAsiaTheme="minorHAnsi" w:hAnsiTheme="minorHAnsi" w:cstheme="minorHAnsi"/>
          <w:lang w:eastAsia="en-US"/>
        </w:rPr>
        <w:t xml:space="preserve">Reason: average </w:t>
      </w:r>
      <w:r w:rsidRPr="00757096">
        <w:rPr>
          <w:rFonts w:asciiTheme="minorHAnsi" w:hAnsiTheme="minorHAnsi" w:cstheme="minorHAnsi"/>
          <w:lang w:eastAsia="en-US"/>
        </w:rPr>
        <w:t>day shift fill rate for registered staff 75%. High vacancies 34%, turnover 24% and agency use 31%. 3 detained patients went AWOL in December and 2 informal concerns received in a month both about the AWOL incidences (this is against an average of 1.6 AWOLs a month in the last 12 months).</w:t>
      </w:r>
    </w:p>
    <w:p w14:paraId="0801B862" w14:textId="77777777" w:rsidR="00757096" w:rsidRPr="00757096" w:rsidRDefault="00757096" w:rsidP="00757096">
      <w:pPr>
        <w:jc w:val="both"/>
        <w:rPr>
          <w:rFonts w:asciiTheme="minorHAnsi" w:eastAsiaTheme="minorHAnsi" w:hAnsiTheme="minorHAnsi" w:cstheme="minorHAnsi"/>
          <w:lang w:eastAsia="en-US"/>
        </w:rPr>
      </w:pPr>
    </w:p>
    <w:p w14:paraId="450B3921"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5A9B834C"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All AWOLs are reviewed by the Associate Director of Nursing weekly.</w:t>
      </w:r>
    </w:p>
    <w:p w14:paraId="1B08F26C"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Recruitment;</w:t>
      </w:r>
    </w:p>
    <w:p w14:paraId="4148DDB8"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1 New B6 charge nurse appointed and started end of Oct.</w:t>
      </w:r>
    </w:p>
    <w:p w14:paraId="236EB66F"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2 Band Staff Nurses at conditional offer due to start/wating for PINs as part of the recent newly qualified campaign. </w:t>
      </w:r>
    </w:p>
    <w:p w14:paraId="69598AF3"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Most recent recruitment campaign was for Peer Support Workers and this closed in January with 14 applications.</w:t>
      </w:r>
    </w:p>
    <w:p w14:paraId="2B34892F" w14:textId="77777777" w:rsidR="00757096" w:rsidRPr="00757096" w:rsidRDefault="00757096" w:rsidP="00757096">
      <w:pPr>
        <w:spacing w:after="160" w:line="259" w:lineRule="auto"/>
        <w:rPr>
          <w:rFonts w:asciiTheme="minorHAnsi" w:eastAsiaTheme="minorHAnsi" w:hAnsiTheme="minorHAnsi" w:cstheme="minorHAnsi"/>
          <w:lang w:eastAsia="en-US"/>
        </w:rPr>
      </w:pPr>
      <w:r w:rsidRPr="00757096">
        <w:rPr>
          <w:rFonts w:asciiTheme="minorHAnsi" w:eastAsiaTheme="minorHAnsi" w:hAnsiTheme="minorHAnsi" w:cstheme="minorHAnsi"/>
          <w:noProof/>
          <w:lang w:eastAsia="en-US"/>
        </w:rPr>
        <w:drawing>
          <wp:inline distT="0" distB="0" distL="0" distR="0" wp14:anchorId="503F6D3F" wp14:editId="00FC4DCF">
            <wp:extent cx="5981700" cy="1943100"/>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8"/>
                    <a:stretch>
                      <a:fillRect/>
                    </a:stretch>
                  </pic:blipFill>
                  <pic:spPr>
                    <a:xfrm>
                      <a:off x="0" y="0"/>
                      <a:ext cx="5981700" cy="1943100"/>
                    </a:xfrm>
                    <a:prstGeom prst="rect">
                      <a:avLst/>
                    </a:prstGeom>
                  </pic:spPr>
                </pic:pic>
              </a:graphicData>
            </a:graphic>
          </wp:inline>
        </w:drawing>
      </w:r>
    </w:p>
    <w:p w14:paraId="3BFB77E1" w14:textId="77777777" w:rsidR="00757096" w:rsidRPr="00757096" w:rsidRDefault="00757096" w:rsidP="00757096">
      <w:pPr>
        <w:jc w:val="both"/>
        <w:rPr>
          <w:rFonts w:asciiTheme="minorHAnsi" w:eastAsiaTheme="minorHAnsi" w:hAnsiTheme="minorHAnsi" w:cstheme="minorHAnsi"/>
          <w:lang w:eastAsia="en-US"/>
        </w:rPr>
      </w:pPr>
    </w:p>
    <w:p w14:paraId="3932D6FE" w14:textId="77777777" w:rsidR="00757096" w:rsidRPr="00757096" w:rsidRDefault="00757096" w:rsidP="00757096">
      <w:pPr>
        <w:shd w:val="clear" w:color="auto" w:fill="4472C4" w:themeFill="accent1"/>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t>Phoenix ward</w:t>
      </w:r>
    </w:p>
    <w:p w14:paraId="2667EFE2" w14:textId="77777777" w:rsidR="00757096" w:rsidRPr="00757096" w:rsidRDefault="00757096" w:rsidP="00757096">
      <w:pPr>
        <w:jc w:val="both"/>
        <w:rPr>
          <w:rFonts w:asciiTheme="minorHAnsi" w:hAnsiTheme="minorHAnsi" w:cstheme="minorHAnsi"/>
          <w:lang w:eastAsia="en-US"/>
        </w:rPr>
      </w:pPr>
      <w:r w:rsidRPr="00757096">
        <w:rPr>
          <w:rFonts w:asciiTheme="minorHAnsi" w:eastAsiaTheme="minorHAnsi" w:hAnsiTheme="minorHAnsi" w:cstheme="minorHAnsi"/>
          <w:lang w:eastAsia="en-US"/>
        </w:rPr>
        <w:t>Reason:</w:t>
      </w:r>
      <w:r w:rsidRPr="00757096">
        <w:rPr>
          <w:rFonts w:asciiTheme="minorHAnsi" w:hAnsiTheme="minorHAnsi" w:cstheme="minorHAnsi"/>
          <w:lang w:eastAsia="en-US"/>
        </w:rPr>
        <w:t xml:space="preserve"> average day shift fill rate for registered (73%) and unregistered (82%) staff. High vacancies 36%, turnover 13% and agency use 23%. 2 uses of prone restraint in a month and 2 detained patient AWOLs. Clinical supervision rate much lower than other wards. 1 informal concern raised about staff professionalism and no formal feedback collected via IWGC in month.</w:t>
      </w:r>
    </w:p>
    <w:p w14:paraId="7C6A66AC" w14:textId="77777777" w:rsidR="00757096" w:rsidRPr="00757096" w:rsidRDefault="00757096" w:rsidP="00757096">
      <w:pPr>
        <w:jc w:val="both"/>
        <w:rPr>
          <w:rFonts w:asciiTheme="minorHAnsi" w:eastAsiaTheme="minorHAnsi" w:hAnsiTheme="minorHAnsi" w:cstheme="minorHAnsi"/>
          <w:lang w:eastAsia="en-US"/>
        </w:rPr>
      </w:pPr>
    </w:p>
    <w:p w14:paraId="18F1CFD2"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0FBE5E2B"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All AWOLs and use of prone are reviewed by the Associate Director of Nursing weekly. </w:t>
      </w:r>
    </w:p>
    <w:p w14:paraId="152F57EA"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There is a Trust-wide QI project happening around reducing the use of prone focused on when it is used for an IM injection or seclusion exit.</w:t>
      </w:r>
    </w:p>
    <w:p w14:paraId="544C59A3"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There is a Trust-wide supervision </w:t>
      </w:r>
      <w:r w:rsidRPr="00757096">
        <w:rPr>
          <w:rFonts w:asciiTheme="minorHAnsi" w:eastAsiaTheme="minorEastAsia" w:hAnsiTheme="minorHAnsi" w:cstheme="minorHAnsi"/>
          <w:color w:val="000000" w:themeColor="text1"/>
          <w:kern w:val="24"/>
          <w:lang w:val="en-US" w:eastAsia="en-US"/>
        </w:rPr>
        <w:t xml:space="preserve">steering group which meets monthly to lead on the recovery plan. </w:t>
      </w:r>
      <w:r w:rsidRPr="00757096">
        <w:rPr>
          <w:rFonts w:asciiTheme="minorHAnsi" w:eastAsiaTheme="minorEastAsia" w:hAnsiTheme="minorHAnsi" w:cstheme="minorHAnsi"/>
          <w:color w:val="000000" w:themeColor="text1"/>
          <w:kern w:val="24"/>
          <w:lang w:eastAsia="en-US"/>
        </w:rPr>
        <w:t xml:space="preserve">Work is focused on; accuracy of reporting, developments to the OTR system for recording, training for supervisors and </w:t>
      </w:r>
      <w:r w:rsidRPr="00757096">
        <w:rPr>
          <w:rFonts w:asciiTheme="minorHAnsi" w:eastAsiaTheme="minorEastAsia" w:hAnsiTheme="minorHAnsi" w:cstheme="minorHAnsi"/>
          <w:color w:val="000000" w:themeColor="text1"/>
          <w:kern w:val="24"/>
          <w:lang w:val="en-US" w:eastAsia="en-US"/>
        </w:rPr>
        <w:t>targeting services with the poorest rates</w:t>
      </w:r>
      <w:r w:rsidRPr="00757096">
        <w:rPr>
          <w:rFonts w:asciiTheme="minorHAnsi" w:eastAsiaTheme="minorEastAsia" w:hAnsiTheme="minorHAnsi" w:cstheme="minorHAnsi"/>
          <w:color w:val="000000" w:themeColor="text1"/>
          <w:kern w:val="24"/>
          <w:lang w:eastAsia="en-US"/>
        </w:rPr>
        <w:t>​. There has been a small improvement seen.</w:t>
      </w:r>
    </w:p>
    <w:p w14:paraId="1017B3CF"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Recruitment;</w:t>
      </w:r>
    </w:p>
    <w:p w14:paraId="7859CDC2"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1 new Deputy Ward Manager started end of November and second due to start in January.</w:t>
      </w:r>
    </w:p>
    <w:p w14:paraId="28378935"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Applicant for a B5 Staff Nurse withdrew in January so new advert campaign being planned.</w:t>
      </w:r>
    </w:p>
    <w:p w14:paraId="7597884C" w14:textId="77777777" w:rsidR="00757096" w:rsidRPr="00757096" w:rsidRDefault="00757096" w:rsidP="00757096">
      <w:pPr>
        <w:jc w:val="both"/>
        <w:rPr>
          <w:rFonts w:asciiTheme="minorHAnsi" w:eastAsiaTheme="minorHAnsi" w:hAnsiTheme="minorHAnsi" w:cstheme="minorHAnsi"/>
          <w:lang w:eastAsia="en-US"/>
        </w:rPr>
      </w:pPr>
    </w:p>
    <w:p w14:paraId="5154C7D7"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noProof/>
          <w:lang w:eastAsia="en-US"/>
        </w:rPr>
        <w:lastRenderedPageBreak/>
        <w:drawing>
          <wp:inline distT="0" distB="0" distL="0" distR="0" wp14:anchorId="688ED33C" wp14:editId="4503BC77">
            <wp:extent cx="6393180" cy="1844040"/>
            <wp:effectExtent l="0" t="0" r="7620" b="381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6393180" cy="1844040"/>
                    </a:xfrm>
                    <a:prstGeom prst="rect">
                      <a:avLst/>
                    </a:prstGeom>
                  </pic:spPr>
                </pic:pic>
              </a:graphicData>
            </a:graphic>
          </wp:inline>
        </w:drawing>
      </w:r>
    </w:p>
    <w:p w14:paraId="3C83633D" w14:textId="77777777" w:rsidR="00757096" w:rsidRPr="00757096" w:rsidRDefault="00757096" w:rsidP="00757096">
      <w:pPr>
        <w:jc w:val="both"/>
        <w:rPr>
          <w:rFonts w:asciiTheme="minorHAnsi" w:eastAsiaTheme="minorHAnsi" w:hAnsiTheme="minorHAnsi" w:cstheme="minorHAnsi"/>
          <w:lang w:eastAsia="en-US"/>
        </w:rPr>
      </w:pPr>
    </w:p>
    <w:p w14:paraId="1782F6BA" w14:textId="77777777" w:rsidR="00757096" w:rsidRPr="00757096" w:rsidRDefault="00757096" w:rsidP="00757096">
      <w:pPr>
        <w:shd w:val="clear" w:color="auto" w:fill="4472C4" w:themeFill="accent1"/>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t>Sapphire ward</w:t>
      </w:r>
    </w:p>
    <w:p w14:paraId="2DDB6D5C" w14:textId="77777777" w:rsidR="00757096" w:rsidRPr="00757096" w:rsidRDefault="00757096" w:rsidP="00757096">
      <w:pPr>
        <w:jc w:val="both"/>
        <w:rPr>
          <w:rFonts w:asciiTheme="minorHAnsi" w:hAnsiTheme="minorHAnsi" w:cstheme="minorHAnsi"/>
          <w:lang w:eastAsia="en-US"/>
        </w:rPr>
      </w:pPr>
      <w:r w:rsidRPr="00757096">
        <w:rPr>
          <w:rFonts w:asciiTheme="minorHAnsi" w:eastAsiaTheme="minorHAnsi" w:hAnsiTheme="minorHAnsi" w:cstheme="minorHAnsi"/>
          <w:lang w:eastAsia="en-US"/>
        </w:rPr>
        <w:t>Reason:</w:t>
      </w:r>
      <w:r w:rsidRPr="00757096">
        <w:rPr>
          <w:rFonts w:asciiTheme="minorHAnsi" w:hAnsiTheme="minorHAnsi" w:cstheme="minorHAnsi"/>
          <w:lang w:eastAsia="en-US"/>
        </w:rPr>
        <w:t xml:space="preserve"> average day shift fill rate for unregistered staff (73%). High vacancies 34%, turnover 19% and agency use 34%. High sickness rate at 27%. 2 medicines incidents with harm and 2 uses of prone restraint in a month. Appraisal rate low at 21%, clinical supervision rate low but similar to other wards. 1 informal concern raised about level of care provided and no formal feedback collected via IWGC in month.</w:t>
      </w:r>
    </w:p>
    <w:p w14:paraId="55FF3943" w14:textId="77777777" w:rsidR="00757096" w:rsidRPr="00757096" w:rsidRDefault="00757096" w:rsidP="00757096">
      <w:pPr>
        <w:jc w:val="both"/>
        <w:rPr>
          <w:rFonts w:asciiTheme="minorHAnsi" w:eastAsiaTheme="minorHAnsi" w:hAnsiTheme="minorHAnsi" w:cstheme="minorHAnsi"/>
          <w:lang w:eastAsia="en-US"/>
        </w:rPr>
      </w:pPr>
    </w:p>
    <w:p w14:paraId="3B44AD2F"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54B4C8DA"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There is a Trust-wide QI project happening around reducing the use of prone focused on when it is used for an IM injection or seclusion exit.</w:t>
      </w:r>
    </w:p>
    <w:p w14:paraId="368A38CD"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There is a Trust-wide supervision </w:t>
      </w:r>
      <w:r w:rsidRPr="00757096">
        <w:rPr>
          <w:rFonts w:asciiTheme="minorHAnsi" w:eastAsiaTheme="minorEastAsia" w:hAnsiTheme="minorHAnsi" w:cstheme="minorHAnsi"/>
          <w:color w:val="000000" w:themeColor="text1"/>
          <w:kern w:val="24"/>
          <w:lang w:val="en-US" w:eastAsia="en-US"/>
        </w:rPr>
        <w:t xml:space="preserve">steering group which meets monthly to lead on the recovery plan. </w:t>
      </w:r>
      <w:r w:rsidRPr="00757096">
        <w:rPr>
          <w:rFonts w:asciiTheme="minorHAnsi" w:eastAsiaTheme="minorEastAsia" w:hAnsiTheme="minorHAnsi" w:cstheme="minorHAnsi"/>
          <w:color w:val="000000" w:themeColor="text1"/>
          <w:kern w:val="24"/>
          <w:lang w:eastAsia="en-US"/>
        </w:rPr>
        <w:t xml:space="preserve">Work is focused on; accuracy of reporting, developments to the OTR system for recording, training for supervisors and </w:t>
      </w:r>
      <w:r w:rsidRPr="00757096">
        <w:rPr>
          <w:rFonts w:asciiTheme="minorHAnsi" w:eastAsiaTheme="minorEastAsia" w:hAnsiTheme="minorHAnsi" w:cstheme="minorHAnsi"/>
          <w:color w:val="000000" w:themeColor="text1"/>
          <w:kern w:val="24"/>
          <w:lang w:val="en-US" w:eastAsia="en-US"/>
        </w:rPr>
        <w:t>targeting services with the poorest rates</w:t>
      </w:r>
      <w:r w:rsidRPr="00757096">
        <w:rPr>
          <w:rFonts w:asciiTheme="minorHAnsi" w:eastAsiaTheme="minorEastAsia" w:hAnsiTheme="minorHAnsi" w:cstheme="minorHAnsi"/>
          <w:color w:val="000000" w:themeColor="text1"/>
          <w:kern w:val="24"/>
          <w:lang w:eastAsia="en-US"/>
        </w:rPr>
        <w:t>​. There has been a small improvement seen.</w:t>
      </w:r>
    </w:p>
    <w:p w14:paraId="6FB1CFA2" w14:textId="77777777" w:rsidR="00757096" w:rsidRPr="00757096" w:rsidRDefault="00757096" w:rsidP="00757096">
      <w:pPr>
        <w:numPr>
          <w:ilvl w:val="0"/>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Recruitment;</w:t>
      </w:r>
    </w:p>
    <w:p w14:paraId="13777EC7"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Main focus across all Bucks wards has been on the recruitment of B5s and newly qualified students. 25 students attended an event in November and 9 students are being interviewed as part of the first round in January for all Bucks wards. 2 new B5 nurses started on Sapphire in November and January.</w:t>
      </w:r>
    </w:p>
    <w:p w14:paraId="6A4754C2"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 large scale interview day is planned for February at the Whiteleaf.</w:t>
      </w:r>
    </w:p>
    <w:p w14:paraId="4D8B86B8" w14:textId="77777777" w:rsidR="00757096" w:rsidRPr="00757096" w:rsidRDefault="00757096" w:rsidP="00757096">
      <w:pPr>
        <w:numPr>
          <w:ilvl w:val="1"/>
          <w:numId w:val="17"/>
        </w:numPr>
        <w:spacing w:after="160" w:line="259" w:lineRule="auto"/>
        <w:contextualSpacing/>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 return to practice candidate is planned to start on Sapphire in January.</w:t>
      </w:r>
    </w:p>
    <w:p w14:paraId="7CBC1E6D" w14:textId="77777777" w:rsidR="00757096" w:rsidRPr="00757096" w:rsidRDefault="00757096" w:rsidP="00757096">
      <w:pPr>
        <w:jc w:val="both"/>
        <w:rPr>
          <w:rFonts w:asciiTheme="minorHAnsi" w:eastAsiaTheme="minorHAnsi" w:hAnsiTheme="minorHAnsi" w:cstheme="minorHAnsi"/>
          <w:lang w:eastAsia="en-US"/>
        </w:rPr>
      </w:pPr>
    </w:p>
    <w:p w14:paraId="57E836C7" w14:textId="77777777" w:rsidR="00757096" w:rsidRPr="00757096" w:rsidRDefault="00757096" w:rsidP="00757096">
      <w:pPr>
        <w:jc w:val="both"/>
        <w:rPr>
          <w:rFonts w:asciiTheme="minorHAnsi" w:eastAsiaTheme="minorHAnsi" w:hAnsiTheme="minorHAnsi" w:cstheme="minorHAnsi"/>
          <w:u w:val="single"/>
          <w:lang w:eastAsia="en-US"/>
        </w:rPr>
      </w:pPr>
      <w:r w:rsidRPr="00757096">
        <w:rPr>
          <w:rFonts w:asciiTheme="minorHAnsi" w:eastAsiaTheme="minorHAnsi" w:hAnsiTheme="minorHAnsi" w:cstheme="minorHAnsi"/>
          <w:noProof/>
          <w:lang w:eastAsia="en-US"/>
        </w:rPr>
        <w:drawing>
          <wp:inline distT="0" distB="0" distL="0" distR="0" wp14:anchorId="27985D00" wp14:editId="6D62019C">
            <wp:extent cx="6134100" cy="1882140"/>
            <wp:effectExtent l="0" t="0" r="0" b="3810"/>
            <wp:docPr id="28" name="Picture 2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line chart&#10;&#10;Description automatically generated"/>
                    <pic:cNvPicPr/>
                  </pic:nvPicPr>
                  <pic:blipFill>
                    <a:blip r:embed="rId10"/>
                    <a:stretch>
                      <a:fillRect/>
                    </a:stretch>
                  </pic:blipFill>
                  <pic:spPr>
                    <a:xfrm>
                      <a:off x="0" y="0"/>
                      <a:ext cx="6134100" cy="1882140"/>
                    </a:xfrm>
                    <a:prstGeom prst="rect">
                      <a:avLst/>
                    </a:prstGeom>
                  </pic:spPr>
                </pic:pic>
              </a:graphicData>
            </a:graphic>
          </wp:inline>
        </w:drawing>
      </w:r>
    </w:p>
    <w:p w14:paraId="028A61D0" w14:textId="6A41BAE4" w:rsidR="00757096" w:rsidRDefault="00757096" w:rsidP="00757096">
      <w:pPr>
        <w:jc w:val="both"/>
        <w:rPr>
          <w:rFonts w:asciiTheme="minorHAnsi" w:eastAsiaTheme="minorHAnsi" w:hAnsiTheme="minorHAnsi" w:cstheme="minorHAnsi"/>
          <w:u w:val="single"/>
          <w:lang w:eastAsia="en-US"/>
        </w:rPr>
      </w:pPr>
    </w:p>
    <w:p w14:paraId="76AB9B9C" w14:textId="307DB2B9" w:rsidR="00701951" w:rsidRDefault="00701951" w:rsidP="00757096">
      <w:pPr>
        <w:jc w:val="both"/>
        <w:rPr>
          <w:rFonts w:asciiTheme="minorHAnsi" w:eastAsiaTheme="minorHAnsi" w:hAnsiTheme="minorHAnsi" w:cstheme="minorHAnsi"/>
          <w:u w:val="single"/>
          <w:lang w:eastAsia="en-US"/>
        </w:rPr>
      </w:pPr>
    </w:p>
    <w:p w14:paraId="613E3135" w14:textId="29F29B77" w:rsidR="00701951" w:rsidRDefault="00701951" w:rsidP="00757096">
      <w:pPr>
        <w:jc w:val="both"/>
        <w:rPr>
          <w:rFonts w:asciiTheme="minorHAnsi" w:eastAsiaTheme="minorHAnsi" w:hAnsiTheme="minorHAnsi" w:cstheme="minorHAnsi"/>
          <w:u w:val="single"/>
          <w:lang w:eastAsia="en-US"/>
        </w:rPr>
      </w:pPr>
    </w:p>
    <w:p w14:paraId="5B42FC92" w14:textId="33E04CCC" w:rsidR="00701951" w:rsidRDefault="00701951" w:rsidP="00757096">
      <w:pPr>
        <w:jc w:val="both"/>
        <w:rPr>
          <w:rFonts w:asciiTheme="minorHAnsi" w:eastAsiaTheme="minorHAnsi" w:hAnsiTheme="minorHAnsi" w:cstheme="minorHAnsi"/>
          <w:u w:val="single"/>
          <w:lang w:eastAsia="en-US"/>
        </w:rPr>
      </w:pPr>
    </w:p>
    <w:p w14:paraId="3EEF0D32" w14:textId="73D9FDE5" w:rsidR="00701951" w:rsidRDefault="00701951" w:rsidP="00757096">
      <w:pPr>
        <w:jc w:val="both"/>
        <w:rPr>
          <w:rFonts w:asciiTheme="minorHAnsi" w:eastAsiaTheme="minorHAnsi" w:hAnsiTheme="minorHAnsi" w:cstheme="minorHAnsi"/>
          <w:u w:val="single"/>
          <w:lang w:eastAsia="en-US"/>
        </w:rPr>
      </w:pPr>
    </w:p>
    <w:p w14:paraId="0CEE2604" w14:textId="77777777" w:rsidR="00701951" w:rsidRPr="00757096" w:rsidRDefault="00701951" w:rsidP="00757096">
      <w:pPr>
        <w:jc w:val="both"/>
        <w:rPr>
          <w:rFonts w:asciiTheme="minorHAnsi" w:eastAsiaTheme="minorHAnsi" w:hAnsiTheme="minorHAnsi" w:cstheme="minorHAnsi"/>
          <w:u w:val="single"/>
          <w:lang w:eastAsia="en-US"/>
        </w:rPr>
      </w:pPr>
    </w:p>
    <w:p w14:paraId="11D72329" w14:textId="69CE87DA" w:rsidR="00757096" w:rsidRPr="00757096" w:rsidRDefault="00757096" w:rsidP="00757096">
      <w:pPr>
        <w:jc w:val="both"/>
        <w:rPr>
          <w:rFonts w:asciiTheme="minorHAnsi" w:eastAsiaTheme="minorHAnsi" w:hAnsiTheme="minorHAnsi" w:cstheme="minorHAnsi"/>
          <w:u w:val="single"/>
          <w:lang w:eastAsia="en-US"/>
        </w:rPr>
      </w:pPr>
      <w:r>
        <w:rPr>
          <w:rFonts w:asciiTheme="minorHAnsi" w:eastAsiaTheme="minorHAnsi" w:hAnsiTheme="minorHAnsi" w:cstheme="minorHAnsi"/>
          <w:u w:val="single"/>
          <w:lang w:eastAsia="en-US"/>
        </w:rPr>
        <w:t>3</w:t>
      </w:r>
      <w:r w:rsidRPr="00757096">
        <w:rPr>
          <w:rFonts w:asciiTheme="minorHAnsi" w:eastAsiaTheme="minorHAnsi" w:hAnsiTheme="minorHAnsi" w:cstheme="minorHAnsi"/>
          <w:u w:val="single"/>
          <w:lang w:eastAsia="en-US"/>
        </w:rPr>
        <w:t>. Community Teams Highlighted at Alert Status</w:t>
      </w:r>
    </w:p>
    <w:p w14:paraId="056C9106"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 accompanying excel sheet provides a by exception dashboard for the community teams.</w:t>
      </w:r>
    </w:p>
    <w:p w14:paraId="31045558" w14:textId="77777777" w:rsidR="00757096" w:rsidRPr="00757096" w:rsidRDefault="00757096" w:rsidP="00757096">
      <w:pPr>
        <w:jc w:val="both"/>
        <w:rPr>
          <w:rFonts w:asciiTheme="minorHAnsi" w:eastAsiaTheme="minorHAnsi" w:hAnsiTheme="minorHAnsi" w:cstheme="minorHAnsi"/>
          <w:lang w:eastAsia="en-US"/>
        </w:rPr>
      </w:pPr>
    </w:p>
    <w:p w14:paraId="0E4AD35C"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Four team have been highlighted; District Nursing service, GP OOH, Bucks OA South CMHT and Oxon City/NE AMHT, with further details below and the actions being taken.</w:t>
      </w:r>
    </w:p>
    <w:p w14:paraId="679B2159" w14:textId="77777777" w:rsidR="00757096" w:rsidRPr="00757096" w:rsidRDefault="00757096" w:rsidP="00757096">
      <w:pPr>
        <w:jc w:val="both"/>
        <w:rPr>
          <w:rFonts w:asciiTheme="minorHAnsi" w:eastAsiaTheme="minorHAnsi" w:hAnsiTheme="minorHAnsi" w:cstheme="minorHAnsi"/>
          <w:lang w:eastAsia="en-US"/>
        </w:rPr>
      </w:pPr>
    </w:p>
    <w:p w14:paraId="455B44A0" w14:textId="77777777" w:rsidR="00757096" w:rsidRPr="00757096" w:rsidRDefault="00757096" w:rsidP="00757096">
      <w:pPr>
        <w:shd w:val="clear" w:color="auto" w:fill="538135" w:themeFill="accent6" w:themeFillShade="BF"/>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t>District Nursing Service</w:t>
      </w:r>
    </w:p>
    <w:p w14:paraId="7EAFF832" w14:textId="77777777" w:rsidR="00757096" w:rsidRPr="00757096" w:rsidRDefault="00757096" w:rsidP="00757096">
      <w:pPr>
        <w:jc w:val="both"/>
        <w:rPr>
          <w:rFonts w:asciiTheme="minorHAnsi" w:hAnsiTheme="minorHAnsi" w:cstheme="minorHAnsi"/>
          <w:lang w:eastAsia="en-US"/>
        </w:rPr>
      </w:pPr>
      <w:r w:rsidRPr="00757096">
        <w:rPr>
          <w:rFonts w:asciiTheme="minorHAnsi" w:eastAsiaTheme="minorHAnsi" w:hAnsiTheme="minorHAnsi" w:cstheme="minorHAnsi"/>
          <w:lang w:eastAsia="en-US"/>
        </w:rPr>
        <w:t>Reason: high number of patients incidents with harm relating to pressure ulcers, mostly for the City and SW teams. 3 PSIIs in 3 months, 0 in December, relating to pressure ulcers and a medication error. Overall pressure ulcers developed in service have remained static, although the number of category 4 ulcers has reduced with 5 of the last 6 months below average but new unstageable ulcers have increased. High number of staff RIDDORs 3 in 3 months across different teams. Vacancies high in one team but reducing. Turnover high. 2 informal concerns and 1 MP query received in Dec about</w:t>
      </w:r>
      <w:r w:rsidRPr="00757096">
        <w:rPr>
          <w:rFonts w:asciiTheme="minorHAnsi" w:hAnsiTheme="minorHAnsi" w:cstheme="minorHAnsi"/>
          <w:lang w:eastAsia="en-US"/>
        </w:rPr>
        <w:t xml:space="preserve"> level of care provided and transport.</w:t>
      </w:r>
    </w:p>
    <w:p w14:paraId="3FD18CED" w14:textId="77777777" w:rsidR="00757096" w:rsidRPr="00757096" w:rsidRDefault="00757096" w:rsidP="00757096">
      <w:pPr>
        <w:jc w:val="both"/>
        <w:rPr>
          <w:rFonts w:asciiTheme="minorHAnsi" w:hAnsiTheme="minorHAnsi" w:cstheme="minorHAnsi"/>
          <w:lang w:eastAsia="en-US"/>
        </w:rPr>
      </w:pPr>
    </w:p>
    <w:p w14:paraId="65183630"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Service has been in OPEL escalation 4 since August 2021 due to high levels of demand and insufficient capacity to meet the population needs. Impact is an increase in rolled over visits reducing timely treatment, a reduction in continuity of care and less time for personalised, holistic care as appointments become task focused. </w:t>
      </w:r>
    </w:p>
    <w:p w14:paraId="6CE3C453" w14:textId="77777777" w:rsidR="00757096" w:rsidRPr="00757096" w:rsidRDefault="00757096" w:rsidP="00757096">
      <w:pPr>
        <w:jc w:val="both"/>
        <w:rPr>
          <w:rFonts w:asciiTheme="minorHAnsi" w:eastAsiaTheme="minorHAnsi" w:hAnsiTheme="minorHAnsi" w:cstheme="minorHAnsi"/>
          <w:lang w:eastAsia="en-US"/>
        </w:rPr>
      </w:pPr>
    </w:p>
    <w:p w14:paraId="78EF8BC6"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18D2333A" w14:textId="56C18629" w:rsidR="00757096" w:rsidRPr="00BD41DB" w:rsidRDefault="00757096" w:rsidP="00757096">
      <w:pPr>
        <w:numPr>
          <w:ilvl w:val="0"/>
          <w:numId w:val="18"/>
        </w:numPr>
        <w:spacing w:after="160" w:line="259" w:lineRule="auto"/>
        <w:contextualSpacing/>
        <w:jc w:val="both"/>
        <w:rPr>
          <w:rFonts w:asciiTheme="minorHAnsi" w:eastAsiaTheme="minorHAnsi" w:hAnsiTheme="minorHAnsi" w:cstheme="minorHAnsi"/>
          <w:iCs/>
          <w:lang w:eastAsia="en-US"/>
        </w:rPr>
      </w:pPr>
      <w:r w:rsidRPr="00BD41DB">
        <w:rPr>
          <w:rFonts w:asciiTheme="minorHAnsi" w:eastAsiaTheme="minorHAnsi" w:hAnsiTheme="minorHAnsi" w:cstheme="minorHAnsi"/>
          <w:lang w:eastAsia="en-US"/>
        </w:rPr>
        <w:t xml:space="preserve">As detailed in last month’s dashboard a number of actions have been taken. The service has an improvement plan in place with monthly review by the Directorate SMT. A </w:t>
      </w:r>
      <w:r w:rsidRPr="00BD41DB">
        <w:rPr>
          <w:rFonts w:asciiTheme="minorHAnsi" w:hAnsiTheme="minorHAnsi" w:cstheme="minorHAnsi"/>
          <w:lang w:eastAsia="en-US"/>
        </w:rPr>
        <w:t xml:space="preserve">recruitment plan is in place and a decline in vacancies has been seen. </w:t>
      </w:r>
      <w:r w:rsidRPr="00BD41DB">
        <w:rPr>
          <w:rFonts w:asciiTheme="minorHAnsi" w:eastAsiaTheme="minorHAnsi" w:hAnsiTheme="minorHAnsi" w:cstheme="minorHAnsi"/>
          <w:iCs/>
          <w:lang w:eastAsia="en-US"/>
        </w:rPr>
        <w:t>The service has also reviewed their skill mix increasing the number of B7s.</w:t>
      </w:r>
    </w:p>
    <w:p w14:paraId="5303FB21" w14:textId="34B5E75D" w:rsidR="00757096" w:rsidRPr="00BD41DB" w:rsidRDefault="00757096" w:rsidP="00757096">
      <w:pPr>
        <w:numPr>
          <w:ilvl w:val="0"/>
          <w:numId w:val="18"/>
        </w:numPr>
        <w:spacing w:after="160" w:line="259" w:lineRule="auto"/>
        <w:contextualSpacing/>
        <w:jc w:val="both"/>
        <w:rPr>
          <w:rFonts w:asciiTheme="minorHAnsi" w:eastAsiaTheme="minorHAnsi" w:hAnsiTheme="minorHAnsi" w:cstheme="minorHAnsi"/>
          <w:iCs/>
          <w:lang w:eastAsia="en-US"/>
        </w:rPr>
      </w:pPr>
      <w:r w:rsidRPr="00BD41DB">
        <w:rPr>
          <w:rFonts w:asciiTheme="minorHAnsi" w:eastAsiaTheme="minorHAnsi" w:hAnsiTheme="minorHAnsi" w:cstheme="minorHAnsi"/>
          <w:iCs/>
          <w:lang w:eastAsia="en-US"/>
        </w:rPr>
        <w:t>Concerns about demand and capacity have been raised in system meetings and with the ICB.</w:t>
      </w:r>
      <w:r w:rsidR="00701951" w:rsidRPr="00BD41DB">
        <w:rPr>
          <w:rFonts w:asciiTheme="minorHAnsi" w:eastAsiaTheme="minorHAnsi" w:hAnsiTheme="minorHAnsi" w:cstheme="minorHAnsi"/>
          <w:iCs/>
          <w:lang w:eastAsia="en-US"/>
        </w:rPr>
        <w:t xml:space="preserve"> There has been insufficient investment in the service over a prolonged period. </w:t>
      </w:r>
      <w:r w:rsidR="00701951" w:rsidRPr="00BD41DB">
        <w:rPr>
          <w:rFonts w:asciiTheme="minorHAnsi" w:hAnsiTheme="minorHAnsi" w:cstheme="minorHAnsi"/>
        </w:rPr>
        <w:t xml:space="preserve">The national community nursing safer staffing tool will be launched soon and we </w:t>
      </w:r>
      <w:r w:rsidR="00BD41DB" w:rsidRPr="00BD41DB">
        <w:rPr>
          <w:rFonts w:asciiTheme="minorHAnsi" w:hAnsiTheme="minorHAnsi" w:cstheme="minorHAnsi"/>
        </w:rPr>
        <w:t>expect</w:t>
      </w:r>
      <w:r w:rsidR="00701951" w:rsidRPr="00BD41DB">
        <w:rPr>
          <w:rFonts w:asciiTheme="minorHAnsi" w:hAnsiTheme="minorHAnsi" w:cstheme="minorHAnsi"/>
        </w:rPr>
        <w:t xml:space="preserve"> this will help support discussions </w:t>
      </w:r>
      <w:r w:rsidR="00BD41DB">
        <w:rPr>
          <w:rFonts w:asciiTheme="minorHAnsi" w:hAnsiTheme="minorHAnsi" w:cstheme="minorHAnsi"/>
        </w:rPr>
        <w:t>that OHFT have a</w:t>
      </w:r>
      <w:r w:rsidR="00BD41DB" w:rsidRPr="00BD41DB">
        <w:rPr>
          <w:rFonts w:asciiTheme="minorHAnsi" w:hAnsiTheme="minorHAnsi" w:cstheme="minorHAnsi"/>
        </w:rPr>
        <w:t xml:space="preserve"> low establishment for the population we serve.</w:t>
      </w:r>
    </w:p>
    <w:p w14:paraId="5AC610A1" w14:textId="77777777" w:rsidR="00757096" w:rsidRPr="00BD41DB" w:rsidRDefault="00757096" w:rsidP="00757096">
      <w:pPr>
        <w:numPr>
          <w:ilvl w:val="0"/>
          <w:numId w:val="18"/>
        </w:numPr>
        <w:spacing w:after="160" w:line="259" w:lineRule="auto"/>
        <w:contextualSpacing/>
        <w:jc w:val="both"/>
        <w:rPr>
          <w:rFonts w:asciiTheme="minorHAnsi" w:eastAsiaTheme="minorHAnsi" w:hAnsiTheme="minorHAnsi" w:cstheme="minorHAnsi"/>
          <w:iCs/>
          <w:lang w:eastAsia="en-US"/>
        </w:rPr>
      </w:pPr>
      <w:r w:rsidRPr="00BD41DB">
        <w:rPr>
          <w:rFonts w:asciiTheme="minorHAnsi" w:eastAsiaTheme="minorHAnsi" w:hAnsiTheme="minorHAnsi" w:cstheme="minorHAnsi"/>
          <w:iCs/>
          <w:lang w:eastAsia="en-US"/>
        </w:rPr>
        <w:t>A risk based approach continues to be applied to prioritise daily appointments. When there are issues with capacity for high risk patients there is a process to escalate this to the Head of Nursing/ Clinical Director.</w:t>
      </w:r>
    </w:p>
    <w:p w14:paraId="7B78E30D" w14:textId="77777777" w:rsidR="00757096" w:rsidRPr="00BD41DB" w:rsidRDefault="00757096" w:rsidP="00757096">
      <w:pPr>
        <w:numPr>
          <w:ilvl w:val="0"/>
          <w:numId w:val="18"/>
        </w:numPr>
        <w:spacing w:after="160" w:line="259" w:lineRule="auto"/>
        <w:contextualSpacing/>
        <w:jc w:val="both"/>
        <w:rPr>
          <w:rFonts w:asciiTheme="minorHAnsi" w:eastAsiaTheme="minorHAnsi" w:hAnsiTheme="minorHAnsi" w:cstheme="minorHAnsi"/>
          <w:iCs/>
          <w:lang w:eastAsia="en-US"/>
        </w:rPr>
      </w:pPr>
      <w:r w:rsidRPr="00BD41DB">
        <w:rPr>
          <w:rFonts w:asciiTheme="minorHAnsi" w:eastAsiaTheme="minorHAnsi" w:hAnsiTheme="minorHAnsi" w:cstheme="minorHAnsi"/>
          <w:iCs/>
          <w:lang w:eastAsia="en-US"/>
        </w:rPr>
        <w:t>Recruitment: newly qualified/student advert launched end of 2022 and 2 offers have been made, 4 return to practice nurses due to start in January, and social media campaign live for 2 areas.</w:t>
      </w:r>
    </w:p>
    <w:p w14:paraId="67AB5F82" w14:textId="77777777" w:rsidR="00757096" w:rsidRPr="00757096" w:rsidRDefault="00757096" w:rsidP="00757096">
      <w:pPr>
        <w:jc w:val="both"/>
        <w:rPr>
          <w:rFonts w:asciiTheme="minorHAnsi" w:eastAsiaTheme="minorHAnsi" w:hAnsiTheme="minorHAnsi" w:cstheme="minorHAnsi"/>
          <w:lang w:eastAsia="en-US"/>
        </w:rPr>
      </w:pPr>
    </w:p>
    <w:p w14:paraId="347BECBF"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noProof/>
          <w:lang w:eastAsia="en-US"/>
        </w:rPr>
        <w:drawing>
          <wp:inline distT="0" distB="0" distL="0" distR="0" wp14:anchorId="4A192927" wp14:editId="424C9848">
            <wp:extent cx="6300470" cy="1775460"/>
            <wp:effectExtent l="0" t="0" r="5080" b="0"/>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pic:nvPicPr>
                  <pic:blipFill>
                    <a:blip r:embed="rId11"/>
                    <a:stretch>
                      <a:fillRect/>
                    </a:stretch>
                  </pic:blipFill>
                  <pic:spPr>
                    <a:xfrm>
                      <a:off x="0" y="0"/>
                      <a:ext cx="6300470" cy="1775460"/>
                    </a:xfrm>
                    <a:prstGeom prst="rect">
                      <a:avLst/>
                    </a:prstGeom>
                  </pic:spPr>
                </pic:pic>
              </a:graphicData>
            </a:graphic>
          </wp:inline>
        </w:drawing>
      </w:r>
    </w:p>
    <w:p w14:paraId="11363228" w14:textId="77777777" w:rsidR="00757096" w:rsidRPr="00757096" w:rsidRDefault="00757096" w:rsidP="00757096">
      <w:pPr>
        <w:jc w:val="both"/>
        <w:rPr>
          <w:rFonts w:asciiTheme="minorHAnsi" w:eastAsiaTheme="minorHAnsi" w:hAnsiTheme="minorHAnsi" w:cstheme="minorHAnsi"/>
          <w:lang w:eastAsia="en-US"/>
        </w:rPr>
      </w:pPr>
    </w:p>
    <w:p w14:paraId="3D8A54C9" w14:textId="77777777" w:rsidR="00701951" w:rsidRPr="00757096" w:rsidRDefault="00701951" w:rsidP="00757096">
      <w:pPr>
        <w:jc w:val="both"/>
        <w:rPr>
          <w:rFonts w:asciiTheme="minorHAnsi" w:eastAsiaTheme="minorHAnsi" w:hAnsiTheme="minorHAnsi" w:cstheme="minorHAnsi"/>
          <w:lang w:eastAsia="en-US"/>
        </w:rPr>
      </w:pPr>
    </w:p>
    <w:p w14:paraId="217D9AEC" w14:textId="7EE37A4F" w:rsidR="00757096" w:rsidRPr="00701951" w:rsidRDefault="00757096" w:rsidP="00701951">
      <w:pPr>
        <w:shd w:val="clear" w:color="auto" w:fill="538135" w:themeFill="accent6" w:themeFillShade="BF"/>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t>GP OOH Service</w:t>
      </w:r>
    </w:p>
    <w:p w14:paraId="6AAD1C89"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Reason: vacancies remain high 56%, although have decreased from November. Sickness is at 14%. 1 informal concern received in December and a total of 4 concerns in the last 3 months. 2 PSIIs in December regarding a delay in response because of capacity issues and a </w:t>
      </w:r>
      <w:proofErr w:type="gramStart"/>
      <w:r w:rsidRPr="00757096">
        <w:rPr>
          <w:rFonts w:asciiTheme="minorHAnsi" w:eastAsiaTheme="minorHAnsi" w:hAnsiTheme="minorHAnsi" w:cstheme="minorHAnsi"/>
          <w:lang w:eastAsia="en-US"/>
        </w:rPr>
        <w:t>mis-diagnosis</w:t>
      </w:r>
      <w:proofErr w:type="gramEnd"/>
      <w:r w:rsidRPr="00757096">
        <w:rPr>
          <w:rFonts w:asciiTheme="minorHAnsi" w:eastAsiaTheme="minorHAnsi" w:hAnsiTheme="minorHAnsi" w:cstheme="minorHAnsi"/>
          <w:lang w:eastAsia="en-US"/>
        </w:rPr>
        <w:t>. There is a delay in responding to referred patients due to capacity and system pressures, resulting in residual activity going into in-hour work. The number of patient harm incidents has been above average level in 4 out of the 6 past months.</w:t>
      </w:r>
    </w:p>
    <w:p w14:paraId="0E2C9495" w14:textId="77777777" w:rsidR="00757096" w:rsidRPr="00757096" w:rsidRDefault="00757096" w:rsidP="00757096">
      <w:pPr>
        <w:jc w:val="both"/>
        <w:rPr>
          <w:rFonts w:asciiTheme="minorHAnsi" w:eastAsiaTheme="minorHAnsi" w:hAnsiTheme="minorHAnsi" w:cstheme="minorHAnsi"/>
          <w:lang w:eastAsia="en-US"/>
        </w:rPr>
      </w:pPr>
    </w:p>
    <w:p w14:paraId="5F4CBF51"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 service declared a critical incident from mid-December 2022.</w:t>
      </w:r>
    </w:p>
    <w:p w14:paraId="1E546031" w14:textId="77777777" w:rsidR="00757096" w:rsidRPr="00757096" w:rsidRDefault="00757096" w:rsidP="00757096">
      <w:pPr>
        <w:jc w:val="both"/>
        <w:rPr>
          <w:rFonts w:asciiTheme="minorHAnsi" w:eastAsiaTheme="minorHAnsi" w:hAnsiTheme="minorHAnsi" w:cstheme="minorHAnsi"/>
          <w:lang w:eastAsia="en-US"/>
        </w:rPr>
      </w:pPr>
    </w:p>
    <w:p w14:paraId="25FB0282"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299BEC60" w14:textId="77777777" w:rsidR="00757096" w:rsidRPr="00757096" w:rsidRDefault="00757096" w:rsidP="00757096">
      <w:pPr>
        <w:numPr>
          <w:ilvl w:val="0"/>
          <w:numId w:val="19"/>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As detailed in last month’s dashboard a number of actions have been taken.</w:t>
      </w:r>
    </w:p>
    <w:p w14:paraId="5DC7ECB9" w14:textId="77777777" w:rsidR="00757096" w:rsidRPr="00757096" w:rsidRDefault="00757096" w:rsidP="00757096">
      <w:pPr>
        <w:numPr>
          <w:ilvl w:val="0"/>
          <w:numId w:val="19"/>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The service has a critical incident improvement plan in place to manage the issues around capacity and demand, actions include: a clinical sifter to check every telephone triage has an appropriate categorised response time, an administrator calling patients when waiting for a response – called a comfort call and a reduction in the number of follow up attempts moved to 2 calls rather than 3. The plan is continually being reviewed.</w:t>
      </w:r>
    </w:p>
    <w:p w14:paraId="59D16AD8" w14:textId="77777777" w:rsidR="00757096" w:rsidRPr="00757096" w:rsidRDefault="00757096" w:rsidP="00757096">
      <w:pPr>
        <w:numPr>
          <w:ilvl w:val="0"/>
          <w:numId w:val="19"/>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The </w:t>
      </w:r>
      <w:r w:rsidRPr="00757096">
        <w:rPr>
          <w:rFonts w:asciiTheme="minorHAnsi" w:hAnsiTheme="minorHAnsi" w:cstheme="minorHAnsi"/>
          <w:lang w:eastAsia="en-US"/>
        </w:rPr>
        <w:t>recruitment of sessional GPs has seen a positive improvement and there are monthly meetings to review the recruitment plan. There is also a daily report on staffing levels.</w:t>
      </w:r>
    </w:p>
    <w:p w14:paraId="51FCC10D" w14:textId="593ADBCC" w:rsidR="00757096" w:rsidRPr="00CC4D40" w:rsidRDefault="00757096" w:rsidP="00757096">
      <w:pPr>
        <w:numPr>
          <w:ilvl w:val="0"/>
          <w:numId w:val="19"/>
        </w:numPr>
        <w:spacing w:after="160" w:line="259" w:lineRule="auto"/>
        <w:contextualSpacing/>
        <w:jc w:val="both"/>
        <w:rPr>
          <w:rFonts w:asciiTheme="minorHAnsi" w:eastAsiaTheme="minorHAnsi" w:hAnsiTheme="minorHAnsi" w:cstheme="minorHAnsi"/>
          <w:lang w:eastAsia="en-US"/>
        </w:rPr>
      </w:pPr>
      <w:r w:rsidRPr="00757096">
        <w:rPr>
          <w:rFonts w:asciiTheme="minorHAnsi" w:hAnsiTheme="minorHAnsi" w:cstheme="minorHAnsi"/>
          <w:lang w:eastAsia="en-US"/>
        </w:rPr>
        <w:t>There is a wider review of the service underway to develop a sustainable and more resilient delivery model based on the changes in demand since the pandemic. The outcome has been presented to the Executive Team.</w:t>
      </w:r>
    </w:p>
    <w:p w14:paraId="1B816210" w14:textId="024CD535" w:rsidR="00757096" w:rsidRDefault="00CC4D40" w:rsidP="00757096">
      <w:pPr>
        <w:numPr>
          <w:ilvl w:val="0"/>
          <w:numId w:val="19"/>
        </w:numPr>
        <w:spacing w:after="160" w:line="259" w:lineRule="auto"/>
        <w:contextualSpacing/>
        <w:jc w:val="both"/>
        <w:rPr>
          <w:rFonts w:asciiTheme="minorHAnsi" w:eastAsiaTheme="minorHAnsi" w:hAnsiTheme="minorHAnsi" w:cstheme="minorHAnsi"/>
          <w:lang w:eastAsia="en-US"/>
        </w:rPr>
      </w:pPr>
      <w:r>
        <w:rPr>
          <w:rFonts w:asciiTheme="minorHAnsi" w:hAnsiTheme="minorHAnsi" w:cstheme="minorHAnsi"/>
          <w:lang w:eastAsia="en-US"/>
        </w:rPr>
        <w:t xml:space="preserve">The incidents reported by the service from October 2022 to early January 2023 have been reviewed and an analysis presented to the Quality and Clinical Governance Sub-Committee to understand the harm to patients as a result of longer response times. </w:t>
      </w:r>
    </w:p>
    <w:p w14:paraId="589BF911" w14:textId="77777777" w:rsidR="00CC4D40" w:rsidRPr="00757096" w:rsidRDefault="00CC4D40" w:rsidP="00CC4D40">
      <w:pPr>
        <w:spacing w:after="160" w:line="259" w:lineRule="auto"/>
        <w:ind w:left="720"/>
        <w:contextualSpacing/>
        <w:jc w:val="both"/>
        <w:rPr>
          <w:rFonts w:asciiTheme="minorHAnsi" w:eastAsiaTheme="minorHAnsi" w:hAnsiTheme="minorHAnsi" w:cstheme="minorHAnsi"/>
          <w:lang w:eastAsia="en-US"/>
        </w:rPr>
      </w:pPr>
    </w:p>
    <w:p w14:paraId="4D9BC964"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noProof/>
          <w:lang w:eastAsia="en-US"/>
        </w:rPr>
        <w:drawing>
          <wp:inline distT="0" distB="0" distL="0" distR="0" wp14:anchorId="0F7AD734" wp14:editId="6AC85030">
            <wp:extent cx="6332220" cy="1767840"/>
            <wp:effectExtent l="0" t="0" r="0" b="3810"/>
            <wp:docPr id="36" name="Picture 3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line chart&#10;&#10;Description automatically generated"/>
                    <pic:cNvPicPr/>
                  </pic:nvPicPr>
                  <pic:blipFill>
                    <a:blip r:embed="rId12"/>
                    <a:stretch>
                      <a:fillRect/>
                    </a:stretch>
                  </pic:blipFill>
                  <pic:spPr>
                    <a:xfrm>
                      <a:off x="0" y="0"/>
                      <a:ext cx="6332220" cy="1767840"/>
                    </a:xfrm>
                    <a:prstGeom prst="rect">
                      <a:avLst/>
                    </a:prstGeom>
                  </pic:spPr>
                </pic:pic>
              </a:graphicData>
            </a:graphic>
          </wp:inline>
        </w:drawing>
      </w:r>
    </w:p>
    <w:p w14:paraId="6C89E967" w14:textId="77777777" w:rsidR="00757096" w:rsidRPr="00757096" w:rsidRDefault="00757096" w:rsidP="00757096">
      <w:pPr>
        <w:jc w:val="both"/>
        <w:rPr>
          <w:rFonts w:asciiTheme="minorHAnsi" w:eastAsiaTheme="minorHAnsi" w:hAnsiTheme="minorHAnsi" w:cstheme="minorHAnsi"/>
          <w:lang w:eastAsia="en-US"/>
        </w:rPr>
      </w:pPr>
    </w:p>
    <w:p w14:paraId="0937F7DD" w14:textId="77D819FD" w:rsidR="00757096" w:rsidRPr="00701951" w:rsidRDefault="00757096" w:rsidP="00701951">
      <w:pPr>
        <w:shd w:val="clear" w:color="auto" w:fill="538135" w:themeFill="accent6" w:themeFillShade="BF"/>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t>Bucks OA South CMHT</w:t>
      </w:r>
    </w:p>
    <w:p w14:paraId="432CA1F8"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Reason: high vacancies (37%) although reducing month on month. Turnover has increased and sickness is at 11%. 2 PSIIs in last 3 months related to learning from unexpected deaths.</w:t>
      </w:r>
      <w:r w:rsidRPr="00757096">
        <w:rPr>
          <w:rFonts w:asciiTheme="minorHAnsi" w:hAnsiTheme="minorHAnsi" w:cstheme="minorHAnsi"/>
          <w:lang w:eastAsia="en-US"/>
        </w:rPr>
        <w:t xml:space="preserve"> No formal feedback collected via IWGC in month.</w:t>
      </w:r>
    </w:p>
    <w:p w14:paraId="224E78E9" w14:textId="77777777" w:rsidR="00757096" w:rsidRPr="00757096" w:rsidRDefault="00757096" w:rsidP="00757096">
      <w:pPr>
        <w:jc w:val="both"/>
        <w:rPr>
          <w:rFonts w:asciiTheme="minorHAnsi" w:eastAsiaTheme="minorHAnsi" w:hAnsiTheme="minorHAnsi" w:cstheme="minorHAnsi"/>
          <w:lang w:eastAsia="en-US"/>
        </w:rPr>
      </w:pPr>
    </w:p>
    <w:p w14:paraId="37813453"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72C11809" w14:textId="77777777" w:rsidR="00757096" w:rsidRPr="00757096" w:rsidRDefault="00757096" w:rsidP="00757096">
      <w:pPr>
        <w:numPr>
          <w:ilvl w:val="0"/>
          <w:numId w:val="20"/>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As detailed in last month’s dashboard a number of actions have been taken.</w:t>
      </w:r>
    </w:p>
    <w:p w14:paraId="74C400D6" w14:textId="77777777" w:rsidR="00757096" w:rsidRPr="00757096" w:rsidRDefault="00757096" w:rsidP="00757096">
      <w:pPr>
        <w:numPr>
          <w:ilvl w:val="0"/>
          <w:numId w:val="20"/>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There has been a focus on working with the team about the service model going forward. In the short term resource from memory assessments has been diverted into the CMHT. The new gateway team (single point of access) is supporting with triage and new assessments, and </w:t>
      </w:r>
      <w:r w:rsidRPr="00757096">
        <w:rPr>
          <w:rFonts w:asciiTheme="minorHAnsi" w:eastAsiaTheme="minorHAnsi" w:hAnsiTheme="minorHAnsi" w:cstheme="minorHAnsi"/>
          <w:lang w:eastAsia="en-US"/>
        </w:rPr>
        <w:lastRenderedPageBreak/>
        <w:t>senior clinicians have increased visibility by sitting alongside the team. All unallocated patients have been reviewed face to face, however there is still limited capacity to allocate a care coordinator.</w:t>
      </w:r>
    </w:p>
    <w:p w14:paraId="1E60FD6B" w14:textId="77777777" w:rsidR="00757096" w:rsidRPr="00757096" w:rsidRDefault="00757096" w:rsidP="00757096">
      <w:pPr>
        <w:numPr>
          <w:ilvl w:val="0"/>
          <w:numId w:val="20"/>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Recruitment plan is in place with rolling adverts and a larger scale recruitment campaign being planned.</w:t>
      </w:r>
    </w:p>
    <w:p w14:paraId="09E6A61A" w14:textId="77777777" w:rsidR="00757096" w:rsidRPr="00757096" w:rsidRDefault="00757096" w:rsidP="00757096">
      <w:pPr>
        <w:jc w:val="both"/>
        <w:rPr>
          <w:rFonts w:asciiTheme="minorHAnsi" w:eastAsiaTheme="minorHAnsi" w:hAnsiTheme="minorHAnsi" w:cstheme="minorHAnsi"/>
          <w:lang w:eastAsia="en-US"/>
        </w:rPr>
      </w:pPr>
    </w:p>
    <w:p w14:paraId="707ED7B5"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noProof/>
          <w:lang w:eastAsia="en-US"/>
        </w:rPr>
        <w:drawing>
          <wp:inline distT="0" distB="0" distL="0" distR="0" wp14:anchorId="3E5D1216" wp14:editId="138BB2AE">
            <wp:extent cx="6370320" cy="1623060"/>
            <wp:effectExtent l="0" t="0" r="0" b="0"/>
            <wp:docPr id="37" name="Picture 3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art, line chart&#10;&#10;Description automatically generated"/>
                    <pic:cNvPicPr/>
                  </pic:nvPicPr>
                  <pic:blipFill>
                    <a:blip r:embed="rId13"/>
                    <a:stretch>
                      <a:fillRect/>
                    </a:stretch>
                  </pic:blipFill>
                  <pic:spPr>
                    <a:xfrm>
                      <a:off x="0" y="0"/>
                      <a:ext cx="6370320" cy="1623060"/>
                    </a:xfrm>
                    <a:prstGeom prst="rect">
                      <a:avLst/>
                    </a:prstGeom>
                  </pic:spPr>
                </pic:pic>
              </a:graphicData>
            </a:graphic>
          </wp:inline>
        </w:drawing>
      </w:r>
    </w:p>
    <w:p w14:paraId="4D2637A9" w14:textId="77777777" w:rsidR="00757096" w:rsidRPr="00757096" w:rsidRDefault="00757096" w:rsidP="00757096">
      <w:pPr>
        <w:jc w:val="both"/>
        <w:rPr>
          <w:rFonts w:asciiTheme="minorHAnsi" w:eastAsiaTheme="minorHAnsi" w:hAnsiTheme="minorHAnsi" w:cstheme="minorHAnsi"/>
          <w:lang w:eastAsia="en-US"/>
        </w:rPr>
      </w:pPr>
    </w:p>
    <w:p w14:paraId="741364EA" w14:textId="3869F154" w:rsidR="00757096" w:rsidRPr="00701951" w:rsidRDefault="00757096" w:rsidP="00701951">
      <w:pPr>
        <w:shd w:val="clear" w:color="auto" w:fill="538135" w:themeFill="accent6" w:themeFillShade="BF"/>
        <w:jc w:val="both"/>
        <w:rPr>
          <w:rFonts w:asciiTheme="minorHAnsi" w:eastAsiaTheme="minorHAnsi" w:hAnsiTheme="minorHAnsi" w:cstheme="minorHAnsi"/>
          <w:b/>
          <w:bCs/>
          <w:color w:val="FFFFFF" w:themeColor="background1"/>
          <w:lang w:eastAsia="en-US"/>
        </w:rPr>
      </w:pPr>
      <w:r w:rsidRPr="00757096">
        <w:rPr>
          <w:rFonts w:asciiTheme="minorHAnsi" w:eastAsiaTheme="minorHAnsi" w:hAnsiTheme="minorHAnsi" w:cstheme="minorHAnsi"/>
          <w:b/>
          <w:bCs/>
          <w:color w:val="FFFFFF" w:themeColor="background1"/>
          <w:lang w:eastAsia="en-US"/>
        </w:rPr>
        <w:t>Oxon City and NE AMHT</w:t>
      </w:r>
    </w:p>
    <w:p w14:paraId="27136B5B"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Reason: high vacancies (38%) similar to November. Around 9 agency workers (long lines). Turnover increased in Nov and Dec. 1 PSII in December related to learning from an unexpected death. High number of complaints (2 in December) and informal concerns (5 in December) mostly relating to level of care provided and staff approach/communication. The number of concerns had been higher earlier in the year and then dropped and has started to increase again.</w:t>
      </w:r>
    </w:p>
    <w:p w14:paraId="2F0A4FC3" w14:textId="77777777" w:rsidR="00757096" w:rsidRPr="00757096" w:rsidRDefault="00757096" w:rsidP="00757096">
      <w:pPr>
        <w:jc w:val="both"/>
        <w:rPr>
          <w:rFonts w:asciiTheme="minorHAnsi" w:eastAsiaTheme="minorHAnsi" w:hAnsiTheme="minorHAnsi" w:cstheme="minorHAnsi"/>
          <w:lang w:eastAsia="en-US"/>
        </w:rPr>
      </w:pPr>
    </w:p>
    <w:p w14:paraId="39A2AD2E" w14:textId="77777777" w:rsidR="00757096" w:rsidRPr="00757096" w:rsidRDefault="00757096" w:rsidP="00757096">
      <w:pPr>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Actions:</w:t>
      </w:r>
    </w:p>
    <w:p w14:paraId="30DA802C" w14:textId="77777777" w:rsidR="00757096" w:rsidRPr="00757096" w:rsidRDefault="00757096" w:rsidP="00757096">
      <w:pPr>
        <w:numPr>
          <w:ilvl w:val="0"/>
          <w:numId w:val="21"/>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Ongoing recruitment initiatives, all vacant roles being advertised. Paid Facebook/ twitter recruitment campaign in December and January. Student job fairs being attended, first round of interviews completed and 6  more applicants have applied for second round. Working on supporting B3 to go onto nurse associate training and then nurse training. Regular review of recruitment plan.</w:t>
      </w:r>
    </w:p>
    <w:p w14:paraId="4973F63E" w14:textId="77777777" w:rsidR="00757096" w:rsidRPr="00757096" w:rsidRDefault="00757096" w:rsidP="00757096">
      <w:pPr>
        <w:numPr>
          <w:ilvl w:val="0"/>
          <w:numId w:val="21"/>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Reablement pilot with OTs in City to start in January.</w:t>
      </w:r>
    </w:p>
    <w:p w14:paraId="00BA95B3" w14:textId="77777777" w:rsidR="00757096" w:rsidRPr="00757096" w:rsidRDefault="00757096" w:rsidP="00757096">
      <w:pPr>
        <w:numPr>
          <w:ilvl w:val="0"/>
          <w:numId w:val="21"/>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Focus on learning from incidents/ safety huddles and support teams, as well as supervision.</w:t>
      </w:r>
    </w:p>
    <w:p w14:paraId="110D9A18" w14:textId="77777777" w:rsidR="00757096" w:rsidRPr="00757096" w:rsidRDefault="00757096" w:rsidP="00757096">
      <w:pPr>
        <w:numPr>
          <w:ilvl w:val="0"/>
          <w:numId w:val="21"/>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Increased oversight around patients not unallocated to a care coordinator.</w:t>
      </w:r>
    </w:p>
    <w:p w14:paraId="51DD48AF" w14:textId="77777777" w:rsidR="00757096" w:rsidRPr="00757096" w:rsidRDefault="00757096" w:rsidP="00757096">
      <w:pPr>
        <w:numPr>
          <w:ilvl w:val="0"/>
          <w:numId w:val="21"/>
        </w:numPr>
        <w:spacing w:after="160" w:line="259" w:lineRule="auto"/>
        <w:contextualSpacing/>
        <w:jc w:val="both"/>
        <w:rPr>
          <w:rFonts w:asciiTheme="minorHAnsi" w:eastAsiaTheme="minorHAnsi" w:hAnsiTheme="minorHAnsi" w:cstheme="minorHAnsi"/>
          <w:lang w:eastAsia="en-US"/>
        </w:rPr>
      </w:pPr>
      <w:r w:rsidRPr="00757096">
        <w:rPr>
          <w:rFonts w:asciiTheme="minorHAnsi" w:eastAsiaTheme="minorHAnsi" w:hAnsiTheme="minorHAnsi" w:cstheme="minorHAnsi"/>
          <w:lang w:eastAsia="en-US"/>
        </w:rPr>
        <w:t xml:space="preserve">Working with team to identify possible solutions and continuing to review caseload and how best to use resource available. </w:t>
      </w:r>
    </w:p>
    <w:p w14:paraId="313A4F3C" w14:textId="77777777" w:rsidR="00757096" w:rsidRPr="00757096" w:rsidRDefault="00757096" w:rsidP="00757096">
      <w:pPr>
        <w:jc w:val="both"/>
        <w:rPr>
          <w:rFonts w:asciiTheme="minorHAnsi" w:eastAsiaTheme="minorHAnsi" w:hAnsiTheme="minorHAnsi" w:cstheme="minorHAnsi"/>
          <w:lang w:eastAsia="en-US"/>
        </w:rPr>
      </w:pPr>
    </w:p>
    <w:p w14:paraId="2469526A" w14:textId="21B93E1F" w:rsidR="007D1EE9" w:rsidRPr="00CC4D40" w:rsidRDefault="00757096" w:rsidP="00CC4D40">
      <w:pPr>
        <w:jc w:val="both"/>
        <w:rPr>
          <w:rFonts w:asciiTheme="minorHAnsi" w:eastAsiaTheme="minorHAnsi" w:hAnsiTheme="minorHAnsi" w:cstheme="minorHAnsi"/>
          <w:lang w:eastAsia="en-US"/>
        </w:rPr>
      </w:pPr>
      <w:r w:rsidRPr="00757096">
        <w:rPr>
          <w:rFonts w:asciiTheme="minorHAnsi" w:eastAsiaTheme="minorHAnsi" w:hAnsiTheme="minorHAnsi" w:cstheme="minorHAnsi"/>
          <w:noProof/>
          <w:lang w:eastAsia="en-US"/>
        </w:rPr>
        <w:drawing>
          <wp:inline distT="0" distB="0" distL="0" distR="0" wp14:anchorId="71528B22" wp14:editId="1560271D">
            <wp:extent cx="6347460" cy="2011680"/>
            <wp:effectExtent l="0" t="0" r="0" b="7620"/>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line chart&#10;&#10;Description automatically generated"/>
                    <pic:cNvPicPr/>
                  </pic:nvPicPr>
                  <pic:blipFill>
                    <a:blip r:embed="rId14"/>
                    <a:stretch>
                      <a:fillRect/>
                    </a:stretch>
                  </pic:blipFill>
                  <pic:spPr>
                    <a:xfrm>
                      <a:off x="0" y="0"/>
                      <a:ext cx="6347460" cy="2011680"/>
                    </a:xfrm>
                    <a:prstGeom prst="rect">
                      <a:avLst/>
                    </a:prstGeom>
                  </pic:spPr>
                </pic:pic>
              </a:graphicData>
            </a:graphic>
          </wp:inline>
        </w:drawing>
      </w:r>
    </w:p>
    <w:sectPr w:rsidR="007D1EE9" w:rsidRPr="00CC4D40" w:rsidSect="00757096">
      <w:headerReference w:type="default" r:id="rId15"/>
      <w:footerReference w:type="default" r:id="rId16"/>
      <w:pgSz w:w="11906" w:h="16838"/>
      <w:pgMar w:top="1134"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6FF2" w14:textId="77777777" w:rsidR="00651D96" w:rsidRDefault="00651D96" w:rsidP="00615607">
      <w:pPr>
        <w:pStyle w:val="Header"/>
      </w:pPr>
      <w:r>
        <w:separator/>
      </w:r>
    </w:p>
  </w:endnote>
  <w:endnote w:type="continuationSeparator" w:id="0">
    <w:p w14:paraId="49A56557" w14:textId="77777777" w:rsidR="00651D96" w:rsidRDefault="00651D96" w:rsidP="006156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76631"/>
      <w:docPartObj>
        <w:docPartGallery w:val="Page Numbers (Bottom of Page)"/>
        <w:docPartUnique/>
      </w:docPartObj>
    </w:sdtPr>
    <w:sdtEndPr>
      <w:rPr>
        <w:rFonts w:asciiTheme="minorHAnsi" w:hAnsiTheme="minorHAnsi" w:cstheme="minorHAnsi"/>
        <w:noProof/>
        <w:sz w:val="22"/>
        <w:szCs w:val="22"/>
      </w:rPr>
    </w:sdtEndPr>
    <w:sdtContent>
      <w:p w14:paraId="1B1DBAE9" w14:textId="0F3687EA" w:rsidR="00757096" w:rsidRPr="00757096" w:rsidRDefault="00757096">
        <w:pPr>
          <w:pStyle w:val="Footer"/>
          <w:jc w:val="center"/>
          <w:rPr>
            <w:rFonts w:asciiTheme="minorHAnsi" w:hAnsiTheme="minorHAnsi" w:cstheme="minorHAnsi"/>
            <w:sz w:val="22"/>
            <w:szCs w:val="22"/>
          </w:rPr>
        </w:pPr>
        <w:r w:rsidRPr="00757096">
          <w:rPr>
            <w:rFonts w:asciiTheme="minorHAnsi" w:hAnsiTheme="minorHAnsi" w:cstheme="minorHAnsi"/>
            <w:sz w:val="22"/>
            <w:szCs w:val="22"/>
          </w:rPr>
          <w:fldChar w:fldCharType="begin"/>
        </w:r>
        <w:r w:rsidRPr="00757096">
          <w:rPr>
            <w:rFonts w:asciiTheme="minorHAnsi" w:hAnsiTheme="minorHAnsi" w:cstheme="minorHAnsi"/>
            <w:sz w:val="22"/>
            <w:szCs w:val="22"/>
          </w:rPr>
          <w:instrText xml:space="preserve"> PAGE   \* MERGEFORMAT </w:instrText>
        </w:r>
        <w:r w:rsidRPr="00757096">
          <w:rPr>
            <w:rFonts w:asciiTheme="minorHAnsi" w:hAnsiTheme="minorHAnsi" w:cstheme="minorHAnsi"/>
            <w:sz w:val="22"/>
            <w:szCs w:val="22"/>
          </w:rPr>
          <w:fldChar w:fldCharType="separate"/>
        </w:r>
        <w:r w:rsidRPr="00757096">
          <w:rPr>
            <w:rFonts w:asciiTheme="minorHAnsi" w:hAnsiTheme="minorHAnsi" w:cstheme="minorHAnsi"/>
            <w:noProof/>
            <w:sz w:val="22"/>
            <w:szCs w:val="22"/>
          </w:rPr>
          <w:t>2</w:t>
        </w:r>
        <w:r w:rsidRPr="00757096">
          <w:rPr>
            <w:rFonts w:asciiTheme="minorHAnsi" w:hAnsiTheme="minorHAnsi" w:cstheme="minorHAnsi"/>
            <w:noProof/>
            <w:sz w:val="22"/>
            <w:szCs w:val="22"/>
          </w:rPr>
          <w:fldChar w:fldCharType="end"/>
        </w:r>
      </w:p>
    </w:sdtContent>
  </w:sdt>
  <w:p w14:paraId="5D28C126" w14:textId="77777777" w:rsidR="00757096" w:rsidRDefault="0075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1C0A" w14:textId="77777777" w:rsidR="00651D96" w:rsidRDefault="00651D96" w:rsidP="00615607">
      <w:pPr>
        <w:pStyle w:val="Header"/>
      </w:pPr>
      <w:r>
        <w:separator/>
      </w:r>
    </w:p>
  </w:footnote>
  <w:footnote w:type="continuationSeparator" w:id="0">
    <w:p w14:paraId="13AE786B" w14:textId="77777777" w:rsidR="00651D96" w:rsidRDefault="00651D96" w:rsidP="006156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9DB2" w14:textId="07991332" w:rsidR="00615607" w:rsidRPr="00A269B9" w:rsidRDefault="00615607" w:rsidP="00A269B9">
    <w:pPr>
      <w:pStyle w:val="Header"/>
      <w:jc w:val="center"/>
      <w:rPr>
        <w:rFonts w:ascii="Segoe UI" w:hAnsi="Segoe UI" w:cs="Segoe UI"/>
        <w:b/>
        <w:i/>
      </w:rPr>
    </w:pPr>
    <w:r w:rsidRPr="002A1519">
      <w:rPr>
        <w:rFonts w:ascii="Segoe UI" w:hAnsi="Segoe UI" w:cs="Segoe UI"/>
        <w:b/>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14E"/>
    <w:multiLevelType w:val="hybridMultilevel"/>
    <w:tmpl w:val="1D0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C44F6"/>
    <w:multiLevelType w:val="hybridMultilevel"/>
    <w:tmpl w:val="5408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A5042D0C"/>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21DF3"/>
    <w:multiLevelType w:val="hybridMultilevel"/>
    <w:tmpl w:val="528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BE07E3A"/>
    <w:multiLevelType w:val="hybridMultilevel"/>
    <w:tmpl w:val="98A8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62F99"/>
    <w:multiLevelType w:val="hybridMultilevel"/>
    <w:tmpl w:val="9C1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D0FDE"/>
    <w:multiLevelType w:val="hybridMultilevel"/>
    <w:tmpl w:val="2DEC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14CD2"/>
    <w:multiLevelType w:val="hybridMultilevel"/>
    <w:tmpl w:val="C3E6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F080B"/>
    <w:multiLevelType w:val="hybridMultilevel"/>
    <w:tmpl w:val="6936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C293E"/>
    <w:multiLevelType w:val="hybridMultilevel"/>
    <w:tmpl w:val="DB88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E60D3"/>
    <w:multiLevelType w:val="hybridMultilevel"/>
    <w:tmpl w:val="BA2483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61228B"/>
    <w:multiLevelType w:val="hybridMultilevel"/>
    <w:tmpl w:val="166A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33075"/>
    <w:multiLevelType w:val="hybridMultilevel"/>
    <w:tmpl w:val="877C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82AB4"/>
    <w:multiLevelType w:val="hybridMultilevel"/>
    <w:tmpl w:val="0DFCE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C7232F"/>
    <w:multiLevelType w:val="hybridMultilevel"/>
    <w:tmpl w:val="10AC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632537">
    <w:abstractNumId w:val="4"/>
  </w:num>
  <w:num w:numId="2" w16cid:durableId="463619511">
    <w:abstractNumId w:val="19"/>
  </w:num>
  <w:num w:numId="3" w16cid:durableId="41443202">
    <w:abstractNumId w:val="13"/>
  </w:num>
  <w:num w:numId="4" w16cid:durableId="46540230">
    <w:abstractNumId w:val="7"/>
  </w:num>
  <w:num w:numId="5" w16cid:durableId="1475836351">
    <w:abstractNumId w:val="2"/>
  </w:num>
  <w:num w:numId="6" w16cid:durableId="700395622">
    <w:abstractNumId w:val="14"/>
  </w:num>
  <w:num w:numId="7" w16cid:durableId="1985160885">
    <w:abstractNumId w:val="9"/>
  </w:num>
  <w:num w:numId="8" w16cid:durableId="404688713">
    <w:abstractNumId w:val="10"/>
  </w:num>
  <w:num w:numId="9" w16cid:durableId="1485507045">
    <w:abstractNumId w:val="15"/>
  </w:num>
  <w:num w:numId="10" w16cid:durableId="747926809">
    <w:abstractNumId w:val="5"/>
  </w:num>
  <w:num w:numId="11" w16cid:durableId="194197546">
    <w:abstractNumId w:val="17"/>
  </w:num>
  <w:num w:numId="12" w16cid:durableId="1753434017">
    <w:abstractNumId w:val="16"/>
  </w:num>
  <w:num w:numId="13" w16cid:durableId="2134640161">
    <w:abstractNumId w:val="12"/>
  </w:num>
  <w:num w:numId="14" w16cid:durableId="266740968">
    <w:abstractNumId w:val="1"/>
  </w:num>
  <w:num w:numId="15" w16cid:durableId="501942362">
    <w:abstractNumId w:val="8"/>
  </w:num>
  <w:num w:numId="16" w16cid:durableId="504438648">
    <w:abstractNumId w:val="0"/>
  </w:num>
  <w:num w:numId="17" w16cid:durableId="1046756788">
    <w:abstractNumId w:val="18"/>
  </w:num>
  <w:num w:numId="18" w16cid:durableId="1643728438">
    <w:abstractNumId w:val="20"/>
  </w:num>
  <w:num w:numId="19" w16cid:durableId="890844492">
    <w:abstractNumId w:val="3"/>
  </w:num>
  <w:num w:numId="20" w16cid:durableId="1367218324">
    <w:abstractNumId w:val="11"/>
  </w:num>
  <w:num w:numId="21" w16cid:durableId="393822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D3"/>
    <w:rsid w:val="00000602"/>
    <w:rsid w:val="00002223"/>
    <w:rsid w:val="000023EC"/>
    <w:rsid w:val="000024D7"/>
    <w:rsid w:val="00002CB4"/>
    <w:rsid w:val="00003BCD"/>
    <w:rsid w:val="00003D9E"/>
    <w:rsid w:val="000047A7"/>
    <w:rsid w:val="00004A6C"/>
    <w:rsid w:val="00004CD0"/>
    <w:rsid w:val="00006800"/>
    <w:rsid w:val="00006B36"/>
    <w:rsid w:val="00007F6E"/>
    <w:rsid w:val="00010097"/>
    <w:rsid w:val="00010717"/>
    <w:rsid w:val="00010BC2"/>
    <w:rsid w:val="00010EC2"/>
    <w:rsid w:val="00011908"/>
    <w:rsid w:val="00011B66"/>
    <w:rsid w:val="00012821"/>
    <w:rsid w:val="000131B9"/>
    <w:rsid w:val="0001348C"/>
    <w:rsid w:val="00013546"/>
    <w:rsid w:val="00014D54"/>
    <w:rsid w:val="00016C49"/>
    <w:rsid w:val="00017FF2"/>
    <w:rsid w:val="000202A0"/>
    <w:rsid w:val="0002115A"/>
    <w:rsid w:val="00021E53"/>
    <w:rsid w:val="00023B68"/>
    <w:rsid w:val="00023CF4"/>
    <w:rsid w:val="00023E02"/>
    <w:rsid w:val="000256F2"/>
    <w:rsid w:val="0002776F"/>
    <w:rsid w:val="00027FB8"/>
    <w:rsid w:val="000301D9"/>
    <w:rsid w:val="000314BA"/>
    <w:rsid w:val="0003199A"/>
    <w:rsid w:val="00031B84"/>
    <w:rsid w:val="00031FF7"/>
    <w:rsid w:val="00032A8C"/>
    <w:rsid w:val="00032DE4"/>
    <w:rsid w:val="0003460B"/>
    <w:rsid w:val="0003518A"/>
    <w:rsid w:val="00035BD6"/>
    <w:rsid w:val="00036262"/>
    <w:rsid w:val="00037493"/>
    <w:rsid w:val="00037B29"/>
    <w:rsid w:val="00037C23"/>
    <w:rsid w:val="00037D35"/>
    <w:rsid w:val="00040B19"/>
    <w:rsid w:val="00041223"/>
    <w:rsid w:val="0004160D"/>
    <w:rsid w:val="00041F9F"/>
    <w:rsid w:val="00042B46"/>
    <w:rsid w:val="0004411E"/>
    <w:rsid w:val="0004482E"/>
    <w:rsid w:val="00044B9A"/>
    <w:rsid w:val="00044FAF"/>
    <w:rsid w:val="000450EA"/>
    <w:rsid w:val="000462EB"/>
    <w:rsid w:val="00046E5B"/>
    <w:rsid w:val="0004724B"/>
    <w:rsid w:val="0004788E"/>
    <w:rsid w:val="000507A3"/>
    <w:rsid w:val="00051451"/>
    <w:rsid w:val="00053605"/>
    <w:rsid w:val="00053B13"/>
    <w:rsid w:val="00053D07"/>
    <w:rsid w:val="00054791"/>
    <w:rsid w:val="00054980"/>
    <w:rsid w:val="00055108"/>
    <w:rsid w:val="00055F93"/>
    <w:rsid w:val="00056069"/>
    <w:rsid w:val="000560BE"/>
    <w:rsid w:val="00057349"/>
    <w:rsid w:val="00057659"/>
    <w:rsid w:val="00057761"/>
    <w:rsid w:val="000624B5"/>
    <w:rsid w:val="00064B64"/>
    <w:rsid w:val="0006616D"/>
    <w:rsid w:val="00066C18"/>
    <w:rsid w:val="000672CB"/>
    <w:rsid w:val="00067B59"/>
    <w:rsid w:val="0007009A"/>
    <w:rsid w:val="00070190"/>
    <w:rsid w:val="00070E05"/>
    <w:rsid w:val="000719EE"/>
    <w:rsid w:val="00071A9D"/>
    <w:rsid w:val="00072BD1"/>
    <w:rsid w:val="00072EFE"/>
    <w:rsid w:val="000742C3"/>
    <w:rsid w:val="00075525"/>
    <w:rsid w:val="00075AD1"/>
    <w:rsid w:val="00076404"/>
    <w:rsid w:val="00076F68"/>
    <w:rsid w:val="00077515"/>
    <w:rsid w:val="00077621"/>
    <w:rsid w:val="0008028B"/>
    <w:rsid w:val="00080AA3"/>
    <w:rsid w:val="000818AB"/>
    <w:rsid w:val="00082A0D"/>
    <w:rsid w:val="0008390B"/>
    <w:rsid w:val="00083CE7"/>
    <w:rsid w:val="00083F1D"/>
    <w:rsid w:val="00084B75"/>
    <w:rsid w:val="0008517D"/>
    <w:rsid w:val="000858CB"/>
    <w:rsid w:val="0008688C"/>
    <w:rsid w:val="00086D82"/>
    <w:rsid w:val="00090EC3"/>
    <w:rsid w:val="000910F3"/>
    <w:rsid w:val="00092296"/>
    <w:rsid w:val="00092BE0"/>
    <w:rsid w:val="000933FE"/>
    <w:rsid w:val="0009371F"/>
    <w:rsid w:val="00094C6E"/>
    <w:rsid w:val="00095E0A"/>
    <w:rsid w:val="00095FAD"/>
    <w:rsid w:val="00096618"/>
    <w:rsid w:val="000A12A6"/>
    <w:rsid w:val="000A1D88"/>
    <w:rsid w:val="000A20EB"/>
    <w:rsid w:val="000A259F"/>
    <w:rsid w:val="000A4DE7"/>
    <w:rsid w:val="000A7967"/>
    <w:rsid w:val="000A7DAB"/>
    <w:rsid w:val="000A7ED3"/>
    <w:rsid w:val="000A7FDE"/>
    <w:rsid w:val="000B1128"/>
    <w:rsid w:val="000B2A59"/>
    <w:rsid w:val="000B3F1A"/>
    <w:rsid w:val="000B4282"/>
    <w:rsid w:val="000B4433"/>
    <w:rsid w:val="000B44D7"/>
    <w:rsid w:val="000B54F3"/>
    <w:rsid w:val="000B5BC9"/>
    <w:rsid w:val="000B63AC"/>
    <w:rsid w:val="000B68B2"/>
    <w:rsid w:val="000C0807"/>
    <w:rsid w:val="000C0A4A"/>
    <w:rsid w:val="000C34C4"/>
    <w:rsid w:val="000C3CBD"/>
    <w:rsid w:val="000C4316"/>
    <w:rsid w:val="000C4FDB"/>
    <w:rsid w:val="000C53D0"/>
    <w:rsid w:val="000C571B"/>
    <w:rsid w:val="000C7723"/>
    <w:rsid w:val="000D0753"/>
    <w:rsid w:val="000D1641"/>
    <w:rsid w:val="000D19DA"/>
    <w:rsid w:val="000D1D36"/>
    <w:rsid w:val="000D37AC"/>
    <w:rsid w:val="000D3B26"/>
    <w:rsid w:val="000D3FDF"/>
    <w:rsid w:val="000D4A03"/>
    <w:rsid w:val="000D51C5"/>
    <w:rsid w:val="000D560E"/>
    <w:rsid w:val="000D6B15"/>
    <w:rsid w:val="000D6BE7"/>
    <w:rsid w:val="000E08B1"/>
    <w:rsid w:val="000E2DEF"/>
    <w:rsid w:val="000E2F37"/>
    <w:rsid w:val="000E32E7"/>
    <w:rsid w:val="000E4533"/>
    <w:rsid w:val="000E4590"/>
    <w:rsid w:val="000E4B00"/>
    <w:rsid w:val="000E4EE6"/>
    <w:rsid w:val="000E4FAD"/>
    <w:rsid w:val="000E5877"/>
    <w:rsid w:val="000E58A2"/>
    <w:rsid w:val="000E62EE"/>
    <w:rsid w:val="000E6BAA"/>
    <w:rsid w:val="000E7484"/>
    <w:rsid w:val="000E7660"/>
    <w:rsid w:val="000E7775"/>
    <w:rsid w:val="000F2105"/>
    <w:rsid w:val="000F3075"/>
    <w:rsid w:val="000F331A"/>
    <w:rsid w:val="000F433A"/>
    <w:rsid w:val="000F4671"/>
    <w:rsid w:val="000F5095"/>
    <w:rsid w:val="000F5F6E"/>
    <w:rsid w:val="000F5F87"/>
    <w:rsid w:val="000F603C"/>
    <w:rsid w:val="000F6174"/>
    <w:rsid w:val="000F6E98"/>
    <w:rsid w:val="000F7A25"/>
    <w:rsid w:val="00100104"/>
    <w:rsid w:val="00100936"/>
    <w:rsid w:val="00100E70"/>
    <w:rsid w:val="0010146C"/>
    <w:rsid w:val="00101E7E"/>
    <w:rsid w:val="00102658"/>
    <w:rsid w:val="00103728"/>
    <w:rsid w:val="001042A8"/>
    <w:rsid w:val="00104858"/>
    <w:rsid w:val="00106AA1"/>
    <w:rsid w:val="0010706F"/>
    <w:rsid w:val="001074C8"/>
    <w:rsid w:val="001075DC"/>
    <w:rsid w:val="00107C27"/>
    <w:rsid w:val="00107E3B"/>
    <w:rsid w:val="00111448"/>
    <w:rsid w:val="001115A7"/>
    <w:rsid w:val="00111B4F"/>
    <w:rsid w:val="00112205"/>
    <w:rsid w:val="00112238"/>
    <w:rsid w:val="00112C06"/>
    <w:rsid w:val="00113F26"/>
    <w:rsid w:val="00114089"/>
    <w:rsid w:val="00114614"/>
    <w:rsid w:val="00114D12"/>
    <w:rsid w:val="00115088"/>
    <w:rsid w:val="00120365"/>
    <w:rsid w:val="00120CD7"/>
    <w:rsid w:val="00121333"/>
    <w:rsid w:val="00125332"/>
    <w:rsid w:val="00130E7A"/>
    <w:rsid w:val="00131418"/>
    <w:rsid w:val="00131DD2"/>
    <w:rsid w:val="00132491"/>
    <w:rsid w:val="001338C7"/>
    <w:rsid w:val="00133EAB"/>
    <w:rsid w:val="00134929"/>
    <w:rsid w:val="00136234"/>
    <w:rsid w:val="00136D81"/>
    <w:rsid w:val="00136D82"/>
    <w:rsid w:val="00140526"/>
    <w:rsid w:val="00143653"/>
    <w:rsid w:val="00143F4E"/>
    <w:rsid w:val="00143F9B"/>
    <w:rsid w:val="001443F2"/>
    <w:rsid w:val="00146140"/>
    <w:rsid w:val="001466A7"/>
    <w:rsid w:val="00146CC1"/>
    <w:rsid w:val="00147BFD"/>
    <w:rsid w:val="00150078"/>
    <w:rsid w:val="00151BEE"/>
    <w:rsid w:val="00151D80"/>
    <w:rsid w:val="00151F4C"/>
    <w:rsid w:val="00153CF2"/>
    <w:rsid w:val="00154515"/>
    <w:rsid w:val="00154BF7"/>
    <w:rsid w:val="0015547C"/>
    <w:rsid w:val="001559C2"/>
    <w:rsid w:val="001562C6"/>
    <w:rsid w:val="00156A44"/>
    <w:rsid w:val="001575C0"/>
    <w:rsid w:val="0016013E"/>
    <w:rsid w:val="00160372"/>
    <w:rsid w:val="001607DA"/>
    <w:rsid w:val="00160D36"/>
    <w:rsid w:val="0016189A"/>
    <w:rsid w:val="001628C2"/>
    <w:rsid w:val="00163DA3"/>
    <w:rsid w:val="00163F52"/>
    <w:rsid w:val="00164401"/>
    <w:rsid w:val="0016496D"/>
    <w:rsid w:val="00165B25"/>
    <w:rsid w:val="00165FED"/>
    <w:rsid w:val="0016728A"/>
    <w:rsid w:val="0017045A"/>
    <w:rsid w:val="001705A0"/>
    <w:rsid w:val="0017138E"/>
    <w:rsid w:val="00172EC8"/>
    <w:rsid w:val="001740D1"/>
    <w:rsid w:val="00174918"/>
    <w:rsid w:val="001752CE"/>
    <w:rsid w:val="00176566"/>
    <w:rsid w:val="0017683E"/>
    <w:rsid w:val="001812EB"/>
    <w:rsid w:val="001813CB"/>
    <w:rsid w:val="00181EBF"/>
    <w:rsid w:val="00182975"/>
    <w:rsid w:val="001829DA"/>
    <w:rsid w:val="001848A5"/>
    <w:rsid w:val="0018498E"/>
    <w:rsid w:val="001853DB"/>
    <w:rsid w:val="0018608F"/>
    <w:rsid w:val="0018655F"/>
    <w:rsid w:val="00191160"/>
    <w:rsid w:val="00192632"/>
    <w:rsid w:val="001926F4"/>
    <w:rsid w:val="00192CE7"/>
    <w:rsid w:val="00192F9B"/>
    <w:rsid w:val="00193DA8"/>
    <w:rsid w:val="00193E76"/>
    <w:rsid w:val="00195864"/>
    <w:rsid w:val="00195AD5"/>
    <w:rsid w:val="00195D35"/>
    <w:rsid w:val="001A081C"/>
    <w:rsid w:val="001A0B02"/>
    <w:rsid w:val="001A123A"/>
    <w:rsid w:val="001A1D19"/>
    <w:rsid w:val="001A1FAA"/>
    <w:rsid w:val="001A2A38"/>
    <w:rsid w:val="001A51F8"/>
    <w:rsid w:val="001A6EB2"/>
    <w:rsid w:val="001A72B7"/>
    <w:rsid w:val="001A7BFB"/>
    <w:rsid w:val="001B0AE7"/>
    <w:rsid w:val="001B3B0F"/>
    <w:rsid w:val="001B53C2"/>
    <w:rsid w:val="001B5AA8"/>
    <w:rsid w:val="001B708E"/>
    <w:rsid w:val="001C0739"/>
    <w:rsid w:val="001C0CBE"/>
    <w:rsid w:val="001C15AE"/>
    <w:rsid w:val="001C1E40"/>
    <w:rsid w:val="001C2372"/>
    <w:rsid w:val="001C2E5C"/>
    <w:rsid w:val="001C3444"/>
    <w:rsid w:val="001C378C"/>
    <w:rsid w:val="001C438C"/>
    <w:rsid w:val="001C54FA"/>
    <w:rsid w:val="001C7297"/>
    <w:rsid w:val="001D0683"/>
    <w:rsid w:val="001D1BD6"/>
    <w:rsid w:val="001D2155"/>
    <w:rsid w:val="001D2CEE"/>
    <w:rsid w:val="001D4AC1"/>
    <w:rsid w:val="001D5DD6"/>
    <w:rsid w:val="001D64CC"/>
    <w:rsid w:val="001D754D"/>
    <w:rsid w:val="001E0E68"/>
    <w:rsid w:val="001E1956"/>
    <w:rsid w:val="001E1C79"/>
    <w:rsid w:val="001E2D6F"/>
    <w:rsid w:val="001E3BE0"/>
    <w:rsid w:val="001E4A6D"/>
    <w:rsid w:val="001E4F35"/>
    <w:rsid w:val="001E76C2"/>
    <w:rsid w:val="001E7B40"/>
    <w:rsid w:val="001F0412"/>
    <w:rsid w:val="001F2DB7"/>
    <w:rsid w:val="001F4224"/>
    <w:rsid w:val="001F4A22"/>
    <w:rsid w:val="001F4A90"/>
    <w:rsid w:val="001F57F1"/>
    <w:rsid w:val="001F75DD"/>
    <w:rsid w:val="00201B62"/>
    <w:rsid w:val="0020274D"/>
    <w:rsid w:val="00202CA4"/>
    <w:rsid w:val="00203345"/>
    <w:rsid w:val="00203E7E"/>
    <w:rsid w:val="00204DBA"/>
    <w:rsid w:val="00204F4D"/>
    <w:rsid w:val="00205D99"/>
    <w:rsid w:val="0020687F"/>
    <w:rsid w:val="002072E7"/>
    <w:rsid w:val="00207E27"/>
    <w:rsid w:val="00207E41"/>
    <w:rsid w:val="00210160"/>
    <w:rsid w:val="00210871"/>
    <w:rsid w:val="0021378B"/>
    <w:rsid w:val="0021459D"/>
    <w:rsid w:val="00215368"/>
    <w:rsid w:val="002155CC"/>
    <w:rsid w:val="00215CCA"/>
    <w:rsid w:val="002167B0"/>
    <w:rsid w:val="00216FB5"/>
    <w:rsid w:val="002171D2"/>
    <w:rsid w:val="00221EC8"/>
    <w:rsid w:val="0022357E"/>
    <w:rsid w:val="00223883"/>
    <w:rsid w:val="00223D50"/>
    <w:rsid w:val="002246E1"/>
    <w:rsid w:val="00224BCF"/>
    <w:rsid w:val="002256AF"/>
    <w:rsid w:val="002256FD"/>
    <w:rsid w:val="0022649F"/>
    <w:rsid w:val="00226A3A"/>
    <w:rsid w:val="00226DE8"/>
    <w:rsid w:val="00227141"/>
    <w:rsid w:val="0023076B"/>
    <w:rsid w:val="00230FFD"/>
    <w:rsid w:val="002310BA"/>
    <w:rsid w:val="00231E7B"/>
    <w:rsid w:val="00231ECC"/>
    <w:rsid w:val="0023255D"/>
    <w:rsid w:val="0023361A"/>
    <w:rsid w:val="00233908"/>
    <w:rsid w:val="00233BD2"/>
    <w:rsid w:val="00233CC3"/>
    <w:rsid w:val="00233DFE"/>
    <w:rsid w:val="00233FDE"/>
    <w:rsid w:val="00234DB6"/>
    <w:rsid w:val="002355DD"/>
    <w:rsid w:val="00236AAD"/>
    <w:rsid w:val="00236EF7"/>
    <w:rsid w:val="0023719F"/>
    <w:rsid w:val="002378EF"/>
    <w:rsid w:val="00241051"/>
    <w:rsid w:val="00241576"/>
    <w:rsid w:val="0024224B"/>
    <w:rsid w:val="00243935"/>
    <w:rsid w:val="00246ABB"/>
    <w:rsid w:val="0024743E"/>
    <w:rsid w:val="002474A3"/>
    <w:rsid w:val="00251309"/>
    <w:rsid w:val="002519DD"/>
    <w:rsid w:val="002542D3"/>
    <w:rsid w:val="00254D65"/>
    <w:rsid w:val="00254F4D"/>
    <w:rsid w:val="002559A2"/>
    <w:rsid w:val="00256071"/>
    <w:rsid w:val="00256A12"/>
    <w:rsid w:val="002571CF"/>
    <w:rsid w:val="00257250"/>
    <w:rsid w:val="00260287"/>
    <w:rsid w:val="00260548"/>
    <w:rsid w:val="00260CE5"/>
    <w:rsid w:val="00263333"/>
    <w:rsid w:val="00263F4A"/>
    <w:rsid w:val="00264A5B"/>
    <w:rsid w:val="00266F11"/>
    <w:rsid w:val="00267784"/>
    <w:rsid w:val="00267A34"/>
    <w:rsid w:val="00271D0F"/>
    <w:rsid w:val="00272E7C"/>
    <w:rsid w:val="002734F7"/>
    <w:rsid w:val="002743A5"/>
    <w:rsid w:val="00274DE5"/>
    <w:rsid w:val="0027721B"/>
    <w:rsid w:val="00280E56"/>
    <w:rsid w:val="0028171C"/>
    <w:rsid w:val="002820B8"/>
    <w:rsid w:val="00282A36"/>
    <w:rsid w:val="00283C6C"/>
    <w:rsid w:val="00283F28"/>
    <w:rsid w:val="00283FA0"/>
    <w:rsid w:val="00284343"/>
    <w:rsid w:val="002853EE"/>
    <w:rsid w:val="00285400"/>
    <w:rsid w:val="00290697"/>
    <w:rsid w:val="002912F2"/>
    <w:rsid w:val="0029140D"/>
    <w:rsid w:val="00291AFE"/>
    <w:rsid w:val="002923E7"/>
    <w:rsid w:val="00292E60"/>
    <w:rsid w:val="002965D1"/>
    <w:rsid w:val="002969A4"/>
    <w:rsid w:val="00296C69"/>
    <w:rsid w:val="0029762A"/>
    <w:rsid w:val="002A012E"/>
    <w:rsid w:val="002A144D"/>
    <w:rsid w:val="002A1519"/>
    <w:rsid w:val="002A2224"/>
    <w:rsid w:val="002A2DB0"/>
    <w:rsid w:val="002A3328"/>
    <w:rsid w:val="002A45F8"/>
    <w:rsid w:val="002A468D"/>
    <w:rsid w:val="002A5263"/>
    <w:rsid w:val="002A5FAD"/>
    <w:rsid w:val="002A6357"/>
    <w:rsid w:val="002A674D"/>
    <w:rsid w:val="002A6C39"/>
    <w:rsid w:val="002A7DBD"/>
    <w:rsid w:val="002B0C74"/>
    <w:rsid w:val="002B1A0A"/>
    <w:rsid w:val="002B1EC9"/>
    <w:rsid w:val="002B2C8C"/>
    <w:rsid w:val="002B3441"/>
    <w:rsid w:val="002B38F5"/>
    <w:rsid w:val="002B6886"/>
    <w:rsid w:val="002B7230"/>
    <w:rsid w:val="002C03EE"/>
    <w:rsid w:val="002C17CF"/>
    <w:rsid w:val="002C17D1"/>
    <w:rsid w:val="002C194B"/>
    <w:rsid w:val="002C2C08"/>
    <w:rsid w:val="002C3060"/>
    <w:rsid w:val="002C376D"/>
    <w:rsid w:val="002C4202"/>
    <w:rsid w:val="002C4CCF"/>
    <w:rsid w:val="002C5F82"/>
    <w:rsid w:val="002C6F62"/>
    <w:rsid w:val="002D1953"/>
    <w:rsid w:val="002D2660"/>
    <w:rsid w:val="002D2743"/>
    <w:rsid w:val="002D290E"/>
    <w:rsid w:val="002D4438"/>
    <w:rsid w:val="002D6285"/>
    <w:rsid w:val="002D6608"/>
    <w:rsid w:val="002D775F"/>
    <w:rsid w:val="002E021D"/>
    <w:rsid w:val="002E15E8"/>
    <w:rsid w:val="002E169F"/>
    <w:rsid w:val="002E2018"/>
    <w:rsid w:val="002E2E57"/>
    <w:rsid w:val="002E2E8E"/>
    <w:rsid w:val="002E60F3"/>
    <w:rsid w:val="002E613D"/>
    <w:rsid w:val="002E6D8A"/>
    <w:rsid w:val="002F0B8A"/>
    <w:rsid w:val="002F14A9"/>
    <w:rsid w:val="002F1699"/>
    <w:rsid w:val="002F23EB"/>
    <w:rsid w:val="002F270E"/>
    <w:rsid w:val="002F2966"/>
    <w:rsid w:val="002F2B7C"/>
    <w:rsid w:val="002F3292"/>
    <w:rsid w:val="002F33B0"/>
    <w:rsid w:val="002F3625"/>
    <w:rsid w:val="002F3B26"/>
    <w:rsid w:val="002F3BB2"/>
    <w:rsid w:val="002F4E92"/>
    <w:rsid w:val="002F50F1"/>
    <w:rsid w:val="002F7604"/>
    <w:rsid w:val="002F78B9"/>
    <w:rsid w:val="00300341"/>
    <w:rsid w:val="003027AE"/>
    <w:rsid w:val="003027E0"/>
    <w:rsid w:val="00303100"/>
    <w:rsid w:val="003039F6"/>
    <w:rsid w:val="00303AED"/>
    <w:rsid w:val="00304E6A"/>
    <w:rsid w:val="00307390"/>
    <w:rsid w:val="0030756B"/>
    <w:rsid w:val="00307D8E"/>
    <w:rsid w:val="003101AF"/>
    <w:rsid w:val="003115EF"/>
    <w:rsid w:val="00312279"/>
    <w:rsid w:val="00312CAC"/>
    <w:rsid w:val="00312E20"/>
    <w:rsid w:val="0031334A"/>
    <w:rsid w:val="003136E4"/>
    <w:rsid w:val="003139EF"/>
    <w:rsid w:val="00315099"/>
    <w:rsid w:val="00315344"/>
    <w:rsid w:val="00315AA8"/>
    <w:rsid w:val="00316268"/>
    <w:rsid w:val="00317420"/>
    <w:rsid w:val="00320101"/>
    <w:rsid w:val="00320145"/>
    <w:rsid w:val="00320C54"/>
    <w:rsid w:val="0032136B"/>
    <w:rsid w:val="003216CF"/>
    <w:rsid w:val="003225D9"/>
    <w:rsid w:val="00323884"/>
    <w:rsid w:val="00323974"/>
    <w:rsid w:val="00323D4D"/>
    <w:rsid w:val="00323F3E"/>
    <w:rsid w:val="00324CCF"/>
    <w:rsid w:val="00326544"/>
    <w:rsid w:val="00331144"/>
    <w:rsid w:val="00331A8D"/>
    <w:rsid w:val="00333E3B"/>
    <w:rsid w:val="00335396"/>
    <w:rsid w:val="00335AAA"/>
    <w:rsid w:val="00335F1E"/>
    <w:rsid w:val="00336D34"/>
    <w:rsid w:val="0033740F"/>
    <w:rsid w:val="003377F7"/>
    <w:rsid w:val="0034006D"/>
    <w:rsid w:val="00340446"/>
    <w:rsid w:val="003404C3"/>
    <w:rsid w:val="00342997"/>
    <w:rsid w:val="00342A54"/>
    <w:rsid w:val="003458EF"/>
    <w:rsid w:val="00345F46"/>
    <w:rsid w:val="00346572"/>
    <w:rsid w:val="00346869"/>
    <w:rsid w:val="00347878"/>
    <w:rsid w:val="00350FBE"/>
    <w:rsid w:val="00351316"/>
    <w:rsid w:val="003528AF"/>
    <w:rsid w:val="00354BBF"/>
    <w:rsid w:val="00355057"/>
    <w:rsid w:val="003569E4"/>
    <w:rsid w:val="00360FFE"/>
    <w:rsid w:val="003613FC"/>
    <w:rsid w:val="0036170E"/>
    <w:rsid w:val="0036192E"/>
    <w:rsid w:val="00362272"/>
    <w:rsid w:val="00362DAD"/>
    <w:rsid w:val="0036319A"/>
    <w:rsid w:val="003664BE"/>
    <w:rsid w:val="00366639"/>
    <w:rsid w:val="00367264"/>
    <w:rsid w:val="0036787A"/>
    <w:rsid w:val="003678CF"/>
    <w:rsid w:val="00367C34"/>
    <w:rsid w:val="00367D52"/>
    <w:rsid w:val="00367FB3"/>
    <w:rsid w:val="00370AAC"/>
    <w:rsid w:val="00370DA3"/>
    <w:rsid w:val="00371C56"/>
    <w:rsid w:val="00371DC9"/>
    <w:rsid w:val="00371F11"/>
    <w:rsid w:val="00373137"/>
    <w:rsid w:val="00373143"/>
    <w:rsid w:val="00373F28"/>
    <w:rsid w:val="00373F6E"/>
    <w:rsid w:val="00375DA4"/>
    <w:rsid w:val="003760AD"/>
    <w:rsid w:val="003761BA"/>
    <w:rsid w:val="0037684D"/>
    <w:rsid w:val="00376ACF"/>
    <w:rsid w:val="00377449"/>
    <w:rsid w:val="00381398"/>
    <w:rsid w:val="003815C2"/>
    <w:rsid w:val="00381D1E"/>
    <w:rsid w:val="00381E12"/>
    <w:rsid w:val="00381E57"/>
    <w:rsid w:val="0038221F"/>
    <w:rsid w:val="00382E8C"/>
    <w:rsid w:val="00383797"/>
    <w:rsid w:val="003852B8"/>
    <w:rsid w:val="00386758"/>
    <w:rsid w:val="00387378"/>
    <w:rsid w:val="00387D29"/>
    <w:rsid w:val="00390C1F"/>
    <w:rsid w:val="003911E1"/>
    <w:rsid w:val="00391637"/>
    <w:rsid w:val="0039497A"/>
    <w:rsid w:val="00395EF2"/>
    <w:rsid w:val="00397B09"/>
    <w:rsid w:val="003A064A"/>
    <w:rsid w:val="003A0C2D"/>
    <w:rsid w:val="003A24A6"/>
    <w:rsid w:val="003A2813"/>
    <w:rsid w:val="003A341D"/>
    <w:rsid w:val="003A391E"/>
    <w:rsid w:val="003A495A"/>
    <w:rsid w:val="003A6BAF"/>
    <w:rsid w:val="003A76EF"/>
    <w:rsid w:val="003B05C6"/>
    <w:rsid w:val="003B0739"/>
    <w:rsid w:val="003B0873"/>
    <w:rsid w:val="003B0879"/>
    <w:rsid w:val="003B0B44"/>
    <w:rsid w:val="003B0D72"/>
    <w:rsid w:val="003B2733"/>
    <w:rsid w:val="003B4D60"/>
    <w:rsid w:val="003B542E"/>
    <w:rsid w:val="003B5ADC"/>
    <w:rsid w:val="003B6165"/>
    <w:rsid w:val="003B72F4"/>
    <w:rsid w:val="003B73D4"/>
    <w:rsid w:val="003B7959"/>
    <w:rsid w:val="003C0244"/>
    <w:rsid w:val="003C0D40"/>
    <w:rsid w:val="003C166F"/>
    <w:rsid w:val="003C1C63"/>
    <w:rsid w:val="003C1D7B"/>
    <w:rsid w:val="003C31A9"/>
    <w:rsid w:val="003C3E06"/>
    <w:rsid w:val="003C4029"/>
    <w:rsid w:val="003C4248"/>
    <w:rsid w:val="003C4747"/>
    <w:rsid w:val="003C4BAF"/>
    <w:rsid w:val="003C4CC9"/>
    <w:rsid w:val="003C558F"/>
    <w:rsid w:val="003C7279"/>
    <w:rsid w:val="003D042F"/>
    <w:rsid w:val="003D1947"/>
    <w:rsid w:val="003D1A3A"/>
    <w:rsid w:val="003D1AC4"/>
    <w:rsid w:val="003D27DC"/>
    <w:rsid w:val="003D287D"/>
    <w:rsid w:val="003D4490"/>
    <w:rsid w:val="003D5D47"/>
    <w:rsid w:val="003D7EF3"/>
    <w:rsid w:val="003E100B"/>
    <w:rsid w:val="003E1712"/>
    <w:rsid w:val="003E32E8"/>
    <w:rsid w:val="003E3840"/>
    <w:rsid w:val="003E4A14"/>
    <w:rsid w:val="003E52A9"/>
    <w:rsid w:val="003E53F2"/>
    <w:rsid w:val="003E76E2"/>
    <w:rsid w:val="003F00CD"/>
    <w:rsid w:val="003F0A1F"/>
    <w:rsid w:val="003F0BD2"/>
    <w:rsid w:val="003F0D65"/>
    <w:rsid w:val="003F1548"/>
    <w:rsid w:val="004007E4"/>
    <w:rsid w:val="00401AC6"/>
    <w:rsid w:val="00405780"/>
    <w:rsid w:val="004057B4"/>
    <w:rsid w:val="00406B46"/>
    <w:rsid w:val="00406E8E"/>
    <w:rsid w:val="00407C0B"/>
    <w:rsid w:val="0041077A"/>
    <w:rsid w:val="00412231"/>
    <w:rsid w:val="004124F5"/>
    <w:rsid w:val="004126A6"/>
    <w:rsid w:val="00412F63"/>
    <w:rsid w:val="00413A41"/>
    <w:rsid w:val="0041495F"/>
    <w:rsid w:val="004170C1"/>
    <w:rsid w:val="0042026F"/>
    <w:rsid w:val="0042115E"/>
    <w:rsid w:val="00421301"/>
    <w:rsid w:val="0042404B"/>
    <w:rsid w:val="00424651"/>
    <w:rsid w:val="00425B58"/>
    <w:rsid w:val="0042739F"/>
    <w:rsid w:val="004314AB"/>
    <w:rsid w:val="00431D72"/>
    <w:rsid w:val="00432512"/>
    <w:rsid w:val="0043258A"/>
    <w:rsid w:val="004336A3"/>
    <w:rsid w:val="00433AB6"/>
    <w:rsid w:val="00435BAB"/>
    <w:rsid w:val="00435DD1"/>
    <w:rsid w:val="0043723B"/>
    <w:rsid w:val="004374DF"/>
    <w:rsid w:val="004418C6"/>
    <w:rsid w:val="004439BF"/>
    <w:rsid w:val="00444667"/>
    <w:rsid w:val="00444CE2"/>
    <w:rsid w:val="00446116"/>
    <w:rsid w:val="00446B61"/>
    <w:rsid w:val="00446C49"/>
    <w:rsid w:val="00447B3D"/>
    <w:rsid w:val="0045170C"/>
    <w:rsid w:val="00455125"/>
    <w:rsid w:val="00455856"/>
    <w:rsid w:val="004559AC"/>
    <w:rsid w:val="00457E1A"/>
    <w:rsid w:val="00457EB9"/>
    <w:rsid w:val="00457FAA"/>
    <w:rsid w:val="00461515"/>
    <w:rsid w:val="00463215"/>
    <w:rsid w:val="00463826"/>
    <w:rsid w:val="00465BA1"/>
    <w:rsid w:val="00465F9C"/>
    <w:rsid w:val="00466DA8"/>
    <w:rsid w:val="00467696"/>
    <w:rsid w:val="0047003D"/>
    <w:rsid w:val="0047090E"/>
    <w:rsid w:val="00471888"/>
    <w:rsid w:val="00472163"/>
    <w:rsid w:val="00472289"/>
    <w:rsid w:val="00472564"/>
    <w:rsid w:val="004734D1"/>
    <w:rsid w:val="0047548D"/>
    <w:rsid w:val="004760EE"/>
    <w:rsid w:val="00476F15"/>
    <w:rsid w:val="00476F4B"/>
    <w:rsid w:val="004777C1"/>
    <w:rsid w:val="00480E3D"/>
    <w:rsid w:val="0048203A"/>
    <w:rsid w:val="00482C96"/>
    <w:rsid w:val="00483D04"/>
    <w:rsid w:val="00483F19"/>
    <w:rsid w:val="00485ED3"/>
    <w:rsid w:val="00486BF7"/>
    <w:rsid w:val="00486FFF"/>
    <w:rsid w:val="00487206"/>
    <w:rsid w:val="00490478"/>
    <w:rsid w:val="00491001"/>
    <w:rsid w:val="0049201A"/>
    <w:rsid w:val="004920C6"/>
    <w:rsid w:val="00492655"/>
    <w:rsid w:val="00494DDC"/>
    <w:rsid w:val="00495364"/>
    <w:rsid w:val="00495FDE"/>
    <w:rsid w:val="004966AF"/>
    <w:rsid w:val="00496B24"/>
    <w:rsid w:val="00496B3B"/>
    <w:rsid w:val="004972E3"/>
    <w:rsid w:val="00497EB9"/>
    <w:rsid w:val="004A0AA5"/>
    <w:rsid w:val="004A0BDF"/>
    <w:rsid w:val="004A0C48"/>
    <w:rsid w:val="004A1982"/>
    <w:rsid w:val="004A1B01"/>
    <w:rsid w:val="004A2A0A"/>
    <w:rsid w:val="004A2C0B"/>
    <w:rsid w:val="004A2C3F"/>
    <w:rsid w:val="004A3862"/>
    <w:rsid w:val="004A3D42"/>
    <w:rsid w:val="004A48DA"/>
    <w:rsid w:val="004A5685"/>
    <w:rsid w:val="004A6CAF"/>
    <w:rsid w:val="004A746C"/>
    <w:rsid w:val="004B0B67"/>
    <w:rsid w:val="004B1AD2"/>
    <w:rsid w:val="004B2446"/>
    <w:rsid w:val="004B2C7D"/>
    <w:rsid w:val="004B367B"/>
    <w:rsid w:val="004B38C5"/>
    <w:rsid w:val="004B6098"/>
    <w:rsid w:val="004B6D69"/>
    <w:rsid w:val="004B73C7"/>
    <w:rsid w:val="004B75D2"/>
    <w:rsid w:val="004B7AB7"/>
    <w:rsid w:val="004B7FF2"/>
    <w:rsid w:val="004C06D0"/>
    <w:rsid w:val="004C2836"/>
    <w:rsid w:val="004C483A"/>
    <w:rsid w:val="004C5A9D"/>
    <w:rsid w:val="004C5DDE"/>
    <w:rsid w:val="004D0270"/>
    <w:rsid w:val="004D1943"/>
    <w:rsid w:val="004D1FA4"/>
    <w:rsid w:val="004D23DD"/>
    <w:rsid w:val="004D2B74"/>
    <w:rsid w:val="004D3708"/>
    <w:rsid w:val="004D3F57"/>
    <w:rsid w:val="004D4BA1"/>
    <w:rsid w:val="004D57DA"/>
    <w:rsid w:val="004D5855"/>
    <w:rsid w:val="004D6345"/>
    <w:rsid w:val="004D6C54"/>
    <w:rsid w:val="004D76BB"/>
    <w:rsid w:val="004D78C0"/>
    <w:rsid w:val="004E04BD"/>
    <w:rsid w:val="004E0A36"/>
    <w:rsid w:val="004E276C"/>
    <w:rsid w:val="004E372F"/>
    <w:rsid w:val="004E3829"/>
    <w:rsid w:val="004E3A97"/>
    <w:rsid w:val="004E454B"/>
    <w:rsid w:val="004E5EA7"/>
    <w:rsid w:val="004E60FB"/>
    <w:rsid w:val="004E6D3C"/>
    <w:rsid w:val="004E71AC"/>
    <w:rsid w:val="004F0364"/>
    <w:rsid w:val="004F0448"/>
    <w:rsid w:val="004F13D4"/>
    <w:rsid w:val="004F189A"/>
    <w:rsid w:val="004F1A86"/>
    <w:rsid w:val="004F221C"/>
    <w:rsid w:val="004F29EE"/>
    <w:rsid w:val="004F307F"/>
    <w:rsid w:val="004F49C3"/>
    <w:rsid w:val="004F5205"/>
    <w:rsid w:val="004F6DEE"/>
    <w:rsid w:val="004F7E7B"/>
    <w:rsid w:val="00500D42"/>
    <w:rsid w:val="005013B4"/>
    <w:rsid w:val="00501BB5"/>
    <w:rsid w:val="00501C2D"/>
    <w:rsid w:val="00501E66"/>
    <w:rsid w:val="005045D6"/>
    <w:rsid w:val="00505DE8"/>
    <w:rsid w:val="0050641C"/>
    <w:rsid w:val="00506E4A"/>
    <w:rsid w:val="00510A3B"/>
    <w:rsid w:val="00510E02"/>
    <w:rsid w:val="00511440"/>
    <w:rsid w:val="0051232F"/>
    <w:rsid w:val="00512A6B"/>
    <w:rsid w:val="0051318C"/>
    <w:rsid w:val="00514C0E"/>
    <w:rsid w:val="00515DA3"/>
    <w:rsid w:val="0051626B"/>
    <w:rsid w:val="00516D91"/>
    <w:rsid w:val="00516E47"/>
    <w:rsid w:val="0051723B"/>
    <w:rsid w:val="00517551"/>
    <w:rsid w:val="00517CA2"/>
    <w:rsid w:val="005202CC"/>
    <w:rsid w:val="005202F3"/>
    <w:rsid w:val="00520560"/>
    <w:rsid w:val="00521DCE"/>
    <w:rsid w:val="0052411E"/>
    <w:rsid w:val="00525146"/>
    <w:rsid w:val="00525528"/>
    <w:rsid w:val="005257C8"/>
    <w:rsid w:val="0052591E"/>
    <w:rsid w:val="00526950"/>
    <w:rsid w:val="00527605"/>
    <w:rsid w:val="00527AE1"/>
    <w:rsid w:val="00527FD0"/>
    <w:rsid w:val="00530702"/>
    <w:rsid w:val="0053120B"/>
    <w:rsid w:val="00531742"/>
    <w:rsid w:val="0053196C"/>
    <w:rsid w:val="005319EB"/>
    <w:rsid w:val="00532768"/>
    <w:rsid w:val="00532A22"/>
    <w:rsid w:val="00533DC7"/>
    <w:rsid w:val="00534757"/>
    <w:rsid w:val="005349EE"/>
    <w:rsid w:val="005354BE"/>
    <w:rsid w:val="00535A0C"/>
    <w:rsid w:val="005360FD"/>
    <w:rsid w:val="005405EE"/>
    <w:rsid w:val="0054117A"/>
    <w:rsid w:val="00541D32"/>
    <w:rsid w:val="00542649"/>
    <w:rsid w:val="005438B3"/>
    <w:rsid w:val="00544FB4"/>
    <w:rsid w:val="00545491"/>
    <w:rsid w:val="00545F3E"/>
    <w:rsid w:val="00546097"/>
    <w:rsid w:val="0055017A"/>
    <w:rsid w:val="00550508"/>
    <w:rsid w:val="005509CF"/>
    <w:rsid w:val="00551407"/>
    <w:rsid w:val="005519AA"/>
    <w:rsid w:val="00551F63"/>
    <w:rsid w:val="00552890"/>
    <w:rsid w:val="00552A66"/>
    <w:rsid w:val="0055308D"/>
    <w:rsid w:val="00554A0F"/>
    <w:rsid w:val="00555864"/>
    <w:rsid w:val="00556B07"/>
    <w:rsid w:val="005577CD"/>
    <w:rsid w:val="0056027D"/>
    <w:rsid w:val="00561FD5"/>
    <w:rsid w:val="00563AFB"/>
    <w:rsid w:val="00563EB4"/>
    <w:rsid w:val="00564743"/>
    <w:rsid w:val="00564A8F"/>
    <w:rsid w:val="00565641"/>
    <w:rsid w:val="00565A03"/>
    <w:rsid w:val="00565C90"/>
    <w:rsid w:val="005662E4"/>
    <w:rsid w:val="00566836"/>
    <w:rsid w:val="00566DE6"/>
    <w:rsid w:val="00571476"/>
    <w:rsid w:val="005745AB"/>
    <w:rsid w:val="00574744"/>
    <w:rsid w:val="0057544A"/>
    <w:rsid w:val="00575FAD"/>
    <w:rsid w:val="00576989"/>
    <w:rsid w:val="00576E88"/>
    <w:rsid w:val="00577F9E"/>
    <w:rsid w:val="005813CC"/>
    <w:rsid w:val="005815B4"/>
    <w:rsid w:val="00581654"/>
    <w:rsid w:val="00581984"/>
    <w:rsid w:val="00581FE6"/>
    <w:rsid w:val="00582698"/>
    <w:rsid w:val="00583C6B"/>
    <w:rsid w:val="00586C4B"/>
    <w:rsid w:val="0058720A"/>
    <w:rsid w:val="00590124"/>
    <w:rsid w:val="0059068D"/>
    <w:rsid w:val="005915EF"/>
    <w:rsid w:val="005919E9"/>
    <w:rsid w:val="00592230"/>
    <w:rsid w:val="00592558"/>
    <w:rsid w:val="005953D7"/>
    <w:rsid w:val="005959B2"/>
    <w:rsid w:val="005961D4"/>
    <w:rsid w:val="005967BB"/>
    <w:rsid w:val="005978C0"/>
    <w:rsid w:val="00597C41"/>
    <w:rsid w:val="005A0458"/>
    <w:rsid w:val="005A083D"/>
    <w:rsid w:val="005A0C6D"/>
    <w:rsid w:val="005A0EDC"/>
    <w:rsid w:val="005A1498"/>
    <w:rsid w:val="005A250D"/>
    <w:rsid w:val="005A455D"/>
    <w:rsid w:val="005A4589"/>
    <w:rsid w:val="005A4978"/>
    <w:rsid w:val="005A4A9B"/>
    <w:rsid w:val="005A4AEA"/>
    <w:rsid w:val="005A4E51"/>
    <w:rsid w:val="005A5051"/>
    <w:rsid w:val="005A7F62"/>
    <w:rsid w:val="005B0E3C"/>
    <w:rsid w:val="005B1426"/>
    <w:rsid w:val="005B2A2D"/>
    <w:rsid w:val="005B2FB0"/>
    <w:rsid w:val="005B321B"/>
    <w:rsid w:val="005B478E"/>
    <w:rsid w:val="005B4C5D"/>
    <w:rsid w:val="005B5523"/>
    <w:rsid w:val="005B594E"/>
    <w:rsid w:val="005B7911"/>
    <w:rsid w:val="005C1704"/>
    <w:rsid w:val="005C1AD9"/>
    <w:rsid w:val="005C335C"/>
    <w:rsid w:val="005C442E"/>
    <w:rsid w:val="005C46B4"/>
    <w:rsid w:val="005C54BF"/>
    <w:rsid w:val="005D1EB0"/>
    <w:rsid w:val="005D23D1"/>
    <w:rsid w:val="005D2F58"/>
    <w:rsid w:val="005D46A4"/>
    <w:rsid w:val="005D4A1D"/>
    <w:rsid w:val="005D4C0D"/>
    <w:rsid w:val="005D5AFB"/>
    <w:rsid w:val="005D682D"/>
    <w:rsid w:val="005D69F1"/>
    <w:rsid w:val="005D6B7D"/>
    <w:rsid w:val="005D7394"/>
    <w:rsid w:val="005D7FCD"/>
    <w:rsid w:val="005E1255"/>
    <w:rsid w:val="005E13D0"/>
    <w:rsid w:val="005E1A60"/>
    <w:rsid w:val="005E1D9F"/>
    <w:rsid w:val="005E1F0F"/>
    <w:rsid w:val="005E2EF9"/>
    <w:rsid w:val="005E3BA4"/>
    <w:rsid w:val="005E4B51"/>
    <w:rsid w:val="005E5A44"/>
    <w:rsid w:val="005E7357"/>
    <w:rsid w:val="005E737F"/>
    <w:rsid w:val="005E7CDC"/>
    <w:rsid w:val="005F016F"/>
    <w:rsid w:val="005F0559"/>
    <w:rsid w:val="005F0DB0"/>
    <w:rsid w:val="005F18EC"/>
    <w:rsid w:val="005F1DB5"/>
    <w:rsid w:val="005F2795"/>
    <w:rsid w:val="005F50BC"/>
    <w:rsid w:val="005F69F6"/>
    <w:rsid w:val="005F7DD3"/>
    <w:rsid w:val="0060473E"/>
    <w:rsid w:val="00604CAB"/>
    <w:rsid w:val="0060580A"/>
    <w:rsid w:val="00605904"/>
    <w:rsid w:val="00605AF4"/>
    <w:rsid w:val="00605E70"/>
    <w:rsid w:val="006064FB"/>
    <w:rsid w:val="00606D8B"/>
    <w:rsid w:val="00606E18"/>
    <w:rsid w:val="006071B1"/>
    <w:rsid w:val="00610044"/>
    <w:rsid w:val="00611A4D"/>
    <w:rsid w:val="00612C09"/>
    <w:rsid w:val="006135F3"/>
    <w:rsid w:val="00613A32"/>
    <w:rsid w:val="00613AB7"/>
    <w:rsid w:val="006149D9"/>
    <w:rsid w:val="006149DD"/>
    <w:rsid w:val="0061524F"/>
    <w:rsid w:val="00615607"/>
    <w:rsid w:val="0061609D"/>
    <w:rsid w:val="00616137"/>
    <w:rsid w:val="0061636F"/>
    <w:rsid w:val="00616372"/>
    <w:rsid w:val="0061698C"/>
    <w:rsid w:val="00617335"/>
    <w:rsid w:val="00617A52"/>
    <w:rsid w:val="00617D19"/>
    <w:rsid w:val="00620B9F"/>
    <w:rsid w:val="006214E3"/>
    <w:rsid w:val="006266B4"/>
    <w:rsid w:val="00627551"/>
    <w:rsid w:val="00630209"/>
    <w:rsid w:val="00630227"/>
    <w:rsid w:val="00630E16"/>
    <w:rsid w:val="006315CF"/>
    <w:rsid w:val="00631B63"/>
    <w:rsid w:val="006332CD"/>
    <w:rsid w:val="00633505"/>
    <w:rsid w:val="00633523"/>
    <w:rsid w:val="00633783"/>
    <w:rsid w:val="00633858"/>
    <w:rsid w:val="00633BAD"/>
    <w:rsid w:val="0063429E"/>
    <w:rsid w:val="00634663"/>
    <w:rsid w:val="00634841"/>
    <w:rsid w:val="00634952"/>
    <w:rsid w:val="00635FF7"/>
    <w:rsid w:val="00636830"/>
    <w:rsid w:val="006372D7"/>
    <w:rsid w:val="00637387"/>
    <w:rsid w:val="006407C2"/>
    <w:rsid w:val="00641431"/>
    <w:rsid w:val="00641E3C"/>
    <w:rsid w:val="0064222D"/>
    <w:rsid w:val="0064271E"/>
    <w:rsid w:val="00642A74"/>
    <w:rsid w:val="00646A38"/>
    <w:rsid w:val="00647D87"/>
    <w:rsid w:val="006504C1"/>
    <w:rsid w:val="0065179A"/>
    <w:rsid w:val="00651C0C"/>
    <w:rsid w:val="00651D96"/>
    <w:rsid w:val="00653C1F"/>
    <w:rsid w:val="006556F4"/>
    <w:rsid w:val="00656277"/>
    <w:rsid w:val="00657B07"/>
    <w:rsid w:val="00657C43"/>
    <w:rsid w:val="00660544"/>
    <w:rsid w:val="006614BB"/>
    <w:rsid w:val="00661628"/>
    <w:rsid w:val="00662030"/>
    <w:rsid w:val="006630DB"/>
    <w:rsid w:val="00663205"/>
    <w:rsid w:val="00664162"/>
    <w:rsid w:val="00664E6D"/>
    <w:rsid w:val="00665D64"/>
    <w:rsid w:val="006671CA"/>
    <w:rsid w:val="0066784B"/>
    <w:rsid w:val="00667E90"/>
    <w:rsid w:val="00670404"/>
    <w:rsid w:val="0067085D"/>
    <w:rsid w:val="006717F1"/>
    <w:rsid w:val="0067190A"/>
    <w:rsid w:val="006722FB"/>
    <w:rsid w:val="006728FD"/>
    <w:rsid w:val="00673F18"/>
    <w:rsid w:val="00676911"/>
    <w:rsid w:val="00680AA1"/>
    <w:rsid w:val="006818BE"/>
    <w:rsid w:val="00684389"/>
    <w:rsid w:val="00685BB1"/>
    <w:rsid w:val="00685CBF"/>
    <w:rsid w:val="006877E2"/>
    <w:rsid w:val="00691006"/>
    <w:rsid w:val="00691A1D"/>
    <w:rsid w:val="0069315B"/>
    <w:rsid w:val="006940C3"/>
    <w:rsid w:val="0069444C"/>
    <w:rsid w:val="00694A25"/>
    <w:rsid w:val="006958E2"/>
    <w:rsid w:val="00695DC8"/>
    <w:rsid w:val="006961AD"/>
    <w:rsid w:val="00696E91"/>
    <w:rsid w:val="00697127"/>
    <w:rsid w:val="00697C0F"/>
    <w:rsid w:val="006A0134"/>
    <w:rsid w:val="006A0C7F"/>
    <w:rsid w:val="006A29C5"/>
    <w:rsid w:val="006A3A53"/>
    <w:rsid w:val="006A3EE8"/>
    <w:rsid w:val="006A4040"/>
    <w:rsid w:val="006A4B38"/>
    <w:rsid w:val="006A4F46"/>
    <w:rsid w:val="006A58D7"/>
    <w:rsid w:val="006A6A92"/>
    <w:rsid w:val="006B0616"/>
    <w:rsid w:val="006B0ECF"/>
    <w:rsid w:val="006B21DE"/>
    <w:rsid w:val="006B2DB2"/>
    <w:rsid w:val="006B3300"/>
    <w:rsid w:val="006B36F2"/>
    <w:rsid w:val="006B3EA9"/>
    <w:rsid w:val="006B4929"/>
    <w:rsid w:val="006B5245"/>
    <w:rsid w:val="006B56F0"/>
    <w:rsid w:val="006B6436"/>
    <w:rsid w:val="006B6B02"/>
    <w:rsid w:val="006B6E7C"/>
    <w:rsid w:val="006B7095"/>
    <w:rsid w:val="006B736E"/>
    <w:rsid w:val="006B7D5D"/>
    <w:rsid w:val="006C436F"/>
    <w:rsid w:val="006C461D"/>
    <w:rsid w:val="006C5B13"/>
    <w:rsid w:val="006D07E2"/>
    <w:rsid w:val="006D0D08"/>
    <w:rsid w:val="006D1C57"/>
    <w:rsid w:val="006D3B5F"/>
    <w:rsid w:val="006D42B7"/>
    <w:rsid w:val="006D4A33"/>
    <w:rsid w:val="006D4E67"/>
    <w:rsid w:val="006E5091"/>
    <w:rsid w:val="006E5439"/>
    <w:rsid w:val="006E5988"/>
    <w:rsid w:val="006E6872"/>
    <w:rsid w:val="006F0E4E"/>
    <w:rsid w:val="006F1140"/>
    <w:rsid w:val="006F161D"/>
    <w:rsid w:val="006F1D8E"/>
    <w:rsid w:val="006F28FA"/>
    <w:rsid w:val="006F36F4"/>
    <w:rsid w:val="006F461E"/>
    <w:rsid w:val="006F4D0A"/>
    <w:rsid w:val="006F5D8C"/>
    <w:rsid w:val="006F6127"/>
    <w:rsid w:val="006F6701"/>
    <w:rsid w:val="006F6C24"/>
    <w:rsid w:val="006F6CF3"/>
    <w:rsid w:val="00700467"/>
    <w:rsid w:val="00700B23"/>
    <w:rsid w:val="00701348"/>
    <w:rsid w:val="00701951"/>
    <w:rsid w:val="00701E8C"/>
    <w:rsid w:val="00702C59"/>
    <w:rsid w:val="00703F90"/>
    <w:rsid w:val="0070448B"/>
    <w:rsid w:val="0070617A"/>
    <w:rsid w:val="007065D0"/>
    <w:rsid w:val="007106E7"/>
    <w:rsid w:val="00711287"/>
    <w:rsid w:val="00712091"/>
    <w:rsid w:val="00713BE3"/>
    <w:rsid w:val="00715953"/>
    <w:rsid w:val="007207E1"/>
    <w:rsid w:val="00721326"/>
    <w:rsid w:val="0072193E"/>
    <w:rsid w:val="00722172"/>
    <w:rsid w:val="0072280C"/>
    <w:rsid w:val="007239A1"/>
    <w:rsid w:val="007241E4"/>
    <w:rsid w:val="00724B24"/>
    <w:rsid w:val="007251FD"/>
    <w:rsid w:val="00725E2F"/>
    <w:rsid w:val="007275DE"/>
    <w:rsid w:val="00731CFC"/>
    <w:rsid w:val="00732B44"/>
    <w:rsid w:val="00732B82"/>
    <w:rsid w:val="00732EB3"/>
    <w:rsid w:val="0073309D"/>
    <w:rsid w:val="007335B4"/>
    <w:rsid w:val="007349EC"/>
    <w:rsid w:val="00734FEC"/>
    <w:rsid w:val="00735609"/>
    <w:rsid w:val="00735A27"/>
    <w:rsid w:val="00736A10"/>
    <w:rsid w:val="007379F6"/>
    <w:rsid w:val="00740646"/>
    <w:rsid w:val="00741603"/>
    <w:rsid w:val="00743151"/>
    <w:rsid w:val="00744344"/>
    <w:rsid w:val="00744785"/>
    <w:rsid w:val="00744A59"/>
    <w:rsid w:val="00745D1A"/>
    <w:rsid w:val="007479B0"/>
    <w:rsid w:val="00747BBD"/>
    <w:rsid w:val="00747EF0"/>
    <w:rsid w:val="0075009F"/>
    <w:rsid w:val="0075021E"/>
    <w:rsid w:val="00751109"/>
    <w:rsid w:val="007521D1"/>
    <w:rsid w:val="007524F8"/>
    <w:rsid w:val="007528C7"/>
    <w:rsid w:val="00752BD3"/>
    <w:rsid w:val="00753D2A"/>
    <w:rsid w:val="00753DDE"/>
    <w:rsid w:val="00754221"/>
    <w:rsid w:val="00754BFD"/>
    <w:rsid w:val="00755A67"/>
    <w:rsid w:val="00757096"/>
    <w:rsid w:val="00757FA1"/>
    <w:rsid w:val="00760B37"/>
    <w:rsid w:val="00761A88"/>
    <w:rsid w:val="00761D40"/>
    <w:rsid w:val="00762C06"/>
    <w:rsid w:val="00765283"/>
    <w:rsid w:val="00765DB4"/>
    <w:rsid w:val="00766211"/>
    <w:rsid w:val="00766441"/>
    <w:rsid w:val="007665F6"/>
    <w:rsid w:val="0076771E"/>
    <w:rsid w:val="007702F5"/>
    <w:rsid w:val="00771938"/>
    <w:rsid w:val="00772E32"/>
    <w:rsid w:val="0077485A"/>
    <w:rsid w:val="0077580F"/>
    <w:rsid w:val="0077793C"/>
    <w:rsid w:val="0077798E"/>
    <w:rsid w:val="0078077F"/>
    <w:rsid w:val="00780BF6"/>
    <w:rsid w:val="00781081"/>
    <w:rsid w:val="00781D59"/>
    <w:rsid w:val="007825E7"/>
    <w:rsid w:val="00782961"/>
    <w:rsid w:val="00784FBE"/>
    <w:rsid w:val="0078552F"/>
    <w:rsid w:val="00785578"/>
    <w:rsid w:val="00785D3C"/>
    <w:rsid w:val="00787479"/>
    <w:rsid w:val="00787805"/>
    <w:rsid w:val="007902EE"/>
    <w:rsid w:val="0079136A"/>
    <w:rsid w:val="00791926"/>
    <w:rsid w:val="00792065"/>
    <w:rsid w:val="00792353"/>
    <w:rsid w:val="00793087"/>
    <w:rsid w:val="00793AD0"/>
    <w:rsid w:val="00793F6C"/>
    <w:rsid w:val="00793FF3"/>
    <w:rsid w:val="0079574C"/>
    <w:rsid w:val="007960E0"/>
    <w:rsid w:val="0079634B"/>
    <w:rsid w:val="00796999"/>
    <w:rsid w:val="00797A5D"/>
    <w:rsid w:val="007A00F0"/>
    <w:rsid w:val="007A2D00"/>
    <w:rsid w:val="007A332B"/>
    <w:rsid w:val="007A3818"/>
    <w:rsid w:val="007A44B4"/>
    <w:rsid w:val="007A46F6"/>
    <w:rsid w:val="007A547D"/>
    <w:rsid w:val="007A55A1"/>
    <w:rsid w:val="007A5F28"/>
    <w:rsid w:val="007A5F64"/>
    <w:rsid w:val="007A641B"/>
    <w:rsid w:val="007A6D8D"/>
    <w:rsid w:val="007A71A5"/>
    <w:rsid w:val="007A731B"/>
    <w:rsid w:val="007A78E1"/>
    <w:rsid w:val="007A793F"/>
    <w:rsid w:val="007B0D9F"/>
    <w:rsid w:val="007B1728"/>
    <w:rsid w:val="007B243E"/>
    <w:rsid w:val="007B26B8"/>
    <w:rsid w:val="007B282F"/>
    <w:rsid w:val="007B2D51"/>
    <w:rsid w:val="007B31A6"/>
    <w:rsid w:val="007B3D8E"/>
    <w:rsid w:val="007B44D0"/>
    <w:rsid w:val="007B4D24"/>
    <w:rsid w:val="007B5080"/>
    <w:rsid w:val="007C0221"/>
    <w:rsid w:val="007C05A5"/>
    <w:rsid w:val="007C07CD"/>
    <w:rsid w:val="007C07D0"/>
    <w:rsid w:val="007C314C"/>
    <w:rsid w:val="007C3719"/>
    <w:rsid w:val="007C3E34"/>
    <w:rsid w:val="007C4EE8"/>
    <w:rsid w:val="007C555B"/>
    <w:rsid w:val="007C5570"/>
    <w:rsid w:val="007C57E1"/>
    <w:rsid w:val="007C5A89"/>
    <w:rsid w:val="007C66D2"/>
    <w:rsid w:val="007C74D0"/>
    <w:rsid w:val="007C7900"/>
    <w:rsid w:val="007C7E17"/>
    <w:rsid w:val="007C7F1A"/>
    <w:rsid w:val="007D0190"/>
    <w:rsid w:val="007D1EE9"/>
    <w:rsid w:val="007D1F2F"/>
    <w:rsid w:val="007D326B"/>
    <w:rsid w:val="007D3866"/>
    <w:rsid w:val="007D6095"/>
    <w:rsid w:val="007D6DE7"/>
    <w:rsid w:val="007E013B"/>
    <w:rsid w:val="007E04C4"/>
    <w:rsid w:val="007E1A78"/>
    <w:rsid w:val="007E1D0A"/>
    <w:rsid w:val="007E24B1"/>
    <w:rsid w:val="007E25B1"/>
    <w:rsid w:val="007E4036"/>
    <w:rsid w:val="007E4999"/>
    <w:rsid w:val="007E59E4"/>
    <w:rsid w:val="007E5BE7"/>
    <w:rsid w:val="007E60EA"/>
    <w:rsid w:val="007E7BDD"/>
    <w:rsid w:val="007E7FE4"/>
    <w:rsid w:val="007F0325"/>
    <w:rsid w:val="007F0D2E"/>
    <w:rsid w:val="007F106C"/>
    <w:rsid w:val="007F17D7"/>
    <w:rsid w:val="007F2135"/>
    <w:rsid w:val="007F2E90"/>
    <w:rsid w:val="007F3877"/>
    <w:rsid w:val="007F4967"/>
    <w:rsid w:val="007F5026"/>
    <w:rsid w:val="007F5E99"/>
    <w:rsid w:val="007F6362"/>
    <w:rsid w:val="007F77BA"/>
    <w:rsid w:val="007F7B42"/>
    <w:rsid w:val="007F7BDB"/>
    <w:rsid w:val="007F7E21"/>
    <w:rsid w:val="00801B10"/>
    <w:rsid w:val="00802281"/>
    <w:rsid w:val="00802E11"/>
    <w:rsid w:val="0080378F"/>
    <w:rsid w:val="008049D5"/>
    <w:rsid w:val="008055CD"/>
    <w:rsid w:val="008056D3"/>
    <w:rsid w:val="00806225"/>
    <w:rsid w:val="0080797F"/>
    <w:rsid w:val="0081035E"/>
    <w:rsid w:val="0081114E"/>
    <w:rsid w:val="008115AD"/>
    <w:rsid w:val="008120DE"/>
    <w:rsid w:val="0081266B"/>
    <w:rsid w:val="00814133"/>
    <w:rsid w:val="0081448C"/>
    <w:rsid w:val="00817560"/>
    <w:rsid w:val="008179FF"/>
    <w:rsid w:val="0082263F"/>
    <w:rsid w:val="00822C25"/>
    <w:rsid w:val="00826D16"/>
    <w:rsid w:val="0082787F"/>
    <w:rsid w:val="00827B05"/>
    <w:rsid w:val="008306FD"/>
    <w:rsid w:val="00831825"/>
    <w:rsid w:val="00831BB7"/>
    <w:rsid w:val="00832040"/>
    <w:rsid w:val="0083241E"/>
    <w:rsid w:val="00832851"/>
    <w:rsid w:val="00832955"/>
    <w:rsid w:val="00832B5A"/>
    <w:rsid w:val="0083377D"/>
    <w:rsid w:val="00834314"/>
    <w:rsid w:val="00834E09"/>
    <w:rsid w:val="008350E1"/>
    <w:rsid w:val="00835E2E"/>
    <w:rsid w:val="00836B02"/>
    <w:rsid w:val="00836CDA"/>
    <w:rsid w:val="00836DBE"/>
    <w:rsid w:val="008372E6"/>
    <w:rsid w:val="00840713"/>
    <w:rsid w:val="00840E8D"/>
    <w:rsid w:val="008413C7"/>
    <w:rsid w:val="00841519"/>
    <w:rsid w:val="00841805"/>
    <w:rsid w:val="008428B5"/>
    <w:rsid w:val="0084322D"/>
    <w:rsid w:val="00844AB8"/>
    <w:rsid w:val="008454E2"/>
    <w:rsid w:val="008505BA"/>
    <w:rsid w:val="00851A54"/>
    <w:rsid w:val="00853733"/>
    <w:rsid w:val="00854CA4"/>
    <w:rsid w:val="00856040"/>
    <w:rsid w:val="00857024"/>
    <w:rsid w:val="00857F11"/>
    <w:rsid w:val="008611AE"/>
    <w:rsid w:val="0086182E"/>
    <w:rsid w:val="00861B94"/>
    <w:rsid w:val="00863CF1"/>
    <w:rsid w:val="00864732"/>
    <w:rsid w:val="00864DD2"/>
    <w:rsid w:val="00865564"/>
    <w:rsid w:val="00865F2D"/>
    <w:rsid w:val="00866DF3"/>
    <w:rsid w:val="00867A29"/>
    <w:rsid w:val="00867C60"/>
    <w:rsid w:val="00871417"/>
    <w:rsid w:val="00872D30"/>
    <w:rsid w:val="008730CE"/>
    <w:rsid w:val="00873D02"/>
    <w:rsid w:val="0087445A"/>
    <w:rsid w:val="00874C65"/>
    <w:rsid w:val="00874C88"/>
    <w:rsid w:val="008751FC"/>
    <w:rsid w:val="00875BDE"/>
    <w:rsid w:val="00875C08"/>
    <w:rsid w:val="00875E68"/>
    <w:rsid w:val="00876C48"/>
    <w:rsid w:val="00877589"/>
    <w:rsid w:val="00877A51"/>
    <w:rsid w:val="00881822"/>
    <w:rsid w:val="00881926"/>
    <w:rsid w:val="00882FF8"/>
    <w:rsid w:val="008831F5"/>
    <w:rsid w:val="0088366B"/>
    <w:rsid w:val="0088400D"/>
    <w:rsid w:val="00886651"/>
    <w:rsid w:val="00887619"/>
    <w:rsid w:val="0089059F"/>
    <w:rsid w:val="00891310"/>
    <w:rsid w:val="008933ED"/>
    <w:rsid w:val="00893C4A"/>
    <w:rsid w:val="008941A6"/>
    <w:rsid w:val="0089531D"/>
    <w:rsid w:val="00895FFD"/>
    <w:rsid w:val="0089644A"/>
    <w:rsid w:val="008979D2"/>
    <w:rsid w:val="008A228A"/>
    <w:rsid w:val="008A27B8"/>
    <w:rsid w:val="008A3DC2"/>
    <w:rsid w:val="008A43AC"/>
    <w:rsid w:val="008A47C0"/>
    <w:rsid w:val="008A56F1"/>
    <w:rsid w:val="008A7262"/>
    <w:rsid w:val="008B0002"/>
    <w:rsid w:val="008B03A2"/>
    <w:rsid w:val="008B066F"/>
    <w:rsid w:val="008B0A08"/>
    <w:rsid w:val="008B3336"/>
    <w:rsid w:val="008B3D21"/>
    <w:rsid w:val="008B4154"/>
    <w:rsid w:val="008B44B0"/>
    <w:rsid w:val="008B5D87"/>
    <w:rsid w:val="008B610B"/>
    <w:rsid w:val="008B7BA8"/>
    <w:rsid w:val="008B7BAB"/>
    <w:rsid w:val="008B7C0D"/>
    <w:rsid w:val="008C0684"/>
    <w:rsid w:val="008C0802"/>
    <w:rsid w:val="008C0EDF"/>
    <w:rsid w:val="008C1198"/>
    <w:rsid w:val="008C1533"/>
    <w:rsid w:val="008C3E81"/>
    <w:rsid w:val="008C4062"/>
    <w:rsid w:val="008C5BDE"/>
    <w:rsid w:val="008C5CAF"/>
    <w:rsid w:val="008D089C"/>
    <w:rsid w:val="008D0C0B"/>
    <w:rsid w:val="008D0D48"/>
    <w:rsid w:val="008D510E"/>
    <w:rsid w:val="008D557F"/>
    <w:rsid w:val="008D65DE"/>
    <w:rsid w:val="008D756D"/>
    <w:rsid w:val="008D7F48"/>
    <w:rsid w:val="008E31E8"/>
    <w:rsid w:val="008E329B"/>
    <w:rsid w:val="008E4D5E"/>
    <w:rsid w:val="008E53C3"/>
    <w:rsid w:val="008E5FEA"/>
    <w:rsid w:val="008E7EDD"/>
    <w:rsid w:val="008F0B38"/>
    <w:rsid w:val="008F0C5F"/>
    <w:rsid w:val="008F0E5C"/>
    <w:rsid w:val="008F0F17"/>
    <w:rsid w:val="008F1419"/>
    <w:rsid w:val="008F1CA6"/>
    <w:rsid w:val="008F3007"/>
    <w:rsid w:val="008F367A"/>
    <w:rsid w:val="008F3C68"/>
    <w:rsid w:val="008F5646"/>
    <w:rsid w:val="008F56EC"/>
    <w:rsid w:val="008F5973"/>
    <w:rsid w:val="008F5C8F"/>
    <w:rsid w:val="008F5FB1"/>
    <w:rsid w:val="008F7395"/>
    <w:rsid w:val="00900218"/>
    <w:rsid w:val="00900EA4"/>
    <w:rsid w:val="0090121D"/>
    <w:rsid w:val="00901B30"/>
    <w:rsid w:val="00901E5E"/>
    <w:rsid w:val="00902DE9"/>
    <w:rsid w:val="00903F93"/>
    <w:rsid w:val="00905857"/>
    <w:rsid w:val="00906483"/>
    <w:rsid w:val="0090657E"/>
    <w:rsid w:val="00906637"/>
    <w:rsid w:val="00907179"/>
    <w:rsid w:val="00907823"/>
    <w:rsid w:val="00907B1C"/>
    <w:rsid w:val="00907F73"/>
    <w:rsid w:val="009100E4"/>
    <w:rsid w:val="00911BFE"/>
    <w:rsid w:val="00911C2A"/>
    <w:rsid w:val="00912702"/>
    <w:rsid w:val="009131D7"/>
    <w:rsid w:val="0091324D"/>
    <w:rsid w:val="0091543C"/>
    <w:rsid w:val="00915B16"/>
    <w:rsid w:val="00915D67"/>
    <w:rsid w:val="009163B0"/>
    <w:rsid w:val="00916DEB"/>
    <w:rsid w:val="009176C0"/>
    <w:rsid w:val="00917DAD"/>
    <w:rsid w:val="0092250E"/>
    <w:rsid w:val="00924108"/>
    <w:rsid w:val="009241F5"/>
    <w:rsid w:val="009248C9"/>
    <w:rsid w:val="00924F76"/>
    <w:rsid w:val="009252BE"/>
    <w:rsid w:val="0092773E"/>
    <w:rsid w:val="009278C2"/>
    <w:rsid w:val="00930288"/>
    <w:rsid w:val="00932003"/>
    <w:rsid w:val="00932488"/>
    <w:rsid w:val="009326F4"/>
    <w:rsid w:val="00932776"/>
    <w:rsid w:val="0093288D"/>
    <w:rsid w:val="00933247"/>
    <w:rsid w:val="00933590"/>
    <w:rsid w:val="00933B64"/>
    <w:rsid w:val="00936475"/>
    <w:rsid w:val="00937782"/>
    <w:rsid w:val="00937B0F"/>
    <w:rsid w:val="009406A1"/>
    <w:rsid w:val="009406DC"/>
    <w:rsid w:val="00940BC2"/>
    <w:rsid w:val="00941EB1"/>
    <w:rsid w:val="0094226A"/>
    <w:rsid w:val="009422E8"/>
    <w:rsid w:val="00943AFD"/>
    <w:rsid w:val="0094557A"/>
    <w:rsid w:val="009457AC"/>
    <w:rsid w:val="00945E30"/>
    <w:rsid w:val="00947CB9"/>
    <w:rsid w:val="0095003A"/>
    <w:rsid w:val="009506D2"/>
    <w:rsid w:val="00950979"/>
    <w:rsid w:val="00950991"/>
    <w:rsid w:val="0095111C"/>
    <w:rsid w:val="009518AC"/>
    <w:rsid w:val="009520A5"/>
    <w:rsid w:val="009532A2"/>
    <w:rsid w:val="0095350D"/>
    <w:rsid w:val="00954EA0"/>
    <w:rsid w:val="009553AD"/>
    <w:rsid w:val="00955B1B"/>
    <w:rsid w:val="0095617B"/>
    <w:rsid w:val="009566BE"/>
    <w:rsid w:val="009568BD"/>
    <w:rsid w:val="0095727E"/>
    <w:rsid w:val="0096048B"/>
    <w:rsid w:val="0096080A"/>
    <w:rsid w:val="00960B5C"/>
    <w:rsid w:val="00960D0A"/>
    <w:rsid w:val="00960F91"/>
    <w:rsid w:val="00961499"/>
    <w:rsid w:val="00961685"/>
    <w:rsid w:val="009628E7"/>
    <w:rsid w:val="0096345C"/>
    <w:rsid w:val="00964213"/>
    <w:rsid w:val="00967ABC"/>
    <w:rsid w:val="009709E6"/>
    <w:rsid w:val="00970B51"/>
    <w:rsid w:val="00970E0E"/>
    <w:rsid w:val="009713EC"/>
    <w:rsid w:val="009724F7"/>
    <w:rsid w:val="0097326B"/>
    <w:rsid w:val="00973A59"/>
    <w:rsid w:val="00973C78"/>
    <w:rsid w:val="0097528F"/>
    <w:rsid w:val="00975A7F"/>
    <w:rsid w:val="00976535"/>
    <w:rsid w:val="009767A2"/>
    <w:rsid w:val="009777C4"/>
    <w:rsid w:val="00980F54"/>
    <w:rsid w:val="00981846"/>
    <w:rsid w:val="00981D82"/>
    <w:rsid w:val="00981E30"/>
    <w:rsid w:val="00982BB1"/>
    <w:rsid w:val="00983F8C"/>
    <w:rsid w:val="00984549"/>
    <w:rsid w:val="009847D8"/>
    <w:rsid w:val="00985423"/>
    <w:rsid w:val="0098739E"/>
    <w:rsid w:val="00990509"/>
    <w:rsid w:val="00990B49"/>
    <w:rsid w:val="009929B2"/>
    <w:rsid w:val="00993F6C"/>
    <w:rsid w:val="009942D8"/>
    <w:rsid w:val="00996620"/>
    <w:rsid w:val="009967C5"/>
    <w:rsid w:val="00996A15"/>
    <w:rsid w:val="00996B30"/>
    <w:rsid w:val="00997B0A"/>
    <w:rsid w:val="009A0E02"/>
    <w:rsid w:val="009A1FE3"/>
    <w:rsid w:val="009A212E"/>
    <w:rsid w:val="009A21A1"/>
    <w:rsid w:val="009A2D35"/>
    <w:rsid w:val="009A2F8B"/>
    <w:rsid w:val="009A3F98"/>
    <w:rsid w:val="009A434F"/>
    <w:rsid w:val="009A6162"/>
    <w:rsid w:val="009A6263"/>
    <w:rsid w:val="009A628A"/>
    <w:rsid w:val="009A7135"/>
    <w:rsid w:val="009B07BF"/>
    <w:rsid w:val="009B0AEA"/>
    <w:rsid w:val="009B0B7C"/>
    <w:rsid w:val="009B106C"/>
    <w:rsid w:val="009B1D17"/>
    <w:rsid w:val="009B1D2F"/>
    <w:rsid w:val="009B25C6"/>
    <w:rsid w:val="009B3065"/>
    <w:rsid w:val="009B38EE"/>
    <w:rsid w:val="009B3A47"/>
    <w:rsid w:val="009B5362"/>
    <w:rsid w:val="009B6EA0"/>
    <w:rsid w:val="009B70D8"/>
    <w:rsid w:val="009B7CFD"/>
    <w:rsid w:val="009C199E"/>
    <w:rsid w:val="009C216A"/>
    <w:rsid w:val="009C24DA"/>
    <w:rsid w:val="009C374B"/>
    <w:rsid w:val="009C4D6A"/>
    <w:rsid w:val="009C4FA2"/>
    <w:rsid w:val="009C57D0"/>
    <w:rsid w:val="009C5A0E"/>
    <w:rsid w:val="009C6252"/>
    <w:rsid w:val="009C6687"/>
    <w:rsid w:val="009C7102"/>
    <w:rsid w:val="009C7B18"/>
    <w:rsid w:val="009D1075"/>
    <w:rsid w:val="009D1DDF"/>
    <w:rsid w:val="009D1FA7"/>
    <w:rsid w:val="009D26D2"/>
    <w:rsid w:val="009D2B29"/>
    <w:rsid w:val="009D34FE"/>
    <w:rsid w:val="009D3D6B"/>
    <w:rsid w:val="009D4884"/>
    <w:rsid w:val="009D7638"/>
    <w:rsid w:val="009D7B9F"/>
    <w:rsid w:val="009E0296"/>
    <w:rsid w:val="009E084D"/>
    <w:rsid w:val="009E1C6B"/>
    <w:rsid w:val="009E2311"/>
    <w:rsid w:val="009E500C"/>
    <w:rsid w:val="009E5199"/>
    <w:rsid w:val="009E5700"/>
    <w:rsid w:val="009E5BDF"/>
    <w:rsid w:val="009E6437"/>
    <w:rsid w:val="009E7B1B"/>
    <w:rsid w:val="009F0516"/>
    <w:rsid w:val="009F0FEA"/>
    <w:rsid w:val="009F2191"/>
    <w:rsid w:val="009F2446"/>
    <w:rsid w:val="009F2675"/>
    <w:rsid w:val="009F2BC1"/>
    <w:rsid w:val="009F474E"/>
    <w:rsid w:val="009F4C54"/>
    <w:rsid w:val="009F4E87"/>
    <w:rsid w:val="009F5567"/>
    <w:rsid w:val="009F5861"/>
    <w:rsid w:val="009F75E1"/>
    <w:rsid w:val="00A00C09"/>
    <w:rsid w:val="00A00D10"/>
    <w:rsid w:val="00A00E29"/>
    <w:rsid w:val="00A01241"/>
    <w:rsid w:val="00A0243E"/>
    <w:rsid w:val="00A02B06"/>
    <w:rsid w:val="00A041F5"/>
    <w:rsid w:val="00A055E9"/>
    <w:rsid w:val="00A05B0A"/>
    <w:rsid w:val="00A0621A"/>
    <w:rsid w:val="00A06362"/>
    <w:rsid w:val="00A065D1"/>
    <w:rsid w:val="00A068FC"/>
    <w:rsid w:val="00A06E22"/>
    <w:rsid w:val="00A136AF"/>
    <w:rsid w:val="00A142D4"/>
    <w:rsid w:val="00A1479A"/>
    <w:rsid w:val="00A16369"/>
    <w:rsid w:val="00A178AB"/>
    <w:rsid w:val="00A179B5"/>
    <w:rsid w:val="00A17D9F"/>
    <w:rsid w:val="00A21C2B"/>
    <w:rsid w:val="00A2362A"/>
    <w:rsid w:val="00A240B1"/>
    <w:rsid w:val="00A24334"/>
    <w:rsid w:val="00A2539C"/>
    <w:rsid w:val="00A25B9F"/>
    <w:rsid w:val="00A26608"/>
    <w:rsid w:val="00A269B9"/>
    <w:rsid w:val="00A307BE"/>
    <w:rsid w:val="00A31FA9"/>
    <w:rsid w:val="00A32009"/>
    <w:rsid w:val="00A3222A"/>
    <w:rsid w:val="00A338A0"/>
    <w:rsid w:val="00A3403D"/>
    <w:rsid w:val="00A349B9"/>
    <w:rsid w:val="00A35707"/>
    <w:rsid w:val="00A35785"/>
    <w:rsid w:val="00A35C0F"/>
    <w:rsid w:val="00A35FF3"/>
    <w:rsid w:val="00A37DA8"/>
    <w:rsid w:val="00A37F2C"/>
    <w:rsid w:val="00A400BD"/>
    <w:rsid w:val="00A4042B"/>
    <w:rsid w:val="00A40D35"/>
    <w:rsid w:val="00A4124E"/>
    <w:rsid w:val="00A41AF4"/>
    <w:rsid w:val="00A424CE"/>
    <w:rsid w:val="00A43470"/>
    <w:rsid w:val="00A43485"/>
    <w:rsid w:val="00A43724"/>
    <w:rsid w:val="00A44BA4"/>
    <w:rsid w:val="00A44DBC"/>
    <w:rsid w:val="00A45961"/>
    <w:rsid w:val="00A45A50"/>
    <w:rsid w:val="00A463DA"/>
    <w:rsid w:val="00A50034"/>
    <w:rsid w:val="00A50179"/>
    <w:rsid w:val="00A505C3"/>
    <w:rsid w:val="00A50DDC"/>
    <w:rsid w:val="00A522F7"/>
    <w:rsid w:val="00A53575"/>
    <w:rsid w:val="00A53BD8"/>
    <w:rsid w:val="00A54428"/>
    <w:rsid w:val="00A55333"/>
    <w:rsid w:val="00A56B1F"/>
    <w:rsid w:val="00A5788D"/>
    <w:rsid w:val="00A57A53"/>
    <w:rsid w:val="00A604B0"/>
    <w:rsid w:val="00A62292"/>
    <w:rsid w:val="00A626C8"/>
    <w:rsid w:val="00A64876"/>
    <w:rsid w:val="00A64BC2"/>
    <w:rsid w:val="00A65144"/>
    <w:rsid w:val="00A6574B"/>
    <w:rsid w:val="00A65946"/>
    <w:rsid w:val="00A66A29"/>
    <w:rsid w:val="00A66FEC"/>
    <w:rsid w:val="00A70A3F"/>
    <w:rsid w:val="00A71069"/>
    <w:rsid w:val="00A72043"/>
    <w:rsid w:val="00A73BE1"/>
    <w:rsid w:val="00A75A55"/>
    <w:rsid w:val="00A76387"/>
    <w:rsid w:val="00A76BF2"/>
    <w:rsid w:val="00A76D6D"/>
    <w:rsid w:val="00A76E2B"/>
    <w:rsid w:val="00A77072"/>
    <w:rsid w:val="00A77617"/>
    <w:rsid w:val="00A77B14"/>
    <w:rsid w:val="00A807A2"/>
    <w:rsid w:val="00A80844"/>
    <w:rsid w:val="00A8127D"/>
    <w:rsid w:val="00A840DF"/>
    <w:rsid w:val="00A844A6"/>
    <w:rsid w:val="00A84E66"/>
    <w:rsid w:val="00A85496"/>
    <w:rsid w:val="00A85563"/>
    <w:rsid w:val="00A85F43"/>
    <w:rsid w:val="00A87628"/>
    <w:rsid w:val="00A90FEA"/>
    <w:rsid w:val="00A915E0"/>
    <w:rsid w:val="00A91D92"/>
    <w:rsid w:val="00A92304"/>
    <w:rsid w:val="00A9260C"/>
    <w:rsid w:val="00A93724"/>
    <w:rsid w:val="00A93DCB"/>
    <w:rsid w:val="00A93EF5"/>
    <w:rsid w:val="00A94752"/>
    <w:rsid w:val="00A96AB2"/>
    <w:rsid w:val="00A976D6"/>
    <w:rsid w:val="00AA0342"/>
    <w:rsid w:val="00AA0A51"/>
    <w:rsid w:val="00AA1342"/>
    <w:rsid w:val="00AA3BA5"/>
    <w:rsid w:val="00AA526A"/>
    <w:rsid w:val="00AA5C19"/>
    <w:rsid w:val="00AA69B9"/>
    <w:rsid w:val="00AB04C7"/>
    <w:rsid w:val="00AB0DE2"/>
    <w:rsid w:val="00AB1CBA"/>
    <w:rsid w:val="00AB23BF"/>
    <w:rsid w:val="00AB5631"/>
    <w:rsid w:val="00AB5F71"/>
    <w:rsid w:val="00AB72F9"/>
    <w:rsid w:val="00AB739C"/>
    <w:rsid w:val="00AB7F7E"/>
    <w:rsid w:val="00AC18C8"/>
    <w:rsid w:val="00AC28B0"/>
    <w:rsid w:val="00AC2A43"/>
    <w:rsid w:val="00AC2E1D"/>
    <w:rsid w:val="00AC32E6"/>
    <w:rsid w:val="00AC4764"/>
    <w:rsid w:val="00AC49EF"/>
    <w:rsid w:val="00AC5B80"/>
    <w:rsid w:val="00AC67DA"/>
    <w:rsid w:val="00AC69F4"/>
    <w:rsid w:val="00AC755A"/>
    <w:rsid w:val="00AD08E3"/>
    <w:rsid w:val="00AD25EF"/>
    <w:rsid w:val="00AD28F5"/>
    <w:rsid w:val="00AD303F"/>
    <w:rsid w:val="00AD30A6"/>
    <w:rsid w:val="00AD690C"/>
    <w:rsid w:val="00AD78C0"/>
    <w:rsid w:val="00AD79CB"/>
    <w:rsid w:val="00AE1199"/>
    <w:rsid w:val="00AE1BE2"/>
    <w:rsid w:val="00AE1CBA"/>
    <w:rsid w:val="00AE267F"/>
    <w:rsid w:val="00AE4044"/>
    <w:rsid w:val="00AE5455"/>
    <w:rsid w:val="00AE548E"/>
    <w:rsid w:val="00AE54F3"/>
    <w:rsid w:val="00AE5787"/>
    <w:rsid w:val="00AE5E4C"/>
    <w:rsid w:val="00AE7793"/>
    <w:rsid w:val="00AF03F2"/>
    <w:rsid w:val="00AF15ED"/>
    <w:rsid w:val="00AF32BC"/>
    <w:rsid w:val="00AF443A"/>
    <w:rsid w:val="00AF477C"/>
    <w:rsid w:val="00AF4A43"/>
    <w:rsid w:val="00AF543D"/>
    <w:rsid w:val="00AF58B7"/>
    <w:rsid w:val="00AF5EC5"/>
    <w:rsid w:val="00AF6632"/>
    <w:rsid w:val="00AF6D86"/>
    <w:rsid w:val="00AF792D"/>
    <w:rsid w:val="00AF7C41"/>
    <w:rsid w:val="00B0217E"/>
    <w:rsid w:val="00B02B2A"/>
    <w:rsid w:val="00B02C90"/>
    <w:rsid w:val="00B0338F"/>
    <w:rsid w:val="00B036C4"/>
    <w:rsid w:val="00B064DC"/>
    <w:rsid w:val="00B06C34"/>
    <w:rsid w:val="00B10CC1"/>
    <w:rsid w:val="00B11DA3"/>
    <w:rsid w:val="00B11F87"/>
    <w:rsid w:val="00B12304"/>
    <w:rsid w:val="00B1285C"/>
    <w:rsid w:val="00B12F42"/>
    <w:rsid w:val="00B200F6"/>
    <w:rsid w:val="00B2056E"/>
    <w:rsid w:val="00B21D45"/>
    <w:rsid w:val="00B2264E"/>
    <w:rsid w:val="00B229E5"/>
    <w:rsid w:val="00B2396F"/>
    <w:rsid w:val="00B23AA0"/>
    <w:rsid w:val="00B23DB9"/>
    <w:rsid w:val="00B24692"/>
    <w:rsid w:val="00B24DB0"/>
    <w:rsid w:val="00B2542B"/>
    <w:rsid w:val="00B25FD9"/>
    <w:rsid w:val="00B27042"/>
    <w:rsid w:val="00B2753D"/>
    <w:rsid w:val="00B3053E"/>
    <w:rsid w:val="00B3170F"/>
    <w:rsid w:val="00B31ACA"/>
    <w:rsid w:val="00B324DD"/>
    <w:rsid w:val="00B32561"/>
    <w:rsid w:val="00B3256E"/>
    <w:rsid w:val="00B32718"/>
    <w:rsid w:val="00B32C95"/>
    <w:rsid w:val="00B33BCB"/>
    <w:rsid w:val="00B34683"/>
    <w:rsid w:val="00B34DEB"/>
    <w:rsid w:val="00B3525B"/>
    <w:rsid w:val="00B36D83"/>
    <w:rsid w:val="00B36F3E"/>
    <w:rsid w:val="00B375D6"/>
    <w:rsid w:val="00B40E0E"/>
    <w:rsid w:val="00B41166"/>
    <w:rsid w:val="00B42F15"/>
    <w:rsid w:val="00B43686"/>
    <w:rsid w:val="00B43B25"/>
    <w:rsid w:val="00B441FF"/>
    <w:rsid w:val="00B444F0"/>
    <w:rsid w:val="00B452D5"/>
    <w:rsid w:val="00B455E0"/>
    <w:rsid w:val="00B521D8"/>
    <w:rsid w:val="00B53573"/>
    <w:rsid w:val="00B54439"/>
    <w:rsid w:val="00B55387"/>
    <w:rsid w:val="00B55BB6"/>
    <w:rsid w:val="00B55E1E"/>
    <w:rsid w:val="00B5703E"/>
    <w:rsid w:val="00B57987"/>
    <w:rsid w:val="00B60DA3"/>
    <w:rsid w:val="00B61113"/>
    <w:rsid w:val="00B61F3E"/>
    <w:rsid w:val="00B63AA3"/>
    <w:rsid w:val="00B63DA2"/>
    <w:rsid w:val="00B66268"/>
    <w:rsid w:val="00B663B8"/>
    <w:rsid w:val="00B664DF"/>
    <w:rsid w:val="00B66758"/>
    <w:rsid w:val="00B66763"/>
    <w:rsid w:val="00B70735"/>
    <w:rsid w:val="00B722A4"/>
    <w:rsid w:val="00B72675"/>
    <w:rsid w:val="00B731CA"/>
    <w:rsid w:val="00B74237"/>
    <w:rsid w:val="00B743FA"/>
    <w:rsid w:val="00B757B1"/>
    <w:rsid w:val="00B7768A"/>
    <w:rsid w:val="00B80226"/>
    <w:rsid w:val="00B8051A"/>
    <w:rsid w:val="00B80A71"/>
    <w:rsid w:val="00B814FE"/>
    <w:rsid w:val="00B81FDD"/>
    <w:rsid w:val="00B82AD9"/>
    <w:rsid w:val="00B83733"/>
    <w:rsid w:val="00B83D7A"/>
    <w:rsid w:val="00B84A04"/>
    <w:rsid w:val="00B86456"/>
    <w:rsid w:val="00B87E1F"/>
    <w:rsid w:val="00B90B38"/>
    <w:rsid w:val="00B90CE9"/>
    <w:rsid w:val="00B9132D"/>
    <w:rsid w:val="00B91F75"/>
    <w:rsid w:val="00B9268E"/>
    <w:rsid w:val="00B92957"/>
    <w:rsid w:val="00B9326F"/>
    <w:rsid w:val="00B97A87"/>
    <w:rsid w:val="00B97C93"/>
    <w:rsid w:val="00BA01AB"/>
    <w:rsid w:val="00BA5AF6"/>
    <w:rsid w:val="00BB152A"/>
    <w:rsid w:val="00BB1656"/>
    <w:rsid w:val="00BB19E4"/>
    <w:rsid w:val="00BB27C9"/>
    <w:rsid w:val="00BB29DD"/>
    <w:rsid w:val="00BB339E"/>
    <w:rsid w:val="00BB3A7D"/>
    <w:rsid w:val="00BB4696"/>
    <w:rsid w:val="00BB4A45"/>
    <w:rsid w:val="00BB6A4C"/>
    <w:rsid w:val="00BB7CCF"/>
    <w:rsid w:val="00BB7D5C"/>
    <w:rsid w:val="00BC0BD6"/>
    <w:rsid w:val="00BC1F01"/>
    <w:rsid w:val="00BC4033"/>
    <w:rsid w:val="00BC55AA"/>
    <w:rsid w:val="00BC597F"/>
    <w:rsid w:val="00BC6161"/>
    <w:rsid w:val="00BC68E2"/>
    <w:rsid w:val="00BD17D8"/>
    <w:rsid w:val="00BD1F59"/>
    <w:rsid w:val="00BD2141"/>
    <w:rsid w:val="00BD29F5"/>
    <w:rsid w:val="00BD316D"/>
    <w:rsid w:val="00BD41DB"/>
    <w:rsid w:val="00BD4759"/>
    <w:rsid w:val="00BD5A1D"/>
    <w:rsid w:val="00BD670D"/>
    <w:rsid w:val="00BD6C7C"/>
    <w:rsid w:val="00BE004C"/>
    <w:rsid w:val="00BE2146"/>
    <w:rsid w:val="00BE277B"/>
    <w:rsid w:val="00BE2B1B"/>
    <w:rsid w:val="00BE51AB"/>
    <w:rsid w:val="00BE5D9F"/>
    <w:rsid w:val="00BE647D"/>
    <w:rsid w:val="00BE6E9C"/>
    <w:rsid w:val="00BF0189"/>
    <w:rsid w:val="00BF024D"/>
    <w:rsid w:val="00BF1DDC"/>
    <w:rsid w:val="00BF2A0C"/>
    <w:rsid w:val="00BF2E21"/>
    <w:rsid w:val="00BF3391"/>
    <w:rsid w:val="00BF44BE"/>
    <w:rsid w:val="00BF522D"/>
    <w:rsid w:val="00BF54DC"/>
    <w:rsid w:val="00BF60D0"/>
    <w:rsid w:val="00BF69DC"/>
    <w:rsid w:val="00BF6E90"/>
    <w:rsid w:val="00BF7B66"/>
    <w:rsid w:val="00C0094C"/>
    <w:rsid w:val="00C025A0"/>
    <w:rsid w:val="00C03979"/>
    <w:rsid w:val="00C03A5E"/>
    <w:rsid w:val="00C04651"/>
    <w:rsid w:val="00C0470C"/>
    <w:rsid w:val="00C06398"/>
    <w:rsid w:val="00C0655F"/>
    <w:rsid w:val="00C1138A"/>
    <w:rsid w:val="00C13A2F"/>
    <w:rsid w:val="00C15D59"/>
    <w:rsid w:val="00C15DA3"/>
    <w:rsid w:val="00C20450"/>
    <w:rsid w:val="00C20653"/>
    <w:rsid w:val="00C2125B"/>
    <w:rsid w:val="00C21980"/>
    <w:rsid w:val="00C2362B"/>
    <w:rsid w:val="00C2388F"/>
    <w:rsid w:val="00C24885"/>
    <w:rsid w:val="00C25767"/>
    <w:rsid w:val="00C25A2C"/>
    <w:rsid w:val="00C267FF"/>
    <w:rsid w:val="00C26A3F"/>
    <w:rsid w:val="00C30972"/>
    <w:rsid w:val="00C312D7"/>
    <w:rsid w:val="00C31F4F"/>
    <w:rsid w:val="00C32964"/>
    <w:rsid w:val="00C32FDC"/>
    <w:rsid w:val="00C331EA"/>
    <w:rsid w:val="00C3357B"/>
    <w:rsid w:val="00C33824"/>
    <w:rsid w:val="00C34702"/>
    <w:rsid w:val="00C36093"/>
    <w:rsid w:val="00C3632F"/>
    <w:rsid w:val="00C371A8"/>
    <w:rsid w:val="00C3798E"/>
    <w:rsid w:val="00C429CC"/>
    <w:rsid w:val="00C4386F"/>
    <w:rsid w:val="00C43A06"/>
    <w:rsid w:val="00C43E76"/>
    <w:rsid w:val="00C4528F"/>
    <w:rsid w:val="00C45361"/>
    <w:rsid w:val="00C4597C"/>
    <w:rsid w:val="00C466C7"/>
    <w:rsid w:val="00C46BF7"/>
    <w:rsid w:val="00C47951"/>
    <w:rsid w:val="00C47AEF"/>
    <w:rsid w:val="00C47B9B"/>
    <w:rsid w:val="00C50292"/>
    <w:rsid w:val="00C505AB"/>
    <w:rsid w:val="00C51BDE"/>
    <w:rsid w:val="00C52F52"/>
    <w:rsid w:val="00C537AA"/>
    <w:rsid w:val="00C562B5"/>
    <w:rsid w:val="00C60615"/>
    <w:rsid w:val="00C61A0A"/>
    <w:rsid w:val="00C6295D"/>
    <w:rsid w:val="00C62D26"/>
    <w:rsid w:val="00C639F2"/>
    <w:rsid w:val="00C63BA4"/>
    <w:rsid w:val="00C63BCB"/>
    <w:rsid w:val="00C64A63"/>
    <w:rsid w:val="00C64FFE"/>
    <w:rsid w:val="00C652BF"/>
    <w:rsid w:val="00C66770"/>
    <w:rsid w:val="00C70F13"/>
    <w:rsid w:val="00C72ADE"/>
    <w:rsid w:val="00C73D0B"/>
    <w:rsid w:val="00C741DE"/>
    <w:rsid w:val="00C74773"/>
    <w:rsid w:val="00C74DAD"/>
    <w:rsid w:val="00C7554F"/>
    <w:rsid w:val="00C756A8"/>
    <w:rsid w:val="00C75926"/>
    <w:rsid w:val="00C75B1B"/>
    <w:rsid w:val="00C762D1"/>
    <w:rsid w:val="00C76590"/>
    <w:rsid w:val="00C76DDE"/>
    <w:rsid w:val="00C778F4"/>
    <w:rsid w:val="00C77E6A"/>
    <w:rsid w:val="00C77E76"/>
    <w:rsid w:val="00C814CB"/>
    <w:rsid w:val="00C81BD8"/>
    <w:rsid w:val="00C81FC7"/>
    <w:rsid w:val="00C82701"/>
    <w:rsid w:val="00C82790"/>
    <w:rsid w:val="00C83327"/>
    <w:rsid w:val="00C83E32"/>
    <w:rsid w:val="00C84976"/>
    <w:rsid w:val="00C857FB"/>
    <w:rsid w:val="00C865EA"/>
    <w:rsid w:val="00C86B27"/>
    <w:rsid w:val="00C86C72"/>
    <w:rsid w:val="00C878C6"/>
    <w:rsid w:val="00C9080F"/>
    <w:rsid w:val="00C92162"/>
    <w:rsid w:val="00C94F29"/>
    <w:rsid w:val="00C960DC"/>
    <w:rsid w:val="00CA05E8"/>
    <w:rsid w:val="00CA2C76"/>
    <w:rsid w:val="00CA2E5E"/>
    <w:rsid w:val="00CA3341"/>
    <w:rsid w:val="00CA3384"/>
    <w:rsid w:val="00CA3433"/>
    <w:rsid w:val="00CA40BF"/>
    <w:rsid w:val="00CA5032"/>
    <w:rsid w:val="00CA56F2"/>
    <w:rsid w:val="00CB17F9"/>
    <w:rsid w:val="00CB1C24"/>
    <w:rsid w:val="00CB2B9E"/>
    <w:rsid w:val="00CB351E"/>
    <w:rsid w:val="00CB5AA1"/>
    <w:rsid w:val="00CB6DE8"/>
    <w:rsid w:val="00CB7ED1"/>
    <w:rsid w:val="00CC0E4E"/>
    <w:rsid w:val="00CC469F"/>
    <w:rsid w:val="00CC4D40"/>
    <w:rsid w:val="00CC6EC6"/>
    <w:rsid w:val="00CC70D4"/>
    <w:rsid w:val="00CC769F"/>
    <w:rsid w:val="00CD03FA"/>
    <w:rsid w:val="00CD098B"/>
    <w:rsid w:val="00CD0D0F"/>
    <w:rsid w:val="00CD180D"/>
    <w:rsid w:val="00CD21E7"/>
    <w:rsid w:val="00CD258A"/>
    <w:rsid w:val="00CD287D"/>
    <w:rsid w:val="00CD4657"/>
    <w:rsid w:val="00CD60D4"/>
    <w:rsid w:val="00CD7450"/>
    <w:rsid w:val="00CD7504"/>
    <w:rsid w:val="00CD7AAB"/>
    <w:rsid w:val="00CE1374"/>
    <w:rsid w:val="00CE219B"/>
    <w:rsid w:val="00CE22FC"/>
    <w:rsid w:val="00CE381B"/>
    <w:rsid w:val="00CE38A9"/>
    <w:rsid w:val="00CE3C40"/>
    <w:rsid w:val="00CE4A7A"/>
    <w:rsid w:val="00CE5697"/>
    <w:rsid w:val="00CE6476"/>
    <w:rsid w:val="00CE73AA"/>
    <w:rsid w:val="00CE73D9"/>
    <w:rsid w:val="00CE7E09"/>
    <w:rsid w:val="00CF0BD5"/>
    <w:rsid w:val="00CF1705"/>
    <w:rsid w:val="00CF1836"/>
    <w:rsid w:val="00CF3181"/>
    <w:rsid w:val="00CF32BA"/>
    <w:rsid w:val="00CF3D12"/>
    <w:rsid w:val="00CF722C"/>
    <w:rsid w:val="00D0057C"/>
    <w:rsid w:val="00D00F74"/>
    <w:rsid w:val="00D01FC2"/>
    <w:rsid w:val="00D02526"/>
    <w:rsid w:val="00D02EAF"/>
    <w:rsid w:val="00D044A9"/>
    <w:rsid w:val="00D04A47"/>
    <w:rsid w:val="00D04D13"/>
    <w:rsid w:val="00D05526"/>
    <w:rsid w:val="00D060F8"/>
    <w:rsid w:val="00D07125"/>
    <w:rsid w:val="00D07E84"/>
    <w:rsid w:val="00D1221B"/>
    <w:rsid w:val="00D12839"/>
    <w:rsid w:val="00D13BBB"/>
    <w:rsid w:val="00D13C07"/>
    <w:rsid w:val="00D14FC8"/>
    <w:rsid w:val="00D17E7F"/>
    <w:rsid w:val="00D20CD6"/>
    <w:rsid w:val="00D210E6"/>
    <w:rsid w:val="00D218E1"/>
    <w:rsid w:val="00D21CA7"/>
    <w:rsid w:val="00D222E7"/>
    <w:rsid w:val="00D22301"/>
    <w:rsid w:val="00D22474"/>
    <w:rsid w:val="00D22E13"/>
    <w:rsid w:val="00D245DC"/>
    <w:rsid w:val="00D24934"/>
    <w:rsid w:val="00D25532"/>
    <w:rsid w:val="00D25F2C"/>
    <w:rsid w:val="00D2653F"/>
    <w:rsid w:val="00D279FB"/>
    <w:rsid w:val="00D3074E"/>
    <w:rsid w:val="00D30C48"/>
    <w:rsid w:val="00D32D29"/>
    <w:rsid w:val="00D338D3"/>
    <w:rsid w:val="00D33C99"/>
    <w:rsid w:val="00D353C5"/>
    <w:rsid w:val="00D35810"/>
    <w:rsid w:val="00D35E70"/>
    <w:rsid w:val="00D36E95"/>
    <w:rsid w:val="00D40410"/>
    <w:rsid w:val="00D404A9"/>
    <w:rsid w:val="00D411BD"/>
    <w:rsid w:val="00D4167E"/>
    <w:rsid w:val="00D41FC6"/>
    <w:rsid w:val="00D4232F"/>
    <w:rsid w:val="00D42F04"/>
    <w:rsid w:val="00D430ED"/>
    <w:rsid w:val="00D43CF6"/>
    <w:rsid w:val="00D446DC"/>
    <w:rsid w:val="00D44760"/>
    <w:rsid w:val="00D44902"/>
    <w:rsid w:val="00D46636"/>
    <w:rsid w:val="00D4676B"/>
    <w:rsid w:val="00D4771E"/>
    <w:rsid w:val="00D47AC5"/>
    <w:rsid w:val="00D50450"/>
    <w:rsid w:val="00D5082A"/>
    <w:rsid w:val="00D509D0"/>
    <w:rsid w:val="00D52BE2"/>
    <w:rsid w:val="00D52C01"/>
    <w:rsid w:val="00D53242"/>
    <w:rsid w:val="00D5332F"/>
    <w:rsid w:val="00D53D4E"/>
    <w:rsid w:val="00D54DE3"/>
    <w:rsid w:val="00D55992"/>
    <w:rsid w:val="00D56009"/>
    <w:rsid w:val="00D56071"/>
    <w:rsid w:val="00D56149"/>
    <w:rsid w:val="00D56214"/>
    <w:rsid w:val="00D562CD"/>
    <w:rsid w:val="00D56893"/>
    <w:rsid w:val="00D56AEA"/>
    <w:rsid w:val="00D57406"/>
    <w:rsid w:val="00D57B95"/>
    <w:rsid w:val="00D61A04"/>
    <w:rsid w:val="00D61C58"/>
    <w:rsid w:val="00D620C4"/>
    <w:rsid w:val="00D62F30"/>
    <w:rsid w:val="00D630E3"/>
    <w:rsid w:val="00D6466C"/>
    <w:rsid w:val="00D64AC4"/>
    <w:rsid w:val="00D654B3"/>
    <w:rsid w:val="00D65D21"/>
    <w:rsid w:val="00D6609A"/>
    <w:rsid w:val="00D6667C"/>
    <w:rsid w:val="00D667FC"/>
    <w:rsid w:val="00D67906"/>
    <w:rsid w:val="00D67C7A"/>
    <w:rsid w:val="00D71C00"/>
    <w:rsid w:val="00D73462"/>
    <w:rsid w:val="00D73F13"/>
    <w:rsid w:val="00D74767"/>
    <w:rsid w:val="00D7697D"/>
    <w:rsid w:val="00D7748A"/>
    <w:rsid w:val="00D774C0"/>
    <w:rsid w:val="00D77746"/>
    <w:rsid w:val="00D81F61"/>
    <w:rsid w:val="00D820F5"/>
    <w:rsid w:val="00D8400B"/>
    <w:rsid w:val="00D858BF"/>
    <w:rsid w:val="00D85E3E"/>
    <w:rsid w:val="00D86CBF"/>
    <w:rsid w:val="00D86F2A"/>
    <w:rsid w:val="00D901C4"/>
    <w:rsid w:val="00D90457"/>
    <w:rsid w:val="00D94126"/>
    <w:rsid w:val="00D94BE5"/>
    <w:rsid w:val="00D95343"/>
    <w:rsid w:val="00D97989"/>
    <w:rsid w:val="00D979E0"/>
    <w:rsid w:val="00D97B19"/>
    <w:rsid w:val="00D97D50"/>
    <w:rsid w:val="00D97FEE"/>
    <w:rsid w:val="00DA05A6"/>
    <w:rsid w:val="00DA0955"/>
    <w:rsid w:val="00DA1D8B"/>
    <w:rsid w:val="00DA51FD"/>
    <w:rsid w:val="00DA54DB"/>
    <w:rsid w:val="00DA5B63"/>
    <w:rsid w:val="00DA6413"/>
    <w:rsid w:val="00DA6D61"/>
    <w:rsid w:val="00DA73FF"/>
    <w:rsid w:val="00DA7445"/>
    <w:rsid w:val="00DA772E"/>
    <w:rsid w:val="00DA79A2"/>
    <w:rsid w:val="00DB340B"/>
    <w:rsid w:val="00DB4500"/>
    <w:rsid w:val="00DB6BB6"/>
    <w:rsid w:val="00DC0018"/>
    <w:rsid w:val="00DC015C"/>
    <w:rsid w:val="00DC0498"/>
    <w:rsid w:val="00DC073B"/>
    <w:rsid w:val="00DC076B"/>
    <w:rsid w:val="00DC098A"/>
    <w:rsid w:val="00DC0D94"/>
    <w:rsid w:val="00DC11C0"/>
    <w:rsid w:val="00DC1216"/>
    <w:rsid w:val="00DC163C"/>
    <w:rsid w:val="00DC1BEF"/>
    <w:rsid w:val="00DC1CC9"/>
    <w:rsid w:val="00DC2840"/>
    <w:rsid w:val="00DC33F9"/>
    <w:rsid w:val="00DC3E17"/>
    <w:rsid w:val="00DC4773"/>
    <w:rsid w:val="00DC7ECD"/>
    <w:rsid w:val="00DD09E0"/>
    <w:rsid w:val="00DD2297"/>
    <w:rsid w:val="00DD319A"/>
    <w:rsid w:val="00DD3840"/>
    <w:rsid w:val="00DD3A4D"/>
    <w:rsid w:val="00DD3F29"/>
    <w:rsid w:val="00DD406A"/>
    <w:rsid w:val="00DD43E1"/>
    <w:rsid w:val="00DD43F1"/>
    <w:rsid w:val="00DD49F9"/>
    <w:rsid w:val="00DD506E"/>
    <w:rsid w:val="00DD5CA1"/>
    <w:rsid w:val="00DD63BC"/>
    <w:rsid w:val="00DD6C3C"/>
    <w:rsid w:val="00DD7D85"/>
    <w:rsid w:val="00DE0704"/>
    <w:rsid w:val="00DE2BDB"/>
    <w:rsid w:val="00DE4B4D"/>
    <w:rsid w:val="00DE506D"/>
    <w:rsid w:val="00DE534F"/>
    <w:rsid w:val="00DE6570"/>
    <w:rsid w:val="00DF24B8"/>
    <w:rsid w:val="00DF4B13"/>
    <w:rsid w:val="00DF4B1A"/>
    <w:rsid w:val="00DF4B47"/>
    <w:rsid w:val="00DF4FC2"/>
    <w:rsid w:val="00DF5903"/>
    <w:rsid w:val="00DF62BD"/>
    <w:rsid w:val="00DF6C1E"/>
    <w:rsid w:val="00DF6E97"/>
    <w:rsid w:val="00DF7787"/>
    <w:rsid w:val="00E00FA9"/>
    <w:rsid w:val="00E014A8"/>
    <w:rsid w:val="00E01FA2"/>
    <w:rsid w:val="00E03CF0"/>
    <w:rsid w:val="00E04205"/>
    <w:rsid w:val="00E066A9"/>
    <w:rsid w:val="00E06BAA"/>
    <w:rsid w:val="00E121CD"/>
    <w:rsid w:val="00E12EBA"/>
    <w:rsid w:val="00E1402D"/>
    <w:rsid w:val="00E1422E"/>
    <w:rsid w:val="00E14BCF"/>
    <w:rsid w:val="00E15B3D"/>
    <w:rsid w:val="00E15C38"/>
    <w:rsid w:val="00E168DE"/>
    <w:rsid w:val="00E16944"/>
    <w:rsid w:val="00E16DD4"/>
    <w:rsid w:val="00E20ADB"/>
    <w:rsid w:val="00E20C0E"/>
    <w:rsid w:val="00E20C93"/>
    <w:rsid w:val="00E21DB2"/>
    <w:rsid w:val="00E22E0A"/>
    <w:rsid w:val="00E24014"/>
    <w:rsid w:val="00E244A9"/>
    <w:rsid w:val="00E27189"/>
    <w:rsid w:val="00E3000A"/>
    <w:rsid w:val="00E30BCA"/>
    <w:rsid w:val="00E30D81"/>
    <w:rsid w:val="00E32CFF"/>
    <w:rsid w:val="00E33A03"/>
    <w:rsid w:val="00E34774"/>
    <w:rsid w:val="00E35B44"/>
    <w:rsid w:val="00E36B83"/>
    <w:rsid w:val="00E37B56"/>
    <w:rsid w:val="00E37F5D"/>
    <w:rsid w:val="00E4003C"/>
    <w:rsid w:val="00E400E6"/>
    <w:rsid w:val="00E40DE2"/>
    <w:rsid w:val="00E4228A"/>
    <w:rsid w:val="00E42DBB"/>
    <w:rsid w:val="00E453FC"/>
    <w:rsid w:val="00E465CE"/>
    <w:rsid w:val="00E46647"/>
    <w:rsid w:val="00E46B1F"/>
    <w:rsid w:val="00E4769A"/>
    <w:rsid w:val="00E50F32"/>
    <w:rsid w:val="00E50FE1"/>
    <w:rsid w:val="00E53982"/>
    <w:rsid w:val="00E53CEE"/>
    <w:rsid w:val="00E5488D"/>
    <w:rsid w:val="00E560F3"/>
    <w:rsid w:val="00E56880"/>
    <w:rsid w:val="00E568FC"/>
    <w:rsid w:val="00E57758"/>
    <w:rsid w:val="00E600AB"/>
    <w:rsid w:val="00E60195"/>
    <w:rsid w:val="00E6035F"/>
    <w:rsid w:val="00E605A6"/>
    <w:rsid w:val="00E6121C"/>
    <w:rsid w:val="00E61A2A"/>
    <w:rsid w:val="00E62AEF"/>
    <w:rsid w:val="00E64297"/>
    <w:rsid w:val="00E64755"/>
    <w:rsid w:val="00E6530B"/>
    <w:rsid w:val="00E65497"/>
    <w:rsid w:val="00E65A36"/>
    <w:rsid w:val="00E674FF"/>
    <w:rsid w:val="00E67778"/>
    <w:rsid w:val="00E7015F"/>
    <w:rsid w:val="00E724BD"/>
    <w:rsid w:val="00E737AF"/>
    <w:rsid w:val="00E751B7"/>
    <w:rsid w:val="00E755B2"/>
    <w:rsid w:val="00E75D5C"/>
    <w:rsid w:val="00E76C7E"/>
    <w:rsid w:val="00E77F7D"/>
    <w:rsid w:val="00E83013"/>
    <w:rsid w:val="00E84A46"/>
    <w:rsid w:val="00E84B77"/>
    <w:rsid w:val="00E85698"/>
    <w:rsid w:val="00E8579F"/>
    <w:rsid w:val="00E85873"/>
    <w:rsid w:val="00E86690"/>
    <w:rsid w:val="00E9009B"/>
    <w:rsid w:val="00E9039E"/>
    <w:rsid w:val="00E906FC"/>
    <w:rsid w:val="00E90706"/>
    <w:rsid w:val="00E91FC9"/>
    <w:rsid w:val="00E92055"/>
    <w:rsid w:val="00E93113"/>
    <w:rsid w:val="00E93C6E"/>
    <w:rsid w:val="00E93C99"/>
    <w:rsid w:val="00E93F95"/>
    <w:rsid w:val="00E95D7E"/>
    <w:rsid w:val="00E9610D"/>
    <w:rsid w:val="00E9697B"/>
    <w:rsid w:val="00EA0C09"/>
    <w:rsid w:val="00EA0C7B"/>
    <w:rsid w:val="00EA2673"/>
    <w:rsid w:val="00EA2E0B"/>
    <w:rsid w:val="00EA4462"/>
    <w:rsid w:val="00EA51AA"/>
    <w:rsid w:val="00EA52D2"/>
    <w:rsid w:val="00EA5595"/>
    <w:rsid w:val="00EA5610"/>
    <w:rsid w:val="00EA58EE"/>
    <w:rsid w:val="00EA6083"/>
    <w:rsid w:val="00EA63BA"/>
    <w:rsid w:val="00EA678D"/>
    <w:rsid w:val="00EA6790"/>
    <w:rsid w:val="00EA6F42"/>
    <w:rsid w:val="00EB1596"/>
    <w:rsid w:val="00EB186D"/>
    <w:rsid w:val="00EB1C25"/>
    <w:rsid w:val="00EB2367"/>
    <w:rsid w:val="00EB26E3"/>
    <w:rsid w:val="00EB3153"/>
    <w:rsid w:val="00EB445E"/>
    <w:rsid w:val="00EB50AF"/>
    <w:rsid w:val="00EB6875"/>
    <w:rsid w:val="00EB748B"/>
    <w:rsid w:val="00EB798D"/>
    <w:rsid w:val="00EC0995"/>
    <w:rsid w:val="00EC1495"/>
    <w:rsid w:val="00EC1631"/>
    <w:rsid w:val="00EC2254"/>
    <w:rsid w:val="00EC269A"/>
    <w:rsid w:val="00EC2B50"/>
    <w:rsid w:val="00EC5152"/>
    <w:rsid w:val="00EC7C2C"/>
    <w:rsid w:val="00ED0305"/>
    <w:rsid w:val="00ED0ECC"/>
    <w:rsid w:val="00ED1DBD"/>
    <w:rsid w:val="00ED292A"/>
    <w:rsid w:val="00ED33D4"/>
    <w:rsid w:val="00ED3C10"/>
    <w:rsid w:val="00ED4C24"/>
    <w:rsid w:val="00ED6D64"/>
    <w:rsid w:val="00ED7A5E"/>
    <w:rsid w:val="00EE0884"/>
    <w:rsid w:val="00EE1183"/>
    <w:rsid w:val="00EE148F"/>
    <w:rsid w:val="00EE2529"/>
    <w:rsid w:val="00EE28AB"/>
    <w:rsid w:val="00EE3D88"/>
    <w:rsid w:val="00EE48AB"/>
    <w:rsid w:val="00EE5153"/>
    <w:rsid w:val="00EE6166"/>
    <w:rsid w:val="00EE6795"/>
    <w:rsid w:val="00EE6BE3"/>
    <w:rsid w:val="00EE7901"/>
    <w:rsid w:val="00EE7DAF"/>
    <w:rsid w:val="00EF1B23"/>
    <w:rsid w:val="00EF1BBD"/>
    <w:rsid w:val="00EF25EC"/>
    <w:rsid w:val="00EF3513"/>
    <w:rsid w:val="00EF35FD"/>
    <w:rsid w:val="00EF4571"/>
    <w:rsid w:val="00EF539B"/>
    <w:rsid w:val="00EF58D1"/>
    <w:rsid w:val="00EF5C41"/>
    <w:rsid w:val="00EF5D59"/>
    <w:rsid w:val="00EF6E44"/>
    <w:rsid w:val="00EF74F0"/>
    <w:rsid w:val="00EF7A85"/>
    <w:rsid w:val="00F0061E"/>
    <w:rsid w:val="00F0080E"/>
    <w:rsid w:val="00F0192A"/>
    <w:rsid w:val="00F01E78"/>
    <w:rsid w:val="00F02522"/>
    <w:rsid w:val="00F0285B"/>
    <w:rsid w:val="00F02DDF"/>
    <w:rsid w:val="00F06630"/>
    <w:rsid w:val="00F070F1"/>
    <w:rsid w:val="00F075F1"/>
    <w:rsid w:val="00F122D0"/>
    <w:rsid w:val="00F17026"/>
    <w:rsid w:val="00F17F04"/>
    <w:rsid w:val="00F22028"/>
    <w:rsid w:val="00F221E3"/>
    <w:rsid w:val="00F22282"/>
    <w:rsid w:val="00F22918"/>
    <w:rsid w:val="00F2454B"/>
    <w:rsid w:val="00F24C1C"/>
    <w:rsid w:val="00F25687"/>
    <w:rsid w:val="00F25901"/>
    <w:rsid w:val="00F3061A"/>
    <w:rsid w:val="00F312BB"/>
    <w:rsid w:val="00F317B7"/>
    <w:rsid w:val="00F32165"/>
    <w:rsid w:val="00F329F2"/>
    <w:rsid w:val="00F33E92"/>
    <w:rsid w:val="00F34E9D"/>
    <w:rsid w:val="00F35BED"/>
    <w:rsid w:val="00F37230"/>
    <w:rsid w:val="00F3742E"/>
    <w:rsid w:val="00F414EA"/>
    <w:rsid w:val="00F41723"/>
    <w:rsid w:val="00F42029"/>
    <w:rsid w:val="00F436C4"/>
    <w:rsid w:val="00F43BEF"/>
    <w:rsid w:val="00F43BF5"/>
    <w:rsid w:val="00F4458E"/>
    <w:rsid w:val="00F462A5"/>
    <w:rsid w:val="00F46D64"/>
    <w:rsid w:val="00F478AF"/>
    <w:rsid w:val="00F47E3F"/>
    <w:rsid w:val="00F503A0"/>
    <w:rsid w:val="00F50707"/>
    <w:rsid w:val="00F51290"/>
    <w:rsid w:val="00F51646"/>
    <w:rsid w:val="00F52696"/>
    <w:rsid w:val="00F526CB"/>
    <w:rsid w:val="00F5275F"/>
    <w:rsid w:val="00F52AF4"/>
    <w:rsid w:val="00F52FA2"/>
    <w:rsid w:val="00F53424"/>
    <w:rsid w:val="00F536DB"/>
    <w:rsid w:val="00F546FC"/>
    <w:rsid w:val="00F54ECE"/>
    <w:rsid w:val="00F55A0D"/>
    <w:rsid w:val="00F55A18"/>
    <w:rsid w:val="00F55F06"/>
    <w:rsid w:val="00F56174"/>
    <w:rsid w:val="00F57550"/>
    <w:rsid w:val="00F57931"/>
    <w:rsid w:val="00F57BF1"/>
    <w:rsid w:val="00F603AD"/>
    <w:rsid w:val="00F6072D"/>
    <w:rsid w:val="00F60F3E"/>
    <w:rsid w:val="00F61456"/>
    <w:rsid w:val="00F6160F"/>
    <w:rsid w:val="00F626BD"/>
    <w:rsid w:val="00F62E1D"/>
    <w:rsid w:val="00F62EDC"/>
    <w:rsid w:val="00F63076"/>
    <w:rsid w:val="00F63778"/>
    <w:rsid w:val="00F637CA"/>
    <w:rsid w:val="00F63CEA"/>
    <w:rsid w:val="00F63E10"/>
    <w:rsid w:val="00F653CA"/>
    <w:rsid w:val="00F66732"/>
    <w:rsid w:val="00F67B3E"/>
    <w:rsid w:val="00F67CF9"/>
    <w:rsid w:val="00F70360"/>
    <w:rsid w:val="00F705F6"/>
    <w:rsid w:val="00F71A3E"/>
    <w:rsid w:val="00F71ECA"/>
    <w:rsid w:val="00F731A4"/>
    <w:rsid w:val="00F75386"/>
    <w:rsid w:val="00F77CCD"/>
    <w:rsid w:val="00F80FBA"/>
    <w:rsid w:val="00F811FE"/>
    <w:rsid w:val="00F812D2"/>
    <w:rsid w:val="00F814F9"/>
    <w:rsid w:val="00F827B4"/>
    <w:rsid w:val="00F8321D"/>
    <w:rsid w:val="00F837AF"/>
    <w:rsid w:val="00F83C6A"/>
    <w:rsid w:val="00F84364"/>
    <w:rsid w:val="00F84B0C"/>
    <w:rsid w:val="00F8791F"/>
    <w:rsid w:val="00F908F0"/>
    <w:rsid w:val="00F926F7"/>
    <w:rsid w:val="00F94153"/>
    <w:rsid w:val="00F94ABD"/>
    <w:rsid w:val="00F95D18"/>
    <w:rsid w:val="00F97BFB"/>
    <w:rsid w:val="00FA0089"/>
    <w:rsid w:val="00FA0DB8"/>
    <w:rsid w:val="00FA1935"/>
    <w:rsid w:val="00FA1C64"/>
    <w:rsid w:val="00FA24EE"/>
    <w:rsid w:val="00FA3D94"/>
    <w:rsid w:val="00FA451E"/>
    <w:rsid w:val="00FA4571"/>
    <w:rsid w:val="00FA471A"/>
    <w:rsid w:val="00FA6340"/>
    <w:rsid w:val="00FA6BFA"/>
    <w:rsid w:val="00FB1108"/>
    <w:rsid w:val="00FB23B7"/>
    <w:rsid w:val="00FB2C95"/>
    <w:rsid w:val="00FB39AC"/>
    <w:rsid w:val="00FB4109"/>
    <w:rsid w:val="00FB4701"/>
    <w:rsid w:val="00FB5B24"/>
    <w:rsid w:val="00FB5DAA"/>
    <w:rsid w:val="00FB71F6"/>
    <w:rsid w:val="00FB731D"/>
    <w:rsid w:val="00FB7B56"/>
    <w:rsid w:val="00FC045E"/>
    <w:rsid w:val="00FC18E5"/>
    <w:rsid w:val="00FC27EB"/>
    <w:rsid w:val="00FC2AD0"/>
    <w:rsid w:val="00FC35A8"/>
    <w:rsid w:val="00FC433F"/>
    <w:rsid w:val="00FC4A87"/>
    <w:rsid w:val="00FC4AFC"/>
    <w:rsid w:val="00FC54E8"/>
    <w:rsid w:val="00FC5B49"/>
    <w:rsid w:val="00FD0895"/>
    <w:rsid w:val="00FD0B04"/>
    <w:rsid w:val="00FD0D20"/>
    <w:rsid w:val="00FD1858"/>
    <w:rsid w:val="00FD1ABF"/>
    <w:rsid w:val="00FD1FB5"/>
    <w:rsid w:val="00FD246E"/>
    <w:rsid w:val="00FD248B"/>
    <w:rsid w:val="00FD25E9"/>
    <w:rsid w:val="00FD325A"/>
    <w:rsid w:val="00FD3882"/>
    <w:rsid w:val="00FD3D99"/>
    <w:rsid w:val="00FD493C"/>
    <w:rsid w:val="00FD4F4D"/>
    <w:rsid w:val="00FD51EE"/>
    <w:rsid w:val="00FD538E"/>
    <w:rsid w:val="00FD5470"/>
    <w:rsid w:val="00FD6A6B"/>
    <w:rsid w:val="00FD6A90"/>
    <w:rsid w:val="00FD70F7"/>
    <w:rsid w:val="00FD75F4"/>
    <w:rsid w:val="00FD7FB9"/>
    <w:rsid w:val="00FE0CD1"/>
    <w:rsid w:val="00FE1D47"/>
    <w:rsid w:val="00FE2139"/>
    <w:rsid w:val="00FE30E3"/>
    <w:rsid w:val="00FE31BC"/>
    <w:rsid w:val="00FE4566"/>
    <w:rsid w:val="00FE4DD4"/>
    <w:rsid w:val="00FE5D3F"/>
    <w:rsid w:val="00FE5EED"/>
    <w:rsid w:val="00FE6519"/>
    <w:rsid w:val="00FE73C0"/>
    <w:rsid w:val="00FF008F"/>
    <w:rsid w:val="00FF0775"/>
    <w:rsid w:val="00FF12EB"/>
    <w:rsid w:val="00FF14FB"/>
    <w:rsid w:val="00FF2518"/>
    <w:rsid w:val="00FF25A8"/>
    <w:rsid w:val="00FF2C1A"/>
    <w:rsid w:val="00FF2CB6"/>
    <w:rsid w:val="00FF30C9"/>
    <w:rsid w:val="00FF3CDE"/>
    <w:rsid w:val="00FF3FC4"/>
    <w:rsid w:val="00FF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7F86D"/>
  <w15:chartTrackingRefBased/>
  <w15:docId w15:val="{0B31C467-4657-42A6-B463-C3F80869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EE9"/>
    <w:rPr>
      <w:sz w:val="24"/>
      <w:szCs w:val="24"/>
    </w:rPr>
  </w:style>
  <w:style w:type="paragraph" w:styleId="Heading1">
    <w:name w:val="heading 1"/>
    <w:basedOn w:val="Normal"/>
    <w:next w:val="Normal"/>
    <w:qFormat/>
    <w:rsid w:val="005F7DD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F7D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F7D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F7DD3"/>
    <w:pPr>
      <w:keepNext/>
      <w:numPr>
        <w:ilvl w:val="3"/>
        <w:numId w:val="1"/>
      </w:numPr>
      <w:spacing w:before="240" w:after="60"/>
      <w:outlineLvl w:val="3"/>
    </w:pPr>
    <w:rPr>
      <w:b/>
      <w:bCs/>
      <w:sz w:val="28"/>
      <w:szCs w:val="28"/>
    </w:rPr>
  </w:style>
  <w:style w:type="paragraph" w:styleId="Heading5">
    <w:name w:val="heading 5"/>
    <w:basedOn w:val="Normal"/>
    <w:next w:val="Normal"/>
    <w:qFormat/>
    <w:rsid w:val="005F7DD3"/>
    <w:pPr>
      <w:numPr>
        <w:ilvl w:val="4"/>
        <w:numId w:val="1"/>
      </w:numPr>
      <w:spacing w:before="240" w:after="60"/>
      <w:outlineLvl w:val="4"/>
    </w:pPr>
    <w:rPr>
      <w:b/>
      <w:bCs/>
      <w:i/>
      <w:iCs/>
      <w:sz w:val="26"/>
      <w:szCs w:val="26"/>
    </w:rPr>
  </w:style>
  <w:style w:type="paragraph" w:styleId="Heading6">
    <w:name w:val="heading 6"/>
    <w:basedOn w:val="Normal"/>
    <w:next w:val="Normal"/>
    <w:qFormat/>
    <w:rsid w:val="005F7DD3"/>
    <w:pPr>
      <w:numPr>
        <w:ilvl w:val="5"/>
        <w:numId w:val="1"/>
      </w:numPr>
      <w:spacing w:before="240" w:after="60"/>
      <w:outlineLvl w:val="5"/>
    </w:pPr>
    <w:rPr>
      <w:b/>
      <w:bCs/>
      <w:sz w:val="22"/>
      <w:szCs w:val="22"/>
    </w:rPr>
  </w:style>
  <w:style w:type="paragraph" w:styleId="Heading7">
    <w:name w:val="heading 7"/>
    <w:basedOn w:val="Normal"/>
    <w:next w:val="Normal"/>
    <w:qFormat/>
    <w:rsid w:val="005F7DD3"/>
    <w:pPr>
      <w:numPr>
        <w:ilvl w:val="6"/>
        <w:numId w:val="1"/>
      </w:numPr>
      <w:spacing w:before="240" w:after="60"/>
      <w:outlineLvl w:val="6"/>
    </w:pPr>
  </w:style>
  <w:style w:type="paragraph" w:styleId="Heading8">
    <w:name w:val="heading 8"/>
    <w:basedOn w:val="Normal"/>
    <w:next w:val="Normal"/>
    <w:qFormat/>
    <w:rsid w:val="005F7DD3"/>
    <w:pPr>
      <w:numPr>
        <w:ilvl w:val="7"/>
        <w:numId w:val="1"/>
      </w:numPr>
      <w:spacing w:before="240" w:after="60"/>
      <w:outlineLvl w:val="7"/>
    </w:pPr>
    <w:rPr>
      <w:i/>
      <w:iCs/>
    </w:rPr>
  </w:style>
  <w:style w:type="paragraph" w:styleId="Heading9">
    <w:name w:val="heading 9"/>
    <w:basedOn w:val="Normal"/>
    <w:next w:val="Normal"/>
    <w:qFormat/>
    <w:rsid w:val="005F7D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7DD3"/>
    <w:pPr>
      <w:jc w:val="center"/>
    </w:pPr>
    <w:rPr>
      <w:rFonts w:ascii="Arial" w:hAnsi="Arial" w:cs="Arial"/>
      <w:b/>
      <w:lang w:val="en-US" w:eastAsia="en-US"/>
    </w:rPr>
  </w:style>
  <w:style w:type="paragraph" w:styleId="Header">
    <w:name w:val="header"/>
    <w:basedOn w:val="Normal"/>
    <w:link w:val="HeaderChar"/>
    <w:rsid w:val="00615607"/>
    <w:pPr>
      <w:tabs>
        <w:tab w:val="center" w:pos="4513"/>
        <w:tab w:val="right" w:pos="9026"/>
      </w:tabs>
    </w:pPr>
  </w:style>
  <w:style w:type="character" w:customStyle="1" w:styleId="HeaderChar">
    <w:name w:val="Header Char"/>
    <w:link w:val="Header"/>
    <w:rsid w:val="00615607"/>
    <w:rPr>
      <w:sz w:val="24"/>
      <w:szCs w:val="24"/>
    </w:rPr>
  </w:style>
  <w:style w:type="paragraph" w:styleId="Footer">
    <w:name w:val="footer"/>
    <w:basedOn w:val="Normal"/>
    <w:link w:val="FooterChar"/>
    <w:uiPriority w:val="99"/>
    <w:rsid w:val="00615607"/>
    <w:pPr>
      <w:tabs>
        <w:tab w:val="center" w:pos="4513"/>
        <w:tab w:val="right" w:pos="9026"/>
      </w:tabs>
    </w:pPr>
  </w:style>
  <w:style w:type="character" w:customStyle="1" w:styleId="FooterChar">
    <w:name w:val="Footer Char"/>
    <w:link w:val="Footer"/>
    <w:uiPriority w:val="99"/>
    <w:rsid w:val="00615607"/>
    <w:rPr>
      <w:sz w:val="24"/>
      <w:szCs w:val="24"/>
    </w:rPr>
  </w:style>
  <w:style w:type="character" w:styleId="CommentReference">
    <w:name w:val="annotation reference"/>
    <w:rsid w:val="004A0BDF"/>
    <w:rPr>
      <w:sz w:val="16"/>
      <w:szCs w:val="16"/>
    </w:rPr>
  </w:style>
  <w:style w:type="paragraph" w:styleId="CommentText">
    <w:name w:val="annotation text"/>
    <w:basedOn w:val="Normal"/>
    <w:link w:val="CommentTextChar"/>
    <w:rsid w:val="004A0BDF"/>
    <w:rPr>
      <w:sz w:val="20"/>
      <w:szCs w:val="20"/>
    </w:rPr>
  </w:style>
  <w:style w:type="character" w:customStyle="1" w:styleId="CommentTextChar">
    <w:name w:val="Comment Text Char"/>
    <w:basedOn w:val="DefaultParagraphFont"/>
    <w:link w:val="CommentText"/>
    <w:rsid w:val="004A0BDF"/>
  </w:style>
  <w:style w:type="paragraph" w:styleId="CommentSubject">
    <w:name w:val="annotation subject"/>
    <w:basedOn w:val="CommentText"/>
    <w:next w:val="CommentText"/>
    <w:link w:val="CommentSubjectChar"/>
    <w:rsid w:val="004A0BDF"/>
    <w:rPr>
      <w:b/>
      <w:bCs/>
    </w:rPr>
  </w:style>
  <w:style w:type="character" w:customStyle="1" w:styleId="CommentSubjectChar">
    <w:name w:val="Comment Subject Char"/>
    <w:link w:val="CommentSubject"/>
    <w:rsid w:val="004A0BDF"/>
    <w:rPr>
      <w:b/>
      <w:bCs/>
    </w:rPr>
  </w:style>
  <w:style w:type="paragraph" w:styleId="BalloonText">
    <w:name w:val="Balloon Text"/>
    <w:basedOn w:val="Normal"/>
    <w:link w:val="BalloonTextChar"/>
    <w:rsid w:val="004A0BDF"/>
    <w:rPr>
      <w:rFonts w:ascii="Tahoma" w:hAnsi="Tahoma" w:cs="Tahoma"/>
      <w:sz w:val="16"/>
      <w:szCs w:val="16"/>
    </w:rPr>
  </w:style>
  <w:style w:type="character" w:customStyle="1" w:styleId="BalloonTextChar">
    <w:name w:val="Balloon Text Char"/>
    <w:link w:val="BalloonText"/>
    <w:rsid w:val="004A0BDF"/>
    <w:rPr>
      <w:rFonts w:ascii="Tahoma" w:hAnsi="Tahoma" w:cs="Tahoma"/>
      <w:sz w:val="16"/>
      <w:szCs w:val="16"/>
    </w:rPr>
  </w:style>
  <w:style w:type="paragraph" w:styleId="ListParagraph">
    <w:name w:val="List Paragraph"/>
    <w:basedOn w:val="Normal"/>
    <w:uiPriority w:val="34"/>
    <w:qFormat/>
    <w:rsid w:val="0081114E"/>
    <w:pPr>
      <w:ind w:left="720"/>
    </w:pPr>
  </w:style>
  <w:style w:type="character" w:styleId="Hyperlink">
    <w:name w:val="Hyperlink"/>
    <w:rsid w:val="007D1EE9"/>
    <w:rPr>
      <w:color w:val="0000FF"/>
      <w:u w:val="single"/>
    </w:rPr>
  </w:style>
  <w:style w:type="table" w:styleId="TableGrid">
    <w:name w:val="Table Grid"/>
    <w:basedOn w:val="TableNormal"/>
    <w:uiPriority w:val="59"/>
    <w:unhideWhenUsed/>
    <w:rsid w:val="00A26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2688</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16776</CharactersWithSpaces>
  <SharedDoc>false</SharedDoc>
  <HLinks>
    <vt:vector size="6" baseType="variant">
      <vt:variant>
        <vt:i4>3145842</vt:i4>
      </vt:variant>
      <vt:variant>
        <vt:i4>0</vt:i4>
      </vt:variant>
      <vt:variant>
        <vt:i4>0</vt:i4>
      </vt:variant>
      <vt:variant>
        <vt:i4>5</vt:i4>
      </vt:variant>
      <vt:variant>
        <vt:lpwstr>http://obmhintranet.obmh.nhs.uk/TR/brand/Pages/default.aspx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Smith Hannah (RNU) Oxford Health</cp:lastModifiedBy>
  <cp:revision>3</cp:revision>
  <dcterms:created xsi:type="dcterms:W3CDTF">2023-03-20T14:02:00Z</dcterms:created>
  <dcterms:modified xsi:type="dcterms:W3CDTF">2023-03-22T12:59:00Z</dcterms:modified>
</cp:coreProperties>
</file>