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507"/>
      </w:tblGrid>
      <w:tr w:rsidR="00CF25F3" w:rsidRPr="00CD5E28" w14:paraId="579D6EA9" w14:textId="77777777" w:rsidTr="586E5A5E">
        <w:trPr>
          <w:trHeight w:val="337"/>
        </w:trPr>
        <w:tc>
          <w:tcPr>
            <w:tcW w:w="10507" w:type="dxa"/>
            <w:shd w:val="clear" w:color="auto" w:fill="0070C0"/>
          </w:tcPr>
          <w:p w14:paraId="4E734238" w14:textId="77777777" w:rsidR="007A44E1" w:rsidRDefault="00F63ED8" w:rsidP="00CE2C97">
            <w:pPr>
              <w:ind w:left="1171" w:hanging="1171"/>
              <w:jc w:val="center"/>
              <w:rPr>
                <w:color w:val="FFFFFF" w:themeColor="background1"/>
                <w:sz w:val="28"/>
                <w:szCs w:val="28"/>
              </w:rPr>
            </w:pPr>
            <w:r>
              <w:rPr>
                <w:color w:val="FFFFFF" w:themeColor="background1"/>
                <w:sz w:val="28"/>
                <w:szCs w:val="28"/>
              </w:rPr>
              <w:t xml:space="preserve">Referral </w:t>
            </w:r>
            <w:r w:rsidR="008B3F27">
              <w:rPr>
                <w:color w:val="FFFFFF" w:themeColor="background1"/>
                <w:sz w:val="28"/>
                <w:szCs w:val="28"/>
              </w:rPr>
              <w:t xml:space="preserve">Process &amp; Criteria </w:t>
            </w:r>
          </w:p>
          <w:p w14:paraId="7DBB4170" w14:textId="695DCC4B" w:rsidR="00397081" w:rsidRDefault="008B3F27" w:rsidP="00CE2C97">
            <w:pPr>
              <w:ind w:left="1171" w:hanging="1171"/>
              <w:jc w:val="center"/>
              <w:rPr>
                <w:color w:val="FFFFFF" w:themeColor="background1"/>
                <w:sz w:val="28"/>
                <w:szCs w:val="28"/>
              </w:rPr>
            </w:pPr>
            <w:r>
              <w:rPr>
                <w:color w:val="FFFFFF" w:themeColor="background1"/>
                <w:sz w:val="28"/>
                <w:szCs w:val="28"/>
              </w:rPr>
              <w:t xml:space="preserve">(Forensic </w:t>
            </w:r>
            <w:r w:rsidR="007A44E1">
              <w:rPr>
                <w:color w:val="FFFFFF" w:themeColor="background1"/>
                <w:sz w:val="28"/>
                <w:szCs w:val="28"/>
              </w:rPr>
              <w:t>I</w:t>
            </w:r>
            <w:r>
              <w:rPr>
                <w:color w:val="FFFFFF" w:themeColor="background1"/>
                <w:sz w:val="28"/>
                <w:szCs w:val="28"/>
              </w:rPr>
              <w:t>npatient and Community Service</w:t>
            </w:r>
            <w:r w:rsidR="00C45198">
              <w:rPr>
                <w:color w:val="FFFFFF" w:themeColor="background1"/>
                <w:sz w:val="28"/>
                <w:szCs w:val="28"/>
              </w:rPr>
              <w:t xml:space="preserve">s </w:t>
            </w:r>
          </w:p>
          <w:p w14:paraId="315CFE88" w14:textId="09F87511" w:rsidR="00CF25F3" w:rsidRPr="00CE2C97" w:rsidRDefault="00C45198" w:rsidP="00CE2C97">
            <w:pPr>
              <w:ind w:left="1171" w:hanging="1171"/>
              <w:jc w:val="center"/>
              <w:rPr>
                <w:color w:val="FFFFFF" w:themeColor="background1"/>
                <w:sz w:val="28"/>
                <w:szCs w:val="28"/>
              </w:rPr>
            </w:pPr>
            <w:r>
              <w:rPr>
                <w:color w:val="FFFFFF" w:themeColor="background1"/>
                <w:sz w:val="28"/>
                <w:szCs w:val="28"/>
              </w:rPr>
              <w:t>&amp;</w:t>
            </w:r>
            <w:r w:rsidR="00CE2C97">
              <w:rPr>
                <w:color w:val="FFFFFF" w:themeColor="background1"/>
                <w:sz w:val="28"/>
                <w:szCs w:val="28"/>
              </w:rPr>
              <w:t xml:space="preserve"> </w:t>
            </w:r>
            <w:r>
              <w:rPr>
                <w:color w:val="FFFFFF" w:themeColor="background1"/>
                <w:sz w:val="28"/>
                <w:szCs w:val="28"/>
              </w:rPr>
              <w:t>Thames Valley Pathfinder Service</w:t>
            </w:r>
            <w:r w:rsidR="007A44E1">
              <w:rPr>
                <w:color w:val="FFFFFF" w:themeColor="background1"/>
                <w:sz w:val="28"/>
                <w:szCs w:val="28"/>
              </w:rPr>
              <w:t>)</w:t>
            </w:r>
          </w:p>
        </w:tc>
      </w:tr>
    </w:tbl>
    <w:p w14:paraId="1412E08F" w14:textId="333D95CE" w:rsidR="00CF25F3" w:rsidRDefault="00CF25F3" w:rsidP="00CD5E28">
      <w:pPr>
        <w:rPr>
          <w:rFonts w:ascii="Arial" w:hAnsi="Arial" w:cs="Arial"/>
        </w:rPr>
      </w:pPr>
    </w:p>
    <w:tbl>
      <w:tblPr>
        <w:tblpPr w:leftFromText="180" w:rightFromText="180" w:vertAnchor="text" w:horzAnchor="margin" w:tblpY="-1"/>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467"/>
      </w:tblGrid>
      <w:tr w:rsidR="00CF25F3" w:rsidRPr="008841EA" w14:paraId="2D6A21E2" w14:textId="77777777" w:rsidTr="00953E45">
        <w:trPr>
          <w:trHeight w:val="258"/>
        </w:trPr>
        <w:tc>
          <w:tcPr>
            <w:tcW w:w="10467" w:type="dxa"/>
            <w:shd w:val="clear" w:color="auto" w:fill="FFFFFF" w:themeFill="background1"/>
          </w:tcPr>
          <w:p w14:paraId="55D026B7" w14:textId="2983B003" w:rsidR="00CF25F3" w:rsidRPr="00CD5E28" w:rsidRDefault="00CF25F3" w:rsidP="00953E45">
            <w:pPr>
              <w:pStyle w:val="Heading5"/>
              <w:jc w:val="center"/>
              <w:rPr>
                <w:rFonts w:cs="Arial"/>
              </w:rPr>
            </w:pPr>
            <w:r w:rsidRPr="00CD5E28">
              <w:rPr>
                <w:rFonts w:cs="Arial"/>
              </w:rPr>
              <w:t xml:space="preserve">This </w:t>
            </w:r>
            <w:r w:rsidRPr="1556C7C0">
              <w:rPr>
                <w:rFonts w:cs="Arial"/>
              </w:rPr>
              <w:t>P</w:t>
            </w:r>
            <w:r w:rsidR="38AC8105" w:rsidRPr="1556C7C0">
              <w:rPr>
                <w:rFonts w:cs="Arial"/>
              </w:rPr>
              <w:t>rocedure</w:t>
            </w:r>
            <w:r w:rsidRPr="008841EA">
              <w:rPr>
                <w:rFonts w:cs="Arial"/>
              </w:rPr>
              <w:t xml:space="preserve"> Applies To:</w:t>
            </w:r>
            <w:r>
              <w:rPr>
                <w:rFonts w:cs="Arial"/>
              </w:rPr>
              <w:t xml:space="preserve"> </w:t>
            </w:r>
            <w:r w:rsidR="00F63ED8">
              <w:rPr>
                <w:rFonts w:cs="Arial"/>
              </w:rPr>
              <w:t xml:space="preserve">Thames Valley Forensic Service </w:t>
            </w:r>
          </w:p>
        </w:tc>
      </w:tr>
      <w:tr w:rsidR="00CF25F3" w:rsidRPr="008841EA" w14:paraId="0A15E978" w14:textId="77777777" w:rsidTr="00953E45">
        <w:trPr>
          <w:trHeight w:val="93"/>
        </w:trPr>
        <w:tc>
          <w:tcPr>
            <w:tcW w:w="10467" w:type="dxa"/>
            <w:shd w:val="clear" w:color="auto" w:fill="FFFFFF" w:themeFill="background1"/>
          </w:tcPr>
          <w:p w14:paraId="5BA2A80D" w14:textId="26D9C786" w:rsidR="00CF25F3" w:rsidRPr="00CD5E28" w:rsidRDefault="00CF25F3" w:rsidP="00357C91">
            <w:pPr>
              <w:pStyle w:val="Heading5"/>
              <w:jc w:val="center"/>
              <w:rPr>
                <w:rFonts w:cs="Arial"/>
              </w:rPr>
            </w:pPr>
          </w:p>
        </w:tc>
      </w:tr>
    </w:tbl>
    <w:p w14:paraId="17817B2D" w14:textId="77777777" w:rsidR="00CF25F3" w:rsidRPr="008841EA" w:rsidRDefault="00CF25F3" w:rsidP="00CD5E28">
      <w:pPr>
        <w:rPr>
          <w:rFonts w:ascii="Arial" w:hAnsi="Arial" w:cs="Arial"/>
        </w:rPr>
      </w:pPr>
    </w:p>
    <w:tbl>
      <w:tblPr>
        <w:tblStyle w:val="TableGrid"/>
        <w:tblW w:w="10472" w:type="dxa"/>
        <w:tblLook w:val="04A0" w:firstRow="1" w:lastRow="0" w:firstColumn="1" w:lastColumn="0" w:noHBand="0" w:noVBand="1"/>
      </w:tblPr>
      <w:tblGrid>
        <w:gridCol w:w="1519"/>
        <w:gridCol w:w="2445"/>
        <w:gridCol w:w="2977"/>
        <w:gridCol w:w="1765"/>
        <w:gridCol w:w="1766"/>
      </w:tblGrid>
      <w:tr w:rsidR="00641116" w:rsidRPr="005A0C04" w14:paraId="294EB357" w14:textId="22F00D71" w:rsidTr="5FCDA21B">
        <w:trPr>
          <w:trHeight w:val="415"/>
        </w:trPr>
        <w:tc>
          <w:tcPr>
            <w:tcW w:w="1519" w:type="dxa"/>
          </w:tcPr>
          <w:p w14:paraId="60624845" w14:textId="77777777" w:rsidR="00641116" w:rsidRPr="005A0C04" w:rsidRDefault="00641116" w:rsidP="00A147FB">
            <w:pPr>
              <w:spacing w:after="0"/>
              <w:jc w:val="center"/>
              <w:rPr>
                <w:rFonts w:ascii="Arial" w:hAnsi="Arial" w:cs="Arial"/>
                <w:b/>
                <w:bCs/>
                <w:sz w:val="24"/>
                <w:szCs w:val="24"/>
              </w:rPr>
            </w:pPr>
          </w:p>
        </w:tc>
        <w:tc>
          <w:tcPr>
            <w:tcW w:w="2445" w:type="dxa"/>
          </w:tcPr>
          <w:p w14:paraId="357B6EC9" w14:textId="5AE157B4" w:rsidR="00641116" w:rsidRPr="005A0C04" w:rsidRDefault="00641116" w:rsidP="00A147FB">
            <w:pPr>
              <w:spacing w:after="0"/>
              <w:jc w:val="center"/>
              <w:rPr>
                <w:rFonts w:ascii="Arial" w:hAnsi="Arial" w:cs="Arial"/>
                <w:b/>
                <w:bCs/>
                <w:sz w:val="24"/>
                <w:szCs w:val="24"/>
              </w:rPr>
            </w:pPr>
            <w:r w:rsidRPr="005A0C04">
              <w:rPr>
                <w:rFonts w:ascii="Arial" w:hAnsi="Arial" w:cs="Arial"/>
                <w:b/>
                <w:bCs/>
                <w:sz w:val="24"/>
                <w:szCs w:val="24"/>
              </w:rPr>
              <w:t>Name</w:t>
            </w:r>
          </w:p>
        </w:tc>
        <w:tc>
          <w:tcPr>
            <w:tcW w:w="2977" w:type="dxa"/>
          </w:tcPr>
          <w:p w14:paraId="5B55E830" w14:textId="2E9B05F8" w:rsidR="00641116" w:rsidRPr="005A0C04" w:rsidRDefault="00641116" w:rsidP="00A147FB">
            <w:pPr>
              <w:spacing w:after="0"/>
              <w:jc w:val="center"/>
              <w:rPr>
                <w:rFonts w:ascii="Arial" w:hAnsi="Arial" w:cs="Arial"/>
                <w:b/>
                <w:bCs/>
                <w:sz w:val="24"/>
                <w:szCs w:val="24"/>
              </w:rPr>
            </w:pPr>
            <w:r w:rsidRPr="005A0C04">
              <w:rPr>
                <w:rFonts w:ascii="Arial" w:hAnsi="Arial" w:cs="Arial"/>
                <w:b/>
                <w:bCs/>
                <w:sz w:val="24"/>
                <w:szCs w:val="24"/>
              </w:rPr>
              <w:t>Title</w:t>
            </w:r>
          </w:p>
        </w:tc>
        <w:tc>
          <w:tcPr>
            <w:tcW w:w="1765" w:type="dxa"/>
          </w:tcPr>
          <w:p w14:paraId="09B96B1B" w14:textId="55FD7BCA" w:rsidR="00641116" w:rsidRPr="005A0C04" w:rsidRDefault="00641116" w:rsidP="00A147FB">
            <w:pPr>
              <w:spacing w:after="0"/>
              <w:jc w:val="center"/>
              <w:rPr>
                <w:rFonts w:ascii="Arial" w:hAnsi="Arial" w:cs="Arial"/>
                <w:b/>
                <w:bCs/>
                <w:sz w:val="24"/>
                <w:szCs w:val="24"/>
              </w:rPr>
            </w:pPr>
            <w:r w:rsidRPr="005A0C04">
              <w:rPr>
                <w:rFonts w:ascii="Arial" w:hAnsi="Arial" w:cs="Arial"/>
                <w:b/>
                <w:bCs/>
                <w:sz w:val="24"/>
                <w:szCs w:val="24"/>
              </w:rPr>
              <w:t>Date</w:t>
            </w:r>
          </w:p>
        </w:tc>
        <w:tc>
          <w:tcPr>
            <w:tcW w:w="1766" w:type="dxa"/>
          </w:tcPr>
          <w:p w14:paraId="6E405B39" w14:textId="682192C1" w:rsidR="00641116" w:rsidRPr="005A0C04" w:rsidRDefault="00641116" w:rsidP="00A147FB">
            <w:pPr>
              <w:spacing w:after="0"/>
              <w:jc w:val="center"/>
              <w:rPr>
                <w:rFonts w:ascii="Arial" w:hAnsi="Arial" w:cs="Arial"/>
                <w:b/>
                <w:bCs/>
                <w:sz w:val="24"/>
                <w:szCs w:val="24"/>
              </w:rPr>
            </w:pPr>
            <w:r>
              <w:rPr>
                <w:rFonts w:ascii="Arial" w:hAnsi="Arial" w:cs="Arial"/>
                <w:b/>
                <w:bCs/>
                <w:sz w:val="24"/>
                <w:szCs w:val="24"/>
              </w:rPr>
              <w:t>Next Review</w:t>
            </w:r>
          </w:p>
        </w:tc>
      </w:tr>
      <w:tr w:rsidR="00AF6B6F" w:rsidRPr="008841EA" w14:paraId="22FF978B" w14:textId="77777777" w:rsidTr="5FCDA21B">
        <w:trPr>
          <w:trHeight w:val="415"/>
        </w:trPr>
        <w:tc>
          <w:tcPr>
            <w:tcW w:w="1519" w:type="dxa"/>
            <w:vAlign w:val="center"/>
          </w:tcPr>
          <w:p w14:paraId="6941A6B4" w14:textId="2C9B34F6" w:rsidR="00AF6B6F" w:rsidRPr="005A0C04" w:rsidRDefault="00AF6B6F" w:rsidP="00AF6B6F">
            <w:pPr>
              <w:spacing w:after="0"/>
              <w:jc w:val="center"/>
              <w:rPr>
                <w:rFonts w:ascii="Arial" w:hAnsi="Arial" w:cs="Arial"/>
                <w:b/>
                <w:bCs/>
                <w:sz w:val="24"/>
                <w:szCs w:val="24"/>
              </w:rPr>
            </w:pPr>
            <w:r w:rsidRPr="005A0C04">
              <w:rPr>
                <w:rFonts w:ascii="Arial" w:hAnsi="Arial" w:cs="Arial"/>
                <w:b/>
                <w:bCs/>
                <w:sz w:val="24"/>
                <w:szCs w:val="24"/>
              </w:rPr>
              <w:t>Reviewer</w:t>
            </w:r>
          </w:p>
        </w:tc>
        <w:tc>
          <w:tcPr>
            <w:tcW w:w="2445" w:type="dxa"/>
            <w:vAlign w:val="center"/>
          </w:tcPr>
          <w:p w14:paraId="16A534DD" w14:textId="080D42B9" w:rsidR="00AF6B6F" w:rsidRDefault="00862936" w:rsidP="00812CDA">
            <w:pPr>
              <w:spacing w:after="0"/>
              <w:rPr>
                <w:rFonts w:ascii="Arial" w:hAnsi="Arial" w:cs="Arial"/>
                <w:sz w:val="24"/>
                <w:szCs w:val="24"/>
              </w:rPr>
            </w:pPr>
            <w:r>
              <w:rPr>
                <w:rFonts w:ascii="Arial" w:hAnsi="Arial" w:cs="Arial"/>
                <w:sz w:val="24"/>
                <w:szCs w:val="24"/>
              </w:rPr>
              <w:t>Lynda Dix</w:t>
            </w:r>
          </w:p>
        </w:tc>
        <w:tc>
          <w:tcPr>
            <w:tcW w:w="2977" w:type="dxa"/>
            <w:vAlign w:val="center"/>
          </w:tcPr>
          <w:p w14:paraId="5AE9C439" w14:textId="5203484D" w:rsidR="00AF6B6F" w:rsidRDefault="00862936" w:rsidP="00812CDA">
            <w:pPr>
              <w:spacing w:after="0"/>
              <w:rPr>
                <w:rFonts w:ascii="Arial" w:hAnsi="Arial" w:cs="Arial"/>
                <w:sz w:val="24"/>
                <w:szCs w:val="24"/>
              </w:rPr>
            </w:pPr>
            <w:r>
              <w:rPr>
                <w:rFonts w:ascii="Arial" w:hAnsi="Arial" w:cs="Arial"/>
                <w:sz w:val="24"/>
                <w:szCs w:val="24"/>
              </w:rPr>
              <w:t xml:space="preserve">Head of Nursing </w:t>
            </w:r>
          </w:p>
        </w:tc>
        <w:tc>
          <w:tcPr>
            <w:tcW w:w="1765" w:type="dxa"/>
          </w:tcPr>
          <w:p w14:paraId="5519928D" w14:textId="1F7A1C2F" w:rsidR="00AF6B6F" w:rsidRDefault="00862936" w:rsidP="00812CDA">
            <w:pPr>
              <w:spacing w:after="0"/>
              <w:rPr>
                <w:rFonts w:ascii="Arial" w:hAnsi="Arial" w:cs="Arial"/>
                <w:sz w:val="24"/>
                <w:szCs w:val="24"/>
              </w:rPr>
            </w:pPr>
            <w:r>
              <w:rPr>
                <w:rFonts w:ascii="Arial" w:hAnsi="Arial" w:cs="Arial"/>
                <w:sz w:val="24"/>
                <w:szCs w:val="24"/>
              </w:rPr>
              <w:t>October 2022</w:t>
            </w:r>
          </w:p>
        </w:tc>
        <w:tc>
          <w:tcPr>
            <w:tcW w:w="1766" w:type="dxa"/>
          </w:tcPr>
          <w:p w14:paraId="51180EE0" w14:textId="0A487F57" w:rsidR="00AF6B6F" w:rsidRDefault="00862936" w:rsidP="00812CDA">
            <w:pPr>
              <w:spacing w:after="0"/>
              <w:rPr>
                <w:rFonts w:ascii="Arial" w:hAnsi="Arial" w:cs="Arial"/>
                <w:sz w:val="24"/>
                <w:szCs w:val="24"/>
              </w:rPr>
            </w:pPr>
            <w:r>
              <w:rPr>
                <w:rFonts w:ascii="Arial" w:hAnsi="Arial" w:cs="Arial"/>
                <w:sz w:val="24"/>
                <w:szCs w:val="24"/>
              </w:rPr>
              <w:t xml:space="preserve">October </w:t>
            </w:r>
            <w:r w:rsidR="00E827FE">
              <w:rPr>
                <w:rFonts w:ascii="Arial" w:hAnsi="Arial" w:cs="Arial"/>
                <w:sz w:val="24"/>
                <w:szCs w:val="24"/>
              </w:rPr>
              <w:t>2025</w:t>
            </w:r>
          </w:p>
        </w:tc>
      </w:tr>
      <w:tr w:rsidR="00AF6B6F" w:rsidRPr="008841EA" w14:paraId="68552FC4" w14:textId="77777777" w:rsidTr="5FCDA21B">
        <w:trPr>
          <w:trHeight w:val="415"/>
        </w:trPr>
        <w:tc>
          <w:tcPr>
            <w:tcW w:w="1519" w:type="dxa"/>
            <w:vAlign w:val="center"/>
          </w:tcPr>
          <w:p w14:paraId="7918A56F" w14:textId="77777777" w:rsidR="00AF6B6F" w:rsidRPr="005A0C04" w:rsidRDefault="00AF6B6F" w:rsidP="00AF6B6F">
            <w:pPr>
              <w:spacing w:after="0"/>
              <w:jc w:val="center"/>
              <w:rPr>
                <w:rFonts w:ascii="Arial" w:hAnsi="Arial" w:cs="Arial"/>
                <w:b/>
                <w:bCs/>
                <w:sz w:val="24"/>
                <w:szCs w:val="24"/>
              </w:rPr>
            </w:pPr>
            <w:r w:rsidRPr="005A0C04">
              <w:rPr>
                <w:rFonts w:ascii="Arial" w:hAnsi="Arial" w:cs="Arial"/>
                <w:b/>
                <w:bCs/>
                <w:sz w:val="24"/>
                <w:szCs w:val="24"/>
              </w:rPr>
              <w:t>Reviewer</w:t>
            </w:r>
          </w:p>
        </w:tc>
        <w:tc>
          <w:tcPr>
            <w:tcW w:w="2445" w:type="dxa"/>
            <w:vAlign w:val="center"/>
          </w:tcPr>
          <w:p w14:paraId="418F884A" w14:textId="7F731964" w:rsidR="00AF6B6F" w:rsidRDefault="00AF6B6F" w:rsidP="00AF6B6F">
            <w:pPr>
              <w:spacing w:after="0"/>
              <w:jc w:val="center"/>
              <w:rPr>
                <w:rFonts w:ascii="Arial" w:hAnsi="Arial" w:cs="Arial"/>
                <w:sz w:val="24"/>
                <w:szCs w:val="24"/>
              </w:rPr>
            </w:pPr>
          </w:p>
        </w:tc>
        <w:tc>
          <w:tcPr>
            <w:tcW w:w="2977" w:type="dxa"/>
            <w:vAlign w:val="center"/>
          </w:tcPr>
          <w:p w14:paraId="3A6C4730" w14:textId="7BBC3CBD" w:rsidR="00AF6B6F" w:rsidRDefault="00AF6B6F" w:rsidP="00AF6B6F">
            <w:pPr>
              <w:spacing w:after="0"/>
              <w:jc w:val="center"/>
              <w:rPr>
                <w:rFonts w:ascii="Arial" w:hAnsi="Arial" w:cs="Arial"/>
                <w:sz w:val="24"/>
                <w:szCs w:val="24"/>
              </w:rPr>
            </w:pPr>
          </w:p>
        </w:tc>
        <w:tc>
          <w:tcPr>
            <w:tcW w:w="1765" w:type="dxa"/>
          </w:tcPr>
          <w:p w14:paraId="66F3E124" w14:textId="3427F3AE" w:rsidR="00AF6B6F" w:rsidRDefault="00AF6B6F" w:rsidP="00AF6B6F">
            <w:pPr>
              <w:spacing w:after="0"/>
              <w:jc w:val="center"/>
              <w:rPr>
                <w:rFonts w:ascii="Arial" w:hAnsi="Arial" w:cs="Arial"/>
                <w:sz w:val="24"/>
                <w:szCs w:val="24"/>
              </w:rPr>
            </w:pPr>
          </w:p>
        </w:tc>
        <w:tc>
          <w:tcPr>
            <w:tcW w:w="1766" w:type="dxa"/>
          </w:tcPr>
          <w:p w14:paraId="351100B7" w14:textId="4C8491F5" w:rsidR="00AF6B6F" w:rsidRDefault="00AF6B6F" w:rsidP="00AF6B6F">
            <w:pPr>
              <w:spacing w:after="0"/>
              <w:jc w:val="center"/>
              <w:rPr>
                <w:rFonts w:ascii="Arial" w:hAnsi="Arial" w:cs="Arial"/>
                <w:sz w:val="24"/>
                <w:szCs w:val="24"/>
              </w:rPr>
            </w:pPr>
          </w:p>
        </w:tc>
      </w:tr>
    </w:tbl>
    <w:p w14:paraId="76A66AF8" w14:textId="240EB3A5" w:rsidR="0018757E" w:rsidRDefault="0018757E" w:rsidP="00A147FB">
      <w:pPr>
        <w:spacing w:after="0"/>
        <w:jc w:val="center"/>
        <w:rPr>
          <w:rFonts w:ascii="Arial" w:hAnsi="Arial" w:cs="Arial"/>
          <w:sz w:val="24"/>
          <w:szCs w:val="24"/>
        </w:rPr>
      </w:pPr>
    </w:p>
    <w:p w14:paraId="630E972F" w14:textId="77777777" w:rsidR="00CF25F3" w:rsidRDefault="00CF25F3" w:rsidP="00A147FB">
      <w:pPr>
        <w:spacing w:after="0"/>
        <w:jc w:val="center"/>
        <w:rPr>
          <w:rFonts w:ascii="Arial" w:hAnsi="Arial" w:cs="Arial"/>
          <w:sz w:val="24"/>
          <w:szCs w:val="24"/>
        </w:rPr>
      </w:pPr>
    </w:p>
    <w:tbl>
      <w:tblPr>
        <w:tblStyle w:val="TableGrid"/>
        <w:tblW w:w="5228" w:type="dxa"/>
        <w:tblLook w:val="04A0" w:firstRow="1" w:lastRow="0" w:firstColumn="1" w:lastColumn="0" w:noHBand="0" w:noVBand="1"/>
      </w:tblPr>
      <w:tblGrid>
        <w:gridCol w:w="5228"/>
      </w:tblGrid>
      <w:tr w:rsidR="005A0C04" w14:paraId="723B1381" w14:textId="77777777" w:rsidTr="5FCDA21B">
        <w:tc>
          <w:tcPr>
            <w:tcW w:w="5228" w:type="dxa"/>
          </w:tcPr>
          <w:p w14:paraId="1DDC1B71" w14:textId="10446BD1" w:rsidR="005A0C04" w:rsidRPr="005A0C04" w:rsidRDefault="005A0C04" w:rsidP="00A147FB">
            <w:pPr>
              <w:spacing w:after="0"/>
              <w:jc w:val="center"/>
              <w:rPr>
                <w:rFonts w:ascii="Arial" w:hAnsi="Arial" w:cs="Arial"/>
                <w:b/>
                <w:bCs/>
                <w:sz w:val="24"/>
                <w:szCs w:val="24"/>
              </w:rPr>
            </w:pPr>
            <w:r w:rsidRPr="005A0C04">
              <w:rPr>
                <w:rFonts w:ascii="Arial" w:hAnsi="Arial" w:cs="Arial"/>
                <w:b/>
                <w:bCs/>
                <w:sz w:val="24"/>
                <w:szCs w:val="24"/>
              </w:rPr>
              <w:t>Date Effective From</w:t>
            </w:r>
            <w:r w:rsidR="00426363">
              <w:rPr>
                <w:rFonts w:ascii="Arial" w:hAnsi="Arial" w:cs="Arial"/>
                <w:b/>
                <w:bCs/>
                <w:sz w:val="24"/>
                <w:szCs w:val="24"/>
              </w:rPr>
              <w:t>:</w:t>
            </w:r>
            <w:r w:rsidR="00862936">
              <w:rPr>
                <w:rFonts w:ascii="Arial" w:hAnsi="Arial" w:cs="Arial"/>
                <w:b/>
                <w:bCs/>
                <w:sz w:val="24"/>
                <w:szCs w:val="24"/>
              </w:rPr>
              <w:t xml:space="preserve"> </w:t>
            </w:r>
            <w:r w:rsidR="003A3B91">
              <w:rPr>
                <w:rFonts w:ascii="Arial" w:hAnsi="Arial" w:cs="Arial"/>
                <w:b/>
                <w:bCs/>
                <w:sz w:val="24"/>
                <w:szCs w:val="24"/>
              </w:rPr>
              <w:t>April 20</w:t>
            </w:r>
            <w:r w:rsidR="00862936">
              <w:rPr>
                <w:rFonts w:ascii="Arial" w:hAnsi="Arial" w:cs="Arial"/>
                <w:b/>
                <w:bCs/>
                <w:sz w:val="24"/>
                <w:szCs w:val="24"/>
              </w:rPr>
              <w:t>10</w:t>
            </w:r>
          </w:p>
        </w:tc>
      </w:tr>
    </w:tbl>
    <w:p w14:paraId="44DBEECF" w14:textId="41CAC289" w:rsidR="008B0AA1" w:rsidRDefault="008B0AA1" w:rsidP="00A147FB">
      <w:pPr>
        <w:spacing w:after="0"/>
        <w:jc w:val="center"/>
        <w:rPr>
          <w:rFonts w:ascii="Arial" w:hAnsi="Arial" w:cs="Arial"/>
          <w:sz w:val="24"/>
          <w:szCs w:val="24"/>
        </w:rPr>
      </w:pPr>
    </w:p>
    <w:p w14:paraId="1A95E128" w14:textId="02EB77C7" w:rsidR="00CF25F3" w:rsidRDefault="00CF25F3" w:rsidP="00A147FB">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3485"/>
        <w:gridCol w:w="1897"/>
        <w:gridCol w:w="5074"/>
      </w:tblGrid>
      <w:tr w:rsidR="001C2921" w14:paraId="5AE78479" w14:textId="77777777" w:rsidTr="00953E45">
        <w:tc>
          <w:tcPr>
            <w:tcW w:w="10456" w:type="dxa"/>
            <w:gridSpan w:val="3"/>
            <w:vAlign w:val="center"/>
          </w:tcPr>
          <w:p w14:paraId="4A593232" w14:textId="4B9CB3FC" w:rsidR="001C2921" w:rsidRDefault="001C2921" w:rsidP="00A147FB">
            <w:pPr>
              <w:spacing w:after="0"/>
              <w:jc w:val="center"/>
              <w:rPr>
                <w:rFonts w:ascii="Arial" w:hAnsi="Arial" w:cs="Arial"/>
                <w:b/>
                <w:bCs/>
                <w:sz w:val="24"/>
                <w:szCs w:val="24"/>
              </w:rPr>
            </w:pPr>
            <w:r>
              <w:rPr>
                <w:rFonts w:ascii="Arial" w:hAnsi="Arial" w:cs="Arial"/>
                <w:b/>
                <w:bCs/>
                <w:sz w:val="24"/>
                <w:szCs w:val="24"/>
              </w:rPr>
              <w:t>Change History</w:t>
            </w:r>
          </w:p>
        </w:tc>
      </w:tr>
      <w:tr w:rsidR="000E1963" w:rsidRPr="000D5EC1" w14:paraId="4EF14B5F" w14:textId="77777777" w:rsidTr="001C2921">
        <w:tc>
          <w:tcPr>
            <w:tcW w:w="3485" w:type="dxa"/>
            <w:vAlign w:val="center"/>
          </w:tcPr>
          <w:p w14:paraId="425E0954" w14:textId="68AF0723" w:rsidR="000E1963" w:rsidRPr="000D5EC1" w:rsidRDefault="000E1963" w:rsidP="00A147FB">
            <w:pPr>
              <w:spacing w:after="0"/>
              <w:jc w:val="center"/>
              <w:rPr>
                <w:rFonts w:ascii="Arial" w:hAnsi="Arial" w:cs="Arial"/>
                <w:sz w:val="24"/>
                <w:szCs w:val="24"/>
              </w:rPr>
            </w:pPr>
            <w:r w:rsidRPr="000D5EC1">
              <w:rPr>
                <w:rFonts w:ascii="Arial" w:hAnsi="Arial" w:cs="Arial"/>
                <w:sz w:val="24"/>
                <w:szCs w:val="24"/>
              </w:rPr>
              <w:t>Procedure Version</w:t>
            </w:r>
          </w:p>
        </w:tc>
        <w:tc>
          <w:tcPr>
            <w:tcW w:w="1897" w:type="dxa"/>
            <w:vAlign w:val="center"/>
          </w:tcPr>
          <w:p w14:paraId="2C98B761" w14:textId="6C08B04E" w:rsidR="000E1963" w:rsidRPr="000D5EC1" w:rsidRDefault="000E1963" w:rsidP="00A147FB">
            <w:pPr>
              <w:spacing w:after="0"/>
              <w:jc w:val="center"/>
              <w:rPr>
                <w:rFonts w:ascii="Arial" w:hAnsi="Arial" w:cs="Arial"/>
                <w:sz w:val="24"/>
                <w:szCs w:val="24"/>
              </w:rPr>
            </w:pPr>
            <w:r w:rsidRPr="000D5EC1">
              <w:rPr>
                <w:rFonts w:ascii="Arial" w:hAnsi="Arial" w:cs="Arial"/>
                <w:sz w:val="24"/>
                <w:szCs w:val="24"/>
              </w:rPr>
              <w:t>Effective Date</w:t>
            </w:r>
          </w:p>
        </w:tc>
        <w:tc>
          <w:tcPr>
            <w:tcW w:w="5074" w:type="dxa"/>
            <w:vAlign w:val="center"/>
          </w:tcPr>
          <w:p w14:paraId="79BFD23C" w14:textId="12475F66" w:rsidR="000E1963" w:rsidRPr="000D5EC1" w:rsidRDefault="000E1963" w:rsidP="00A147FB">
            <w:pPr>
              <w:spacing w:after="0"/>
              <w:jc w:val="center"/>
              <w:rPr>
                <w:rFonts w:ascii="Arial" w:hAnsi="Arial" w:cs="Arial"/>
                <w:sz w:val="24"/>
                <w:szCs w:val="24"/>
              </w:rPr>
            </w:pPr>
            <w:r w:rsidRPr="000D5EC1">
              <w:rPr>
                <w:rFonts w:ascii="Arial" w:hAnsi="Arial" w:cs="Arial"/>
                <w:sz w:val="24"/>
                <w:szCs w:val="24"/>
              </w:rPr>
              <w:t>Re</w:t>
            </w:r>
            <w:r w:rsidR="00A147FB" w:rsidRPr="000D5EC1">
              <w:rPr>
                <w:rFonts w:ascii="Arial" w:hAnsi="Arial" w:cs="Arial"/>
                <w:sz w:val="24"/>
                <w:szCs w:val="24"/>
              </w:rPr>
              <w:t>viewed By</w:t>
            </w:r>
          </w:p>
        </w:tc>
      </w:tr>
      <w:tr w:rsidR="000E1963" w14:paraId="518DF24D" w14:textId="77777777" w:rsidTr="001C2921">
        <w:tc>
          <w:tcPr>
            <w:tcW w:w="3485" w:type="dxa"/>
          </w:tcPr>
          <w:p w14:paraId="19E553DB" w14:textId="77777777" w:rsidR="000E1963" w:rsidRDefault="000E1963" w:rsidP="000D5EC1">
            <w:pPr>
              <w:spacing w:after="0"/>
              <w:rPr>
                <w:rFonts w:ascii="Arial" w:hAnsi="Arial" w:cs="Arial"/>
                <w:b/>
                <w:bCs/>
                <w:sz w:val="24"/>
                <w:szCs w:val="24"/>
              </w:rPr>
            </w:pPr>
          </w:p>
        </w:tc>
        <w:tc>
          <w:tcPr>
            <w:tcW w:w="1897" w:type="dxa"/>
          </w:tcPr>
          <w:p w14:paraId="0DCEB1F5" w14:textId="77777777" w:rsidR="000E1963" w:rsidRDefault="000E1963" w:rsidP="000D5EC1">
            <w:pPr>
              <w:spacing w:after="0"/>
              <w:rPr>
                <w:rFonts w:ascii="Arial" w:hAnsi="Arial" w:cs="Arial"/>
                <w:b/>
                <w:bCs/>
                <w:sz w:val="24"/>
                <w:szCs w:val="24"/>
              </w:rPr>
            </w:pPr>
          </w:p>
        </w:tc>
        <w:tc>
          <w:tcPr>
            <w:tcW w:w="5074" w:type="dxa"/>
          </w:tcPr>
          <w:p w14:paraId="4D8DBCB9" w14:textId="77777777" w:rsidR="000E1963" w:rsidRDefault="000E1963" w:rsidP="000D5EC1">
            <w:pPr>
              <w:spacing w:after="0"/>
              <w:rPr>
                <w:rFonts w:ascii="Arial" w:hAnsi="Arial" w:cs="Arial"/>
                <w:b/>
                <w:bCs/>
                <w:sz w:val="24"/>
                <w:szCs w:val="24"/>
              </w:rPr>
            </w:pPr>
          </w:p>
        </w:tc>
      </w:tr>
    </w:tbl>
    <w:p w14:paraId="657FD455" w14:textId="517BE206" w:rsidR="0085057A" w:rsidRDefault="0085057A" w:rsidP="0085057A">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545C9F" w:rsidRPr="000D5EC1" w14:paraId="739C9E10" w14:textId="77777777" w:rsidTr="77927018">
        <w:tc>
          <w:tcPr>
            <w:tcW w:w="10456" w:type="dxa"/>
          </w:tcPr>
          <w:p w14:paraId="44DD29E2" w14:textId="249EB242" w:rsidR="00545C9F" w:rsidRPr="000D5EC1" w:rsidRDefault="00F56E4E" w:rsidP="00F56E4E">
            <w:pPr>
              <w:spacing w:after="0"/>
              <w:jc w:val="center"/>
              <w:rPr>
                <w:rFonts w:ascii="Arial" w:hAnsi="Arial" w:cs="Arial"/>
                <w:b/>
                <w:bCs/>
                <w:sz w:val="24"/>
                <w:szCs w:val="24"/>
              </w:rPr>
            </w:pPr>
            <w:r w:rsidRPr="000D5EC1">
              <w:rPr>
                <w:rFonts w:ascii="Arial" w:hAnsi="Arial" w:cs="Arial"/>
                <w:b/>
                <w:bCs/>
                <w:sz w:val="24"/>
                <w:szCs w:val="24"/>
              </w:rPr>
              <w:t>Significant Changes of Last Review</w:t>
            </w:r>
          </w:p>
        </w:tc>
      </w:tr>
      <w:tr w:rsidR="00F56E4E" w14:paraId="49AA2371" w14:textId="77777777" w:rsidTr="77927018">
        <w:tc>
          <w:tcPr>
            <w:tcW w:w="10456" w:type="dxa"/>
          </w:tcPr>
          <w:p w14:paraId="35F7988E" w14:textId="457AC18B" w:rsidR="004D51E7" w:rsidRDefault="0078491D" w:rsidP="00BF6547">
            <w:pPr>
              <w:spacing w:after="0"/>
              <w:rPr>
                <w:rFonts w:ascii="Arial" w:hAnsi="Arial" w:cs="Arial"/>
              </w:rPr>
            </w:pPr>
            <w:r>
              <w:rPr>
                <w:rFonts w:ascii="Arial" w:hAnsi="Arial" w:cs="Arial"/>
              </w:rPr>
              <w:t xml:space="preserve">Revised to incorporate </w:t>
            </w:r>
            <w:r w:rsidR="00E934E2">
              <w:rPr>
                <w:rFonts w:ascii="Arial" w:hAnsi="Arial" w:cs="Arial"/>
              </w:rPr>
              <w:t xml:space="preserve">the following guidance into one document: </w:t>
            </w:r>
          </w:p>
          <w:p w14:paraId="115FDBE6" w14:textId="13539D34" w:rsidR="00E934E2" w:rsidRDefault="00E934E2" w:rsidP="00E934E2">
            <w:pPr>
              <w:pStyle w:val="ListParagraph"/>
              <w:numPr>
                <w:ilvl w:val="0"/>
                <w:numId w:val="31"/>
              </w:numPr>
              <w:spacing w:after="0"/>
              <w:rPr>
                <w:rFonts w:ascii="Arial" w:hAnsi="Arial" w:cs="Arial"/>
              </w:rPr>
            </w:pPr>
            <w:r>
              <w:rPr>
                <w:rFonts w:ascii="Arial" w:hAnsi="Arial" w:cs="Arial"/>
              </w:rPr>
              <w:t xml:space="preserve">Existing referral Criteria </w:t>
            </w:r>
            <w:r w:rsidR="00AD5E4B">
              <w:rPr>
                <w:rFonts w:ascii="Arial" w:hAnsi="Arial" w:cs="Arial"/>
              </w:rPr>
              <w:t>and process procedure</w:t>
            </w:r>
          </w:p>
          <w:p w14:paraId="09C2A1AB" w14:textId="373A8559" w:rsidR="00AD5E4B" w:rsidRDefault="00AD5E4B" w:rsidP="00E934E2">
            <w:pPr>
              <w:pStyle w:val="ListParagraph"/>
              <w:numPr>
                <w:ilvl w:val="0"/>
                <w:numId w:val="31"/>
              </w:numPr>
              <w:spacing w:after="0"/>
              <w:rPr>
                <w:rFonts w:ascii="Arial" w:hAnsi="Arial" w:cs="Arial"/>
              </w:rPr>
            </w:pPr>
            <w:r>
              <w:rPr>
                <w:rFonts w:ascii="Arial" w:hAnsi="Arial" w:cs="Arial"/>
              </w:rPr>
              <w:t>Referral pathway document</w:t>
            </w:r>
          </w:p>
          <w:p w14:paraId="0C5400D0" w14:textId="77777777" w:rsidR="00EA3526" w:rsidRDefault="00EA3526" w:rsidP="00EA3526">
            <w:pPr>
              <w:spacing w:after="0"/>
              <w:rPr>
                <w:rFonts w:ascii="Arial" w:hAnsi="Arial" w:cs="Arial"/>
              </w:rPr>
            </w:pPr>
          </w:p>
          <w:p w14:paraId="5B1A673F" w14:textId="1118CB59" w:rsidR="00AD5E4B" w:rsidRPr="00EA3526" w:rsidRDefault="00AD5E4B" w:rsidP="00EA3526">
            <w:pPr>
              <w:spacing w:after="0"/>
              <w:rPr>
                <w:rFonts w:ascii="Arial" w:hAnsi="Arial" w:cs="Arial"/>
              </w:rPr>
            </w:pPr>
            <w:r w:rsidRPr="00EA3526">
              <w:rPr>
                <w:rFonts w:ascii="Arial" w:hAnsi="Arial" w:cs="Arial"/>
              </w:rPr>
              <w:t xml:space="preserve">ForMe provider collaborative </w:t>
            </w:r>
            <w:r w:rsidR="005A6EB0" w:rsidRPr="00EA3526">
              <w:rPr>
                <w:rFonts w:ascii="Arial" w:hAnsi="Arial" w:cs="Arial"/>
              </w:rPr>
              <w:t>guidance to referrers</w:t>
            </w:r>
            <w:r w:rsidR="00EA3526">
              <w:rPr>
                <w:rFonts w:ascii="Arial" w:hAnsi="Arial" w:cs="Arial"/>
              </w:rPr>
              <w:t xml:space="preserve"> added to appendix</w:t>
            </w:r>
          </w:p>
          <w:p w14:paraId="27055DBD" w14:textId="62802453" w:rsidR="005A6EB0" w:rsidRDefault="005A6EB0" w:rsidP="005A6EB0">
            <w:pPr>
              <w:spacing w:after="0"/>
              <w:rPr>
                <w:rFonts w:ascii="Arial" w:hAnsi="Arial" w:cs="Arial"/>
              </w:rPr>
            </w:pPr>
          </w:p>
          <w:p w14:paraId="68FE7B83" w14:textId="77777777" w:rsidR="005A6EB0" w:rsidRPr="005A6EB0" w:rsidRDefault="005A6EB0" w:rsidP="005A6EB0">
            <w:pPr>
              <w:spacing w:after="0"/>
              <w:rPr>
                <w:rFonts w:ascii="Arial" w:hAnsi="Arial" w:cs="Arial"/>
              </w:rPr>
            </w:pPr>
          </w:p>
          <w:p w14:paraId="657E1393" w14:textId="7130BFA1" w:rsidR="00EF2C94" w:rsidRDefault="00EF2C94" w:rsidP="00BF6547">
            <w:pPr>
              <w:spacing w:after="0"/>
              <w:rPr>
                <w:rFonts w:ascii="Arial" w:hAnsi="Arial" w:cs="Arial"/>
              </w:rPr>
            </w:pPr>
          </w:p>
          <w:p w14:paraId="76347C1F" w14:textId="568A9C2F" w:rsidR="00812CDA" w:rsidRDefault="00812CDA" w:rsidP="00BF6547">
            <w:pPr>
              <w:spacing w:after="0"/>
              <w:rPr>
                <w:rFonts w:ascii="Arial" w:hAnsi="Arial" w:cs="Arial"/>
              </w:rPr>
            </w:pPr>
          </w:p>
          <w:p w14:paraId="1E9698B5" w14:textId="126D253C" w:rsidR="00812CDA" w:rsidRDefault="00812CDA" w:rsidP="00BF6547">
            <w:pPr>
              <w:spacing w:after="0"/>
              <w:rPr>
                <w:rFonts w:ascii="Arial" w:hAnsi="Arial" w:cs="Arial"/>
              </w:rPr>
            </w:pPr>
          </w:p>
          <w:p w14:paraId="003A1B3C" w14:textId="77777777" w:rsidR="00812CDA" w:rsidRDefault="00812CDA" w:rsidP="00BF6547">
            <w:pPr>
              <w:spacing w:after="0"/>
              <w:rPr>
                <w:rFonts w:ascii="Arial" w:hAnsi="Arial" w:cs="Arial"/>
              </w:rPr>
            </w:pPr>
          </w:p>
          <w:p w14:paraId="00409BEA" w14:textId="4421F342" w:rsidR="00EF2C94" w:rsidRPr="00F56E4E" w:rsidRDefault="00EF2C94" w:rsidP="00BF6547">
            <w:pPr>
              <w:spacing w:after="0"/>
              <w:rPr>
                <w:rFonts w:ascii="Arial" w:hAnsi="Arial" w:cs="Arial"/>
              </w:rPr>
            </w:pPr>
          </w:p>
        </w:tc>
      </w:tr>
    </w:tbl>
    <w:p w14:paraId="73EFA635" w14:textId="77777777" w:rsidR="007D604A" w:rsidRDefault="007D604A" w:rsidP="007D604A">
      <w:pPr>
        <w:pStyle w:val="Default"/>
        <w:ind w:right="871"/>
      </w:pPr>
    </w:p>
    <w:p w14:paraId="5A2EF4BB" w14:textId="77777777" w:rsidR="007D604A" w:rsidRDefault="007D604A" w:rsidP="007D604A">
      <w:pPr>
        <w:pStyle w:val="Default"/>
        <w:ind w:right="871"/>
      </w:pPr>
    </w:p>
    <w:p w14:paraId="13B0FFF8" w14:textId="77777777" w:rsidR="007D604A" w:rsidRDefault="007D604A" w:rsidP="007D604A">
      <w:pPr>
        <w:pStyle w:val="Default"/>
        <w:ind w:right="871"/>
      </w:pPr>
    </w:p>
    <w:p w14:paraId="47D300FE" w14:textId="77777777" w:rsidR="007D604A" w:rsidRDefault="007D604A" w:rsidP="007D604A">
      <w:pPr>
        <w:pStyle w:val="Default"/>
        <w:ind w:right="871"/>
      </w:pPr>
    </w:p>
    <w:p w14:paraId="3886BA3B" w14:textId="13CA68D1" w:rsidR="007D604A" w:rsidRDefault="007D604A" w:rsidP="007D604A">
      <w:pPr>
        <w:pStyle w:val="Default"/>
        <w:ind w:right="871"/>
      </w:pPr>
    </w:p>
    <w:p w14:paraId="19FBB6BE" w14:textId="7A7243E1" w:rsidR="00812CDA" w:rsidRPr="00812CDA" w:rsidRDefault="00812CDA" w:rsidP="007A44E1">
      <w:pPr>
        <w:pStyle w:val="Default"/>
        <w:ind w:left="567" w:right="871"/>
        <w:rPr>
          <w:b/>
          <w:bCs/>
          <w:color w:val="4472C4" w:themeColor="accent1"/>
        </w:rPr>
      </w:pPr>
      <w:r>
        <w:lastRenderedPageBreak/>
        <w:t xml:space="preserve">                                     </w:t>
      </w:r>
      <w:r>
        <w:tab/>
      </w:r>
      <w:r>
        <w:tab/>
      </w:r>
      <w:r>
        <w:tab/>
      </w:r>
      <w:r w:rsidRPr="00812CDA">
        <w:rPr>
          <w:b/>
          <w:bCs/>
          <w:color w:val="4472C4" w:themeColor="accent1"/>
        </w:rPr>
        <w:t>Contents</w:t>
      </w:r>
    </w:p>
    <w:p w14:paraId="0CA3153D" w14:textId="67727A6F" w:rsidR="00812CDA" w:rsidRPr="00812CDA" w:rsidRDefault="00812CDA" w:rsidP="00812CDA">
      <w:pPr>
        <w:pStyle w:val="Default"/>
        <w:ind w:right="871"/>
        <w:rPr>
          <w:b/>
          <w:bCs/>
          <w:color w:val="4472C4" w:themeColor="accent1"/>
        </w:rPr>
      </w:pPr>
    </w:p>
    <w:p w14:paraId="2DCFD3C9" w14:textId="77777777" w:rsidR="00812CDA" w:rsidRPr="00812CDA" w:rsidRDefault="00812CDA" w:rsidP="00812CDA">
      <w:pPr>
        <w:pStyle w:val="Default"/>
        <w:ind w:right="871"/>
        <w:rPr>
          <w:b/>
          <w:bCs/>
          <w:color w:val="4472C4" w:themeColor="accent1"/>
        </w:rPr>
      </w:pPr>
    </w:p>
    <w:p w14:paraId="689E6038" w14:textId="39914BF3" w:rsidR="00812CDA" w:rsidRPr="00812CDA" w:rsidRDefault="00812CDA" w:rsidP="008A621D">
      <w:pPr>
        <w:pStyle w:val="Default"/>
        <w:ind w:right="871" w:firstLine="567"/>
        <w:rPr>
          <w:b/>
          <w:bCs/>
          <w:color w:val="4472C4" w:themeColor="accent1"/>
        </w:rPr>
      </w:pPr>
      <w:bookmarkStart w:id="0" w:name="_Hlk106890813"/>
      <w:r w:rsidRPr="00812CDA">
        <w:rPr>
          <w:b/>
          <w:bCs/>
          <w:color w:val="4472C4" w:themeColor="accent1"/>
        </w:rPr>
        <w:t xml:space="preserve">1. Purpose of the </w:t>
      </w:r>
      <w:r w:rsidRPr="1556C7C0">
        <w:rPr>
          <w:b/>
          <w:bCs/>
          <w:color w:val="4472C4" w:themeColor="accent1"/>
        </w:rPr>
        <w:t>p</w:t>
      </w:r>
      <w:r w:rsidR="2B3BB8E7" w:rsidRPr="1556C7C0">
        <w:rPr>
          <w:b/>
          <w:bCs/>
          <w:color w:val="4472C4" w:themeColor="accent1"/>
        </w:rPr>
        <w:t>rocedure</w:t>
      </w:r>
      <w:r w:rsidRPr="1556C7C0">
        <w:rPr>
          <w:b/>
          <w:bCs/>
          <w:color w:val="4472C4" w:themeColor="accent1"/>
        </w:rPr>
        <w:t xml:space="preserve"> </w:t>
      </w:r>
    </w:p>
    <w:p w14:paraId="4A990E73" w14:textId="4A94F8FA" w:rsidR="00812CDA" w:rsidRPr="00812CDA" w:rsidRDefault="00812CDA" w:rsidP="008A621D">
      <w:pPr>
        <w:pStyle w:val="Default"/>
        <w:ind w:right="871" w:firstLine="567"/>
        <w:rPr>
          <w:b/>
          <w:bCs/>
          <w:color w:val="4472C4" w:themeColor="accent1"/>
        </w:rPr>
      </w:pPr>
      <w:bookmarkStart w:id="1" w:name="_Hlk106890838"/>
      <w:bookmarkEnd w:id="0"/>
      <w:r w:rsidRPr="00812CDA">
        <w:rPr>
          <w:b/>
          <w:bCs/>
          <w:color w:val="4472C4" w:themeColor="accent1"/>
        </w:rPr>
        <w:t xml:space="preserve">2. Outline of the </w:t>
      </w:r>
      <w:r w:rsidRPr="1556C7C0">
        <w:rPr>
          <w:b/>
          <w:bCs/>
          <w:color w:val="4472C4" w:themeColor="accent1"/>
        </w:rPr>
        <w:t>p</w:t>
      </w:r>
      <w:r w:rsidR="135F2017" w:rsidRPr="1556C7C0">
        <w:rPr>
          <w:b/>
          <w:bCs/>
          <w:color w:val="4472C4" w:themeColor="accent1"/>
        </w:rPr>
        <w:t>rocedure</w:t>
      </w:r>
      <w:bookmarkStart w:id="2" w:name="_Hlk106890877"/>
      <w:bookmarkEnd w:id="1"/>
    </w:p>
    <w:p w14:paraId="49AC025A" w14:textId="04F1BD5E" w:rsidR="007D604A" w:rsidRPr="00812CDA" w:rsidRDefault="00741D58" w:rsidP="008A621D">
      <w:pPr>
        <w:pStyle w:val="Default"/>
        <w:ind w:right="871" w:firstLine="567"/>
        <w:rPr>
          <w:b/>
          <w:bCs/>
          <w:color w:val="4472C4" w:themeColor="accent1"/>
        </w:rPr>
      </w:pPr>
      <w:bookmarkStart w:id="3" w:name="_Hlk106890908"/>
      <w:bookmarkEnd w:id="2"/>
      <w:r>
        <w:rPr>
          <w:b/>
          <w:bCs/>
          <w:color w:val="4472C4" w:themeColor="accent1"/>
        </w:rPr>
        <w:t>3</w:t>
      </w:r>
      <w:r w:rsidR="00812CDA" w:rsidRPr="00812CDA">
        <w:rPr>
          <w:b/>
          <w:bCs/>
          <w:color w:val="4472C4" w:themeColor="accent1"/>
        </w:rPr>
        <w:t xml:space="preserve">. Related policy and procedure </w:t>
      </w:r>
    </w:p>
    <w:bookmarkEnd w:id="3"/>
    <w:p w14:paraId="38117CC1" w14:textId="04EA234C" w:rsidR="00C64AD8" w:rsidRPr="00741D58" w:rsidRDefault="00C64AD8" w:rsidP="008A621D">
      <w:pPr>
        <w:pStyle w:val="Default"/>
        <w:ind w:right="871" w:firstLine="567"/>
        <w:rPr>
          <w:rFonts w:ascii="Segoe UI" w:hAnsi="Segoe UI" w:cs="Segoe UI"/>
          <w:b/>
          <w:bCs/>
          <w:color w:val="4472C4" w:themeColor="accent1"/>
        </w:rPr>
      </w:pPr>
    </w:p>
    <w:p w14:paraId="5E75F400" w14:textId="77777777" w:rsidR="00EB16C4" w:rsidRPr="00F00100" w:rsidRDefault="00EB16C4" w:rsidP="008A621D">
      <w:pPr>
        <w:pStyle w:val="Default"/>
        <w:ind w:left="720" w:right="871" w:firstLine="567"/>
        <w:jc w:val="both"/>
        <w:rPr>
          <w:rFonts w:ascii="Segoe UI" w:hAnsi="Segoe UI" w:cs="Segoe UI"/>
          <w:bCs/>
          <w:iCs/>
          <w:color w:val="4472C4" w:themeColor="accent1"/>
        </w:rPr>
      </w:pPr>
    </w:p>
    <w:p w14:paraId="62374099" w14:textId="7CB60C70" w:rsidR="00F77411" w:rsidRDefault="00812CDA" w:rsidP="008A621D">
      <w:pPr>
        <w:pStyle w:val="Default"/>
        <w:numPr>
          <w:ilvl w:val="0"/>
          <w:numId w:val="32"/>
        </w:numPr>
        <w:ind w:left="567" w:right="871" w:firstLine="0"/>
        <w:rPr>
          <w:b/>
          <w:bCs/>
          <w:color w:val="4472C4" w:themeColor="accent1"/>
        </w:rPr>
      </w:pPr>
      <w:r w:rsidRPr="00812CDA">
        <w:rPr>
          <w:b/>
          <w:bCs/>
          <w:color w:val="4472C4" w:themeColor="accent1"/>
        </w:rPr>
        <w:t xml:space="preserve">Purpose of the policy </w:t>
      </w:r>
    </w:p>
    <w:p w14:paraId="24282905" w14:textId="77777777" w:rsidR="00252F56" w:rsidRPr="00C504ED" w:rsidRDefault="004C368E" w:rsidP="007A44E1">
      <w:pPr>
        <w:pStyle w:val="Default"/>
        <w:ind w:left="567" w:right="871"/>
        <w:jc w:val="both"/>
        <w:rPr>
          <w:rFonts w:ascii="Segoe UI" w:hAnsi="Segoe UI" w:cs="Segoe UI"/>
          <w:sz w:val="22"/>
          <w:szCs w:val="22"/>
        </w:rPr>
      </w:pPr>
      <w:r w:rsidRPr="00C504ED">
        <w:rPr>
          <w:rFonts w:ascii="Segoe UI" w:hAnsi="Segoe UI" w:cs="Segoe UI"/>
          <w:sz w:val="22"/>
          <w:szCs w:val="22"/>
        </w:rPr>
        <w:t xml:space="preserve">The aim of this procedure is to </w:t>
      </w:r>
      <w:r w:rsidR="00E64A09" w:rsidRPr="00C504ED">
        <w:rPr>
          <w:rFonts w:ascii="Segoe UI" w:hAnsi="Segoe UI" w:cs="Segoe UI"/>
          <w:sz w:val="22"/>
          <w:szCs w:val="22"/>
        </w:rPr>
        <w:t xml:space="preserve">provide guidance to those working in the service about the </w:t>
      </w:r>
      <w:r w:rsidR="009D0A7E" w:rsidRPr="00C504ED">
        <w:rPr>
          <w:rFonts w:ascii="Segoe UI" w:hAnsi="Segoe UI" w:cs="Segoe UI"/>
          <w:sz w:val="22"/>
          <w:szCs w:val="22"/>
        </w:rPr>
        <w:t xml:space="preserve">referral criteria and process. Appendix 1 </w:t>
      </w:r>
      <w:r w:rsidR="00800A1A" w:rsidRPr="00C504ED">
        <w:rPr>
          <w:rFonts w:ascii="Segoe UI" w:hAnsi="Segoe UI" w:cs="Segoe UI"/>
          <w:sz w:val="22"/>
          <w:szCs w:val="22"/>
        </w:rPr>
        <w:t xml:space="preserve">has guidance for referrers. </w:t>
      </w:r>
    </w:p>
    <w:p w14:paraId="0EE86646" w14:textId="77777777" w:rsidR="00252F56" w:rsidRPr="00C504ED" w:rsidRDefault="00252F56" w:rsidP="007A44E1">
      <w:pPr>
        <w:pStyle w:val="Default"/>
        <w:ind w:left="567" w:right="871"/>
        <w:jc w:val="both"/>
        <w:rPr>
          <w:rFonts w:ascii="Segoe UI" w:hAnsi="Segoe UI" w:cs="Segoe UI"/>
          <w:sz w:val="22"/>
          <w:szCs w:val="22"/>
        </w:rPr>
      </w:pPr>
    </w:p>
    <w:p w14:paraId="10B75EFC" w14:textId="3EA9BEDE" w:rsidR="00C3344D" w:rsidRDefault="00F77411" w:rsidP="007A44E1">
      <w:pPr>
        <w:pStyle w:val="Default"/>
        <w:ind w:left="567" w:right="871"/>
        <w:jc w:val="both"/>
        <w:rPr>
          <w:rFonts w:ascii="Segoe UI" w:hAnsi="Segoe UI" w:cs="Segoe UI"/>
          <w:sz w:val="22"/>
          <w:szCs w:val="22"/>
        </w:rPr>
      </w:pPr>
      <w:r w:rsidRPr="00C504ED">
        <w:rPr>
          <w:rFonts w:ascii="Segoe UI" w:hAnsi="Segoe UI" w:cs="Segoe UI"/>
          <w:sz w:val="22"/>
          <w:szCs w:val="22"/>
        </w:rPr>
        <w:t xml:space="preserve">The Thames Valley Forensic Mental Health Service </w:t>
      </w:r>
      <w:r w:rsidR="00C3344D" w:rsidRPr="00C3344D">
        <w:rPr>
          <w:rFonts w:ascii="Segoe UI" w:hAnsi="Segoe UI" w:cs="Segoe UI"/>
          <w:sz w:val="22"/>
          <w:szCs w:val="22"/>
        </w:rPr>
        <w:t xml:space="preserve">is an NHS tertiary forensic service that can offer specialist assessment, </w:t>
      </w:r>
      <w:proofErr w:type="gramStart"/>
      <w:r w:rsidR="00C3344D" w:rsidRPr="00C3344D">
        <w:rPr>
          <w:rFonts w:ascii="Segoe UI" w:hAnsi="Segoe UI" w:cs="Segoe UI"/>
          <w:sz w:val="22"/>
          <w:szCs w:val="22"/>
        </w:rPr>
        <w:t>treatment</w:t>
      </w:r>
      <w:proofErr w:type="gramEnd"/>
      <w:r w:rsidR="00C3344D" w:rsidRPr="00C3344D">
        <w:rPr>
          <w:rFonts w:ascii="Segoe UI" w:hAnsi="Segoe UI" w:cs="Segoe UI"/>
          <w:sz w:val="22"/>
          <w:szCs w:val="22"/>
        </w:rPr>
        <w:t xml:space="preserve"> and management of patients with a primary diagnosis of mental illness or learning disability and who are liable to be detained under the Mental Health Act (1983).  The service supports those whose risk of harm to others or escape from hospital cannot be safely managed in other mental health settings and therefore require care and treatment within a secure mental health service.</w:t>
      </w:r>
    </w:p>
    <w:p w14:paraId="1C1584BC" w14:textId="77777777" w:rsidR="00C3344D" w:rsidRDefault="00C3344D" w:rsidP="007A44E1">
      <w:pPr>
        <w:pStyle w:val="Default"/>
        <w:ind w:left="567" w:right="871"/>
        <w:jc w:val="both"/>
        <w:rPr>
          <w:rFonts w:ascii="Segoe UI" w:hAnsi="Segoe UI" w:cs="Segoe UI"/>
          <w:sz w:val="22"/>
          <w:szCs w:val="22"/>
        </w:rPr>
      </w:pPr>
    </w:p>
    <w:p w14:paraId="4CBDEF27" w14:textId="2EE84AC8" w:rsidR="00F77411" w:rsidRPr="00C504ED" w:rsidRDefault="008D1654" w:rsidP="007A44E1">
      <w:pPr>
        <w:pStyle w:val="Default"/>
        <w:ind w:left="567" w:right="871"/>
        <w:jc w:val="both"/>
        <w:rPr>
          <w:rFonts w:ascii="Segoe UI" w:hAnsi="Segoe UI" w:cs="Segoe UI"/>
          <w:sz w:val="22"/>
          <w:szCs w:val="22"/>
        </w:rPr>
      </w:pPr>
      <w:r>
        <w:rPr>
          <w:rFonts w:ascii="Segoe UI" w:hAnsi="Segoe UI" w:cs="Segoe UI"/>
          <w:sz w:val="22"/>
          <w:szCs w:val="22"/>
        </w:rPr>
        <w:t xml:space="preserve">The service </w:t>
      </w:r>
      <w:r w:rsidR="00F77411" w:rsidRPr="00C504ED">
        <w:rPr>
          <w:rFonts w:ascii="Segoe UI" w:hAnsi="Segoe UI" w:cs="Segoe UI"/>
          <w:sz w:val="22"/>
          <w:szCs w:val="22"/>
        </w:rPr>
        <w:t>provides medium</w:t>
      </w:r>
      <w:r w:rsidR="00252F56" w:rsidRPr="00C504ED">
        <w:rPr>
          <w:rFonts w:ascii="Segoe UI" w:hAnsi="Segoe UI" w:cs="Segoe UI"/>
          <w:sz w:val="22"/>
          <w:szCs w:val="22"/>
        </w:rPr>
        <w:t xml:space="preserve"> and l</w:t>
      </w:r>
      <w:r w:rsidR="00126427" w:rsidRPr="00C504ED">
        <w:rPr>
          <w:rFonts w:ascii="Segoe UI" w:hAnsi="Segoe UI" w:cs="Segoe UI"/>
          <w:sz w:val="22"/>
          <w:szCs w:val="22"/>
        </w:rPr>
        <w:t>ow</w:t>
      </w:r>
      <w:r w:rsidR="00F77411" w:rsidRPr="00C504ED">
        <w:rPr>
          <w:rFonts w:ascii="Segoe UI" w:hAnsi="Segoe UI" w:cs="Segoe UI"/>
          <w:sz w:val="22"/>
          <w:szCs w:val="22"/>
        </w:rPr>
        <w:t xml:space="preserve"> secure </w:t>
      </w:r>
      <w:r w:rsidR="00C80B60" w:rsidRPr="00C504ED">
        <w:rPr>
          <w:rFonts w:ascii="Segoe UI" w:hAnsi="Segoe UI" w:cs="Segoe UI"/>
          <w:sz w:val="22"/>
          <w:szCs w:val="22"/>
        </w:rPr>
        <w:t>service</w:t>
      </w:r>
      <w:r>
        <w:rPr>
          <w:rFonts w:ascii="Segoe UI" w:hAnsi="Segoe UI" w:cs="Segoe UI"/>
          <w:sz w:val="22"/>
          <w:szCs w:val="22"/>
        </w:rPr>
        <w:t>s</w:t>
      </w:r>
      <w:r w:rsidR="00C80B60" w:rsidRPr="00C504ED">
        <w:rPr>
          <w:rFonts w:ascii="Segoe UI" w:hAnsi="Segoe UI" w:cs="Segoe UI"/>
          <w:sz w:val="22"/>
          <w:szCs w:val="22"/>
        </w:rPr>
        <w:t xml:space="preserve"> for men and women. A Medium secure service for </w:t>
      </w:r>
      <w:r w:rsidR="00B20029" w:rsidRPr="00C504ED">
        <w:rPr>
          <w:rFonts w:ascii="Segoe UI" w:hAnsi="Segoe UI" w:cs="Segoe UI"/>
          <w:sz w:val="22"/>
          <w:szCs w:val="22"/>
        </w:rPr>
        <w:t xml:space="preserve">men with a </w:t>
      </w:r>
      <w:r w:rsidR="008627C4" w:rsidRPr="00C504ED">
        <w:rPr>
          <w:rFonts w:ascii="Segoe UI" w:hAnsi="Segoe UI" w:cs="Segoe UI"/>
          <w:sz w:val="22"/>
          <w:szCs w:val="22"/>
        </w:rPr>
        <w:t>learning disability</w:t>
      </w:r>
      <w:r w:rsidR="00661822" w:rsidRPr="00C504ED">
        <w:rPr>
          <w:rFonts w:ascii="Segoe UI" w:hAnsi="Segoe UI" w:cs="Segoe UI"/>
          <w:sz w:val="22"/>
          <w:szCs w:val="22"/>
        </w:rPr>
        <w:t xml:space="preserve"> and </w:t>
      </w:r>
      <w:r w:rsidR="00F06842" w:rsidRPr="00C504ED">
        <w:rPr>
          <w:rFonts w:ascii="Segoe UI" w:hAnsi="Segoe UI" w:cs="Segoe UI"/>
          <w:sz w:val="22"/>
          <w:szCs w:val="22"/>
        </w:rPr>
        <w:t xml:space="preserve">a </w:t>
      </w:r>
      <w:r w:rsidR="00206000" w:rsidRPr="00C504ED">
        <w:rPr>
          <w:rFonts w:ascii="Segoe UI" w:hAnsi="Segoe UI" w:cs="Segoe UI"/>
          <w:sz w:val="22"/>
          <w:szCs w:val="22"/>
        </w:rPr>
        <w:t>pre-discharge service</w:t>
      </w:r>
      <w:r w:rsidR="008627C4" w:rsidRPr="00C504ED">
        <w:rPr>
          <w:rFonts w:ascii="Segoe UI" w:hAnsi="Segoe UI" w:cs="Segoe UI"/>
          <w:sz w:val="22"/>
          <w:szCs w:val="22"/>
        </w:rPr>
        <w:t xml:space="preserve"> for men and women</w:t>
      </w:r>
      <w:r w:rsidR="00F06842" w:rsidRPr="00C504ED">
        <w:rPr>
          <w:rFonts w:ascii="Segoe UI" w:hAnsi="Segoe UI" w:cs="Segoe UI"/>
          <w:sz w:val="22"/>
          <w:szCs w:val="22"/>
        </w:rPr>
        <w:t>. There is also a</w:t>
      </w:r>
      <w:r w:rsidR="00F77411" w:rsidRPr="00C504ED">
        <w:rPr>
          <w:rFonts w:ascii="Segoe UI" w:hAnsi="Segoe UI" w:cs="Segoe UI"/>
          <w:sz w:val="22"/>
          <w:szCs w:val="22"/>
        </w:rPr>
        <w:t xml:space="preserve"> forensic community mental health team </w:t>
      </w:r>
      <w:r w:rsidR="00F06842" w:rsidRPr="00C504ED">
        <w:rPr>
          <w:rFonts w:ascii="Segoe UI" w:hAnsi="Segoe UI" w:cs="Segoe UI"/>
          <w:sz w:val="22"/>
          <w:szCs w:val="22"/>
        </w:rPr>
        <w:t xml:space="preserve">which </w:t>
      </w:r>
      <w:r w:rsidR="00F77411" w:rsidRPr="00C504ED">
        <w:rPr>
          <w:rFonts w:ascii="Segoe UI" w:hAnsi="Segoe UI" w:cs="Segoe UI"/>
          <w:sz w:val="22"/>
          <w:szCs w:val="22"/>
        </w:rPr>
        <w:t xml:space="preserve">supports patients across Oxfordshire, Buckinghamshire, </w:t>
      </w:r>
      <w:proofErr w:type="gramStart"/>
      <w:r w:rsidR="00F77411" w:rsidRPr="00C504ED">
        <w:rPr>
          <w:rFonts w:ascii="Segoe UI" w:hAnsi="Segoe UI" w:cs="Segoe UI"/>
          <w:sz w:val="22"/>
          <w:szCs w:val="22"/>
        </w:rPr>
        <w:t>Berkshire</w:t>
      </w:r>
      <w:proofErr w:type="gramEnd"/>
      <w:r w:rsidR="00F77411" w:rsidRPr="00C504ED">
        <w:rPr>
          <w:rFonts w:ascii="Segoe UI" w:hAnsi="Segoe UI" w:cs="Segoe UI"/>
          <w:sz w:val="22"/>
          <w:szCs w:val="22"/>
        </w:rPr>
        <w:t xml:space="preserve"> and Milton Keynes. A community treatment service </w:t>
      </w:r>
      <w:bookmarkStart w:id="4" w:name="_Hlk115905367"/>
      <w:r w:rsidR="00F77411" w:rsidRPr="00C504ED">
        <w:rPr>
          <w:rFonts w:ascii="Segoe UI" w:hAnsi="Segoe UI" w:cs="Segoe UI"/>
          <w:sz w:val="22"/>
          <w:szCs w:val="22"/>
        </w:rPr>
        <w:t>called Pathfinder provides a service for adults of working age with a diagnosis of Personality Disorder where violence or high risk of violence to others is a significant feature.</w:t>
      </w:r>
    </w:p>
    <w:p w14:paraId="5E56B777" w14:textId="3236C56A" w:rsidR="009364D7" w:rsidRPr="00C504ED" w:rsidRDefault="009364D7" w:rsidP="007A44E1">
      <w:pPr>
        <w:pStyle w:val="Default"/>
        <w:ind w:left="567" w:right="871"/>
        <w:jc w:val="both"/>
        <w:rPr>
          <w:rFonts w:ascii="Segoe UI" w:hAnsi="Segoe UI" w:cs="Segoe UI"/>
          <w:sz w:val="22"/>
          <w:szCs w:val="22"/>
        </w:rPr>
      </w:pPr>
    </w:p>
    <w:p w14:paraId="28F7F94E" w14:textId="1149E315" w:rsidR="00812CDA" w:rsidRDefault="00812CDA" w:rsidP="007A44E1">
      <w:pPr>
        <w:pStyle w:val="Default"/>
        <w:ind w:left="567" w:right="871"/>
        <w:jc w:val="both"/>
        <w:rPr>
          <w:rFonts w:ascii="Segoe UI" w:hAnsi="Segoe UI" w:cs="Segoe UI"/>
          <w:b/>
          <w:bCs/>
        </w:rPr>
      </w:pPr>
    </w:p>
    <w:p w14:paraId="696B14B8" w14:textId="77777777" w:rsidR="009364D7" w:rsidRDefault="009364D7" w:rsidP="007A44E1">
      <w:pPr>
        <w:pStyle w:val="Default"/>
        <w:ind w:left="567" w:right="871"/>
        <w:rPr>
          <w:b/>
          <w:bCs/>
          <w:color w:val="4472C4" w:themeColor="accent1"/>
        </w:rPr>
      </w:pPr>
    </w:p>
    <w:p w14:paraId="75D13867" w14:textId="766DB2A3" w:rsidR="009364D7" w:rsidRPr="00812CDA" w:rsidRDefault="009364D7" w:rsidP="007A44E1">
      <w:pPr>
        <w:pStyle w:val="Default"/>
        <w:ind w:left="567" w:right="871"/>
        <w:rPr>
          <w:b/>
          <w:bCs/>
          <w:color w:val="4472C4" w:themeColor="accent1"/>
        </w:rPr>
      </w:pPr>
      <w:r w:rsidRPr="00812CDA">
        <w:rPr>
          <w:b/>
          <w:bCs/>
          <w:color w:val="4472C4" w:themeColor="accent1"/>
        </w:rPr>
        <w:t xml:space="preserve">2. Outline of the policy </w:t>
      </w:r>
    </w:p>
    <w:p w14:paraId="7E526D27" w14:textId="28C99EFA" w:rsidR="00641A49" w:rsidRPr="00C504ED" w:rsidRDefault="0049432F" w:rsidP="007A44E1">
      <w:pPr>
        <w:pStyle w:val="Default"/>
        <w:ind w:left="567" w:right="871"/>
        <w:rPr>
          <w:rFonts w:ascii="Segoe UI" w:hAnsi="Segoe UI" w:cs="Segoe UI"/>
          <w:b/>
          <w:bCs/>
          <w:sz w:val="22"/>
          <w:szCs w:val="22"/>
        </w:rPr>
      </w:pPr>
      <w:r w:rsidRPr="00C504ED">
        <w:rPr>
          <w:rFonts w:ascii="Segoe UI" w:hAnsi="Segoe UI" w:cs="Segoe UI"/>
          <w:b/>
          <w:bCs/>
          <w:sz w:val="22"/>
          <w:szCs w:val="22"/>
        </w:rPr>
        <w:t xml:space="preserve">2.1 </w:t>
      </w:r>
      <w:r w:rsidR="0064799B" w:rsidRPr="00C504ED">
        <w:rPr>
          <w:rFonts w:ascii="Segoe UI" w:hAnsi="Segoe UI" w:cs="Segoe UI"/>
          <w:b/>
          <w:bCs/>
          <w:sz w:val="22"/>
          <w:szCs w:val="22"/>
        </w:rPr>
        <w:t>Triage for timescales</w:t>
      </w:r>
    </w:p>
    <w:bookmarkEnd w:id="4"/>
    <w:p w14:paraId="57677B04" w14:textId="2C06C7FB" w:rsidR="0064799B" w:rsidRPr="00C504ED" w:rsidRDefault="0079546E" w:rsidP="007A44E1">
      <w:pPr>
        <w:pStyle w:val="Default"/>
        <w:ind w:left="567" w:right="871"/>
        <w:rPr>
          <w:rFonts w:ascii="Segoe UI" w:hAnsi="Segoe UI" w:cs="Segoe UI"/>
          <w:sz w:val="22"/>
          <w:szCs w:val="22"/>
        </w:rPr>
      </w:pPr>
      <w:r w:rsidRPr="00C504ED">
        <w:rPr>
          <w:rFonts w:ascii="Segoe UI" w:hAnsi="Segoe UI" w:cs="Segoe UI"/>
          <w:sz w:val="22"/>
          <w:szCs w:val="22"/>
        </w:rPr>
        <w:t xml:space="preserve">Referrals will be triaged to assess the </w:t>
      </w:r>
      <w:r w:rsidR="00B34206" w:rsidRPr="00C504ED">
        <w:rPr>
          <w:rFonts w:ascii="Segoe UI" w:hAnsi="Segoe UI" w:cs="Segoe UI"/>
          <w:sz w:val="22"/>
          <w:szCs w:val="22"/>
        </w:rPr>
        <w:t xml:space="preserve">urgency </w:t>
      </w:r>
      <w:r w:rsidR="00B804CE" w:rsidRPr="00C504ED">
        <w:rPr>
          <w:rFonts w:ascii="Segoe UI" w:hAnsi="Segoe UI" w:cs="Segoe UI"/>
          <w:sz w:val="22"/>
          <w:szCs w:val="22"/>
        </w:rPr>
        <w:t>required.</w:t>
      </w:r>
      <w:r w:rsidR="00B34206" w:rsidRPr="00C504ED">
        <w:rPr>
          <w:rFonts w:ascii="Segoe UI" w:hAnsi="Segoe UI" w:cs="Segoe UI"/>
          <w:sz w:val="22"/>
          <w:szCs w:val="22"/>
        </w:rPr>
        <w:t xml:space="preserve"> </w:t>
      </w:r>
    </w:p>
    <w:p w14:paraId="1B32C493" w14:textId="77777777" w:rsidR="00B804CE" w:rsidRPr="00C504ED" w:rsidRDefault="00B804CE" w:rsidP="007A44E1">
      <w:pPr>
        <w:pStyle w:val="Default"/>
        <w:ind w:left="567" w:right="871"/>
        <w:rPr>
          <w:rFonts w:ascii="Segoe UI" w:hAnsi="Segoe UI" w:cs="Segoe UI"/>
          <w:sz w:val="22"/>
          <w:szCs w:val="22"/>
        </w:rPr>
      </w:pPr>
    </w:p>
    <w:p w14:paraId="37573CF0" w14:textId="77777777" w:rsidR="00B804CE" w:rsidRPr="00C504ED" w:rsidRDefault="00B804CE" w:rsidP="008A621D">
      <w:pPr>
        <w:pStyle w:val="Default"/>
        <w:ind w:left="567" w:right="871"/>
        <w:jc w:val="both"/>
        <w:rPr>
          <w:rFonts w:ascii="Segoe UI" w:hAnsi="Segoe UI" w:cs="Segoe UI"/>
          <w:sz w:val="22"/>
          <w:szCs w:val="22"/>
        </w:rPr>
      </w:pPr>
      <w:r w:rsidRPr="00C504ED">
        <w:rPr>
          <w:rFonts w:ascii="Segoe UI" w:hAnsi="Segoe UI" w:cs="Segoe UI"/>
          <w:sz w:val="22"/>
          <w:szCs w:val="22"/>
        </w:rPr>
        <w:t>“</w:t>
      </w:r>
      <w:r w:rsidRPr="00C504ED">
        <w:rPr>
          <w:rFonts w:ascii="Segoe UI" w:hAnsi="Segoe UI" w:cs="Segoe UI"/>
          <w:b/>
          <w:bCs/>
          <w:sz w:val="22"/>
          <w:szCs w:val="22"/>
        </w:rPr>
        <w:t>Urgent” referrals</w:t>
      </w:r>
      <w:r w:rsidRPr="00C504ED">
        <w:rPr>
          <w:rFonts w:ascii="Segoe UI" w:hAnsi="Segoe UI" w:cs="Segoe UI"/>
          <w:sz w:val="22"/>
          <w:szCs w:val="22"/>
        </w:rPr>
        <w:t xml:space="preserve">: Assessment takes place in 2 days and the outcome is made verbally to the referrer within 24 hours along with a brief report. A final report is provided within 5 days of the assessment taking place </w:t>
      </w:r>
    </w:p>
    <w:p w14:paraId="3D2A15FB" w14:textId="09D479F4" w:rsidR="00B34206" w:rsidRPr="00C504ED" w:rsidRDefault="00B804CE" w:rsidP="008A621D">
      <w:pPr>
        <w:pStyle w:val="Default"/>
        <w:ind w:left="567" w:right="871"/>
        <w:jc w:val="both"/>
        <w:rPr>
          <w:rFonts w:ascii="Segoe UI" w:hAnsi="Segoe UI" w:cs="Segoe UI"/>
          <w:sz w:val="22"/>
          <w:szCs w:val="22"/>
        </w:rPr>
      </w:pPr>
      <w:r w:rsidRPr="00C504ED">
        <w:rPr>
          <w:rFonts w:ascii="Segoe UI" w:hAnsi="Segoe UI" w:cs="Segoe UI"/>
          <w:b/>
          <w:bCs/>
          <w:sz w:val="22"/>
          <w:szCs w:val="22"/>
        </w:rPr>
        <w:t>“Non-urgent”</w:t>
      </w:r>
      <w:r w:rsidRPr="00C504ED">
        <w:rPr>
          <w:rFonts w:ascii="Segoe UI" w:hAnsi="Segoe UI" w:cs="Segoe UI"/>
          <w:sz w:val="22"/>
          <w:szCs w:val="22"/>
        </w:rPr>
        <w:t xml:space="preserve"> referrals: Assessment takes place in 21 days and a final report is shared within 7 days (of the assessment).</w:t>
      </w:r>
    </w:p>
    <w:p w14:paraId="1A5F0DD0" w14:textId="682EEE0C" w:rsidR="00641A49" w:rsidRPr="00C504ED" w:rsidRDefault="00641A49" w:rsidP="008A621D">
      <w:pPr>
        <w:pStyle w:val="Default"/>
        <w:ind w:left="567" w:right="871"/>
        <w:jc w:val="both"/>
        <w:rPr>
          <w:rFonts w:ascii="Segoe UI" w:hAnsi="Segoe UI" w:cs="Segoe UI"/>
          <w:b/>
          <w:bCs/>
          <w:sz w:val="22"/>
          <w:szCs w:val="22"/>
        </w:rPr>
      </w:pPr>
    </w:p>
    <w:p w14:paraId="6B6F226A" w14:textId="77777777" w:rsidR="00B804CE" w:rsidRPr="00C504ED" w:rsidRDefault="00B804CE" w:rsidP="007A44E1">
      <w:pPr>
        <w:pStyle w:val="Default"/>
        <w:ind w:left="567" w:right="871"/>
        <w:rPr>
          <w:rFonts w:ascii="Segoe UI" w:hAnsi="Segoe UI" w:cs="Segoe UI"/>
          <w:b/>
          <w:bCs/>
          <w:sz w:val="22"/>
          <w:szCs w:val="22"/>
        </w:rPr>
      </w:pPr>
    </w:p>
    <w:p w14:paraId="778E4081" w14:textId="197D7B29" w:rsidR="0049432F" w:rsidRPr="0049432F" w:rsidRDefault="00641A49" w:rsidP="007A44E1">
      <w:pPr>
        <w:pStyle w:val="Default"/>
        <w:ind w:left="567" w:right="871"/>
        <w:rPr>
          <w:rFonts w:ascii="Segoe UI" w:hAnsi="Segoe UI" w:cs="Segoe UI"/>
          <w:b/>
          <w:bCs/>
          <w:sz w:val="22"/>
          <w:szCs w:val="22"/>
        </w:rPr>
      </w:pPr>
      <w:r w:rsidRPr="00C504ED">
        <w:rPr>
          <w:rFonts w:ascii="Segoe UI" w:hAnsi="Segoe UI" w:cs="Segoe UI"/>
          <w:b/>
          <w:bCs/>
          <w:sz w:val="22"/>
          <w:szCs w:val="22"/>
        </w:rPr>
        <w:t xml:space="preserve">2.2 </w:t>
      </w:r>
      <w:r w:rsidR="0049432F" w:rsidRPr="0049432F">
        <w:rPr>
          <w:rFonts w:ascii="Segoe UI" w:hAnsi="Segoe UI" w:cs="Segoe UI"/>
          <w:b/>
          <w:bCs/>
          <w:sz w:val="22"/>
          <w:szCs w:val="22"/>
        </w:rPr>
        <w:t xml:space="preserve">Gatekeeping </w:t>
      </w:r>
    </w:p>
    <w:p w14:paraId="274D8F99" w14:textId="7824DCDB" w:rsidR="0049432F" w:rsidRPr="00C504ED" w:rsidRDefault="0049432F" w:rsidP="008A621D">
      <w:pPr>
        <w:pStyle w:val="Default"/>
        <w:ind w:left="567" w:right="871"/>
        <w:jc w:val="both"/>
        <w:rPr>
          <w:rFonts w:ascii="Segoe UI" w:hAnsi="Segoe UI" w:cs="Segoe UI"/>
          <w:sz w:val="22"/>
          <w:szCs w:val="22"/>
        </w:rPr>
      </w:pPr>
      <w:r w:rsidRPr="0049432F">
        <w:rPr>
          <w:rFonts w:ascii="Segoe UI" w:hAnsi="Segoe UI" w:cs="Segoe UI"/>
          <w:sz w:val="22"/>
          <w:szCs w:val="22"/>
        </w:rPr>
        <w:t xml:space="preserve">A gatekeeping assessment </w:t>
      </w:r>
      <w:proofErr w:type="gramStart"/>
      <w:r w:rsidRPr="0049432F">
        <w:rPr>
          <w:rFonts w:ascii="Segoe UI" w:hAnsi="Segoe UI" w:cs="Segoe UI"/>
          <w:sz w:val="22"/>
          <w:szCs w:val="22"/>
        </w:rPr>
        <w:t>has to</w:t>
      </w:r>
      <w:proofErr w:type="gramEnd"/>
      <w:r w:rsidRPr="0049432F">
        <w:rPr>
          <w:rFonts w:ascii="Segoe UI" w:hAnsi="Segoe UI" w:cs="Segoe UI"/>
          <w:sz w:val="22"/>
          <w:szCs w:val="22"/>
        </w:rPr>
        <w:t xml:space="preserve"> be undertaken and there needs to be a recommendation to commissioning services that an individual meets the criteria for requiring a Forensic Service. This aims to ensure that admissions to high, </w:t>
      </w:r>
      <w:proofErr w:type="gramStart"/>
      <w:r w:rsidRPr="0049432F">
        <w:rPr>
          <w:rFonts w:ascii="Segoe UI" w:hAnsi="Segoe UI" w:cs="Segoe UI"/>
          <w:sz w:val="22"/>
          <w:szCs w:val="22"/>
        </w:rPr>
        <w:t>medium</w:t>
      </w:r>
      <w:proofErr w:type="gramEnd"/>
      <w:r w:rsidRPr="0049432F">
        <w:rPr>
          <w:rFonts w:ascii="Segoe UI" w:hAnsi="Segoe UI" w:cs="Segoe UI"/>
          <w:sz w:val="22"/>
          <w:szCs w:val="22"/>
        </w:rPr>
        <w:t xml:space="preserve"> and low secure inpatient facilities are assessed by specialists in forensic mental health in order to ensure that individuals who require </w:t>
      </w:r>
      <w:r w:rsidRPr="0049432F">
        <w:rPr>
          <w:rFonts w:ascii="Segoe UI" w:hAnsi="Segoe UI" w:cs="Segoe UI"/>
          <w:sz w:val="22"/>
          <w:szCs w:val="22"/>
        </w:rPr>
        <w:lastRenderedPageBreak/>
        <w:t>secure inpatient care receive the optimum level of care and treatment, appropriate to their forensic and mental health needs, in the least restrictive environment.</w:t>
      </w:r>
    </w:p>
    <w:p w14:paraId="3939B6CB" w14:textId="7DEA869E" w:rsidR="00E31C18" w:rsidRDefault="00E31C18" w:rsidP="007A44E1">
      <w:pPr>
        <w:pStyle w:val="Default"/>
        <w:ind w:left="567" w:right="871"/>
        <w:rPr>
          <w:rFonts w:ascii="Segoe UI" w:hAnsi="Segoe UI" w:cs="Segoe UI"/>
          <w:szCs w:val="22"/>
        </w:rPr>
      </w:pPr>
    </w:p>
    <w:p w14:paraId="293B5A7B" w14:textId="77777777" w:rsidR="008A621D" w:rsidRPr="0049432F" w:rsidRDefault="008A621D" w:rsidP="007A44E1">
      <w:pPr>
        <w:pStyle w:val="Default"/>
        <w:ind w:left="567" w:right="871"/>
        <w:rPr>
          <w:rFonts w:ascii="Segoe UI" w:hAnsi="Segoe UI" w:cs="Segoe UI"/>
          <w:szCs w:val="22"/>
        </w:rPr>
      </w:pPr>
    </w:p>
    <w:p w14:paraId="31D027AB" w14:textId="4B9A43B9" w:rsidR="00E31C18" w:rsidRPr="00E31C18" w:rsidRDefault="00E31C18" w:rsidP="007A44E1">
      <w:pPr>
        <w:pStyle w:val="Default"/>
        <w:ind w:left="567" w:right="871"/>
        <w:rPr>
          <w:rFonts w:ascii="Segoe UI" w:hAnsi="Segoe UI" w:cs="Segoe UI"/>
          <w:b/>
          <w:bCs/>
          <w:sz w:val="22"/>
          <w:szCs w:val="22"/>
        </w:rPr>
      </w:pPr>
      <w:r w:rsidRPr="00C504ED">
        <w:rPr>
          <w:rFonts w:ascii="Segoe UI" w:hAnsi="Segoe UI" w:cs="Segoe UI"/>
          <w:b/>
          <w:bCs/>
          <w:sz w:val="22"/>
          <w:szCs w:val="22"/>
        </w:rPr>
        <w:t xml:space="preserve">2.3 </w:t>
      </w:r>
      <w:r w:rsidRPr="00E31C18">
        <w:rPr>
          <w:rFonts w:ascii="Segoe UI" w:hAnsi="Segoe UI" w:cs="Segoe UI"/>
          <w:b/>
          <w:bCs/>
          <w:sz w:val="22"/>
          <w:szCs w:val="22"/>
        </w:rPr>
        <w:t>Community Support and Capacity Building</w:t>
      </w:r>
    </w:p>
    <w:p w14:paraId="0DF6FE97" w14:textId="7BFF18B5" w:rsidR="00E31C18" w:rsidRPr="00C504ED" w:rsidRDefault="00E31C18" w:rsidP="007A44E1">
      <w:pPr>
        <w:pStyle w:val="Default"/>
        <w:ind w:left="567" w:right="871"/>
        <w:rPr>
          <w:rFonts w:ascii="Segoe UI" w:hAnsi="Segoe UI" w:cs="Segoe UI"/>
          <w:sz w:val="22"/>
          <w:szCs w:val="22"/>
        </w:rPr>
      </w:pPr>
      <w:r w:rsidRPr="00E31C18">
        <w:rPr>
          <w:rFonts w:ascii="Segoe UI" w:hAnsi="Segoe UI" w:cs="Segoe UI"/>
          <w:sz w:val="22"/>
          <w:szCs w:val="22"/>
        </w:rPr>
        <w:t xml:space="preserve">The service will provide assessments and advice for cases where the referrer is of the opinion that a forensic mental health opinion would provide additional benefit to the management of the patient.  This may encompass issues such as diagnostic uncertainty but there must also be prominent risk issues which would benefit from a forensic opinion.  </w:t>
      </w:r>
    </w:p>
    <w:p w14:paraId="0463E4D9" w14:textId="634613A7" w:rsidR="00EF4C9E" w:rsidRDefault="00EF4C9E" w:rsidP="007A44E1">
      <w:pPr>
        <w:pStyle w:val="Default"/>
        <w:ind w:left="567" w:right="871"/>
        <w:rPr>
          <w:rFonts w:ascii="Segoe UI" w:hAnsi="Segoe UI" w:cs="Segoe UI"/>
          <w:sz w:val="22"/>
          <w:szCs w:val="22"/>
        </w:rPr>
      </w:pPr>
    </w:p>
    <w:p w14:paraId="410CD4AB" w14:textId="77777777" w:rsidR="00741D58" w:rsidRPr="00C504ED" w:rsidRDefault="00741D58" w:rsidP="007A44E1">
      <w:pPr>
        <w:pStyle w:val="Default"/>
        <w:ind w:left="567" w:right="871"/>
        <w:rPr>
          <w:rFonts w:ascii="Segoe UI" w:hAnsi="Segoe UI" w:cs="Segoe UI"/>
          <w:sz w:val="22"/>
          <w:szCs w:val="22"/>
        </w:rPr>
      </w:pPr>
    </w:p>
    <w:p w14:paraId="7EC6024C" w14:textId="64C38D0C" w:rsidR="00EF4C9E" w:rsidRPr="00C504ED" w:rsidRDefault="002839CC" w:rsidP="007A44E1">
      <w:pPr>
        <w:pStyle w:val="Default"/>
        <w:ind w:left="567" w:right="871"/>
        <w:rPr>
          <w:rFonts w:ascii="Segoe UI" w:hAnsi="Segoe UI" w:cs="Segoe UI"/>
          <w:b/>
          <w:bCs/>
          <w:sz w:val="22"/>
          <w:szCs w:val="22"/>
        </w:rPr>
      </w:pPr>
      <w:r w:rsidRPr="00C504ED">
        <w:rPr>
          <w:rFonts w:ascii="Segoe UI" w:hAnsi="Segoe UI" w:cs="Segoe UI"/>
          <w:b/>
          <w:bCs/>
          <w:sz w:val="22"/>
          <w:szCs w:val="22"/>
        </w:rPr>
        <w:t xml:space="preserve">2.4 </w:t>
      </w:r>
      <w:r w:rsidR="00E17300" w:rsidRPr="00C504ED">
        <w:rPr>
          <w:rFonts w:ascii="Segoe UI" w:hAnsi="Segoe UI" w:cs="Segoe UI"/>
          <w:b/>
          <w:bCs/>
          <w:sz w:val="22"/>
          <w:szCs w:val="22"/>
        </w:rPr>
        <w:t>Referral Criteria</w:t>
      </w:r>
    </w:p>
    <w:p w14:paraId="48A58B6E" w14:textId="276A9C61" w:rsidR="00092A15" w:rsidRPr="00092A15" w:rsidRDefault="00092A15" w:rsidP="007A44E1">
      <w:pPr>
        <w:pStyle w:val="Default"/>
        <w:ind w:left="567" w:right="871"/>
        <w:rPr>
          <w:rFonts w:ascii="Segoe UI" w:hAnsi="Segoe UI" w:cs="Segoe UI"/>
          <w:b/>
          <w:sz w:val="22"/>
          <w:szCs w:val="22"/>
        </w:rPr>
      </w:pPr>
      <w:r w:rsidRPr="00092A15">
        <w:rPr>
          <w:rFonts w:ascii="Segoe UI" w:hAnsi="Segoe UI" w:cs="Segoe UI"/>
          <w:b/>
          <w:sz w:val="22"/>
          <w:szCs w:val="22"/>
        </w:rPr>
        <w:t>A referral should meet any of the following inclusion criteria:</w:t>
      </w:r>
    </w:p>
    <w:p w14:paraId="11E2E43D" w14:textId="77777777" w:rsidR="00092A15" w:rsidRPr="00092A15" w:rsidRDefault="00092A15" w:rsidP="00B94FEC">
      <w:pPr>
        <w:pStyle w:val="Default"/>
        <w:numPr>
          <w:ilvl w:val="0"/>
          <w:numId w:val="38"/>
        </w:numPr>
        <w:ind w:left="567" w:right="871" w:firstLine="0"/>
        <w:jc w:val="both"/>
        <w:rPr>
          <w:rFonts w:ascii="Segoe UI" w:hAnsi="Segoe UI" w:cs="Segoe UI"/>
          <w:sz w:val="22"/>
          <w:szCs w:val="22"/>
        </w:rPr>
      </w:pPr>
      <w:r w:rsidRPr="00092A15">
        <w:rPr>
          <w:rFonts w:ascii="Segoe UI" w:hAnsi="Segoe UI" w:cs="Segoe UI"/>
          <w:sz w:val="22"/>
          <w:szCs w:val="22"/>
        </w:rPr>
        <w:t>Risk assessment and management where there are concerns about current risk of harm to others.</w:t>
      </w:r>
    </w:p>
    <w:p w14:paraId="485AB381" w14:textId="77777777" w:rsidR="00092A15" w:rsidRPr="00092A15" w:rsidRDefault="00092A15" w:rsidP="007A44E1">
      <w:pPr>
        <w:pStyle w:val="Default"/>
        <w:numPr>
          <w:ilvl w:val="0"/>
          <w:numId w:val="38"/>
        </w:numPr>
        <w:ind w:left="567" w:right="871" w:firstLine="0"/>
        <w:rPr>
          <w:rFonts w:ascii="Segoe UI" w:hAnsi="Segoe UI" w:cs="Segoe UI"/>
          <w:sz w:val="22"/>
          <w:szCs w:val="22"/>
        </w:rPr>
      </w:pPr>
      <w:r w:rsidRPr="00092A15">
        <w:rPr>
          <w:rFonts w:ascii="Segoe UI" w:hAnsi="Segoe UI" w:cs="Segoe UI"/>
          <w:sz w:val="22"/>
          <w:szCs w:val="22"/>
        </w:rPr>
        <w:t xml:space="preserve">Suitability for admission to low, </w:t>
      </w:r>
      <w:proofErr w:type="gramStart"/>
      <w:r w:rsidRPr="00092A15">
        <w:rPr>
          <w:rFonts w:ascii="Segoe UI" w:hAnsi="Segoe UI" w:cs="Segoe UI"/>
          <w:sz w:val="22"/>
          <w:szCs w:val="22"/>
        </w:rPr>
        <w:t>medium</w:t>
      </w:r>
      <w:proofErr w:type="gramEnd"/>
      <w:r w:rsidRPr="00092A15">
        <w:rPr>
          <w:rFonts w:ascii="Segoe UI" w:hAnsi="Segoe UI" w:cs="Segoe UI"/>
          <w:sz w:val="22"/>
          <w:szCs w:val="22"/>
        </w:rPr>
        <w:t xml:space="preserve"> or high secure.</w:t>
      </w:r>
    </w:p>
    <w:p w14:paraId="5AA5304E" w14:textId="77777777" w:rsidR="00092A15" w:rsidRPr="00092A15" w:rsidRDefault="00092A15" w:rsidP="007A44E1">
      <w:pPr>
        <w:pStyle w:val="Default"/>
        <w:numPr>
          <w:ilvl w:val="0"/>
          <w:numId w:val="38"/>
        </w:numPr>
        <w:ind w:left="567" w:right="871" w:firstLine="0"/>
        <w:rPr>
          <w:rFonts w:ascii="Segoe UI" w:hAnsi="Segoe UI" w:cs="Segoe UI"/>
          <w:sz w:val="22"/>
          <w:szCs w:val="22"/>
        </w:rPr>
      </w:pPr>
      <w:r w:rsidRPr="00092A15">
        <w:rPr>
          <w:rFonts w:ascii="Segoe UI" w:hAnsi="Segoe UI" w:cs="Segoe UI"/>
          <w:sz w:val="22"/>
          <w:szCs w:val="22"/>
        </w:rPr>
        <w:t>Forensic community working.</w:t>
      </w:r>
    </w:p>
    <w:p w14:paraId="0E3B1561" w14:textId="77777777" w:rsidR="00092A15" w:rsidRPr="00092A15" w:rsidRDefault="00092A15" w:rsidP="007A44E1">
      <w:pPr>
        <w:pStyle w:val="Default"/>
        <w:ind w:left="567" w:right="871"/>
        <w:rPr>
          <w:rFonts w:ascii="Segoe UI" w:hAnsi="Segoe UI" w:cs="Segoe UI"/>
          <w:i/>
          <w:sz w:val="22"/>
          <w:szCs w:val="22"/>
        </w:rPr>
      </w:pPr>
    </w:p>
    <w:p w14:paraId="73415984" w14:textId="376ECDA1" w:rsidR="00092A15" w:rsidRPr="00092A15" w:rsidRDefault="00092A15" w:rsidP="007A44E1">
      <w:pPr>
        <w:pStyle w:val="Default"/>
        <w:ind w:left="567" w:right="871"/>
        <w:rPr>
          <w:rFonts w:ascii="Segoe UI" w:hAnsi="Segoe UI" w:cs="Segoe UI"/>
          <w:b/>
          <w:sz w:val="22"/>
          <w:szCs w:val="22"/>
        </w:rPr>
      </w:pPr>
      <w:r w:rsidRPr="00092A15">
        <w:rPr>
          <w:rFonts w:ascii="Segoe UI" w:hAnsi="Segoe UI" w:cs="Segoe UI"/>
          <w:b/>
          <w:sz w:val="22"/>
          <w:szCs w:val="22"/>
        </w:rPr>
        <w:t>The following exclusion criteria for referrals apply:</w:t>
      </w:r>
    </w:p>
    <w:p w14:paraId="2D140016" w14:textId="77777777" w:rsidR="00092A15" w:rsidRPr="00092A15" w:rsidRDefault="00092A15" w:rsidP="00B94FEC">
      <w:pPr>
        <w:pStyle w:val="Default"/>
        <w:numPr>
          <w:ilvl w:val="0"/>
          <w:numId w:val="39"/>
        </w:numPr>
        <w:ind w:left="567" w:right="871" w:firstLine="0"/>
        <w:jc w:val="both"/>
        <w:rPr>
          <w:rFonts w:ascii="Segoe UI" w:hAnsi="Segoe UI" w:cs="Segoe UI"/>
          <w:sz w:val="22"/>
          <w:szCs w:val="22"/>
        </w:rPr>
      </w:pPr>
      <w:r w:rsidRPr="00092A15">
        <w:rPr>
          <w:rFonts w:ascii="Segoe UI" w:hAnsi="Segoe UI" w:cs="Segoe UI"/>
          <w:sz w:val="22"/>
          <w:szCs w:val="22"/>
        </w:rPr>
        <w:t xml:space="preserve">Referral for diagnosis and management of difficult to manage cases where there is little or no evidence of current risk of harm to others. </w:t>
      </w:r>
    </w:p>
    <w:p w14:paraId="73540B74" w14:textId="77777777" w:rsidR="00092A15" w:rsidRPr="00092A15" w:rsidRDefault="00092A15" w:rsidP="00B94FEC">
      <w:pPr>
        <w:pStyle w:val="Default"/>
        <w:numPr>
          <w:ilvl w:val="0"/>
          <w:numId w:val="39"/>
        </w:numPr>
        <w:ind w:left="567" w:right="871" w:firstLine="0"/>
        <w:jc w:val="both"/>
        <w:rPr>
          <w:rFonts w:ascii="Segoe UI" w:hAnsi="Segoe UI" w:cs="Segoe UI"/>
          <w:sz w:val="22"/>
          <w:szCs w:val="22"/>
        </w:rPr>
      </w:pPr>
      <w:r w:rsidRPr="00092A15">
        <w:rPr>
          <w:rFonts w:ascii="Segoe UI" w:hAnsi="Segoe UI" w:cs="Segoe UI"/>
          <w:sz w:val="22"/>
          <w:szCs w:val="22"/>
        </w:rPr>
        <w:t>No offending behaviour involving risk of harm to others is present. However, referrals will be accepted when criminal charges are pending where there is evidence of current risk of harm to others.</w:t>
      </w:r>
    </w:p>
    <w:p w14:paraId="7A485B92" w14:textId="77777777" w:rsidR="00092A15" w:rsidRPr="00092A15" w:rsidRDefault="00092A15" w:rsidP="00B94FEC">
      <w:pPr>
        <w:pStyle w:val="Default"/>
        <w:numPr>
          <w:ilvl w:val="0"/>
          <w:numId w:val="39"/>
        </w:numPr>
        <w:ind w:left="567" w:right="871" w:firstLine="0"/>
        <w:jc w:val="both"/>
        <w:rPr>
          <w:rFonts w:ascii="Segoe UI" w:hAnsi="Segoe UI" w:cs="Segoe UI"/>
          <w:sz w:val="22"/>
          <w:szCs w:val="22"/>
        </w:rPr>
      </w:pPr>
      <w:r w:rsidRPr="00092A15">
        <w:rPr>
          <w:rFonts w:ascii="Segoe UI" w:hAnsi="Segoe UI" w:cs="Segoe UI"/>
          <w:sz w:val="22"/>
          <w:szCs w:val="22"/>
        </w:rPr>
        <w:t>Referral to the local PICU or locked rehabilitation unit has not been considered and/or assessed where admission to low security is requested.</w:t>
      </w:r>
    </w:p>
    <w:p w14:paraId="44EDE8C0" w14:textId="2887B6B0" w:rsidR="00092A15" w:rsidRDefault="00092A15" w:rsidP="00B94FEC">
      <w:pPr>
        <w:pStyle w:val="Default"/>
        <w:numPr>
          <w:ilvl w:val="0"/>
          <w:numId w:val="39"/>
        </w:numPr>
        <w:ind w:left="567" w:right="871" w:firstLine="0"/>
        <w:jc w:val="both"/>
        <w:rPr>
          <w:rFonts w:ascii="Segoe UI" w:hAnsi="Segoe UI" w:cs="Segoe UI"/>
          <w:sz w:val="22"/>
          <w:szCs w:val="22"/>
        </w:rPr>
      </w:pPr>
      <w:r w:rsidRPr="00092A15">
        <w:rPr>
          <w:rFonts w:ascii="Segoe UI" w:hAnsi="Segoe UI" w:cs="Segoe UI"/>
          <w:sz w:val="22"/>
          <w:szCs w:val="22"/>
        </w:rPr>
        <w:t>Patient has not been seen by a Consultant Psychiatrist in the last 1 month.</w:t>
      </w:r>
    </w:p>
    <w:p w14:paraId="57FE9512" w14:textId="77777777" w:rsidR="008F739A" w:rsidRDefault="008F739A" w:rsidP="007A44E1">
      <w:pPr>
        <w:pStyle w:val="Default"/>
        <w:ind w:left="567" w:right="871"/>
        <w:rPr>
          <w:rFonts w:ascii="Segoe UI" w:hAnsi="Segoe UI" w:cs="Segoe UI"/>
          <w:sz w:val="22"/>
          <w:szCs w:val="22"/>
        </w:rPr>
      </w:pPr>
    </w:p>
    <w:p w14:paraId="79783CF3" w14:textId="5CA9C3C8" w:rsidR="001D3929" w:rsidRDefault="001D3929" w:rsidP="00B94FEC">
      <w:pPr>
        <w:pStyle w:val="Default"/>
        <w:ind w:left="567" w:right="871"/>
        <w:jc w:val="both"/>
        <w:rPr>
          <w:rFonts w:ascii="Segoe UI" w:hAnsi="Segoe UI" w:cs="Segoe UI"/>
          <w:sz w:val="22"/>
          <w:szCs w:val="22"/>
        </w:rPr>
      </w:pPr>
      <w:r>
        <w:rPr>
          <w:rFonts w:ascii="Segoe UI" w:hAnsi="Segoe UI" w:cs="Segoe UI"/>
          <w:sz w:val="22"/>
          <w:szCs w:val="22"/>
        </w:rPr>
        <w:t xml:space="preserve">The criteria for the Thames Valley Pathfinder Service </w:t>
      </w:r>
      <w:proofErr w:type="gramStart"/>
      <w:r w:rsidR="008F739A">
        <w:rPr>
          <w:rFonts w:ascii="Segoe UI" w:hAnsi="Segoe UI" w:cs="Segoe UI"/>
          <w:sz w:val="22"/>
          <w:szCs w:val="22"/>
        </w:rPr>
        <w:t>is</w:t>
      </w:r>
      <w:proofErr w:type="gramEnd"/>
      <w:r w:rsidR="008F739A">
        <w:rPr>
          <w:rFonts w:ascii="Segoe UI" w:hAnsi="Segoe UI" w:cs="Segoe UI"/>
          <w:sz w:val="22"/>
          <w:szCs w:val="22"/>
        </w:rPr>
        <w:t xml:space="preserve"> different to that of the forensic mental health service. </w:t>
      </w:r>
    </w:p>
    <w:p w14:paraId="548CF6E0" w14:textId="3EE7E0AB" w:rsidR="00C775D4" w:rsidRDefault="00C775D4" w:rsidP="007A44E1">
      <w:pPr>
        <w:pStyle w:val="Default"/>
        <w:ind w:left="567" w:right="871"/>
        <w:rPr>
          <w:rFonts w:ascii="Segoe UI" w:hAnsi="Segoe UI" w:cs="Segoe UI"/>
          <w:sz w:val="22"/>
          <w:szCs w:val="22"/>
        </w:rPr>
      </w:pPr>
    </w:p>
    <w:p w14:paraId="1E157E68" w14:textId="77777777" w:rsidR="00C775D4" w:rsidRPr="00C775D4" w:rsidRDefault="00C775D4" w:rsidP="007A44E1">
      <w:pPr>
        <w:pStyle w:val="Default"/>
        <w:ind w:left="567" w:right="871"/>
        <w:rPr>
          <w:rFonts w:ascii="Segoe UI" w:hAnsi="Segoe UI" w:cs="Segoe UI"/>
          <w:b/>
          <w:bCs/>
          <w:sz w:val="22"/>
          <w:szCs w:val="22"/>
        </w:rPr>
      </w:pPr>
      <w:r w:rsidRPr="00C775D4">
        <w:rPr>
          <w:rFonts w:ascii="Segoe UI" w:hAnsi="Segoe UI" w:cs="Segoe UI"/>
          <w:b/>
          <w:bCs/>
          <w:sz w:val="22"/>
          <w:szCs w:val="22"/>
        </w:rPr>
        <w:t>Thames Valley Pathfinder Service (TVPS), the inclusion and exclusion referral criteria are as follows:</w:t>
      </w:r>
    </w:p>
    <w:p w14:paraId="399F116E" w14:textId="551E9F4F" w:rsidR="00C775D4" w:rsidRPr="00C775D4" w:rsidRDefault="00C775D4" w:rsidP="00B94FEC">
      <w:pPr>
        <w:pStyle w:val="Default"/>
        <w:ind w:left="567" w:right="871"/>
        <w:jc w:val="both"/>
        <w:rPr>
          <w:rFonts w:ascii="Segoe UI" w:hAnsi="Segoe UI" w:cs="Segoe UI"/>
          <w:sz w:val="22"/>
          <w:szCs w:val="22"/>
        </w:rPr>
      </w:pPr>
      <w:r w:rsidRPr="00C775D4">
        <w:rPr>
          <w:rFonts w:ascii="Segoe UI" w:hAnsi="Segoe UI" w:cs="Segoe UI"/>
          <w:sz w:val="22"/>
          <w:szCs w:val="22"/>
        </w:rPr>
        <w:t xml:space="preserve">Adults of working age with a diagnosis of Personality Disorder where violence or high risk of violence to others is a significant feature. This will include women whose violence is likely to be less severe, but who are deemed to be at high risk of harm to others. Undiagnosed service users can also be referred when psychological problems </w:t>
      </w:r>
      <w:proofErr w:type="gramStart"/>
      <w:r w:rsidRPr="00C775D4">
        <w:rPr>
          <w:rFonts w:ascii="Segoe UI" w:hAnsi="Segoe UI" w:cs="Segoe UI"/>
          <w:sz w:val="22"/>
          <w:szCs w:val="22"/>
        </w:rPr>
        <w:t>are considered to be</w:t>
      </w:r>
      <w:proofErr w:type="gramEnd"/>
      <w:r w:rsidRPr="00C775D4">
        <w:rPr>
          <w:rFonts w:ascii="Segoe UI" w:hAnsi="Segoe UI" w:cs="Segoe UI"/>
          <w:sz w:val="22"/>
          <w:szCs w:val="22"/>
        </w:rPr>
        <w:t xml:space="preserve"> part of their violent behaviour, including sexual offending, and where diagnosis needs to be clarified. </w:t>
      </w:r>
      <w:r w:rsidR="00B23849" w:rsidRPr="00C775D4">
        <w:rPr>
          <w:rFonts w:ascii="Segoe UI" w:hAnsi="Segoe UI" w:cs="Segoe UI"/>
          <w:sz w:val="22"/>
          <w:szCs w:val="22"/>
        </w:rPr>
        <w:t>Generally,</w:t>
      </w:r>
      <w:r w:rsidRPr="00C775D4">
        <w:rPr>
          <w:rFonts w:ascii="Segoe UI" w:hAnsi="Segoe UI" w:cs="Segoe UI"/>
          <w:sz w:val="22"/>
          <w:szCs w:val="22"/>
        </w:rPr>
        <w:t xml:space="preserve"> there will be a history of serious and/or prolific offending and the range of offences will include a high level of those considered to be ‘grave’ offences, as defined by the Ministry of Justice.</w:t>
      </w:r>
    </w:p>
    <w:p w14:paraId="266C84E6" w14:textId="77777777" w:rsidR="00C775D4" w:rsidRPr="00C775D4" w:rsidRDefault="00C775D4" w:rsidP="00B94FEC">
      <w:pPr>
        <w:pStyle w:val="Default"/>
        <w:ind w:left="567" w:right="871"/>
        <w:jc w:val="both"/>
        <w:rPr>
          <w:rFonts w:ascii="Segoe UI" w:hAnsi="Segoe UI" w:cs="Segoe UI"/>
        </w:rPr>
      </w:pPr>
    </w:p>
    <w:p w14:paraId="2C334086" w14:textId="77777777" w:rsidR="00C775D4" w:rsidRPr="00C775D4" w:rsidRDefault="00C775D4" w:rsidP="007A44E1">
      <w:pPr>
        <w:pStyle w:val="Default"/>
        <w:ind w:left="567" w:right="871"/>
        <w:rPr>
          <w:rFonts w:ascii="Segoe UI" w:hAnsi="Segoe UI" w:cs="Segoe UI"/>
          <w:b/>
          <w:bCs/>
          <w:sz w:val="22"/>
          <w:szCs w:val="22"/>
        </w:rPr>
      </w:pPr>
      <w:r w:rsidRPr="00C775D4">
        <w:rPr>
          <w:rFonts w:ascii="Segoe UI" w:hAnsi="Segoe UI" w:cs="Segoe UI"/>
          <w:b/>
          <w:bCs/>
          <w:sz w:val="22"/>
          <w:szCs w:val="22"/>
        </w:rPr>
        <w:t>Inclusion Criteria for Pathfinder</w:t>
      </w:r>
    </w:p>
    <w:p w14:paraId="453F2DC5"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lastRenderedPageBreak/>
        <w:t>A diagnosis of personality disorder associated with longstanding emotional and interpersonal difficulties.</w:t>
      </w:r>
    </w:p>
    <w:p w14:paraId="23CBB749"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A history of antisocial or offending behaviour, including physical and/or sexual harm to others.</w:t>
      </w:r>
    </w:p>
    <w:p w14:paraId="59432164"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Persons 18 or over irrespective of gender, culture, ethnicity, and sexual orientation.</w:t>
      </w:r>
    </w:p>
    <w:p w14:paraId="7F64EA2B"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Service users with a primary or secondary diagnosis of personality disorder or presentation consistent with personality disorder.</w:t>
      </w:r>
    </w:p>
    <w:p w14:paraId="5D786297"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Service users with complex needs including emotional, relationship, psychological issues.</w:t>
      </w:r>
    </w:p>
    <w:p w14:paraId="6E6B1524"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Service users at immediate risk of entering secure provision</w:t>
      </w:r>
    </w:p>
    <w:p w14:paraId="1D170190"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Service users who are expected to return to the community within 12 months, subject to satisfactory care pathway and risk management planning</w:t>
      </w:r>
    </w:p>
    <w:p w14:paraId="16A3B1FA" w14:textId="77777777" w:rsidR="00C775D4" w:rsidRPr="00C775D4" w:rsidRDefault="00C775D4" w:rsidP="00B94FEC">
      <w:pPr>
        <w:pStyle w:val="Default"/>
        <w:numPr>
          <w:ilvl w:val="0"/>
          <w:numId w:val="40"/>
        </w:numPr>
        <w:ind w:left="567" w:right="871" w:firstLine="0"/>
        <w:jc w:val="both"/>
        <w:rPr>
          <w:rFonts w:ascii="Segoe UI" w:hAnsi="Segoe UI" w:cs="Segoe UI"/>
          <w:sz w:val="22"/>
          <w:szCs w:val="22"/>
        </w:rPr>
      </w:pPr>
      <w:r w:rsidRPr="00C775D4">
        <w:rPr>
          <w:rFonts w:ascii="Segoe UI" w:hAnsi="Segoe UI" w:cs="Segoe UI"/>
          <w:sz w:val="22"/>
          <w:szCs w:val="22"/>
        </w:rPr>
        <w:t>Service users who are still inpatients, in the lowest level of security accommodation who have an identified discharge pathway and some realistic expectation of community access during the period they attend the Programme.</w:t>
      </w:r>
    </w:p>
    <w:p w14:paraId="20EF944C" w14:textId="77777777" w:rsidR="00C775D4" w:rsidRPr="00C775D4" w:rsidRDefault="00C775D4" w:rsidP="007A44E1">
      <w:pPr>
        <w:pStyle w:val="Default"/>
        <w:ind w:left="567" w:right="871"/>
        <w:rPr>
          <w:rFonts w:ascii="Segoe UI" w:hAnsi="Segoe UI" w:cs="Segoe UI"/>
          <w:sz w:val="22"/>
          <w:szCs w:val="22"/>
        </w:rPr>
      </w:pPr>
    </w:p>
    <w:p w14:paraId="2218DE3C" w14:textId="77777777" w:rsidR="00C775D4" w:rsidRPr="00C775D4" w:rsidRDefault="00C775D4" w:rsidP="007A44E1">
      <w:pPr>
        <w:pStyle w:val="Default"/>
        <w:ind w:left="567" w:right="871"/>
        <w:rPr>
          <w:rFonts w:ascii="Segoe UI" w:hAnsi="Segoe UI" w:cs="Segoe UI"/>
          <w:b/>
          <w:sz w:val="22"/>
          <w:szCs w:val="22"/>
        </w:rPr>
      </w:pPr>
      <w:r w:rsidRPr="00C775D4">
        <w:rPr>
          <w:rFonts w:ascii="Segoe UI" w:hAnsi="Segoe UI" w:cs="Segoe UI"/>
          <w:b/>
          <w:sz w:val="22"/>
          <w:szCs w:val="22"/>
        </w:rPr>
        <w:t>Exclusion criteria for Pathfinder</w:t>
      </w:r>
    </w:p>
    <w:p w14:paraId="700F2E8D" w14:textId="77777777" w:rsidR="00C775D4" w:rsidRPr="00C775D4" w:rsidRDefault="00C775D4" w:rsidP="00B94FEC">
      <w:pPr>
        <w:pStyle w:val="Default"/>
        <w:numPr>
          <w:ilvl w:val="0"/>
          <w:numId w:val="41"/>
        </w:numPr>
        <w:ind w:left="567" w:right="871" w:firstLine="0"/>
        <w:jc w:val="both"/>
        <w:rPr>
          <w:rFonts w:ascii="Segoe UI" w:hAnsi="Segoe UI" w:cs="Segoe UI"/>
          <w:sz w:val="22"/>
          <w:szCs w:val="22"/>
        </w:rPr>
      </w:pPr>
      <w:r w:rsidRPr="00C775D4">
        <w:rPr>
          <w:rFonts w:ascii="Segoe UI" w:hAnsi="Segoe UI" w:cs="Segoe UI"/>
          <w:sz w:val="22"/>
          <w:szCs w:val="22"/>
        </w:rPr>
        <w:t>A co-morbid psychotic illness that has not been well controlled for at least six months.</w:t>
      </w:r>
    </w:p>
    <w:p w14:paraId="1179DB8D" w14:textId="77777777" w:rsidR="00C775D4" w:rsidRPr="00C775D4" w:rsidRDefault="00C775D4" w:rsidP="00B94FEC">
      <w:pPr>
        <w:pStyle w:val="Default"/>
        <w:numPr>
          <w:ilvl w:val="0"/>
          <w:numId w:val="41"/>
        </w:numPr>
        <w:ind w:left="567" w:right="871" w:firstLine="0"/>
        <w:jc w:val="both"/>
        <w:rPr>
          <w:rFonts w:ascii="Segoe UI" w:hAnsi="Segoe UI" w:cs="Segoe UI"/>
          <w:sz w:val="22"/>
          <w:szCs w:val="22"/>
        </w:rPr>
      </w:pPr>
      <w:r w:rsidRPr="00C775D4">
        <w:rPr>
          <w:rFonts w:ascii="Segoe UI" w:hAnsi="Segoe UI" w:cs="Segoe UI"/>
          <w:sz w:val="22"/>
          <w:szCs w:val="22"/>
        </w:rPr>
        <w:t>Significant current substance misuse and absence of motivation to address this, or lack of progress in doing so.</w:t>
      </w:r>
    </w:p>
    <w:p w14:paraId="0AE85B4F" w14:textId="77777777" w:rsidR="00C775D4" w:rsidRPr="00C775D4" w:rsidRDefault="00C775D4" w:rsidP="00B94FEC">
      <w:pPr>
        <w:pStyle w:val="Default"/>
        <w:numPr>
          <w:ilvl w:val="0"/>
          <w:numId w:val="41"/>
        </w:numPr>
        <w:ind w:left="567" w:right="871" w:firstLine="0"/>
        <w:jc w:val="both"/>
        <w:rPr>
          <w:rFonts w:ascii="Segoe UI" w:hAnsi="Segoe UI" w:cs="Segoe UI"/>
          <w:sz w:val="22"/>
          <w:szCs w:val="22"/>
        </w:rPr>
      </w:pPr>
      <w:r w:rsidRPr="00C775D4">
        <w:rPr>
          <w:rFonts w:ascii="Segoe UI" w:hAnsi="Segoe UI" w:cs="Segoe UI"/>
          <w:sz w:val="22"/>
          <w:szCs w:val="22"/>
        </w:rPr>
        <w:t>Service users with moderate to severe learning disability</w:t>
      </w:r>
    </w:p>
    <w:p w14:paraId="0F03AA30" w14:textId="77777777" w:rsidR="00C775D4" w:rsidRPr="00C775D4" w:rsidRDefault="00C775D4" w:rsidP="00B94FEC">
      <w:pPr>
        <w:pStyle w:val="Default"/>
        <w:numPr>
          <w:ilvl w:val="0"/>
          <w:numId w:val="41"/>
        </w:numPr>
        <w:ind w:left="567" w:right="871" w:firstLine="0"/>
        <w:jc w:val="both"/>
        <w:rPr>
          <w:rFonts w:ascii="Segoe UI" w:hAnsi="Segoe UI" w:cs="Segoe UI"/>
          <w:sz w:val="22"/>
          <w:szCs w:val="22"/>
        </w:rPr>
      </w:pPr>
      <w:r w:rsidRPr="00C775D4">
        <w:rPr>
          <w:rFonts w:ascii="Segoe UI" w:hAnsi="Segoe UI" w:cs="Segoe UI"/>
          <w:sz w:val="22"/>
          <w:szCs w:val="22"/>
        </w:rPr>
        <w:t>Service users with organic brain dysfunction</w:t>
      </w:r>
    </w:p>
    <w:p w14:paraId="1AA4A7AA" w14:textId="77777777" w:rsidR="00C775D4" w:rsidRPr="00C775D4" w:rsidRDefault="00C775D4" w:rsidP="00B94FEC">
      <w:pPr>
        <w:pStyle w:val="Default"/>
        <w:numPr>
          <w:ilvl w:val="0"/>
          <w:numId w:val="41"/>
        </w:numPr>
        <w:ind w:left="567" w:right="871" w:firstLine="0"/>
        <w:jc w:val="both"/>
        <w:rPr>
          <w:rFonts w:ascii="Segoe UI" w:hAnsi="Segoe UI" w:cs="Segoe UI"/>
          <w:sz w:val="22"/>
          <w:szCs w:val="22"/>
        </w:rPr>
      </w:pPr>
      <w:r w:rsidRPr="00C775D4">
        <w:rPr>
          <w:rFonts w:ascii="Segoe UI" w:hAnsi="Segoe UI" w:cs="Segoe UI"/>
          <w:sz w:val="22"/>
          <w:szCs w:val="22"/>
        </w:rPr>
        <w:t>Although we will not actively engage with individuals who demonstrate the above, we will offer consultancy to those services that treat them</w:t>
      </w:r>
    </w:p>
    <w:p w14:paraId="60A2CC2C" w14:textId="77777777" w:rsidR="00C775D4" w:rsidRPr="00092A15" w:rsidRDefault="00C775D4" w:rsidP="007A44E1">
      <w:pPr>
        <w:pStyle w:val="Default"/>
        <w:ind w:left="567" w:right="871"/>
        <w:rPr>
          <w:rFonts w:ascii="Segoe UI" w:hAnsi="Segoe UI" w:cs="Segoe UI"/>
          <w:sz w:val="22"/>
          <w:szCs w:val="22"/>
        </w:rPr>
      </w:pPr>
    </w:p>
    <w:p w14:paraId="3D06EF02" w14:textId="77777777" w:rsidR="00092A15" w:rsidRDefault="00092A15" w:rsidP="007A44E1">
      <w:pPr>
        <w:pStyle w:val="Default"/>
        <w:ind w:left="567" w:right="871"/>
        <w:rPr>
          <w:rFonts w:ascii="Segoe UI" w:hAnsi="Segoe UI" w:cs="Segoe UI"/>
          <w:szCs w:val="22"/>
        </w:rPr>
      </w:pPr>
    </w:p>
    <w:p w14:paraId="4FC85930" w14:textId="3C7DBC01" w:rsidR="005D51E6" w:rsidRPr="005D51E6" w:rsidRDefault="008C63FA" w:rsidP="007A44E1">
      <w:pPr>
        <w:pStyle w:val="Default"/>
        <w:ind w:left="567" w:right="871"/>
        <w:rPr>
          <w:rFonts w:ascii="Segoe UI" w:hAnsi="Segoe UI" w:cs="Segoe UI"/>
          <w:b/>
          <w:bCs/>
          <w:iCs/>
          <w:sz w:val="22"/>
          <w:szCs w:val="22"/>
        </w:rPr>
      </w:pPr>
      <w:r>
        <w:rPr>
          <w:rFonts w:ascii="Segoe UI" w:hAnsi="Segoe UI" w:cs="Segoe UI"/>
          <w:b/>
          <w:bCs/>
          <w:iCs/>
          <w:sz w:val="22"/>
          <w:szCs w:val="22"/>
        </w:rPr>
        <w:t xml:space="preserve">2.5 </w:t>
      </w:r>
      <w:r w:rsidR="005D51E6" w:rsidRPr="005D51E6">
        <w:rPr>
          <w:rFonts w:ascii="Segoe UI" w:hAnsi="Segoe UI" w:cs="Segoe UI"/>
          <w:b/>
          <w:bCs/>
          <w:iCs/>
          <w:sz w:val="22"/>
          <w:szCs w:val="22"/>
        </w:rPr>
        <w:t>Forensic Need</w:t>
      </w:r>
    </w:p>
    <w:p w14:paraId="541263CC" w14:textId="63999627" w:rsidR="005D51E6" w:rsidRDefault="005D51E6" w:rsidP="00B94FEC">
      <w:pPr>
        <w:pStyle w:val="Default"/>
        <w:ind w:left="567" w:right="871"/>
        <w:jc w:val="both"/>
        <w:rPr>
          <w:rFonts w:ascii="Segoe UI" w:hAnsi="Segoe UI" w:cs="Segoe UI"/>
          <w:sz w:val="22"/>
          <w:szCs w:val="22"/>
        </w:rPr>
      </w:pPr>
      <w:r w:rsidRPr="005D51E6">
        <w:rPr>
          <w:rFonts w:ascii="Segoe UI" w:hAnsi="Segoe UI" w:cs="Segoe UI"/>
          <w:sz w:val="22"/>
          <w:szCs w:val="22"/>
        </w:rPr>
        <w:t>Forensic need refers to both the probability of harm occurring to others and the seriousness of that harm should it occur.  In some circumstance the ‘harm’ may refer to the damage done to an individual or public organisation such as in the circumstances of there being political sensitivity associated with an individual patient.</w:t>
      </w:r>
    </w:p>
    <w:p w14:paraId="1622345B" w14:textId="77777777" w:rsidR="00B94FEC" w:rsidRPr="005D51E6" w:rsidRDefault="00B94FEC" w:rsidP="00B94FEC">
      <w:pPr>
        <w:pStyle w:val="Default"/>
        <w:ind w:left="567" w:right="871"/>
        <w:jc w:val="both"/>
        <w:rPr>
          <w:rFonts w:ascii="Segoe UI" w:hAnsi="Segoe UI" w:cs="Segoe UI"/>
          <w:sz w:val="22"/>
          <w:szCs w:val="22"/>
        </w:rPr>
      </w:pPr>
    </w:p>
    <w:p w14:paraId="608B6F63" w14:textId="393F46E6" w:rsidR="005D51E6" w:rsidRDefault="005D51E6" w:rsidP="00B94FEC">
      <w:pPr>
        <w:pStyle w:val="Default"/>
        <w:ind w:left="567" w:right="871"/>
        <w:jc w:val="both"/>
        <w:rPr>
          <w:rFonts w:ascii="Segoe UI" w:hAnsi="Segoe UI" w:cs="Segoe UI"/>
          <w:sz w:val="22"/>
          <w:szCs w:val="22"/>
        </w:rPr>
      </w:pPr>
      <w:r w:rsidRPr="005D51E6">
        <w:rPr>
          <w:rFonts w:ascii="Segoe UI" w:hAnsi="Segoe UI" w:cs="Segoe UI"/>
          <w:sz w:val="22"/>
          <w:szCs w:val="22"/>
        </w:rPr>
        <w:t xml:space="preserve">In </w:t>
      </w:r>
      <w:proofErr w:type="gramStart"/>
      <w:r w:rsidRPr="005D51E6">
        <w:rPr>
          <w:rFonts w:ascii="Segoe UI" w:hAnsi="Segoe UI" w:cs="Segoe UI"/>
          <w:sz w:val="22"/>
          <w:szCs w:val="22"/>
        </w:rPr>
        <w:t>the majority of</w:t>
      </w:r>
      <w:proofErr w:type="gramEnd"/>
      <w:r w:rsidRPr="005D51E6">
        <w:rPr>
          <w:rFonts w:ascii="Segoe UI" w:hAnsi="Segoe UI" w:cs="Segoe UI"/>
          <w:sz w:val="22"/>
          <w:szCs w:val="22"/>
        </w:rPr>
        <w:t xml:space="preserve"> cases the primary consideration will be the risks posed by the individual to others.  There may be some cases where the risk that individuals pose to themselves is relevant, but this is not normally a ‘forensic’ matter.  Significantly more weight will be given to a history of risk behaviours illustrated by convictions and current charges.  </w:t>
      </w:r>
    </w:p>
    <w:p w14:paraId="4B8FB61A" w14:textId="77777777" w:rsidR="00B94FEC" w:rsidRPr="005D51E6" w:rsidRDefault="00B94FEC" w:rsidP="00B94FEC">
      <w:pPr>
        <w:pStyle w:val="Default"/>
        <w:ind w:left="567" w:right="871"/>
        <w:jc w:val="both"/>
        <w:rPr>
          <w:rFonts w:ascii="Segoe UI" w:hAnsi="Segoe UI" w:cs="Segoe UI"/>
          <w:sz w:val="22"/>
          <w:szCs w:val="22"/>
        </w:rPr>
      </w:pPr>
    </w:p>
    <w:p w14:paraId="603D007B" w14:textId="6349E766" w:rsidR="005D51E6" w:rsidRDefault="005D51E6" w:rsidP="00B94FEC">
      <w:pPr>
        <w:pStyle w:val="Default"/>
        <w:ind w:left="567" w:right="871"/>
        <w:jc w:val="both"/>
        <w:rPr>
          <w:rFonts w:ascii="Segoe UI" w:hAnsi="Segoe UI" w:cs="Segoe UI"/>
          <w:sz w:val="22"/>
          <w:szCs w:val="22"/>
        </w:rPr>
      </w:pPr>
      <w:r w:rsidRPr="005D51E6">
        <w:rPr>
          <w:rFonts w:ascii="Segoe UI" w:hAnsi="Segoe UI" w:cs="Segoe UI"/>
          <w:sz w:val="22"/>
          <w:szCs w:val="22"/>
        </w:rPr>
        <w:t>Referrers should keep in mind that the service has no investigative powers or resources and where concerns are largely focussed on the prevention of criminal acts by individuals in the community who are not subject to any legal framework, the most appropriate method of dealing with such concerns, including for individuals with mental disorder, will be the Criminal Justice System.  This may be by direct contact with the police or through the MAPPA framework.  This process does not necessitate TVFMHS involvement.</w:t>
      </w:r>
    </w:p>
    <w:p w14:paraId="253F19BC" w14:textId="77777777" w:rsidR="00B94FEC" w:rsidRPr="005D51E6" w:rsidRDefault="00B94FEC" w:rsidP="00B94FEC">
      <w:pPr>
        <w:pStyle w:val="Default"/>
        <w:ind w:left="567" w:right="871"/>
        <w:jc w:val="both"/>
        <w:rPr>
          <w:rFonts w:ascii="Segoe UI" w:hAnsi="Segoe UI" w:cs="Segoe UI"/>
          <w:sz w:val="22"/>
          <w:szCs w:val="22"/>
        </w:rPr>
      </w:pPr>
    </w:p>
    <w:p w14:paraId="1F484E85" w14:textId="77777777" w:rsidR="005D51E6" w:rsidRPr="005D51E6" w:rsidRDefault="005D51E6" w:rsidP="00B94FEC">
      <w:pPr>
        <w:pStyle w:val="Default"/>
        <w:ind w:left="567" w:right="871"/>
        <w:jc w:val="both"/>
        <w:rPr>
          <w:rFonts w:ascii="Segoe UI" w:hAnsi="Segoe UI" w:cs="Segoe UI"/>
          <w:sz w:val="22"/>
          <w:szCs w:val="22"/>
        </w:rPr>
      </w:pPr>
      <w:proofErr w:type="gramStart"/>
      <w:r w:rsidRPr="005D51E6">
        <w:rPr>
          <w:rFonts w:ascii="Segoe UI" w:hAnsi="Segoe UI" w:cs="Segoe UI"/>
          <w:sz w:val="22"/>
          <w:szCs w:val="22"/>
        </w:rPr>
        <w:lastRenderedPageBreak/>
        <w:t>The majority of</w:t>
      </w:r>
      <w:proofErr w:type="gramEnd"/>
      <w:r w:rsidRPr="005D51E6">
        <w:rPr>
          <w:rFonts w:ascii="Segoe UI" w:hAnsi="Segoe UI" w:cs="Segoe UI"/>
          <w:sz w:val="22"/>
          <w:szCs w:val="22"/>
        </w:rPr>
        <w:t xml:space="preserve"> cases involving acquisitive offending or offences such as criminal damage will not be appropriate for the service as, regardless of the probability of the offence occurring, the seriousness of harm done is low.  The exception will be remand or sentenced prisoners who require hospital treatment and present with mental disorder and a risk profile (including risk of absconding) by virtue of being prisoners, which makes treatment in a general psychiatric ward or psychiatric intensive care unit inappropriate.</w:t>
      </w:r>
    </w:p>
    <w:p w14:paraId="2CE21A79" w14:textId="77777777" w:rsidR="00E17300" w:rsidRPr="00E31C18" w:rsidRDefault="00E17300" w:rsidP="007A44E1">
      <w:pPr>
        <w:pStyle w:val="Default"/>
        <w:ind w:left="567" w:right="871"/>
        <w:rPr>
          <w:rFonts w:ascii="Segoe UI" w:hAnsi="Segoe UI" w:cs="Segoe UI"/>
          <w:szCs w:val="22"/>
        </w:rPr>
      </w:pPr>
    </w:p>
    <w:p w14:paraId="6740B787" w14:textId="06F9E267" w:rsidR="003213C8" w:rsidRPr="003213C8" w:rsidRDefault="002A626F" w:rsidP="007A44E1">
      <w:pPr>
        <w:pStyle w:val="Default"/>
        <w:ind w:left="567" w:right="871"/>
        <w:rPr>
          <w:rFonts w:ascii="Segoe UI" w:hAnsi="Segoe UI" w:cs="Segoe UI"/>
          <w:b/>
          <w:bCs/>
          <w:sz w:val="22"/>
          <w:szCs w:val="22"/>
        </w:rPr>
      </w:pPr>
      <w:r w:rsidRPr="002A626F">
        <w:rPr>
          <w:rFonts w:ascii="Segoe UI" w:hAnsi="Segoe UI" w:cs="Segoe UI"/>
          <w:b/>
          <w:bCs/>
          <w:sz w:val="22"/>
          <w:szCs w:val="22"/>
        </w:rPr>
        <w:t xml:space="preserve">2.6 </w:t>
      </w:r>
      <w:r w:rsidR="003213C8" w:rsidRPr="003213C8">
        <w:rPr>
          <w:rFonts w:ascii="Segoe UI" w:hAnsi="Segoe UI" w:cs="Segoe UI"/>
          <w:b/>
          <w:bCs/>
          <w:sz w:val="22"/>
          <w:szCs w:val="22"/>
        </w:rPr>
        <w:t>Sources of Referral</w:t>
      </w:r>
    </w:p>
    <w:p w14:paraId="38CDA802" w14:textId="2617607F" w:rsidR="003213C8" w:rsidRDefault="003213C8" w:rsidP="000C2991">
      <w:pPr>
        <w:pStyle w:val="Default"/>
        <w:ind w:left="567" w:right="871"/>
        <w:jc w:val="both"/>
        <w:rPr>
          <w:rFonts w:ascii="Segoe UI" w:hAnsi="Segoe UI" w:cs="Segoe UI"/>
          <w:sz w:val="22"/>
          <w:szCs w:val="22"/>
        </w:rPr>
      </w:pPr>
      <w:r w:rsidRPr="003213C8">
        <w:rPr>
          <w:rFonts w:ascii="Segoe UI" w:hAnsi="Segoe UI" w:cs="Segoe UI"/>
          <w:sz w:val="22"/>
          <w:szCs w:val="22"/>
        </w:rPr>
        <w:t>The service would normally expect referrals to be from</w:t>
      </w:r>
      <w:r w:rsidR="00C06EB8" w:rsidRPr="002A626F">
        <w:rPr>
          <w:rFonts w:ascii="Segoe UI" w:hAnsi="Segoe UI" w:cs="Segoe UI"/>
          <w:sz w:val="22"/>
          <w:szCs w:val="22"/>
        </w:rPr>
        <w:t xml:space="preserve"> a responsible Clinician </w:t>
      </w:r>
      <w:r w:rsidR="008B774D" w:rsidRPr="002A626F">
        <w:rPr>
          <w:rFonts w:ascii="Segoe UI" w:hAnsi="Segoe UI" w:cs="Segoe UI"/>
          <w:sz w:val="22"/>
          <w:szCs w:val="22"/>
        </w:rPr>
        <w:t xml:space="preserve">(RC) </w:t>
      </w:r>
      <w:r w:rsidR="00C06EB8" w:rsidRPr="002A626F">
        <w:rPr>
          <w:rFonts w:ascii="Segoe UI" w:hAnsi="Segoe UI" w:cs="Segoe UI"/>
          <w:sz w:val="22"/>
          <w:szCs w:val="22"/>
        </w:rPr>
        <w:t xml:space="preserve">or a consultant Psychiatrist </w:t>
      </w:r>
      <w:r w:rsidR="00105656" w:rsidRPr="002A626F">
        <w:rPr>
          <w:rFonts w:ascii="Segoe UI" w:hAnsi="Segoe UI" w:cs="Segoe UI"/>
          <w:sz w:val="22"/>
          <w:szCs w:val="22"/>
        </w:rPr>
        <w:t>or Consultant</w:t>
      </w:r>
      <w:r w:rsidRPr="003213C8">
        <w:rPr>
          <w:rFonts w:ascii="Segoe UI" w:hAnsi="Segoe UI" w:cs="Segoe UI"/>
          <w:sz w:val="22"/>
          <w:szCs w:val="22"/>
        </w:rPr>
        <w:t xml:space="preserve"> clinical psychologists</w:t>
      </w:r>
      <w:r w:rsidR="00105656" w:rsidRPr="002A626F">
        <w:rPr>
          <w:rFonts w:ascii="Segoe UI" w:hAnsi="Segoe UI" w:cs="Segoe UI"/>
          <w:sz w:val="22"/>
          <w:szCs w:val="22"/>
        </w:rPr>
        <w:t xml:space="preserve"> for those that are not on CPA and have a </w:t>
      </w:r>
      <w:r w:rsidR="008B774D" w:rsidRPr="002A626F">
        <w:rPr>
          <w:rFonts w:ascii="Segoe UI" w:hAnsi="Segoe UI" w:cs="Segoe UI"/>
          <w:sz w:val="22"/>
          <w:szCs w:val="22"/>
        </w:rPr>
        <w:t>RC</w:t>
      </w:r>
      <w:r w:rsidR="000C2991">
        <w:rPr>
          <w:rFonts w:ascii="Segoe UI" w:hAnsi="Segoe UI" w:cs="Segoe UI"/>
          <w:sz w:val="22"/>
          <w:szCs w:val="22"/>
        </w:rPr>
        <w:t>.</w:t>
      </w:r>
    </w:p>
    <w:p w14:paraId="69DDA86C" w14:textId="77777777" w:rsidR="000C2991" w:rsidRPr="003213C8" w:rsidRDefault="000C2991" w:rsidP="000C2991">
      <w:pPr>
        <w:pStyle w:val="Default"/>
        <w:ind w:left="567" w:right="871"/>
        <w:jc w:val="both"/>
        <w:rPr>
          <w:rFonts w:ascii="Segoe UI" w:hAnsi="Segoe UI" w:cs="Segoe UI"/>
          <w:sz w:val="22"/>
          <w:szCs w:val="22"/>
        </w:rPr>
      </w:pPr>
    </w:p>
    <w:p w14:paraId="44B33921" w14:textId="77933197" w:rsidR="003213C8" w:rsidRDefault="003213C8" w:rsidP="000C2991">
      <w:pPr>
        <w:pStyle w:val="Default"/>
        <w:ind w:left="567" w:right="871"/>
        <w:jc w:val="both"/>
        <w:rPr>
          <w:rFonts w:ascii="Segoe UI" w:hAnsi="Segoe UI" w:cs="Segoe UI"/>
          <w:sz w:val="22"/>
          <w:szCs w:val="22"/>
        </w:rPr>
      </w:pPr>
      <w:r w:rsidRPr="003213C8">
        <w:rPr>
          <w:rFonts w:ascii="Segoe UI" w:hAnsi="Segoe UI" w:cs="Segoe UI"/>
          <w:sz w:val="22"/>
          <w:szCs w:val="22"/>
        </w:rPr>
        <w:t xml:space="preserve">The patient’s General Practitioner should normally be within the catchment area of Oxfordshire, Buckinghamshire, </w:t>
      </w:r>
      <w:proofErr w:type="gramStart"/>
      <w:r w:rsidRPr="003213C8">
        <w:rPr>
          <w:rFonts w:ascii="Segoe UI" w:hAnsi="Segoe UI" w:cs="Segoe UI"/>
          <w:sz w:val="22"/>
          <w:szCs w:val="22"/>
        </w:rPr>
        <w:t>Berkshire</w:t>
      </w:r>
      <w:proofErr w:type="gramEnd"/>
      <w:r w:rsidRPr="003213C8">
        <w:rPr>
          <w:rFonts w:ascii="Segoe UI" w:hAnsi="Segoe UI" w:cs="Segoe UI"/>
          <w:sz w:val="22"/>
          <w:szCs w:val="22"/>
        </w:rPr>
        <w:t xml:space="preserve"> and Milton Keynes.  In exceptional circumstances, patients residing outside these catchment areas may be accepted by prior arrangement, with the agreement with our commissioners. </w:t>
      </w:r>
    </w:p>
    <w:p w14:paraId="64E25F72" w14:textId="77777777" w:rsidR="000C2991" w:rsidRPr="003213C8" w:rsidRDefault="000C2991" w:rsidP="000C2991">
      <w:pPr>
        <w:pStyle w:val="Default"/>
        <w:ind w:left="567" w:right="871"/>
        <w:jc w:val="both"/>
        <w:rPr>
          <w:rFonts w:ascii="Segoe UI" w:hAnsi="Segoe UI" w:cs="Segoe UI"/>
          <w:sz w:val="22"/>
          <w:szCs w:val="22"/>
        </w:rPr>
      </w:pPr>
    </w:p>
    <w:p w14:paraId="2AA3901D" w14:textId="5B748057" w:rsidR="003213C8" w:rsidRDefault="003213C8" w:rsidP="000C2991">
      <w:pPr>
        <w:pStyle w:val="Default"/>
        <w:ind w:left="567" w:right="871"/>
        <w:jc w:val="both"/>
        <w:rPr>
          <w:rFonts w:ascii="Segoe UI" w:hAnsi="Segoe UI" w:cs="Segoe UI"/>
          <w:sz w:val="22"/>
          <w:szCs w:val="22"/>
        </w:rPr>
      </w:pPr>
      <w:r w:rsidRPr="003213C8">
        <w:rPr>
          <w:rFonts w:ascii="Segoe UI" w:hAnsi="Segoe UI" w:cs="Segoe UI"/>
          <w:sz w:val="22"/>
          <w:szCs w:val="22"/>
        </w:rPr>
        <w:t xml:space="preserve">Within the Thames Valley referrals will be accepted from Community Mental Health Teams and psychiatric intensive care units.  Referrals will also be received from outside of the Thames Valley area where a prison mental health in-reach team in another region encounters a prisoner from the Thames Valley with mental health needs.  Referrals would usually only be seen if referred by secondary level mental health services.  The service does not accept referrals from primary care.  Such cases should, in the first instance, be referred to the local secondary care mental health service.  Exceptions to this are likely only if an individual has previously been known to the TVFMHS, </w:t>
      </w:r>
      <w:proofErr w:type="gramStart"/>
      <w:r w:rsidRPr="003213C8">
        <w:rPr>
          <w:rFonts w:ascii="Segoe UI" w:hAnsi="Segoe UI" w:cs="Segoe UI"/>
          <w:sz w:val="22"/>
          <w:szCs w:val="22"/>
        </w:rPr>
        <w:t>and in particular, if</w:t>
      </w:r>
      <w:proofErr w:type="gramEnd"/>
      <w:r w:rsidRPr="003213C8">
        <w:rPr>
          <w:rFonts w:ascii="Segoe UI" w:hAnsi="Segoe UI" w:cs="Segoe UI"/>
          <w:sz w:val="22"/>
          <w:szCs w:val="22"/>
        </w:rPr>
        <w:t xml:space="preserve"> it has been indicated at the time of discharge from the TVFMHS, that if future problems arise the case should be referred directly to us.</w:t>
      </w:r>
    </w:p>
    <w:p w14:paraId="1F6C60F9" w14:textId="77777777" w:rsidR="000C2991" w:rsidRPr="003213C8" w:rsidRDefault="000C2991" w:rsidP="000C2991">
      <w:pPr>
        <w:pStyle w:val="Default"/>
        <w:ind w:left="567" w:right="871"/>
        <w:jc w:val="both"/>
        <w:rPr>
          <w:rFonts w:ascii="Segoe UI" w:hAnsi="Segoe UI" w:cs="Segoe UI"/>
          <w:sz w:val="22"/>
          <w:szCs w:val="22"/>
        </w:rPr>
      </w:pPr>
    </w:p>
    <w:p w14:paraId="5FDC7C4E" w14:textId="77777777" w:rsidR="003213C8" w:rsidRPr="003213C8" w:rsidRDefault="003213C8" w:rsidP="000C2991">
      <w:pPr>
        <w:pStyle w:val="Default"/>
        <w:ind w:left="567" w:right="871"/>
        <w:jc w:val="both"/>
        <w:rPr>
          <w:rFonts w:ascii="Segoe UI" w:hAnsi="Segoe UI" w:cs="Segoe UI"/>
          <w:sz w:val="22"/>
          <w:szCs w:val="22"/>
        </w:rPr>
      </w:pPr>
      <w:r w:rsidRPr="003213C8">
        <w:rPr>
          <w:rFonts w:ascii="Segoe UI" w:hAnsi="Segoe UI" w:cs="Segoe UI"/>
          <w:sz w:val="22"/>
          <w:szCs w:val="22"/>
        </w:rPr>
        <w:t xml:space="preserve">We do take referrals from the Prison In-reach, and from Consultant Psychiatrists from High Secure Hospitals and Private Secure Hospitals.   Exceptionally, by arrangement, the service may receive referrals from the National Offender Management Service, The Courts &amp; Crown Prosecution Service, the Police or Probation Services and the Local Authority, but in the absence of contractual agreements there is no obligation to do so and is entirely at the discretion of the service.  </w:t>
      </w:r>
    </w:p>
    <w:p w14:paraId="5A995799" w14:textId="55C7AB00" w:rsidR="009364D7" w:rsidRPr="00E31C18" w:rsidRDefault="009364D7" w:rsidP="007A44E1">
      <w:pPr>
        <w:pStyle w:val="Default"/>
        <w:ind w:left="567" w:right="871"/>
        <w:jc w:val="both"/>
        <w:rPr>
          <w:rFonts w:ascii="Segoe UI" w:hAnsi="Segoe UI" w:cs="Segoe UI"/>
          <w:szCs w:val="22"/>
        </w:rPr>
      </w:pPr>
    </w:p>
    <w:p w14:paraId="0761FDAF" w14:textId="77777777" w:rsidR="00F0514A" w:rsidRPr="00C504ED" w:rsidRDefault="00F0514A" w:rsidP="007A44E1">
      <w:pPr>
        <w:pStyle w:val="Default"/>
        <w:ind w:left="567" w:right="871"/>
        <w:jc w:val="both"/>
        <w:rPr>
          <w:rFonts w:ascii="Segoe UI" w:hAnsi="Segoe UI" w:cs="Segoe UI"/>
          <w:sz w:val="22"/>
          <w:szCs w:val="22"/>
        </w:rPr>
      </w:pPr>
    </w:p>
    <w:p w14:paraId="554DE08A" w14:textId="3E09B564" w:rsidR="00F0514A" w:rsidRDefault="002A626F" w:rsidP="007A44E1">
      <w:pPr>
        <w:pStyle w:val="Default"/>
        <w:ind w:left="567" w:right="871"/>
        <w:jc w:val="both"/>
        <w:rPr>
          <w:rFonts w:ascii="Segoe UI" w:hAnsi="Segoe UI" w:cs="Segoe UI"/>
          <w:b/>
          <w:bCs/>
          <w:sz w:val="22"/>
          <w:szCs w:val="22"/>
        </w:rPr>
      </w:pPr>
      <w:r w:rsidRPr="002A626F">
        <w:rPr>
          <w:rFonts w:ascii="Segoe UI" w:hAnsi="Segoe UI" w:cs="Segoe UI"/>
          <w:b/>
          <w:bCs/>
          <w:sz w:val="22"/>
          <w:szCs w:val="22"/>
        </w:rPr>
        <w:t>2.7 R</w:t>
      </w:r>
      <w:r w:rsidR="00F0514A" w:rsidRPr="002A626F">
        <w:rPr>
          <w:rFonts w:ascii="Segoe UI" w:hAnsi="Segoe UI" w:cs="Segoe UI"/>
          <w:b/>
          <w:bCs/>
          <w:sz w:val="22"/>
          <w:szCs w:val="22"/>
        </w:rPr>
        <w:t>eferral process</w:t>
      </w:r>
    </w:p>
    <w:p w14:paraId="28480BA0" w14:textId="6EF2B5BD" w:rsidR="00EE6453" w:rsidRDefault="00EE6453" w:rsidP="007A44E1">
      <w:pPr>
        <w:pStyle w:val="Default"/>
        <w:ind w:left="567" w:right="871"/>
        <w:jc w:val="both"/>
        <w:rPr>
          <w:rFonts w:ascii="Segoe UI" w:hAnsi="Segoe UI" w:cs="Segoe UI"/>
          <w:b/>
          <w:bCs/>
          <w:sz w:val="22"/>
          <w:szCs w:val="22"/>
        </w:rPr>
      </w:pPr>
    </w:p>
    <w:p w14:paraId="56EB2FDE" w14:textId="31F1B198" w:rsidR="00E339F0" w:rsidRPr="00E339F0" w:rsidRDefault="00B55A46" w:rsidP="007A44E1">
      <w:pPr>
        <w:pStyle w:val="Default"/>
        <w:ind w:left="567" w:right="871"/>
        <w:jc w:val="both"/>
        <w:rPr>
          <w:rFonts w:ascii="Segoe UI" w:hAnsi="Segoe UI" w:cs="Segoe UI"/>
          <w:sz w:val="22"/>
          <w:szCs w:val="22"/>
        </w:rPr>
      </w:pPr>
      <w:r w:rsidRPr="00E339F0">
        <w:rPr>
          <w:rFonts w:ascii="Segoe UI" w:hAnsi="Segoe UI" w:cs="Segoe UI"/>
          <w:sz w:val="22"/>
          <w:szCs w:val="22"/>
        </w:rPr>
        <w:t xml:space="preserve">Referrals will be received on the </w:t>
      </w:r>
      <w:proofErr w:type="spellStart"/>
      <w:r w:rsidRPr="00E339F0">
        <w:rPr>
          <w:rFonts w:ascii="Segoe UI" w:hAnsi="Segoe UI" w:cs="Segoe UI"/>
          <w:sz w:val="22"/>
          <w:szCs w:val="22"/>
        </w:rPr>
        <w:t>FoMe</w:t>
      </w:r>
      <w:proofErr w:type="spellEnd"/>
      <w:r w:rsidRPr="00E339F0">
        <w:rPr>
          <w:rFonts w:ascii="Segoe UI" w:hAnsi="Segoe UI" w:cs="Segoe UI"/>
          <w:sz w:val="22"/>
          <w:szCs w:val="22"/>
        </w:rPr>
        <w:t xml:space="preserve"> Provider Collaborative</w:t>
      </w:r>
      <w:r w:rsidR="00FC39C8">
        <w:rPr>
          <w:rFonts w:ascii="Segoe UI" w:hAnsi="Segoe UI" w:cs="Segoe UI"/>
          <w:sz w:val="22"/>
          <w:szCs w:val="22"/>
        </w:rPr>
        <w:t>s</w:t>
      </w:r>
      <w:r w:rsidR="00405F0B">
        <w:rPr>
          <w:rFonts w:ascii="Segoe UI" w:hAnsi="Segoe UI" w:cs="Segoe UI"/>
          <w:sz w:val="22"/>
          <w:szCs w:val="22"/>
        </w:rPr>
        <w:t xml:space="preserve"> Patients Flow Management system </w:t>
      </w:r>
      <w:r w:rsidR="005114DF">
        <w:rPr>
          <w:rFonts w:ascii="Segoe UI" w:hAnsi="Segoe UI" w:cs="Segoe UI"/>
          <w:sz w:val="22"/>
          <w:szCs w:val="22"/>
        </w:rPr>
        <w:t xml:space="preserve">(CAMBIO) </w:t>
      </w:r>
      <w:r w:rsidR="003C507F">
        <w:rPr>
          <w:rFonts w:ascii="Segoe UI" w:hAnsi="Segoe UI" w:cs="Segoe UI"/>
          <w:sz w:val="22"/>
          <w:szCs w:val="22"/>
        </w:rPr>
        <w:t>Please email</w:t>
      </w:r>
      <w:r w:rsidR="000C2991">
        <w:rPr>
          <w:rFonts w:ascii="Segoe UI" w:hAnsi="Segoe UI" w:cs="Segoe UI"/>
          <w:sz w:val="22"/>
          <w:szCs w:val="22"/>
        </w:rPr>
        <w:t>:</w:t>
      </w:r>
      <w:r w:rsidR="003C507F">
        <w:rPr>
          <w:rFonts w:ascii="Segoe UI" w:hAnsi="Segoe UI" w:cs="Segoe UI"/>
          <w:sz w:val="22"/>
          <w:szCs w:val="22"/>
        </w:rPr>
        <w:t xml:space="preserve"> </w:t>
      </w:r>
      <w:hyperlink r:id="rId11" w:history="1">
        <w:r w:rsidR="00921190" w:rsidRPr="0046248A">
          <w:rPr>
            <w:rFonts w:ascii="Segoe UI" w:hAnsi="Segoe UI" w:cs="Segoe UI"/>
            <w:sz w:val="22"/>
            <w:szCs w:val="22"/>
          </w:rPr>
          <w:t>formepc@oxfordhealth.nhs.uk</w:t>
        </w:r>
      </w:hyperlink>
      <w:r w:rsidR="0003116B">
        <w:rPr>
          <w:rFonts w:ascii="Segoe UI" w:hAnsi="Segoe UI" w:cs="Segoe UI"/>
          <w:sz w:val="22"/>
          <w:szCs w:val="22"/>
        </w:rPr>
        <w:t xml:space="preserve"> </w:t>
      </w:r>
      <w:r w:rsidR="00921190" w:rsidRPr="0046248A">
        <w:rPr>
          <w:rFonts w:ascii="Segoe UI" w:hAnsi="Segoe UI" w:cs="Segoe UI"/>
          <w:sz w:val="22"/>
          <w:szCs w:val="22"/>
        </w:rPr>
        <w:t xml:space="preserve"> </w:t>
      </w:r>
      <w:r w:rsidR="005E58F5" w:rsidRPr="0046248A">
        <w:rPr>
          <w:rFonts w:ascii="Segoe UI" w:hAnsi="Segoe UI" w:cs="Segoe UI"/>
          <w:sz w:val="22"/>
          <w:szCs w:val="22"/>
        </w:rPr>
        <w:t>to request</w:t>
      </w:r>
      <w:r w:rsidR="00FC39C8">
        <w:rPr>
          <w:rFonts w:ascii="Segoe UI" w:hAnsi="Segoe UI" w:cs="Segoe UI"/>
          <w:sz w:val="22"/>
          <w:szCs w:val="22"/>
        </w:rPr>
        <w:t xml:space="preserve"> access</w:t>
      </w:r>
      <w:r w:rsidR="005E58F5" w:rsidRPr="0046248A">
        <w:rPr>
          <w:rFonts w:ascii="Segoe UI" w:hAnsi="Segoe UI" w:cs="Segoe UI"/>
          <w:sz w:val="22"/>
          <w:szCs w:val="22"/>
        </w:rPr>
        <w:t xml:space="preserve"> to the system.</w:t>
      </w:r>
      <w:r w:rsidR="005E58F5">
        <w:t xml:space="preserve"> </w:t>
      </w:r>
      <w:r w:rsidR="00921190">
        <w:t xml:space="preserve"> </w:t>
      </w:r>
      <w:r w:rsidR="00C164E9" w:rsidRPr="00C164E9">
        <w:rPr>
          <w:rFonts w:ascii="Segoe UI" w:hAnsi="Segoe UI" w:cs="Segoe UI"/>
          <w:sz w:val="22"/>
          <w:szCs w:val="22"/>
        </w:rPr>
        <w:t>(Click on Appendix 1</w:t>
      </w:r>
      <w:r w:rsidR="000C2991">
        <w:rPr>
          <w:rFonts w:ascii="Segoe UI" w:hAnsi="Segoe UI" w:cs="Segoe UI"/>
          <w:sz w:val="22"/>
          <w:szCs w:val="22"/>
        </w:rPr>
        <w:t>)</w:t>
      </w:r>
      <w:r w:rsidR="00C164E9" w:rsidRPr="00C164E9">
        <w:rPr>
          <w:rFonts w:ascii="Segoe UI" w:hAnsi="Segoe UI" w:cs="Segoe UI"/>
          <w:sz w:val="22"/>
          <w:szCs w:val="22"/>
        </w:rPr>
        <w:t xml:space="preserve"> </w:t>
      </w:r>
    </w:p>
    <w:p w14:paraId="703311D6" w14:textId="1BD1025B" w:rsidR="00EE6453" w:rsidRDefault="00EE6453" w:rsidP="00F0514A">
      <w:pPr>
        <w:pStyle w:val="Default"/>
        <w:ind w:right="871"/>
        <w:jc w:val="both"/>
        <w:rPr>
          <w:b/>
          <w:bCs/>
          <w:color w:val="4472C4" w:themeColor="accent1"/>
          <w:sz w:val="22"/>
          <w:szCs w:val="22"/>
        </w:rPr>
      </w:pPr>
    </w:p>
    <w:p w14:paraId="3C5424FE" w14:textId="031BE624" w:rsidR="000C2991" w:rsidRDefault="000C2991" w:rsidP="00F0514A">
      <w:pPr>
        <w:pStyle w:val="Default"/>
        <w:ind w:right="871"/>
        <w:jc w:val="both"/>
        <w:rPr>
          <w:b/>
          <w:bCs/>
          <w:color w:val="4472C4" w:themeColor="accent1"/>
          <w:sz w:val="22"/>
          <w:szCs w:val="22"/>
        </w:rPr>
      </w:pPr>
    </w:p>
    <w:p w14:paraId="60589997" w14:textId="77777777" w:rsidR="000C2991" w:rsidRPr="002A626F" w:rsidRDefault="000C2991" w:rsidP="00F0514A">
      <w:pPr>
        <w:pStyle w:val="Default"/>
        <w:ind w:right="871"/>
        <w:jc w:val="both"/>
        <w:rPr>
          <w:b/>
          <w:bCs/>
          <w:color w:val="4472C4" w:themeColor="accent1"/>
          <w:sz w:val="22"/>
          <w:szCs w:val="22"/>
        </w:rPr>
      </w:pPr>
    </w:p>
    <w:p w14:paraId="27ABF04A" w14:textId="77777777" w:rsidR="00F0514A" w:rsidRDefault="00F0514A" w:rsidP="00F0514A">
      <w:pPr>
        <w:pStyle w:val="Default"/>
        <w:ind w:right="871"/>
        <w:jc w:val="both"/>
        <w:rPr>
          <w:rFonts w:ascii="Segoe UI" w:hAnsi="Segoe UI" w:cs="Segoe UI"/>
          <w:b/>
          <w:bCs/>
        </w:rPr>
      </w:pPr>
    </w:p>
    <w:p w14:paraId="0A2E1EC7" w14:textId="5AA272D3" w:rsidR="00F0514A" w:rsidRDefault="00164F55" w:rsidP="00F0514A">
      <w:pPr>
        <w:pStyle w:val="Default"/>
        <w:ind w:right="871"/>
        <w:jc w:val="both"/>
        <w:rPr>
          <w:rFonts w:ascii="Segoe UI" w:hAnsi="Segoe UI" w:cs="Segoe UI"/>
          <w:b/>
          <w:bCs/>
        </w:rPr>
      </w:pPr>
      <w:r>
        <w:rPr>
          <w:rFonts w:ascii="Segoe UI" w:hAnsi="Segoe UI" w:cs="Segoe UI"/>
          <w:b/>
          <w:bCs/>
          <w:noProof/>
        </w:rPr>
        <w:lastRenderedPageBreak/>
        <mc:AlternateContent>
          <mc:Choice Requires="wps">
            <w:drawing>
              <wp:anchor distT="0" distB="0" distL="114300" distR="114300" simplePos="0" relativeHeight="251665408" behindDoc="0" locked="0" layoutInCell="1" allowOverlap="1" wp14:anchorId="48758DEA" wp14:editId="251BF3F4">
                <wp:simplePos x="0" y="0"/>
                <wp:positionH relativeFrom="margin">
                  <wp:align>left</wp:align>
                </wp:positionH>
                <wp:positionV relativeFrom="paragraph">
                  <wp:posOffset>3175</wp:posOffset>
                </wp:positionV>
                <wp:extent cx="1457325" cy="12287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1457325" cy="12287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E16BB35" w14:textId="041B9C91" w:rsidR="00F0514A" w:rsidRDefault="00F0514A" w:rsidP="00F0514A">
                            <w:r>
                              <w:t xml:space="preserve">Referral received through single point of contact. </w:t>
                            </w:r>
                            <w:r w:rsidR="00164F55">
                              <w:t xml:space="preserve">Via CAMBIO </w:t>
                            </w:r>
                          </w:p>
                          <w:p w14:paraId="14D14CB9" w14:textId="0C431B0F" w:rsidR="00164F55" w:rsidRDefault="00164F55" w:rsidP="00F051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58DEA" id="Rectangle: Rounded Corners 15" o:spid="_x0000_s1026" style="position:absolute;left:0;text-align:left;margin-left:0;margin-top:.25pt;width:114.75pt;height:9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" fillcolor="#4472c4" strokecolor="#2f528f" strokeweight="1pt">
                <v:stroke joinstyle="miter"/>
                <v:textbox>
                  <w:txbxContent>
                    <w:p w14:paraId="1E16BB35" w14:textId="041B9C91" w:rsidR="00F0514A" w:rsidRDefault="00F0514A" w:rsidP="00F0514A">
                      <w:r>
                        <w:t xml:space="preserve">Referral received through single point of contact. </w:t>
                      </w:r>
                      <w:r w:rsidR="00164F55">
                        <w:t xml:space="preserve">Via CAMBIO </w:t>
                      </w:r>
                    </w:p>
                    <w:p w14:paraId="14D14CB9" w14:textId="0C431B0F" w:rsidR="00164F55" w:rsidRDefault="00164F55" w:rsidP="00F0514A"/>
                  </w:txbxContent>
                </v:textbox>
                <w10:wrap anchorx="margin"/>
              </v:roundrect>
            </w:pict>
          </mc:Fallback>
        </mc:AlternateContent>
      </w:r>
      <w:r w:rsidR="00F0514A">
        <w:rPr>
          <w:rFonts w:ascii="Segoe UI" w:hAnsi="Segoe UI" w:cs="Segoe UI"/>
          <w:b/>
          <w:bCs/>
          <w:noProof/>
        </w:rPr>
        <mc:AlternateContent>
          <mc:Choice Requires="wps">
            <w:drawing>
              <wp:anchor distT="0" distB="0" distL="114300" distR="114300" simplePos="0" relativeHeight="251667456" behindDoc="0" locked="0" layoutInCell="1" allowOverlap="1" wp14:anchorId="043F478F" wp14:editId="0AA8F6D8">
                <wp:simplePos x="0" y="0"/>
                <wp:positionH relativeFrom="column">
                  <wp:posOffset>3819526</wp:posOffset>
                </wp:positionH>
                <wp:positionV relativeFrom="paragraph">
                  <wp:posOffset>18415</wp:posOffset>
                </wp:positionV>
                <wp:extent cx="2971800" cy="122872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2971800" cy="12287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9FBFFE6" w14:textId="77777777" w:rsidR="00F0514A" w:rsidRDefault="00F0514A" w:rsidP="00F0514A">
                            <w:pPr>
                              <w:pStyle w:val="ListParagraph"/>
                              <w:numPr>
                                <w:ilvl w:val="0"/>
                                <w:numId w:val="37"/>
                              </w:numPr>
                            </w:pPr>
                            <w:r>
                              <w:t>Triage Urgency</w:t>
                            </w:r>
                          </w:p>
                          <w:p w14:paraId="4394F6DE" w14:textId="77777777" w:rsidR="00F0514A" w:rsidRDefault="00F0514A" w:rsidP="00F0514A">
                            <w:pPr>
                              <w:pStyle w:val="ListParagraph"/>
                              <w:numPr>
                                <w:ilvl w:val="0"/>
                                <w:numId w:val="37"/>
                              </w:numPr>
                            </w:pPr>
                            <w:r>
                              <w:t>Gatekeeping Assessment &amp; completion of DUNDRUM</w:t>
                            </w:r>
                          </w:p>
                          <w:p w14:paraId="44CF7418" w14:textId="77777777" w:rsidR="00F0514A" w:rsidRDefault="00F0514A" w:rsidP="00F0514A">
                            <w:pPr>
                              <w:pStyle w:val="ListParagraph"/>
                              <w:numPr>
                                <w:ilvl w:val="0"/>
                                <w:numId w:val="37"/>
                              </w:numPr>
                            </w:pPr>
                            <w:r>
                              <w:t>MDT Assessment for identified service</w:t>
                            </w:r>
                          </w:p>
                          <w:p w14:paraId="65A5A791" w14:textId="77777777" w:rsidR="00F0514A" w:rsidRDefault="00F0514A" w:rsidP="00F0514A">
                            <w:pPr>
                              <w:pStyle w:val="ListParagraph"/>
                              <w:numPr>
                                <w:ilvl w:val="0"/>
                                <w:numId w:val="37"/>
                              </w:numPr>
                            </w:pPr>
                            <w:r>
                              <w:t>Bed / Community caseload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F478F" id="Rectangle: Rounded Corners 13" o:spid="_x0000_s1027" style="position:absolute;left:0;text-align:left;margin-left:300.75pt;margin-top:1.45pt;width:234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" fillcolor="#4472c4" strokecolor="#2f528f" strokeweight="1pt">
                <v:stroke joinstyle="miter"/>
                <v:textbox>
                  <w:txbxContent>
                    <w:p w14:paraId="29FBFFE6" w14:textId="77777777" w:rsidR="00F0514A" w:rsidRDefault="00F0514A" w:rsidP="00F0514A">
                      <w:pPr>
                        <w:pStyle w:val="ListParagraph"/>
                        <w:numPr>
                          <w:ilvl w:val="0"/>
                          <w:numId w:val="37"/>
                        </w:numPr>
                      </w:pPr>
                      <w:r>
                        <w:t>Triage Urgency</w:t>
                      </w:r>
                    </w:p>
                    <w:p w14:paraId="4394F6DE" w14:textId="77777777" w:rsidR="00F0514A" w:rsidRDefault="00F0514A" w:rsidP="00F0514A">
                      <w:pPr>
                        <w:pStyle w:val="ListParagraph"/>
                        <w:numPr>
                          <w:ilvl w:val="0"/>
                          <w:numId w:val="37"/>
                        </w:numPr>
                      </w:pPr>
                      <w:r>
                        <w:t>Gatekeeping Assessment &amp; completion of DUNDRUM</w:t>
                      </w:r>
                    </w:p>
                    <w:p w14:paraId="44CF7418" w14:textId="77777777" w:rsidR="00F0514A" w:rsidRDefault="00F0514A" w:rsidP="00F0514A">
                      <w:pPr>
                        <w:pStyle w:val="ListParagraph"/>
                        <w:numPr>
                          <w:ilvl w:val="0"/>
                          <w:numId w:val="37"/>
                        </w:numPr>
                      </w:pPr>
                      <w:r>
                        <w:t>MDT Assessment for identified service</w:t>
                      </w:r>
                    </w:p>
                    <w:p w14:paraId="65A5A791" w14:textId="77777777" w:rsidR="00F0514A" w:rsidRDefault="00F0514A" w:rsidP="00F0514A">
                      <w:pPr>
                        <w:pStyle w:val="ListParagraph"/>
                        <w:numPr>
                          <w:ilvl w:val="0"/>
                          <w:numId w:val="37"/>
                        </w:numPr>
                      </w:pPr>
                      <w:r>
                        <w:t>Bed / Community caseload allocation</w:t>
                      </w:r>
                    </w:p>
                  </w:txbxContent>
                </v:textbox>
              </v:roundrect>
            </w:pict>
          </mc:Fallback>
        </mc:AlternateContent>
      </w:r>
      <w:r w:rsidR="00F0514A">
        <w:rPr>
          <w:rFonts w:ascii="Segoe UI" w:hAnsi="Segoe UI" w:cs="Segoe UI"/>
          <w:b/>
          <w:bCs/>
          <w:noProof/>
        </w:rPr>
        <mc:AlternateContent>
          <mc:Choice Requires="wps">
            <w:drawing>
              <wp:anchor distT="0" distB="0" distL="114300" distR="114300" simplePos="0" relativeHeight="251666432" behindDoc="0" locked="0" layoutInCell="1" allowOverlap="1" wp14:anchorId="0F12714C" wp14:editId="72B003A0">
                <wp:simplePos x="0" y="0"/>
                <wp:positionH relativeFrom="column">
                  <wp:posOffset>1781175</wp:posOffset>
                </wp:positionH>
                <wp:positionV relativeFrom="paragraph">
                  <wp:posOffset>18415</wp:posOffset>
                </wp:positionV>
                <wp:extent cx="1714500" cy="12287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714500" cy="12287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F1A4044" w14:textId="77777777" w:rsidR="00F0514A" w:rsidRDefault="00F0514A" w:rsidP="00F0514A">
                            <w:pPr>
                              <w:pStyle w:val="ListParagraph"/>
                              <w:numPr>
                                <w:ilvl w:val="0"/>
                                <w:numId w:val="36"/>
                              </w:numPr>
                            </w:pPr>
                            <w:r>
                              <w:t xml:space="preserve">Initial locality check </w:t>
                            </w:r>
                          </w:p>
                          <w:p w14:paraId="4D203B55" w14:textId="77777777" w:rsidR="00F0514A" w:rsidRDefault="00F0514A" w:rsidP="00F0514A">
                            <w:pPr>
                              <w:pStyle w:val="ListParagraph"/>
                              <w:numPr>
                                <w:ilvl w:val="0"/>
                                <w:numId w:val="36"/>
                              </w:numPr>
                            </w:pPr>
                            <w:r>
                              <w:t xml:space="preserve">Sent to locality team for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2714C" id="Rectangle: Rounded Corners 14" o:spid="_x0000_s1028" style="position:absolute;left:0;text-align:left;margin-left:140.25pt;margin-top:1.45pt;width:13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" fillcolor="#4472c4" strokecolor="#2f528f" strokeweight="1pt">
                <v:stroke joinstyle="miter"/>
                <v:textbox>
                  <w:txbxContent>
                    <w:p w14:paraId="1F1A4044" w14:textId="77777777" w:rsidR="00F0514A" w:rsidRDefault="00F0514A" w:rsidP="00F0514A">
                      <w:pPr>
                        <w:pStyle w:val="ListParagraph"/>
                        <w:numPr>
                          <w:ilvl w:val="0"/>
                          <w:numId w:val="36"/>
                        </w:numPr>
                      </w:pPr>
                      <w:r>
                        <w:t xml:space="preserve">Initial locality check </w:t>
                      </w:r>
                    </w:p>
                    <w:p w14:paraId="4D203B55" w14:textId="77777777" w:rsidR="00F0514A" w:rsidRDefault="00F0514A" w:rsidP="00F0514A">
                      <w:pPr>
                        <w:pStyle w:val="ListParagraph"/>
                        <w:numPr>
                          <w:ilvl w:val="0"/>
                          <w:numId w:val="36"/>
                        </w:numPr>
                      </w:pPr>
                      <w:r>
                        <w:t xml:space="preserve">Sent to locality team for assessment </w:t>
                      </w:r>
                    </w:p>
                  </w:txbxContent>
                </v:textbox>
              </v:roundrect>
            </w:pict>
          </mc:Fallback>
        </mc:AlternateContent>
      </w:r>
    </w:p>
    <w:p w14:paraId="265F6E3E" w14:textId="77777777" w:rsidR="00F0514A" w:rsidRDefault="00F0514A" w:rsidP="00F0514A">
      <w:pPr>
        <w:pStyle w:val="Default"/>
        <w:ind w:right="871"/>
        <w:jc w:val="both"/>
        <w:rPr>
          <w:rFonts w:ascii="Segoe UI" w:hAnsi="Segoe UI" w:cs="Segoe UI"/>
          <w:b/>
          <w:bCs/>
        </w:rPr>
      </w:pPr>
    </w:p>
    <w:p w14:paraId="361511F9" w14:textId="77777777" w:rsidR="00F0514A" w:rsidRDefault="00F0514A" w:rsidP="00F0514A">
      <w:pPr>
        <w:pStyle w:val="Default"/>
        <w:ind w:right="871"/>
        <w:jc w:val="both"/>
        <w:rPr>
          <w:rFonts w:ascii="Segoe UI" w:hAnsi="Segoe UI" w:cs="Segoe UI"/>
          <w:b/>
          <w:bCs/>
        </w:rPr>
      </w:pPr>
      <w:r>
        <w:rPr>
          <w:rFonts w:ascii="Segoe UI" w:hAnsi="Segoe UI" w:cs="Segoe UI"/>
          <w:b/>
          <w:bCs/>
          <w:noProof/>
        </w:rPr>
        <mc:AlternateContent>
          <mc:Choice Requires="wps">
            <w:drawing>
              <wp:anchor distT="0" distB="0" distL="114300" distR="114300" simplePos="0" relativeHeight="251669504" behindDoc="0" locked="0" layoutInCell="1" allowOverlap="1" wp14:anchorId="77FB35E8" wp14:editId="7B50045B">
                <wp:simplePos x="0" y="0"/>
                <wp:positionH relativeFrom="column">
                  <wp:posOffset>3495675</wp:posOffset>
                </wp:positionH>
                <wp:positionV relativeFrom="paragraph">
                  <wp:posOffset>203835</wp:posOffset>
                </wp:positionV>
                <wp:extent cx="323850" cy="0"/>
                <wp:effectExtent l="0" t="95250" r="0" b="95250"/>
                <wp:wrapNone/>
                <wp:docPr id="16" name="Straight Arrow Connector 16"/>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type w14:anchorId="00F6E7FF" id="_x0000_t32" coordsize="21600,21600" o:spt="32" o:oned="t" path="m,l21600,21600e" filled="f">
                <v:path arrowok="t" fillok="f" o:connecttype="none"/>
                <o:lock v:ext="edit" shapetype="t"/>
              </v:shapetype>
              <v:shape id="Straight Arrow Connector 16" o:spid="_x0000_s1026" type="#_x0000_t32" style="position:absolute;margin-left:275.25pt;margin-top:16.05pt;width:2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" strokecolor="#4472c4" strokeweight="3pt">
                <v:stroke endarrow="block" joinstyle="miter"/>
              </v:shape>
            </w:pict>
          </mc:Fallback>
        </mc:AlternateContent>
      </w:r>
      <w:r>
        <w:rPr>
          <w:rFonts w:ascii="Segoe UI" w:hAnsi="Segoe UI" w:cs="Segoe UI"/>
          <w:b/>
          <w:bCs/>
          <w:noProof/>
        </w:rPr>
        <mc:AlternateContent>
          <mc:Choice Requires="wps">
            <w:drawing>
              <wp:anchor distT="0" distB="0" distL="114300" distR="114300" simplePos="0" relativeHeight="251668480" behindDoc="0" locked="0" layoutInCell="1" allowOverlap="1" wp14:anchorId="47C419A9" wp14:editId="491932F3">
                <wp:simplePos x="0" y="0"/>
                <wp:positionH relativeFrom="column">
                  <wp:posOffset>1485900</wp:posOffset>
                </wp:positionH>
                <wp:positionV relativeFrom="paragraph">
                  <wp:posOffset>203835</wp:posOffset>
                </wp:positionV>
                <wp:extent cx="295275" cy="0"/>
                <wp:effectExtent l="0" t="95250" r="0" b="95250"/>
                <wp:wrapNone/>
                <wp:docPr id="17" name="Straight Arrow Connector 1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32AFFF2B" id="Straight Arrow Connector 17" o:spid="_x0000_s1026" type="#_x0000_t32" style="position:absolute;margin-left:117pt;margin-top:16.05pt;width:23.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" strokecolor="#4472c4" strokeweight="3pt">
                <v:stroke endarrow="block" joinstyle="miter"/>
              </v:shape>
            </w:pict>
          </mc:Fallback>
        </mc:AlternateContent>
      </w:r>
    </w:p>
    <w:p w14:paraId="615F41F1" w14:textId="77777777" w:rsidR="00F0514A" w:rsidRDefault="00F0514A" w:rsidP="00F0514A">
      <w:pPr>
        <w:pStyle w:val="Default"/>
        <w:ind w:right="871"/>
        <w:jc w:val="both"/>
        <w:rPr>
          <w:rFonts w:ascii="Segoe UI" w:hAnsi="Segoe UI" w:cs="Segoe UI"/>
          <w:b/>
          <w:bCs/>
        </w:rPr>
      </w:pPr>
    </w:p>
    <w:p w14:paraId="1E719524" w14:textId="77777777" w:rsidR="00F0514A" w:rsidRDefault="00F0514A" w:rsidP="00F0514A">
      <w:pPr>
        <w:pStyle w:val="Default"/>
        <w:ind w:right="871"/>
        <w:jc w:val="both"/>
        <w:rPr>
          <w:rFonts w:ascii="Segoe UI" w:hAnsi="Segoe UI" w:cs="Segoe UI"/>
          <w:b/>
          <w:bCs/>
        </w:rPr>
      </w:pPr>
    </w:p>
    <w:p w14:paraId="067350B6" w14:textId="77777777" w:rsidR="00F0514A" w:rsidRDefault="00F0514A" w:rsidP="00F0514A">
      <w:pPr>
        <w:pStyle w:val="Default"/>
        <w:ind w:right="871"/>
        <w:jc w:val="both"/>
        <w:rPr>
          <w:rFonts w:ascii="Segoe UI" w:hAnsi="Segoe UI" w:cs="Segoe UI"/>
          <w:b/>
          <w:bCs/>
        </w:rPr>
      </w:pPr>
    </w:p>
    <w:p w14:paraId="10EC064D" w14:textId="77777777" w:rsidR="00F0514A" w:rsidRDefault="00F0514A" w:rsidP="00F0514A">
      <w:pPr>
        <w:pStyle w:val="Default"/>
        <w:ind w:right="871"/>
        <w:jc w:val="both"/>
        <w:rPr>
          <w:rFonts w:ascii="Segoe UI" w:hAnsi="Segoe UI" w:cs="Segoe UI"/>
          <w:b/>
          <w:bCs/>
        </w:rPr>
      </w:pPr>
    </w:p>
    <w:p w14:paraId="49BA6395" w14:textId="77777777" w:rsidR="00F0514A" w:rsidRDefault="00F0514A" w:rsidP="00F0514A">
      <w:pPr>
        <w:pStyle w:val="Default"/>
        <w:ind w:right="871" w:firstLine="720"/>
        <w:rPr>
          <w:b/>
          <w:bCs/>
          <w:color w:val="4472C4" w:themeColor="accent1"/>
        </w:rPr>
      </w:pPr>
    </w:p>
    <w:p w14:paraId="06C56BDE" w14:textId="77777777" w:rsidR="00585675" w:rsidRPr="00585675" w:rsidRDefault="00585675" w:rsidP="0017070F">
      <w:pPr>
        <w:pStyle w:val="Default"/>
        <w:ind w:left="709" w:right="871"/>
        <w:rPr>
          <w:rFonts w:ascii="Segoe UI" w:hAnsi="Segoe UI" w:cs="Segoe UI"/>
          <w:b/>
          <w:bCs/>
          <w:iCs/>
          <w:sz w:val="22"/>
          <w:szCs w:val="22"/>
        </w:rPr>
      </w:pPr>
      <w:r w:rsidRPr="00585675">
        <w:rPr>
          <w:rFonts w:ascii="Segoe UI" w:hAnsi="Segoe UI" w:cs="Segoe UI"/>
          <w:b/>
          <w:bCs/>
          <w:iCs/>
          <w:sz w:val="22"/>
          <w:szCs w:val="22"/>
        </w:rPr>
        <w:t>Disputes/Appeals</w:t>
      </w:r>
    </w:p>
    <w:p w14:paraId="73B125A4" w14:textId="77777777" w:rsidR="000C2991" w:rsidRDefault="00585675" w:rsidP="0017070F">
      <w:pPr>
        <w:pStyle w:val="Default"/>
        <w:ind w:left="709" w:right="871"/>
        <w:jc w:val="both"/>
        <w:rPr>
          <w:rFonts w:ascii="Segoe UI" w:hAnsi="Segoe UI" w:cs="Segoe UI"/>
          <w:sz w:val="22"/>
          <w:szCs w:val="22"/>
        </w:rPr>
      </w:pPr>
      <w:r w:rsidRPr="00585675">
        <w:rPr>
          <w:rFonts w:ascii="Segoe UI" w:hAnsi="Segoe UI" w:cs="Segoe UI"/>
          <w:sz w:val="22"/>
          <w:szCs w:val="22"/>
        </w:rPr>
        <w:t xml:space="preserve">In the event of the referrer or gatekeeper disagreeing with the outcome of the assessment, the TVFMHS must have a system in place to review the decision and resolve any conflicts that may arise as a result.  The care of the patient must not be compromised because of a dispute.  </w:t>
      </w:r>
    </w:p>
    <w:p w14:paraId="413EAA1E" w14:textId="77777777" w:rsidR="000C2991" w:rsidRDefault="000C2991" w:rsidP="0017070F">
      <w:pPr>
        <w:pStyle w:val="Default"/>
        <w:ind w:left="709" w:right="871"/>
        <w:jc w:val="both"/>
        <w:rPr>
          <w:rFonts w:ascii="Segoe UI" w:hAnsi="Segoe UI" w:cs="Segoe UI"/>
          <w:sz w:val="22"/>
          <w:szCs w:val="22"/>
        </w:rPr>
      </w:pPr>
    </w:p>
    <w:p w14:paraId="5EC7C85D" w14:textId="6DFDEB74" w:rsidR="00585675" w:rsidRPr="00585675" w:rsidRDefault="00585675" w:rsidP="0017070F">
      <w:pPr>
        <w:pStyle w:val="Default"/>
        <w:ind w:left="709" w:right="871"/>
        <w:jc w:val="both"/>
        <w:rPr>
          <w:rFonts w:ascii="Segoe UI" w:hAnsi="Segoe UI" w:cs="Segoe UI"/>
          <w:sz w:val="22"/>
          <w:szCs w:val="22"/>
        </w:rPr>
      </w:pPr>
      <w:r w:rsidRPr="00585675">
        <w:rPr>
          <w:rFonts w:ascii="Segoe UI" w:hAnsi="Segoe UI" w:cs="Segoe UI"/>
          <w:sz w:val="22"/>
          <w:szCs w:val="22"/>
        </w:rPr>
        <w:t xml:space="preserve">Resolution of disputes will be the responsibility of the parties involved in the assessment and must be undertaken in a timeframe commensurate with the </w:t>
      </w:r>
      <w:proofErr w:type="spellStart"/>
      <w:r w:rsidRPr="00585675">
        <w:rPr>
          <w:rFonts w:ascii="Segoe UI" w:hAnsi="Segoe UI" w:cs="Segoe UI"/>
          <w:sz w:val="22"/>
          <w:szCs w:val="22"/>
        </w:rPr>
        <w:t>patients</w:t>
      </w:r>
      <w:proofErr w:type="spellEnd"/>
      <w:r w:rsidRPr="00585675">
        <w:rPr>
          <w:rFonts w:ascii="Segoe UI" w:hAnsi="Segoe UI" w:cs="Segoe UI"/>
          <w:sz w:val="22"/>
          <w:szCs w:val="22"/>
        </w:rPr>
        <w:t xml:space="preserve"> needs.  The dispute will be resolved by a group consisting of the Clinical Lead for Forensic Services, Head of Forensic Nursing, Head of Forensic </w:t>
      </w:r>
      <w:r w:rsidR="00F943E4" w:rsidRPr="00585675">
        <w:rPr>
          <w:rFonts w:ascii="Segoe UI" w:hAnsi="Segoe UI" w:cs="Segoe UI"/>
          <w:sz w:val="22"/>
          <w:szCs w:val="22"/>
        </w:rPr>
        <w:t>Psychology,</w:t>
      </w:r>
      <w:r w:rsidRPr="00585675">
        <w:rPr>
          <w:rFonts w:ascii="Segoe UI" w:hAnsi="Segoe UI" w:cs="Segoe UI"/>
          <w:sz w:val="22"/>
          <w:szCs w:val="22"/>
        </w:rPr>
        <w:t xml:space="preserve"> and the Forensic Case Manager. </w:t>
      </w:r>
    </w:p>
    <w:p w14:paraId="143A5675" w14:textId="1D137FD4" w:rsidR="00015A3C" w:rsidRDefault="00015A3C" w:rsidP="0017070F">
      <w:pPr>
        <w:pStyle w:val="Default"/>
        <w:ind w:left="709" w:right="871"/>
        <w:jc w:val="both"/>
        <w:rPr>
          <w:rFonts w:ascii="Segoe UI" w:hAnsi="Segoe UI" w:cs="Segoe UI"/>
          <w:b/>
          <w:bCs/>
        </w:rPr>
      </w:pPr>
    </w:p>
    <w:p w14:paraId="101B99C5" w14:textId="0DE6E56C" w:rsidR="00015A3C" w:rsidRDefault="00015A3C" w:rsidP="0017070F">
      <w:pPr>
        <w:pStyle w:val="Default"/>
        <w:ind w:left="709" w:right="871"/>
        <w:jc w:val="both"/>
        <w:rPr>
          <w:rFonts w:ascii="Segoe UI" w:hAnsi="Segoe UI" w:cs="Segoe UI"/>
          <w:b/>
          <w:bCs/>
        </w:rPr>
      </w:pPr>
    </w:p>
    <w:p w14:paraId="3CBD9DC2" w14:textId="354A1D75" w:rsidR="00015A3C" w:rsidRDefault="00015A3C" w:rsidP="0017070F">
      <w:pPr>
        <w:pStyle w:val="Default"/>
        <w:ind w:left="709" w:right="871"/>
        <w:rPr>
          <w:b/>
          <w:bCs/>
          <w:color w:val="4472C4" w:themeColor="accent1"/>
        </w:rPr>
      </w:pPr>
      <w:r w:rsidRPr="00812CDA">
        <w:rPr>
          <w:b/>
          <w:bCs/>
          <w:color w:val="4472C4" w:themeColor="accent1"/>
        </w:rPr>
        <w:t xml:space="preserve">4. Related policy and procedure </w:t>
      </w:r>
    </w:p>
    <w:p w14:paraId="6C2AFDA4" w14:textId="6E53F9AA" w:rsidR="00E04412" w:rsidRDefault="00E04412" w:rsidP="0017070F">
      <w:pPr>
        <w:pStyle w:val="Default"/>
        <w:ind w:left="709" w:right="871"/>
        <w:rPr>
          <w:b/>
          <w:bCs/>
          <w:color w:val="4472C4" w:themeColor="accent1"/>
        </w:rPr>
      </w:pPr>
    </w:p>
    <w:p w14:paraId="7243C2A1" w14:textId="79CE5DBE" w:rsidR="00CA3EC7" w:rsidRPr="0017070F" w:rsidRDefault="00801EE5" w:rsidP="0017070F">
      <w:pPr>
        <w:pStyle w:val="Default"/>
        <w:numPr>
          <w:ilvl w:val="0"/>
          <w:numId w:val="42"/>
        </w:numPr>
        <w:ind w:left="709" w:right="871" w:firstLine="0"/>
        <w:rPr>
          <w:rFonts w:ascii="Segoe UI" w:hAnsi="Segoe UI" w:cs="Segoe UI"/>
          <w:color w:val="auto"/>
          <w:sz w:val="22"/>
          <w:szCs w:val="22"/>
        </w:rPr>
      </w:pPr>
      <w:r w:rsidRPr="0017070F">
        <w:rPr>
          <w:rFonts w:ascii="Segoe UI" w:hAnsi="Segoe UI" w:cs="Segoe UI"/>
          <w:color w:val="auto"/>
          <w:sz w:val="22"/>
          <w:szCs w:val="22"/>
        </w:rPr>
        <w:t xml:space="preserve">Thames Valley &amp; Wessex </w:t>
      </w:r>
      <w:r w:rsidR="00CA3EC7" w:rsidRPr="0017070F">
        <w:rPr>
          <w:rFonts w:ascii="Segoe UI" w:hAnsi="Segoe UI" w:cs="Segoe UI"/>
          <w:color w:val="auto"/>
          <w:sz w:val="22"/>
          <w:szCs w:val="22"/>
        </w:rPr>
        <w:t>ForMe Provider Collaborative Guidance to referrers</w:t>
      </w:r>
    </w:p>
    <w:p w14:paraId="269DD423" w14:textId="632735B1" w:rsidR="00E04412" w:rsidRPr="0017070F" w:rsidRDefault="00E04412" w:rsidP="0017070F">
      <w:pPr>
        <w:pStyle w:val="Default"/>
        <w:numPr>
          <w:ilvl w:val="0"/>
          <w:numId w:val="42"/>
        </w:numPr>
        <w:ind w:left="709" w:right="871" w:firstLine="0"/>
        <w:rPr>
          <w:rFonts w:ascii="Segoe UI" w:hAnsi="Segoe UI" w:cs="Segoe UI"/>
          <w:color w:val="auto"/>
          <w:sz w:val="22"/>
          <w:szCs w:val="22"/>
        </w:rPr>
      </w:pPr>
      <w:r w:rsidRPr="0017070F">
        <w:rPr>
          <w:rFonts w:ascii="Segoe UI" w:hAnsi="Segoe UI" w:cs="Segoe UI"/>
          <w:color w:val="auto"/>
          <w:sz w:val="22"/>
          <w:szCs w:val="22"/>
        </w:rPr>
        <w:t>TV</w:t>
      </w:r>
      <w:r w:rsidR="00CA3EC7" w:rsidRPr="0017070F">
        <w:rPr>
          <w:rFonts w:ascii="Segoe UI" w:hAnsi="Segoe UI" w:cs="Segoe UI"/>
          <w:color w:val="auto"/>
          <w:sz w:val="22"/>
          <w:szCs w:val="22"/>
        </w:rPr>
        <w:t xml:space="preserve">FMHS </w:t>
      </w:r>
      <w:r w:rsidRPr="0017070F">
        <w:rPr>
          <w:rFonts w:ascii="Segoe UI" w:hAnsi="Segoe UI" w:cs="Segoe UI"/>
          <w:color w:val="auto"/>
          <w:sz w:val="22"/>
          <w:szCs w:val="22"/>
        </w:rPr>
        <w:t xml:space="preserve">Management of Transition Procedure </w:t>
      </w:r>
    </w:p>
    <w:p w14:paraId="6DFC2551" w14:textId="694AC53A" w:rsidR="00015A3C" w:rsidRDefault="00015A3C" w:rsidP="00916D1B">
      <w:pPr>
        <w:pStyle w:val="Default"/>
        <w:ind w:right="871"/>
        <w:jc w:val="both"/>
        <w:rPr>
          <w:rFonts w:ascii="Segoe UI" w:hAnsi="Segoe UI" w:cs="Segoe UI"/>
          <w:b/>
          <w:bCs/>
        </w:rPr>
      </w:pPr>
    </w:p>
    <w:p w14:paraId="01CC7CD2" w14:textId="77777777" w:rsidR="00801EE5" w:rsidRDefault="00801EE5" w:rsidP="00916D1B">
      <w:pPr>
        <w:pStyle w:val="Default"/>
        <w:ind w:right="871"/>
        <w:jc w:val="both"/>
        <w:rPr>
          <w:rFonts w:ascii="Segoe UI" w:hAnsi="Segoe UI" w:cs="Segoe UI"/>
          <w:b/>
          <w:bCs/>
        </w:rPr>
      </w:pPr>
    </w:p>
    <w:p w14:paraId="747D3083" w14:textId="7CEF4239" w:rsidR="001D72D8" w:rsidRDefault="001D72D8" w:rsidP="0017070F">
      <w:pPr>
        <w:pStyle w:val="Default"/>
        <w:ind w:left="709" w:right="871"/>
        <w:jc w:val="both"/>
        <w:rPr>
          <w:rFonts w:ascii="Segoe UI" w:hAnsi="Segoe UI" w:cs="Segoe UI"/>
          <w:b/>
          <w:bCs/>
        </w:rPr>
      </w:pPr>
      <w:r>
        <w:rPr>
          <w:rFonts w:ascii="Segoe UI" w:hAnsi="Segoe UI" w:cs="Segoe UI"/>
          <w:b/>
          <w:bCs/>
        </w:rPr>
        <w:t xml:space="preserve">Appendix 1: </w:t>
      </w:r>
    </w:p>
    <w:p w14:paraId="377842B4" w14:textId="2CC5D3DD" w:rsidR="001D72D8" w:rsidRDefault="001D72D8" w:rsidP="0017070F">
      <w:pPr>
        <w:pStyle w:val="Default"/>
        <w:ind w:left="709" w:right="871"/>
        <w:jc w:val="both"/>
        <w:rPr>
          <w:rFonts w:ascii="Segoe UI" w:hAnsi="Segoe UI" w:cs="Segoe UI"/>
          <w:b/>
          <w:bCs/>
        </w:rPr>
      </w:pPr>
    </w:p>
    <w:p w14:paraId="3C5D898C" w14:textId="3CBD609B" w:rsidR="00AE7A7C" w:rsidRDefault="0048052B" w:rsidP="0017070F">
      <w:pPr>
        <w:pStyle w:val="Default"/>
        <w:ind w:left="709" w:right="871"/>
        <w:jc w:val="both"/>
        <w:rPr>
          <w:rFonts w:asciiTheme="minorHAnsi" w:hAnsiTheme="minorHAnsi" w:cstheme="minorBidi"/>
          <w:color w:val="auto"/>
          <w:sz w:val="22"/>
          <w:szCs w:val="22"/>
        </w:rPr>
      </w:pPr>
      <w:hyperlink r:id="rId12" w:history="1">
        <w:r w:rsidR="00C672D2">
          <w:rPr>
            <w:rStyle w:val="Hyperlink"/>
          </w:rPr>
          <w:t>Thames Valley Forensic Service - Oxford Health NHS Foundation Trust</w:t>
        </w:r>
      </w:hyperlink>
    </w:p>
    <w:p w14:paraId="27E5D469" w14:textId="77777777" w:rsidR="00960C3F" w:rsidRDefault="00960C3F" w:rsidP="00916D1B">
      <w:pPr>
        <w:pStyle w:val="Default"/>
        <w:ind w:right="871"/>
        <w:jc w:val="both"/>
        <w:rPr>
          <w:rFonts w:ascii="Segoe UI" w:hAnsi="Segoe UI" w:cs="Segoe UI"/>
          <w:b/>
          <w:bCs/>
        </w:rPr>
      </w:pPr>
    </w:p>
    <w:sectPr w:rsidR="00960C3F" w:rsidSect="00133C4D">
      <w:headerReference w:type="default" r:id="rId13"/>
      <w:footerReference w:type="default" r:id="rId14"/>
      <w:headerReference w:type="first" r:id="rId15"/>
      <w:pgSz w:w="11906" w:h="16838"/>
      <w:pgMar w:top="720" w:right="720" w:bottom="720" w:left="720" w:header="708"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759A" w14:textId="77777777" w:rsidR="00954CC0" w:rsidRDefault="00954CC0" w:rsidP="00CD5E28">
      <w:pPr>
        <w:spacing w:after="0" w:line="240" w:lineRule="auto"/>
      </w:pPr>
      <w:r>
        <w:separator/>
      </w:r>
    </w:p>
  </w:endnote>
  <w:endnote w:type="continuationSeparator" w:id="0">
    <w:p w14:paraId="3ECB8EB2" w14:textId="77777777" w:rsidR="00954CC0" w:rsidRDefault="00954CC0" w:rsidP="00CD5E28">
      <w:pPr>
        <w:spacing w:after="0" w:line="240" w:lineRule="auto"/>
      </w:pPr>
      <w:r>
        <w:continuationSeparator/>
      </w:r>
    </w:p>
  </w:endnote>
  <w:endnote w:type="continuationNotice" w:id="1">
    <w:p w14:paraId="5B031553" w14:textId="77777777" w:rsidR="00954CC0" w:rsidRDefault="00954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562927"/>
      <w:docPartObj>
        <w:docPartGallery w:val="Page Numbers (Bottom of Page)"/>
        <w:docPartUnique/>
      </w:docPartObj>
    </w:sdtPr>
    <w:sdtEndPr>
      <w:rPr>
        <w:color w:val="7F7F7F" w:themeColor="background1" w:themeShade="7F"/>
        <w:spacing w:val="60"/>
      </w:rPr>
    </w:sdtEndPr>
    <w:sdtContent>
      <w:p w14:paraId="7C9517C7" w14:textId="5E718F13" w:rsidR="00133C4D" w:rsidRDefault="00133C4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C2DC50" w14:textId="77777777" w:rsidR="00133C4D" w:rsidRDefault="0013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418C" w14:textId="77777777" w:rsidR="00954CC0" w:rsidRDefault="00954CC0" w:rsidP="00CD5E28">
      <w:pPr>
        <w:spacing w:after="0" w:line="240" w:lineRule="auto"/>
      </w:pPr>
      <w:r>
        <w:separator/>
      </w:r>
    </w:p>
  </w:footnote>
  <w:footnote w:type="continuationSeparator" w:id="0">
    <w:p w14:paraId="45DC8A37" w14:textId="77777777" w:rsidR="00954CC0" w:rsidRDefault="00954CC0" w:rsidP="00CD5E28">
      <w:pPr>
        <w:spacing w:after="0" w:line="240" w:lineRule="auto"/>
      </w:pPr>
      <w:r>
        <w:continuationSeparator/>
      </w:r>
    </w:p>
  </w:footnote>
  <w:footnote w:type="continuationNotice" w:id="1">
    <w:p w14:paraId="34E5637D" w14:textId="77777777" w:rsidR="00954CC0" w:rsidRDefault="00954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83B" w14:textId="10F41E80" w:rsidR="0033379B" w:rsidRDefault="00067DF0" w:rsidP="00067DF0">
    <w:pPr>
      <w:pStyle w:val="Header"/>
      <w:tabs>
        <w:tab w:val="clear" w:pos="4513"/>
        <w:tab w:val="clear" w:pos="9026"/>
        <w:tab w:val="center" w:pos="5233"/>
      </w:tabs>
      <w:jc w:val="right"/>
    </w:pPr>
    <w:r>
      <w:rPr>
        <w:noProof/>
      </w:rPr>
      <w:drawing>
        <wp:inline distT="0" distB="0" distL="0" distR="0" wp14:anchorId="0042D76A" wp14:editId="2422A80C">
          <wp:extent cx="2206756" cy="1447803"/>
          <wp:effectExtent l="0" t="0" r="317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6756" cy="14478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B97C" w14:textId="105CE689" w:rsidR="00A528B5" w:rsidRDefault="002E35A8" w:rsidP="002E35A8">
    <w:pPr>
      <w:pStyle w:val="Header"/>
      <w:tabs>
        <w:tab w:val="clear" w:pos="4513"/>
        <w:tab w:val="clear" w:pos="9026"/>
        <w:tab w:val="center" w:pos="5233"/>
      </w:tabs>
      <w:jc w:val="right"/>
    </w:pPr>
    <w:r>
      <w:rPr>
        <w:noProof/>
      </w:rPr>
      <w:drawing>
        <wp:inline distT="0" distB="0" distL="0" distR="0" wp14:anchorId="5704CF17" wp14:editId="35D554EC">
          <wp:extent cx="2206756" cy="1447803"/>
          <wp:effectExtent l="0" t="0" r="317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6756" cy="1447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55"/>
    <w:multiLevelType w:val="hybridMultilevel"/>
    <w:tmpl w:val="2E38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08E0"/>
    <w:multiLevelType w:val="hybridMultilevel"/>
    <w:tmpl w:val="047C50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4A2CC4"/>
    <w:multiLevelType w:val="hybridMultilevel"/>
    <w:tmpl w:val="2CDC780C"/>
    <w:lvl w:ilvl="0" w:tplc="FF646198">
      <w:start w:val="1"/>
      <w:numFmt w:val="bullet"/>
      <w:lvlText w:val=""/>
      <w:lvlJc w:val="left"/>
      <w:pPr>
        <w:tabs>
          <w:tab w:val="num" w:pos="425"/>
        </w:tabs>
        <w:ind w:left="425" w:hanging="360"/>
      </w:pPr>
      <w:rPr>
        <w:rFonts w:ascii="Symbol" w:hAnsi="Symbol" w:hint="default"/>
        <w:color w:val="002060"/>
      </w:rPr>
    </w:lvl>
    <w:lvl w:ilvl="1" w:tplc="08090003">
      <w:start w:val="1"/>
      <w:numFmt w:val="bullet"/>
      <w:lvlText w:val="o"/>
      <w:lvlJc w:val="left"/>
      <w:pPr>
        <w:tabs>
          <w:tab w:val="num" w:pos="1069"/>
        </w:tabs>
        <w:ind w:left="1069"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713BE"/>
    <w:multiLevelType w:val="hybridMultilevel"/>
    <w:tmpl w:val="A34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945D2"/>
    <w:multiLevelType w:val="hybridMultilevel"/>
    <w:tmpl w:val="75FCB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0291"/>
    <w:multiLevelType w:val="hybridMultilevel"/>
    <w:tmpl w:val="6906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2613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166575"/>
    <w:multiLevelType w:val="multilevel"/>
    <w:tmpl w:val="D84C62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521DC"/>
    <w:multiLevelType w:val="hybridMultilevel"/>
    <w:tmpl w:val="5D4E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254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B62E0"/>
    <w:multiLevelType w:val="hybridMultilevel"/>
    <w:tmpl w:val="E8D24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EA504E"/>
    <w:multiLevelType w:val="hybridMultilevel"/>
    <w:tmpl w:val="832CA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30D50"/>
    <w:multiLevelType w:val="hybridMultilevel"/>
    <w:tmpl w:val="B662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946DE"/>
    <w:multiLevelType w:val="hybridMultilevel"/>
    <w:tmpl w:val="FB6859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E86409F"/>
    <w:multiLevelType w:val="hybridMultilevel"/>
    <w:tmpl w:val="F12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660A2"/>
    <w:multiLevelType w:val="multilevel"/>
    <w:tmpl w:val="EEB0847A"/>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CC1CEA"/>
    <w:multiLevelType w:val="hybridMultilevel"/>
    <w:tmpl w:val="0A6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D563A"/>
    <w:multiLevelType w:val="hybridMultilevel"/>
    <w:tmpl w:val="855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8B6970"/>
    <w:multiLevelType w:val="multilevel"/>
    <w:tmpl w:val="94E0CF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CB3244"/>
    <w:multiLevelType w:val="hybridMultilevel"/>
    <w:tmpl w:val="6524966E"/>
    <w:lvl w:ilvl="0" w:tplc="88607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A5F6F"/>
    <w:multiLevelType w:val="hybridMultilevel"/>
    <w:tmpl w:val="8F6C949E"/>
    <w:lvl w:ilvl="0" w:tplc="CBE83786">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8AF4AD9"/>
    <w:multiLevelType w:val="hybridMultilevel"/>
    <w:tmpl w:val="19925A7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62311"/>
    <w:multiLevelType w:val="hybridMultilevel"/>
    <w:tmpl w:val="067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14E0A"/>
    <w:multiLevelType w:val="hybridMultilevel"/>
    <w:tmpl w:val="454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B4A13"/>
    <w:multiLevelType w:val="hybridMultilevel"/>
    <w:tmpl w:val="E244F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6E7D1E"/>
    <w:multiLevelType w:val="hybridMultilevel"/>
    <w:tmpl w:val="631A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A6DF5"/>
    <w:multiLevelType w:val="hybridMultilevel"/>
    <w:tmpl w:val="9AD2FCC6"/>
    <w:lvl w:ilvl="0" w:tplc="88607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F7C57"/>
    <w:multiLevelType w:val="multilevel"/>
    <w:tmpl w:val="D84C62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7D14A0"/>
    <w:multiLevelType w:val="hybridMultilevel"/>
    <w:tmpl w:val="EAE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E70F8"/>
    <w:multiLevelType w:val="hybridMultilevel"/>
    <w:tmpl w:val="83AC0510"/>
    <w:lvl w:ilvl="0" w:tplc="C4DCA6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0734C"/>
    <w:multiLevelType w:val="hybridMultilevel"/>
    <w:tmpl w:val="F6BE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A7DCE"/>
    <w:multiLevelType w:val="hybridMultilevel"/>
    <w:tmpl w:val="B1208C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3045E3"/>
    <w:multiLevelType w:val="hybridMultilevel"/>
    <w:tmpl w:val="B3DC868E"/>
    <w:lvl w:ilvl="0" w:tplc="C4DCA60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D65C7B"/>
    <w:multiLevelType w:val="hybridMultilevel"/>
    <w:tmpl w:val="66F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F4C32"/>
    <w:multiLevelType w:val="hybridMultilevel"/>
    <w:tmpl w:val="9F30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45CE6"/>
    <w:multiLevelType w:val="hybridMultilevel"/>
    <w:tmpl w:val="59FED2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9F69A1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0B2068"/>
    <w:multiLevelType w:val="hybridMultilevel"/>
    <w:tmpl w:val="AC466D0E"/>
    <w:lvl w:ilvl="0" w:tplc="CBE8378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4401061"/>
    <w:multiLevelType w:val="hybridMultilevel"/>
    <w:tmpl w:val="215C35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788B32DD"/>
    <w:multiLevelType w:val="hybridMultilevel"/>
    <w:tmpl w:val="22FA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918DF"/>
    <w:multiLevelType w:val="hybridMultilevel"/>
    <w:tmpl w:val="D186A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AD5445"/>
    <w:multiLevelType w:val="hybridMultilevel"/>
    <w:tmpl w:val="01CC6668"/>
    <w:lvl w:ilvl="0" w:tplc="0809000F">
      <w:start w:val="1"/>
      <w:numFmt w:val="decimal"/>
      <w:lvlText w:val="%1."/>
      <w:lvlJc w:val="left"/>
      <w:pPr>
        <w:ind w:left="1653" w:hanging="360"/>
      </w:pPr>
    </w:lvl>
    <w:lvl w:ilvl="1" w:tplc="08090019" w:tentative="1">
      <w:start w:val="1"/>
      <w:numFmt w:val="lowerLetter"/>
      <w:lvlText w:val="%2."/>
      <w:lvlJc w:val="left"/>
      <w:pPr>
        <w:ind w:left="2373" w:hanging="360"/>
      </w:pPr>
    </w:lvl>
    <w:lvl w:ilvl="2" w:tplc="0809001B" w:tentative="1">
      <w:start w:val="1"/>
      <w:numFmt w:val="lowerRoman"/>
      <w:lvlText w:val="%3."/>
      <w:lvlJc w:val="right"/>
      <w:pPr>
        <w:ind w:left="3093" w:hanging="180"/>
      </w:pPr>
    </w:lvl>
    <w:lvl w:ilvl="3" w:tplc="0809000F" w:tentative="1">
      <w:start w:val="1"/>
      <w:numFmt w:val="decimal"/>
      <w:lvlText w:val="%4."/>
      <w:lvlJc w:val="left"/>
      <w:pPr>
        <w:ind w:left="3813" w:hanging="360"/>
      </w:pPr>
    </w:lvl>
    <w:lvl w:ilvl="4" w:tplc="08090019" w:tentative="1">
      <w:start w:val="1"/>
      <w:numFmt w:val="lowerLetter"/>
      <w:lvlText w:val="%5."/>
      <w:lvlJc w:val="left"/>
      <w:pPr>
        <w:ind w:left="4533" w:hanging="360"/>
      </w:pPr>
    </w:lvl>
    <w:lvl w:ilvl="5" w:tplc="0809001B" w:tentative="1">
      <w:start w:val="1"/>
      <w:numFmt w:val="lowerRoman"/>
      <w:lvlText w:val="%6."/>
      <w:lvlJc w:val="right"/>
      <w:pPr>
        <w:ind w:left="5253" w:hanging="180"/>
      </w:pPr>
    </w:lvl>
    <w:lvl w:ilvl="6" w:tplc="0809000F" w:tentative="1">
      <w:start w:val="1"/>
      <w:numFmt w:val="decimal"/>
      <w:lvlText w:val="%7."/>
      <w:lvlJc w:val="left"/>
      <w:pPr>
        <w:ind w:left="5973" w:hanging="360"/>
      </w:pPr>
    </w:lvl>
    <w:lvl w:ilvl="7" w:tplc="08090019" w:tentative="1">
      <w:start w:val="1"/>
      <w:numFmt w:val="lowerLetter"/>
      <w:lvlText w:val="%8."/>
      <w:lvlJc w:val="left"/>
      <w:pPr>
        <w:ind w:left="6693" w:hanging="360"/>
      </w:pPr>
    </w:lvl>
    <w:lvl w:ilvl="8" w:tplc="0809001B" w:tentative="1">
      <w:start w:val="1"/>
      <w:numFmt w:val="lowerRoman"/>
      <w:lvlText w:val="%9."/>
      <w:lvlJc w:val="right"/>
      <w:pPr>
        <w:ind w:left="7413" w:hanging="180"/>
      </w:pPr>
    </w:lvl>
  </w:abstractNum>
  <w:abstractNum w:abstractNumId="41" w15:restartNumberingAfterBreak="0">
    <w:nsid w:val="7FEC5E09"/>
    <w:multiLevelType w:val="hybridMultilevel"/>
    <w:tmpl w:val="E3C22EDE"/>
    <w:lvl w:ilvl="0" w:tplc="C4DCA6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289225">
    <w:abstractNumId w:val="3"/>
  </w:num>
  <w:num w:numId="2" w16cid:durableId="659313566">
    <w:abstractNumId w:val="12"/>
  </w:num>
  <w:num w:numId="3" w16cid:durableId="1856066760">
    <w:abstractNumId w:val="17"/>
  </w:num>
  <w:num w:numId="4" w16cid:durableId="1909266819">
    <w:abstractNumId w:val="41"/>
  </w:num>
  <w:num w:numId="5" w16cid:durableId="1008796528">
    <w:abstractNumId w:val="32"/>
  </w:num>
  <w:num w:numId="6" w16cid:durableId="1418867819">
    <w:abstractNumId w:val="29"/>
  </w:num>
  <w:num w:numId="7" w16cid:durableId="308902780">
    <w:abstractNumId w:val="21"/>
  </w:num>
  <w:num w:numId="8" w16cid:durableId="102967071">
    <w:abstractNumId w:val="6"/>
  </w:num>
  <w:num w:numId="9" w16cid:durableId="17238860">
    <w:abstractNumId w:val="9"/>
  </w:num>
  <w:num w:numId="10" w16cid:durableId="1250310665">
    <w:abstractNumId w:val="27"/>
  </w:num>
  <w:num w:numId="11" w16cid:durableId="283658952">
    <w:abstractNumId w:val="7"/>
  </w:num>
  <w:num w:numId="12" w16cid:durableId="2054692484">
    <w:abstractNumId w:val="18"/>
  </w:num>
  <w:num w:numId="13" w16cid:durableId="786511537">
    <w:abstractNumId w:val="15"/>
  </w:num>
  <w:num w:numId="14" w16cid:durableId="419134429">
    <w:abstractNumId w:val="35"/>
  </w:num>
  <w:num w:numId="15" w16cid:durableId="1867907350">
    <w:abstractNumId w:val="0"/>
  </w:num>
  <w:num w:numId="16" w16cid:durableId="875580006">
    <w:abstractNumId w:val="4"/>
  </w:num>
  <w:num w:numId="17" w16cid:durableId="1746563314">
    <w:abstractNumId w:val="24"/>
  </w:num>
  <w:num w:numId="18" w16cid:durableId="1508443675">
    <w:abstractNumId w:val="40"/>
  </w:num>
  <w:num w:numId="19" w16cid:durableId="725834477">
    <w:abstractNumId w:val="39"/>
  </w:num>
  <w:num w:numId="20" w16cid:durableId="793333580">
    <w:abstractNumId w:val="11"/>
  </w:num>
  <w:num w:numId="21" w16cid:durableId="916477222">
    <w:abstractNumId w:val="28"/>
  </w:num>
  <w:num w:numId="22" w16cid:durableId="1739673618">
    <w:abstractNumId w:val="8"/>
  </w:num>
  <w:num w:numId="23" w16cid:durableId="2115592239">
    <w:abstractNumId w:val="37"/>
  </w:num>
  <w:num w:numId="24" w16cid:durableId="151682859">
    <w:abstractNumId w:val="10"/>
  </w:num>
  <w:num w:numId="25" w16cid:durableId="1732265498">
    <w:abstractNumId w:val="13"/>
  </w:num>
  <w:num w:numId="26" w16cid:durableId="423038028">
    <w:abstractNumId w:val="23"/>
  </w:num>
  <w:num w:numId="27" w16cid:durableId="1323923244">
    <w:abstractNumId w:val="34"/>
  </w:num>
  <w:num w:numId="28" w16cid:durableId="1610551506">
    <w:abstractNumId w:val="33"/>
  </w:num>
  <w:num w:numId="29" w16cid:durableId="1932473320">
    <w:abstractNumId w:val="5"/>
  </w:num>
  <w:num w:numId="30" w16cid:durableId="1458526435">
    <w:abstractNumId w:val="38"/>
  </w:num>
  <w:num w:numId="31" w16cid:durableId="1561595996">
    <w:abstractNumId w:val="19"/>
  </w:num>
  <w:num w:numId="32" w16cid:durableId="1165125591">
    <w:abstractNumId w:val="20"/>
  </w:num>
  <w:num w:numId="33" w16cid:durableId="988945647">
    <w:abstractNumId w:val="26"/>
  </w:num>
  <w:num w:numId="34" w16cid:durableId="162016487">
    <w:abstractNumId w:val="31"/>
  </w:num>
  <w:num w:numId="35" w16cid:durableId="1659724378">
    <w:abstractNumId w:val="36"/>
  </w:num>
  <w:num w:numId="36" w16cid:durableId="411582180">
    <w:abstractNumId w:val="1"/>
  </w:num>
  <w:num w:numId="37" w16cid:durableId="1474371083">
    <w:abstractNumId w:val="25"/>
  </w:num>
  <w:num w:numId="38" w16cid:durableId="1665815698">
    <w:abstractNumId w:val="2"/>
  </w:num>
  <w:num w:numId="39" w16cid:durableId="591161916">
    <w:abstractNumId w:val="14"/>
  </w:num>
  <w:num w:numId="40" w16cid:durableId="1690332687">
    <w:abstractNumId w:val="16"/>
  </w:num>
  <w:num w:numId="41" w16cid:durableId="138696896">
    <w:abstractNumId w:val="30"/>
  </w:num>
  <w:num w:numId="42" w16cid:durableId="7946442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28"/>
    <w:rsid w:val="00014D98"/>
    <w:rsid w:val="00015A3C"/>
    <w:rsid w:val="0002221B"/>
    <w:rsid w:val="00022398"/>
    <w:rsid w:val="0003116B"/>
    <w:rsid w:val="000522CD"/>
    <w:rsid w:val="00065F5F"/>
    <w:rsid w:val="00067DF0"/>
    <w:rsid w:val="000767D2"/>
    <w:rsid w:val="0008109A"/>
    <w:rsid w:val="000825BD"/>
    <w:rsid w:val="00092A15"/>
    <w:rsid w:val="000A4FBB"/>
    <w:rsid w:val="000A6D5C"/>
    <w:rsid w:val="000A7AE9"/>
    <w:rsid w:val="000C2991"/>
    <w:rsid w:val="000D5EC1"/>
    <w:rsid w:val="000E1963"/>
    <w:rsid w:val="000E6414"/>
    <w:rsid w:val="000F1BC7"/>
    <w:rsid w:val="00105656"/>
    <w:rsid w:val="00120142"/>
    <w:rsid w:val="00126427"/>
    <w:rsid w:val="00133C4D"/>
    <w:rsid w:val="0016025A"/>
    <w:rsid w:val="00164F55"/>
    <w:rsid w:val="0017070F"/>
    <w:rsid w:val="00176487"/>
    <w:rsid w:val="00182558"/>
    <w:rsid w:val="0018757E"/>
    <w:rsid w:val="0019118E"/>
    <w:rsid w:val="00193C2E"/>
    <w:rsid w:val="0019551E"/>
    <w:rsid w:val="0019799E"/>
    <w:rsid w:val="001B05F5"/>
    <w:rsid w:val="001C2921"/>
    <w:rsid w:val="001D11AB"/>
    <w:rsid w:val="001D3929"/>
    <w:rsid w:val="001D4830"/>
    <w:rsid w:val="001D72D8"/>
    <w:rsid w:val="001F64B2"/>
    <w:rsid w:val="002037A9"/>
    <w:rsid w:val="00206000"/>
    <w:rsid w:val="00226FFE"/>
    <w:rsid w:val="002271DD"/>
    <w:rsid w:val="00245A32"/>
    <w:rsid w:val="00252F56"/>
    <w:rsid w:val="00281FB6"/>
    <w:rsid w:val="002839CC"/>
    <w:rsid w:val="00294921"/>
    <w:rsid w:val="002A29F6"/>
    <w:rsid w:val="002A615F"/>
    <w:rsid w:val="002A626F"/>
    <w:rsid w:val="002C5E89"/>
    <w:rsid w:val="002D3709"/>
    <w:rsid w:val="002D3AC8"/>
    <w:rsid w:val="002E35A8"/>
    <w:rsid w:val="002E3903"/>
    <w:rsid w:val="002E4B3D"/>
    <w:rsid w:val="002F559E"/>
    <w:rsid w:val="002F7B5C"/>
    <w:rsid w:val="0030701A"/>
    <w:rsid w:val="003133FB"/>
    <w:rsid w:val="003213C8"/>
    <w:rsid w:val="00322AEB"/>
    <w:rsid w:val="00323B8A"/>
    <w:rsid w:val="0033379B"/>
    <w:rsid w:val="00352572"/>
    <w:rsid w:val="00354059"/>
    <w:rsid w:val="00357C91"/>
    <w:rsid w:val="00360FB2"/>
    <w:rsid w:val="00365720"/>
    <w:rsid w:val="0038157F"/>
    <w:rsid w:val="00387437"/>
    <w:rsid w:val="00393655"/>
    <w:rsid w:val="00395189"/>
    <w:rsid w:val="00397081"/>
    <w:rsid w:val="003A3B91"/>
    <w:rsid w:val="003C029E"/>
    <w:rsid w:val="003C507F"/>
    <w:rsid w:val="003F08E9"/>
    <w:rsid w:val="003F21B8"/>
    <w:rsid w:val="00405F0B"/>
    <w:rsid w:val="00407B04"/>
    <w:rsid w:val="00414E41"/>
    <w:rsid w:val="00417C1D"/>
    <w:rsid w:val="00423D61"/>
    <w:rsid w:val="00426363"/>
    <w:rsid w:val="00436331"/>
    <w:rsid w:val="00460DDD"/>
    <w:rsid w:val="0046248A"/>
    <w:rsid w:val="00464C4B"/>
    <w:rsid w:val="00493F99"/>
    <w:rsid w:val="0049432F"/>
    <w:rsid w:val="004A10AB"/>
    <w:rsid w:val="004B23B7"/>
    <w:rsid w:val="004C368E"/>
    <w:rsid w:val="004C6FD2"/>
    <w:rsid w:val="004D39B1"/>
    <w:rsid w:val="004D51E7"/>
    <w:rsid w:val="004E1056"/>
    <w:rsid w:val="004E4312"/>
    <w:rsid w:val="004F4588"/>
    <w:rsid w:val="005114DF"/>
    <w:rsid w:val="00523D51"/>
    <w:rsid w:val="00524D62"/>
    <w:rsid w:val="005400A5"/>
    <w:rsid w:val="00545C9F"/>
    <w:rsid w:val="00571557"/>
    <w:rsid w:val="00585675"/>
    <w:rsid w:val="00595CC7"/>
    <w:rsid w:val="00597730"/>
    <w:rsid w:val="005A0C04"/>
    <w:rsid w:val="005A2954"/>
    <w:rsid w:val="005A3408"/>
    <w:rsid w:val="005A6A30"/>
    <w:rsid w:val="005A6EB0"/>
    <w:rsid w:val="005B0D4D"/>
    <w:rsid w:val="005B2503"/>
    <w:rsid w:val="005B2642"/>
    <w:rsid w:val="005B3791"/>
    <w:rsid w:val="005C1AC2"/>
    <w:rsid w:val="005C76A1"/>
    <w:rsid w:val="005D51E6"/>
    <w:rsid w:val="005E58F5"/>
    <w:rsid w:val="006020CC"/>
    <w:rsid w:val="00606287"/>
    <w:rsid w:val="0063421A"/>
    <w:rsid w:val="00640BD7"/>
    <w:rsid w:val="00641116"/>
    <w:rsid w:val="00641A49"/>
    <w:rsid w:val="0064546E"/>
    <w:rsid w:val="0064799B"/>
    <w:rsid w:val="00661822"/>
    <w:rsid w:val="00670338"/>
    <w:rsid w:val="00692A25"/>
    <w:rsid w:val="006A0EAB"/>
    <w:rsid w:val="006A2450"/>
    <w:rsid w:val="006A2A6B"/>
    <w:rsid w:val="006A65A6"/>
    <w:rsid w:val="006B66B7"/>
    <w:rsid w:val="006B7F08"/>
    <w:rsid w:val="006C494B"/>
    <w:rsid w:val="006C58B8"/>
    <w:rsid w:val="006D02F4"/>
    <w:rsid w:val="006E0229"/>
    <w:rsid w:val="006E155E"/>
    <w:rsid w:val="0070168C"/>
    <w:rsid w:val="00702D1A"/>
    <w:rsid w:val="00715335"/>
    <w:rsid w:val="00720134"/>
    <w:rsid w:val="0072022E"/>
    <w:rsid w:val="00725313"/>
    <w:rsid w:val="00726AEE"/>
    <w:rsid w:val="00730025"/>
    <w:rsid w:val="007413C3"/>
    <w:rsid w:val="00741D58"/>
    <w:rsid w:val="007444B4"/>
    <w:rsid w:val="007579AF"/>
    <w:rsid w:val="00760BE1"/>
    <w:rsid w:val="007749F2"/>
    <w:rsid w:val="00780ED3"/>
    <w:rsid w:val="00780EF7"/>
    <w:rsid w:val="0078491D"/>
    <w:rsid w:val="0079546E"/>
    <w:rsid w:val="0079730B"/>
    <w:rsid w:val="00797EEA"/>
    <w:rsid w:val="007A090B"/>
    <w:rsid w:val="007A44E1"/>
    <w:rsid w:val="007A62A8"/>
    <w:rsid w:val="007D02AF"/>
    <w:rsid w:val="007D5FCE"/>
    <w:rsid w:val="007D604A"/>
    <w:rsid w:val="007D6DAA"/>
    <w:rsid w:val="007F4146"/>
    <w:rsid w:val="007F4E3F"/>
    <w:rsid w:val="00800A1A"/>
    <w:rsid w:val="00801EE5"/>
    <w:rsid w:val="00811BD4"/>
    <w:rsid w:val="00812CDA"/>
    <w:rsid w:val="00815E4F"/>
    <w:rsid w:val="00825B1B"/>
    <w:rsid w:val="00836028"/>
    <w:rsid w:val="00845D7E"/>
    <w:rsid w:val="0085057A"/>
    <w:rsid w:val="00853E94"/>
    <w:rsid w:val="008627C4"/>
    <w:rsid w:val="00862936"/>
    <w:rsid w:val="008841A8"/>
    <w:rsid w:val="008841EA"/>
    <w:rsid w:val="0089563A"/>
    <w:rsid w:val="008957F6"/>
    <w:rsid w:val="008965FA"/>
    <w:rsid w:val="008A26B0"/>
    <w:rsid w:val="008A3BF2"/>
    <w:rsid w:val="008A3F59"/>
    <w:rsid w:val="008A621D"/>
    <w:rsid w:val="008B0AA1"/>
    <w:rsid w:val="008B0C9B"/>
    <w:rsid w:val="008B3F27"/>
    <w:rsid w:val="008B4531"/>
    <w:rsid w:val="008B6E52"/>
    <w:rsid w:val="008B774D"/>
    <w:rsid w:val="008C63FA"/>
    <w:rsid w:val="008C68C0"/>
    <w:rsid w:val="008D1654"/>
    <w:rsid w:val="008E6BDD"/>
    <w:rsid w:val="008F739A"/>
    <w:rsid w:val="00916D1B"/>
    <w:rsid w:val="00921190"/>
    <w:rsid w:val="00934E41"/>
    <w:rsid w:val="009364D7"/>
    <w:rsid w:val="009513B7"/>
    <w:rsid w:val="00953E45"/>
    <w:rsid w:val="00954CC0"/>
    <w:rsid w:val="0095752C"/>
    <w:rsid w:val="00960C3F"/>
    <w:rsid w:val="0096220F"/>
    <w:rsid w:val="00966D3E"/>
    <w:rsid w:val="00972625"/>
    <w:rsid w:val="00974422"/>
    <w:rsid w:val="0097617B"/>
    <w:rsid w:val="009768C1"/>
    <w:rsid w:val="009A46E9"/>
    <w:rsid w:val="009D0A7E"/>
    <w:rsid w:val="009E0F6F"/>
    <w:rsid w:val="009E1C73"/>
    <w:rsid w:val="009E2833"/>
    <w:rsid w:val="009E6FF0"/>
    <w:rsid w:val="00A109E1"/>
    <w:rsid w:val="00A12602"/>
    <w:rsid w:val="00A147FB"/>
    <w:rsid w:val="00A15F81"/>
    <w:rsid w:val="00A27D00"/>
    <w:rsid w:val="00A34FFB"/>
    <w:rsid w:val="00A36AE6"/>
    <w:rsid w:val="00A46725"/>
    <w:rsid w:val="00A528B5"/>
    <w:rsid w:val="00A539C2"/>
    <w:rsid w:val="00A61DD3"/>
    <w:rsid w:val="00A656F0"/>
    <w:rsid w:val="00A72F1B"/>
    <w:rsid w:val="00A772F6"/>
    <w:rsid w:val="00A9338A"/>
    <w:rsid w:val="00AC5BE1"/>
    <w:rsid w:val="00AD5E4B"/>
    <w:rsid w:val="00AE3DEF"/>
    <w:rsid w:val="00AE45D2"/>
    <w:rsid w:val="00AE7A7C"/>
    <w:rsid w:val="00AF5592"/>
    <w:rsid w:val="00AF6B6F"/>
    <w:rsid w:val="00AF723F"/>
    <w:rsid w:val="00B12E29"/>
    <w:rsid w:val="00B20029"/>
    <w:rsid w:val="00B20A86"/>
    <w:rsid w:val="00B2250A"/>
    <w:rsid w:val="00B22C88"/>
    <w:rsid w:val="00B23849"/>
    <w:rsid w:val="00B310DB"/>
    <w:rsid w:val="00B34206"/>
    <w:rsid w:val="00B55A46"/>
    <w:rsid w:val="00B60ACA"/>
    <w:rsid w:val="00B72431"/>
    <w:rsid w:val="00B804CE"/>
    <w:rsid w:val="00B8474D"/>
    <w:rsid w:val="00B86B19"/>
    <w:rsid w:val="00B91892"/>
    <w:rsid w:val="00B94FEC"/>
    <w:rsid w:val="00BA44C3"/>
    <w:rsid w:val="00BA51EC"/>
    <w:rsid w:val="00BB5149"/>
    <w:rsid w:val="00BC4497"/>
    <w:rsid w:val="00BD0ABC"/>
    <w:rsid w:val="00BD4609"/>
    <w:rsid w:val="00BD6A2D"/>
    <w:rsid w:val="00BF00AA"/>
    <w:rsid w:val="00BF300E"/>
    <w:rsid w:val="00BF3529"/>
    <w:rsid w:val="00BF6547"/>
    <w:rsid w:val="00C019F4"/>
    <w:rsid w:val="00C0205B"/>
    <w:rsid w:val="00C058E3"/>
    <w:rsid w:val="00C06EB8"/>
    <w:rsid w:val="00C164E9"/>
    <w:rsid w:val="00C224AA"/>
    <w:rsid w:val="00C3344D"/>
    <w:rsid w:val="00C33611"/>
    <w:rsid w:val="00C37BBB"/>
    <w:rsid w:val="00C4464D"/>
    <w:rsid w:val="00C45198"/>
    <w:rsid w:val="00C45F48"/>
    <w:rsid w:val="00C504ED"/>
    <w:rsid w:val="00C565F1"/>
    <w:rsid w:val="00C64AD8"/>
    <w:rsid w:val="00C64CCF"/>
    <w:rsid w:val="00C672D2"/>
    <w:rsid w:val="00C775D4"/>
    <w:rsid w:val="00C80B60"/>
    <w:rsid w:val="00C83D2A"/>
    <w:rsid w:val="00C9017E"/>
    <w:rsid w:val="00C937D4"/>
    <w:rsid w:val="00C97FC1"/>
    <w:rsid w:val="00CA33BA"/>
    <w:rsid w:val="00CA3EC7"/>
    <w:rsid w:val="00CC0FBD"/>
    <w:rsid w:val="00CC5081"/>
    <w:rsid w:val="00CC6293"/>
    <w:rsid w:val="00CC6599"/>
    <w:rsid w:val="00CD00E4"/>
    <w:rsid w:val="00CD5A33"/>
    <w:rsid w:val="00CD5E28"/>
    <w:rsid w:val="00CE2C97"/>
    <w:rsid w:val="00CE632E"/>
    <w:rsid w:val="00CE6A32"/>
    <w:rsid w:val="00CE6AA3"/>
    <w:rsid w:val="00CF25F3"/>
    <w:rsid w:val="00D11902"/>
    <w:rsid w:val="00D46E27"/>
    <w:rsid w:val="00D53B20"/>
    <w:rsid w:val="00D54CD4"/>
    <w:rsid w:val="00D56A1C"/>
    <w:rsid w:val="00D63F8A"/>
    <w:rsid w:val="00D71BC0"/>
    <w:rsid w:val="00D7348C"/>
    <w:rsid w:val="00D75FFD"/>
    <w:rsid w:val="00D95284"/>
    <w:rsid w:val="00DA0EFD"/>
    <w:rsid w:val="00DA0F56"/>
    <w:rsid w:val="00DA499C"/>
    <w:rsid w:val="00DA4CC6"/>
    <w:rsid w:val="00DB7D1B"/>
    <w:rsid w:val="00DE444D"/>
    <w:rsid w:val="00DE68ED"/>
    <w:rsid w:val="00DE712E"/>
    <w:rsid w:val="00DF03A4"/>
    <w:rsid w:val="00DF2AE3"/>
    <w:rsid w:val="00E04412"/>
    <w:rsid w:val="00E10A8D"/>
    <w:rsid w:val="00E12406"/>
    <w:rsid w:val="00E17300"/>
    <w:rsid w:val="00E31C18"/>
    <w:rsid w:val="00E3399E"/>
    <w:rsid w:val="00E339F0"/>
    <w:rsid w:val="00E61640"/>
    <w:rsid w:val="00E61952"/>
    <w:rsid w:val="00E64A09"/>
    <w:rsid w:val="00E702C2"/>
    <w:rsid w:val="00E73285"/>
    <w:rsid w:val="00E76B7C"/>
    <w:rsid w:val="00E806BC"/>
    <w:rsid w:val="00E827FE"/>
    <w:rsid w:val="00E85BD0"/>
    <w:rsid w:val="00E90810"/>
    <w:rsid w:val="00E934E2"/>
    <w:rsid w:val="00EA3526"/>
    <w:rsid w:val="00EA7FA7"/>
    <w:rsid w:val="00EB16C4"/>
    <w:rsid w:val="00EB1D5B"/>
    <w:rsid w:val="00EB3C11"/>
    <w:rsid w:val="00EB6828"/>
    <w:rsid w:val="00EC05F6"/>
    <w:rsid w:val="00EC0879"/>
    <w:rsid w:val="00ED0B08"/>
    <w:rsid w:val="00ED2502"/>
    <w:rsid w:val="00EE6453"/>
    <w:rsid w:val="00EF2C94"/>
    <w:rsid w:val="00EF4C9E"/>
    <w:rsid w:val="00F00100"/>
    <w:rsid w:val="00F0358A"/>
    <w:rsid w:val="00F0514A"/>
    <w:rsid w:val="00F06842"/>
    <w:rsid w:val="00F321AA"/>
    <w:rsid w:val="00F56E4E"/>
    <w:rsid w:val="00F63ED8"/>
    <w:rsid w:val="00F70D6F"/>
    <w:rsid w:val="00F73DA0"/>
    <w:rsid w:val="00F77411"/>
    <w:rsid w:val="00F943E4"/>
    <w:rsid w:val="00FC39C8"/>
    <w:rsid w:val="00FE1BC4"/>
    <w:rsid w:val="00FF1B9B"/>
    <w:rsid w:val="135F2017"/>
    <w:rsid w:val="14A96316"/>
    <w:rsid w:val="1556C7C0"/>
    <w:rsid w:val="23738240"/>
    <w:rsid w:val="2B3BB8E7"/>
    <w:rsid w:val="38AC8105"/>
    <w:rsid w:val="3C21C3E1"/>
    <w:rsid w:val="586E5A5E"/>
    <w:rsid w:val="5FCDA21B"/>
    <w:rsid w:val="6FB534CC"/>
    <w:rsid w:val="76C312E3"/>
    <w:rsid w:val="779270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4B65"/>
  <w15:chartTrackingRefBased/>
  <w15:docId w15:val="{30A5F6AC-8C12-4D7D-89A6-BA31EBCD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E1"/>
    <w:pPr>
      <w:spacing w:after="200" w:line="276" w:lineRule="auto"/>
    </w:pPr>
  </w:style>
  <w:style w:type="paragraph" w:styleId="Heading1">
    <w:name w:val="heading 1"/>
    <w:basedOn w:val="Normal"/>
    <w:next w:val="Normal"/>
    <w:link w:val="Heading1Char"/>
    <w:qFormat/>
    <w:rsid w:val="00A109E1"/>
    <w:pPr>
      <w:keepNext/>
      <w:spacing w:after="0" w:line="240" w:lineRule="auto"/>
      <w:outlineLvl w:val="0"/>
    </w:pPr>
    <w:rPr>
      <w:rFonts w:ascii="Arial" w:eastAsia="Times New Roman" w:hAnsi="Arial" w:cs="Times New Roman"/>
      <w:sz w:val="24"/>
      <w:szCs w:val="20"/>
      <w:u w:val="single"/>
    </w:rPr>
  </w:style>
  <w:style w:type="paragraph" w:styleId="Heading2">
    <w:name w:val="heading 2"/>
    <w:basedOn w:val="Normal"/>
    <w:next w:val="Normal"/>
    <w:link w:val="Heading2Char"/>
    <w:qFormat/>
    <w:rsid w:val="00A109E1"/>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A109E1"/>
    <w:pPr>
      <w:keepNext/>
      <w:spacing w:after="0" w:line="240" w:lineRule="auto"/>
      <w:outlineLvl w:val="2"/>
    </w:pPr>
    <w:rPr>
      <w:rFonts w:ascii="Arial" w:eastAsia="Times New Roman" w:hAnsi="Arial" w:cs="Times New Roman"/>
      <w:i/>
      <w:sz w:val="24"/>
      <w:szCs w:val="20"/>
    </w:rPr>
  </w:style>
  <w:style w:type="paragraph" w:styleId="Heading4">
    <w:name w:val="heading 4"/>
    <w:basedOn w:val="Normal"/>
    <w:next w:val="Normal"/>
    <w:link w:val="Heading4Char"/>
    <w:qFormat/>
    <w:rsid w:val="00A109E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109E1"/>
    <w:pPr>
      <w:keepNext/>
      <w:spacing w:after="0" w:line="240" w:lineRule="auto"/>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A109E1"/>
    <w:pPr>
      <w:keepNext/>
      <w:spacing w:after="0" w:line="240" w:lineRule="auto"/>
      <w:outlineLvl w:val="5"/>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9E1"/>
    <w:rPr>
      <w:rFonts w:ascii="Arial" w:eastAsia="Times New Roman" w:hAnsi="Arial" w:cs="Times New Roman"/>
      <w:sz w:val="24"/>
      <w:szCs w:val="20"/>
      <w:u w:val="single"/>
    </w:rPr>
  </w:style>
  <w:style w:type="character" w:customStyle="1" w:styleId="Heading2Char">
    <w:name w:val="Heading 2 Char"/>
    <w:basedOn w:val="DefaultParagraphFont"/>
    <w:link w:val="Heading2"/>
    <w:rsid w:val="00A109E1"/>
    <w:rPr>
      <w:rFonts w:ascii="Arial" w:eastAsia="Times New Roman" w:hAnsi="Arial" w:cs="Times New Roman"/>
      <w:b/>
      <w:sz w:val="24"/>
      <w:szCs w:val="20"/>
    </w:rPr>
  </w:style>
  <w:style w:type="character" w:customStyle="1" w:styleId="Heading3Char">
    <w:name w:val="Heading 3 Char"/>
    <w:basedOn w:val="DefaultParagraphFont"/>
    <w:link w:val="Heading3"/>
    <w:rsid w:val="00A109E1"/>
    <w:rPr>
      <w:rFonts w:ascii="Arial" w:eastAsia="Times New Roman" w:hAnsi="Arial" w:cs="Times New Roman"/>
      <w:i/>
      <w:sz w:val="24"/>
      <w:szCs w:val="20"/>
    </w:rPr>
  </w:style>
  <w:style w:type="character" w:customStyle="1" w:styleId="Heading4Char">
    <w:name w:val="Heading 4 Char"/>
    <w:basedOn w:val="DefaultParagraphFont"/>
    <w:link w:val="Heading4"/>
    <w:rsid w:val="00A109E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109E1"/>
    <w:rPr>
      <w:rFonts w:ascii="Arial" w:eastAsia="Times New Roman" w:hAnsi="Arial" w:cs="Times New Roman"/>
      <w:b/>
      <w:sz w:val="24"/>
      <w:szCs w:val="20"/>
    </w:rPr>
  </w:style>
  <w:style w:type="character" w:customStyle="1" w:styleId="Heading6Char">
    <w:name w:val="Heading 6 Char"/>
    <w:basedOn w:val="DefaultParagraphFont"/>
    <w:link w:val="Heading6"/>
    <w:rsid w:val="00A109E1"/>
    <w:rPr>
      <w:rFonts w:ascii="Arial" w:eastAsia="Times New Roman" w:hAnsi="Arial" w:cs="Times New Roman"/>
      <w:b/>
      <w:i/>
      <w:sz w:val="24"/>
      <w:szCs w:val="20"/>
    </w:rPr>
  </w:style>
  <w:style w:type="paragraph" w:styleId="ListParagraph">
    <w:name w:val="List Paragraph"/>
    <w:basedOn w:val="Normal"/>
    <w:uiPriority w:val="34"/>
    <w:qFormat/>
    <w:rsid w:val="00A109E1"/>
    <w:pPr>
      <w:ind w:left="720"/>
      <w:contextualSpacing/>
    </w:pPr>
  </w:style>
  <w:style w:type="paragraph" w:styleId="TOCHeading">
    <w:name w:val="TOC Heading"/>
    <w:basedOn w:val="Heading1"/>
    <w:next w:val="Normal"/>
    <w:uiPriority w:val="39"/>
    <w:unhideWhenUsed/>
    <w:qFormat/>
    <w:rsid w:val="00A109E1"/>
    <w:pPr>
      <w:keepLines/>
      <w:spacing w:before="240" w:line="259" w:lineRule="auto"/>
      <w:outlineLvl w:val="9"/>
    </w:pPr>
    <w:rPr>
      <w:rFonts w:asciiTheme="majorHAnsi" w:eastAsiaTheme="majorEastAsia" w:hAnsiTheme="majorHAnsi" w:cstheme="majorBidi"/>
      <w:color w:val="2F5496" w:themeColor="accent1" w:themeShade="BF"/>
      <w:sz w:val="32"/>
      <w:szCs w:val="32"/>
      <w:u w:val="none"/>
      <w:lang w:val="en-US"/>
    </w:rPr>
  </w:style>
  <w:style w:type="paragraph" w:styleId="Header">
    <w:name w:val="header"/>
    <w:basedOn w:val="Normal"/>
    <w:link w:val="HeaderChar"/>
    <w:uiPriority w:val="99"/>
    <w:unhideWhenUsed/>
    <w:rsid w:val="00CD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E28"/>
  </w:style>
  <w:style w:type="paragraph" w:styleId="Footer">
    <w:name w:val="footer"/>
    <w:basedOn w:val="Normal"/>
    <w:link w:val="FooterChar"/>
    <w:uiPriority w:val="99"/>
    <w:unhideWhenUsed/>
    <w:rsid w:val="00CD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E28"/>
  </w:style>
  <w:style w:type="character" w:styleId="Hyperlink">
    <w:name w:val="Hyperlink"/>
    <w:basedOn w:val="DefaultParagraphFont"/>
    <w:uiPriority w:val="99"/>
    <w:unhideWhenUsed/>
    <w:rsid w:val="0085057A"/>
    <w:rPr>
      <w:color w:val="0563C1" w:themeColor="hyperlink"/>
      <w:u w:val="single"/>
    </w:rPr>
  </w:style>
  <w:style w:type="character" w:styleId="UnresolvedMention">
    <w:name w:val="Unresolved Mention"/>
    <w:basedOn w:val="DefaultParagraphFont"/>
    <w:uiPriority w:val="99"/>
    <w:semiHidden/>
    <w:unhideWhenUsed/>
    <w:rsid w:val="0085057A"/>
    <w:rPr>
      <w:color w:val="605E5C"/>
      <w:shd w:val="clear" w:color="auto" w:fill="E1DFDD"/>
    </w:rPr>
  </w:style>
  <w:style w:type="table" w:styleId="TableGrid">
    <w:name w:val="Table Grid"/>
    <w:basedOn w:val="TableNormal"/>
    <w:rsid w:val="0085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841EA"/>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4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D2"/>
    <w:rPr>
      <w:rFonts w:ascii="Segoe UI" w:hAnsi="Segoe UI" w:cs="Segoe UI"/>
      <w:sz w:val="18"/>
      <w:szCs w:val="18"/>
    </w:rPr>
  </w:style>
  <w:style w:type="paragraph" w:styleId="BodyText">
    <w:name w:val="Body Text"/>
    <w:basedOn w:val="Normal"/>
    <w:link w:val="BodyTextChar"/>
    <w:uiPriority w:val="99"/>
    <w:semiHidden/>
    <w:unhideWhenUsed/>
    <w:rsid w:val="00176487"/>
    <w:pPr>
      <w:spacing w:after="120"/>
    </w:pPr>
  </w:style>
  <w:style w:type="character" w:customStyle="1" w:styleId="BodyTextChar">
    <w:name w:val="Body Text Char"/>
    <w:basedOn w:val="DefaultParagraphFont"/>
    <w:link w:val="BodyText"/>
    <w:uiPriority w:val="99"/>
    <w:semiHidden/>
    <w:rsid w:val="00176487"/>
  </w:style>
  <w:style w:type="paragraph" w:customStyle="1" w:styleId="Default">
    <w:name w:val="Default"/>
    <w:rsid w:val="00916D1B"/>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545C9F"/>
    <w:pPr>
      <w:spacing w:before="40" w:after="40" w:line="240" w:lineRule="auto"/>
    </w:pPr>
    <w:rPr>
      <w:rFonts w:ascii="Arial" w:eastAsia="Times New Roman" w:hAnsi="Arial" w:cs="Times New Roman"/>
      <w:b/>
    </w:rPr>
  </w:style>
  <w:style w:type="character" w:styleId="CommentReference">
    <w:name w:val="annotation reference"/>
    <w:basedOn w:val="DefaultParagraphFont"/>
    <w:uiPriority w:val="99"/>
    <w:semiHidden/>
    <w:unhideWhenUsed/>
    <w:rsid w:val="00F77411"/>
    <w:rPr>
      <w:sz w:val="16"/>
      <w:szCs w:val="16"/>
    </w:rPr>
  </w:style>
  <w:style w:type="paragraph" w:styleId="CommentText">
    <w:name w:val="annotation text"/>
    <w:basedOn w:val="Normal"/>
    <w:link w:val="CommentTextChar"/>
    <w:uiPriority w:val="99"/>
    <w:semiHidden/>
    <w:unhideWhenUsed/>
    <w:rsid w:val="00F77411"/>
    <w:pPr>
      <w:spacing w:after="24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F77411"/>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FC3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health.nhs.uk/service_description/thames-valley-forensic-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epc@oxfordhealth.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CBA7E13193DC48A7C2E8BD8A68AA7B" ma:contentTypeVersion="6" ma:contentTypeDescription="Create a new document." ma:contentTypeScope="" ma:versionID="6bbc0adcbc34384f48755dcf454bea21">
  <xsd:schema xmlns:xsd="http://www.w3.org/2001/XMLSchema" xmlns:xs="http://www.w3.org/2001/XMLSchema" xmlns:p="http://schemas.microsoft.com/office/2006/metadata/properties" xmlns:ns2="189ea8cd-f2e1-4195-9dab-6ebef770f84f" xmlns:ns3="3ba4d4bb-061e-43a3-a228-e84ebddfb40a" targetNamespace="http://schemas.microsoft.com/office/2006/metadata/properties" ma:root="true" ma:fieldsID="7bf7bb2b78ced372df2d5c96a1928cc4" ns2:_="" ns3:_="">
    <xsd:import namespace="189ea8cd-f2e1-4195-9dab-6ebef770f84f"/>
    <xsd:import namespace="3ba4d4bb-061e-43a3-a228-e84ebddfb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ea8cd-f2e1-4195-9dab-6ebef770f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4d4bb-061e-43a3-a228-e84ebddfb4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5B8CC-7DDA-4C23-B1C8-4184F4028611}">
  <ds:schemaRefs>
    <ds:schemaRef ds:uri="http://schemas.microsoft.com/sharepoint/v3/contenttype/forms"/>
  </ds:schemaRefs>
</ds:datastoreItem>
</file>

<file path=customXml/itemProps2.xml><?xml version="1.0" encoding="utf-8"?>
<ds:datastoreItem xmlns:ds="http://schemas.openxmlformats.org/officeDocument/2006/customXml" ds:itemID="{1916E027-CB66-4F25-94CD-FB5FABA9B160}">
  <ds:schemaRefs>
    <ds:schemaRef ds:uri="http://schemas.openxmlformats.org/officeDocument/2006/bibliography"/>
  </ds:schemaRefs>
</ds:datastoreItem>
</file>

<file path=customXml/itemProps3.xml><?xml version="1.0" encoding="utf-8"?>
<ds:datastoreItem xmlns:ds="http://schemas.openxmlformats.org/officeDocument/2006/customXml" ds:itemID="{20576C03-6D94-4389-BB4B-7A2D65952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B167EB-F50D-4428-B117-47E1113F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ea8cd-f2e1-4195-9dab-6ebef770f84f"/>
    <ds:schemaRef ds:uri="3ba4d4bb-061e-43a3-a228-e84ebddf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 Darren (RNU) Oxford Health</dc:creator>
  <cp:keywords/>
  <dc:description/>
  <cp:lastModifiedBy>Gawler Michele (RNU) Oxford Health</cp:lastModifiedBy>
  <cp:revision>2</cp:revision>
  <cp:lastPrinted>2021-05-27T01:56:00Z</cp:lastPrinted>
  <dcterms:created xsi:type="dcterms:W3CDTF">2022-12-12T11:58:00Z</dcterms:created>
  <dcterms:modified xsi:type="dcterms:W3CDTF">2022-12-12T11:58:00Z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0x01010074CBA7E13193DC48A7C2E8BD8A68AA7B</vt:lpwstr>
  </property>
</Properties>
</file>