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5B338" w14:textId="77777777" w:rsidR="00026922" w:rsidRDefault="00026922" w:rsidP="00747EED">
      <w:pPr>
        <w:pStyle w:val="Title"/>
        <w:jc w:val="center"/>
        <w:rPr>
          <w:rFonts w:ascii="Times New Roman" w:hAnsi="Times New Roman" w:cs="Times New Roman"/>
        </w:rPr>
      </w:pPr>
    </w:p>
    <w:p w14:paraId="03DB3049" w14:textId="77777777" w:rsidR="009D2D00" w:rsidRPr="001A44FD" w:rsidRDefault="009D2D00" w:rsidP="00747EED">
      <w:pPr>
        <w:pStyle w:val="Title"/>
        <w:jc w:val="center"/>
        <w:rPr>
          <w:rFonts w:ascii="Times New Roman" w:hAnsi="Times New Roman" w:cs="Times New Roman"/>
          <w:sz w:val="20"/>
          <w:szCs w:val="20"/>
        </w:rPr>
      </w:pPr>
    </w:p>
    <w:p w14:paraId="4E40FA10" w14:textId="391E1458" w:rsidR="00747EED" w:rsidRPr="0049157C" w:rsidRDefault="007565B6" w:rsidP="00BC7AE1">
      <w:pPr>
        <w:pStyle w:val="Title"/>
        <w:ind w:left="-567" w:right="-613"/>
        <w:jc w:val="center"/>
        <w:rPr>
          <w:rFonts w:ascii="Calibri" w:hAnsi="Calibri" w:cs="Calibri"/>
        </w:rPr>
      </w:pPr>
      <w:r w:rsidRPr="0049157C">
        <w:rPr>
          <w:rFonts w:ascii="Calibri" w:hAnsi="Calibri" w:cs="Calibri"/>
        </w:rPr>
        <w:t>Classroom Environment</w:t>
      </w:r>
    </w:p>
    <w:p w14:paraId="6B5A875B" w14:textId="77777777" w:rsidR="005140E3" w:rsidRPr="0049157C" w:rsidRDefault="005140E3" w:rsidP="00BC7AE1">
      <w:pPr>
        <w:ind w:left="-567" w:right="-613"/>
        <w:rPr>
          <w:rFonts w:ascii="Calibri" w:hAnsi="Calibri" w:cs="Calibri"/>
          <w:sz w:val="18"/>
          <w:szCs w:val="18"/>
        </w:rPr>
      </w:pPr>
    </w:p>
    <w:p w14:paraId="0EDD4988" w14:textId="011BB801" w:rsidR="00747EED" w:rsidRPr="00E451BF" w:rsidRDefault="006757A3" w:rsidP="00BC7AE1">
      <w:pPr>
        <w:pStyle w:val="Heading2"/>
        <w:ind w:left="-567" w:right="-613"/>
        <w:rPr>
          <w:rFonts w:ascii="Calibri" w:hAnsi="Calibri" w:cs="Calibri"/>
          <w:sz w:val="28"/>
          <w:szCs w:val="28"/>
        </w:rPr>
      </w:pPr>
      <w:r w:rsidRPr="00E451BF">
        <w:rPr>
          <w:rFonts w:ascii="Calibri" w:hAnsi="Calibri" w:cs="Calibri"/>
          <w:sz w:val="28"/>
          <w:szCs w:val="28"/>
        </w:rPr>
        <w:t>Areas to consider within a classroom:</w:t>
      </w:r>
    </w:p>
    <w:p w14:paraId="1874CA13" w14:textId="1ABFADE9" w:rsidR="004E5AD0" w:rsidRPr="0049157C" w:rsidRDefault="004E5AD0" w:rsidP="00BC7AE1">
      <w:pPr>
        <w:spacing w:after="0"/>
        <w:ind w:left="-567" w:right="-613"/>
        <w:rPr>
          <w:rFonts w:ascii="Calibri" w:hAnsi="Calibri" w:cs="Calibri"/>
          <w:sz w:val="24"/>
          <w:szCs w:val="24"/>
        </w:rPr>
      </w:pPr>
      <w:r w:rsidRPr="0049157C">
        <w:rPr>
          <w:rFonts w:ascii="Calibri" w:hAnsi="Calibri" w:cs="Calibri"/>
          <w:b/>
          <w:bCs/>
          <w:sz w:val="24"/>
          <w:szCs w:val="24"/>
        </w:rPr>
        <w:t>Physical setup</w:t>
      </w:r>
      <w:r w:rsidRPr="0049157C">
        <w:rPr>
          <w:rFonts w:ascii="Calibri" w:hAnsi="Calibri" w:cs="Calibri"/>
          <w:sz w:val="24"/>
          <w:szCs w:val="24"/>
        </w:rPr>
        <w:t xml:space="preserve"> – furniture, equipment, resources, seating plans  </w:t>
      </w:r>
    </w:p>
    <w:p w14:paraId="1A59A327" w14:textId="5378E95B" w:rsidR="007064BF" w:rsidRPr="0049157C" w:rsidRDefault="004E5AD0" w:rsidP="00BC7AE1">
      <w:pPr>
        <w:spacing w:after="0"/>
        <w:ind w:left="-567" w:right="-613"/>
        <w:rPr>
          <w:rFonts w:ascii="Calibri" w:hAnsi="Calibri" w:cs="Calibri"/>
          <w:sz w:val="24"/>
          <w:szCs w:val="24"/>
        </w:rPr>
      </w:pPr>
      <w:r w:rsidRPr="0049157C">
        <w:rPr>
          <w:rFonts w:ascii="Calibri" w:hAnsi="Calibri" w:cs="Calibri"/>
          <w:b/>
          <w:bCs/>
          <w:sz w:val="24"/>
          <w:szCs w:val="24"/>
        </w:rPr>
        <w:t>Overall atmosphere</w:t>
      </w:r>
      <w:r w:rsidRPr="0049157C">
        <w:rPr>
          <w:rFonts w:ascii="Calibri" w:hAnsi="Calibri" w:cs="Calibri"/>
          <w:sz w:val="24"/>
          <w:szCs w:val="24"/>
        </w:rPr>
        <w:t xml:space="preserve"> – noise levels, lighting, smells</w:t>
      </w:r>
    </w:p>
    <w:p w14:paraId="5556E6B4" w14:textId="77777777" w:rsidR="00747EED" w:rsidRPr="00E64A25" w:rsidRDefault="00747EED" w:rsidP="00E64A25">
      <w:pPr>
        <w:pStyle w:val="Subtitle"/>
        <w:spacing w:after="0"/>
        <w:ind w:left="-567" w:right="-613"/>
        <w:rPr>
          <w:rFonts w:ascii="Calibri" w:hAnsi="Calibri" w:cs="Calibri"/>
          <w:sz w:val="32"/>
          <w:szCs w:val="32"/>
        </w:rPr>
      </w:pPr>
    </w:p>
    <w:p w14:paraId="73436CCF" w14:textId="4C708213" w:rsidR="00747EED" w:rsidRPr="00E451BF" w:rsidRDefault="00112A23" w:rsidP="002C078D">
      <w:pPr>
        <w:pStyle w:val="Heading2"/>
        <w:spacing w:before="0"/>
        <w:ind w:left="-567" w:right="-613"/>
        <w:rPr>
          <w:rFonts w:ascii="Calibri" w:hAnsi="Calibri" w:cs="Calibri"/>
          <w:sz w:val="28"/>
          <w:szCs w:val="28"/>
        </w:rPr>
      </w:pPr>
      <w:r w:rsidRPr="00E451BF">
        <w:rPr>
          <w:rFonts w:ascii="Calibri" w:hAnsi="Calibri" w:cs="Calibri"/>
          <w:sz w:val="28"/>
          <w:szCs w:val="28"/>
        </w:rPr>
        <w:t>Why is the classroom environment important?</w:t>
      </w:r>
    </w:p>
    <w:p w14:paraId="20C01314" w14:textId="58CBEFC3" w:rsidR="00747EED" w:rsidRPr="0049157C" w:rsidRDefault="006362EE" w:rsidP="1DE26485">
      <w:pPr>
        <w:spacing w:after="0"/>
        <w:ind w:left="-567" w:right="-613"/>
        <w:rPr>
          <w:rFonts w:ascii="Calibri" w:hAnsi="Calibri" w:cs="Calibri"/>
          <w:sz w:val="24"/>
          <w:szCs w:val="24"/>
        </w:rPr>
      </w:pPr>
      <w:r w:rsidRPr="1DE26485">
        <w:rPr>
          <w:rFonts w:ascii="Calibri" w:hAnsi="Calibri" w:cs="Calibri"/>
          <w:sz w:val="24"/>
          <w:szCs w:val="24"/>
        </w:rPr>
        <w:t>The design of a classroom can impact students’ learning experience and ultimately their overall performance. Being able to adapt/create an environment around the needs of students can help reduce distraction, mitigate physical discomfort and promote better participation.</w:t>
      </w:r>
    </w:p>
    <w:p w14:paraId="2CE7654C" w14:textId="77777777" w:rsidR="00747EED" w:rsidRPr="00E64A25" w:rsidRDefault="00747EED" w:rsidP="00E64A25">
      <w:pPr>
        <w:pStyle w:val="Subtitle"/>
        <w:spacing w:after="0"/>
        <w:ind w:left="-567" w:right="-613"/>
        <w:rPr>
          <w:rFonts w:ascii="Calibri" w:hAnsi="Calibri" w:cs="Calibri"/>
          <w:sz w:val="32"/>
          <w:szCs w:val="32"/>
        </w:rPr>
      </w:pPr>
    </w:p>
    <w:p w14:paraId="0B0F0740" w14:textId="1C140714" w:rsidR="00747EED" w:rsidRPr="00E451BF" w:rsidRDefault="001A2435" w:rsidP="00E64A25">
      <w:pPr>
        <w:pStyle w:val="Heading2"/>
        <w:spacing w:before="0"/>
        <w:ind w:left="-567" w:right="-613"/>
        <w:rPr>
          <w:rFonts w:ascii="Calibri" w:hAnsi="Calibri" w:cs="Calibri"/>
          <w:sz w:val="28"/>
          <w:szCs w:val="28"/>
        </w:rPr>
      </w:pPr>
      <w:r w:rsidRPr="00E451BF">
        <w:rPr>
          <w:rFonts w:ascii="Calibri" w:hAnsi="Calibri" w:cs="Calibri"/>
          <w:sz w:val="28"/>
          <w:szCs w:val="28"/>
        </w:rPr>
        <w:t>Examples of ways to adapt the classroom environment</w:t>
      </w:r>
      <w:r w:rsidR="00F860BA" w:rsidRPr="00E451BF">
        <w:rPr>
          <w:rFonts w:ascii="Calibri" w:hAnsi="Calibri" w:cs="Calibri"/>
          <w:sz w:val="28"/>
          <w:szCs w:val="28"/>
        </w:rPr>
        <w:t>:</w:t>
      </w:r>
    </w:p>
    <w:p w14:paraId="414B7A0F" w14:textId="6BD676D0" w:rsidR="00AE6A18" w:rsidRPr="0049157C" w:rsidRDefault="00AE6A18" w:rsidP="00C0043C">
      <w:pPr>
        <w:pStyle w:val="ListParagraph"/>
        <w:numPr>
          <w:ilvl w:val="0"/>
          <w:numId w:val="3"/>
        </w:numPr>
        <w:spacing w:after="120" w:line="240" w:lineRule="auto"/>
        <w:ind w:left="-142" w:right="-612" w:hanging="210"/>
        <w:contextualSpacing w:val="0"/>
        <w:rPr>
          <w:rFonts w:ascii="Calibri" w:hAnsi="Calibri" w:cs="Calibri"/>
          <w:sz w:val="24"/>
          <w:szCs w:val="24"/>
        </w:rPr>
      </w:pPr>
      <w:r w:rsidRPr="1DE26485">
        <w:rPr>
          <w:rFonts w:ascii="Calibri" w:hAnsi="Calibri" w:cs="Calibri"/>
          <w:sz w:val="24"/>
          <w:szCs w:val="24"/>
        </w:rPr>
        <w:t>Promote students to sit with a comfortable and supported posture – feet on the floor, knees and hips positioned at 90-degree angle</w:t>
      </w:r>
      <w:r w:rsidR="001424E7" w:rsidRPr="1DE26485">
        <w:rPr>
          <w:rFonts w:ascii="Calibri" w:hAnsi="Calibri" w:cs="Calibri"/>
          <w:sz w:val="24"/>
          <w:szCs w:val="24"/>
        </w:rPr>
        <w:t xml:space="preserve">s; </w:t>
      </w:r>
      <w:r w:rsidRPr="1DE26485">
        <w:rPr>
          <w:rFonts w:ascii="Calibri" w:hAnsi="Calibri" w:cs="Calibri"/>
          <w:sz w:val="24"/>
          <w:szCs w:val="24"/>
        </w:rPr>
        <w:t xml:space="preserve">elbows resting on the table at a 90-degree angle. If possible, seek different furniture/equipment for students who </w:t>
      </w:r>
      <w:proofErr w:type="gramStart"/>
      <w:r w:rsidRPr="1DE26485">
        <w:rPr>
          <w:rFonts w:ascii="Calibri" w:hAnsi="Calibri" w:cs="Calibri"/>
          <w:sz w:val="24"/>
          <w:szCs w:val="24"/>
        </w:rPr>
        <w:t>experience difficulty</w:t>
      </w:r>
      <w:proofErr w:type="gramEnd"/>
      <w:r w:rsidRPr="1DE26485">
        <w:rPr>
          <w:rFonts w:ascii="Calibri" w:hAnsi="Calibri" w:cs="Calibri"/>
          <w:sz w:val="24"/>
          <w:szCs w:val="24"/>
        </w:rPr>
        <w:t xml:space="preserve"> with sitting, which in effect impacts their learning/engagement. </w:t>
      </w:r>
    </w:p>
    <w:p w14:paraId="07967A94" w14:textId="77777777" w:rsidR="00AE6A18" w:rsidRPr="0049157C" w:rsidRDefault="00AE6A18" w:rsidP="00C0043C">
      <w:pPr>
        <w:pStyle w:val="ListParagraph"/>
        <w:numPr>
          <w:ilvl w:val="0"/>
          <w:numId w:val="3"/>
        </w:numPr>
        <w:spacing w:after="120" w:line="240" w:lineRule="auto"/>
        <w:ind w:left="-142" w:right="-612" w:hanging="210"/>
        <w:contextualSpacing w:val="0"/>
        <w:rPr>
          <w:rFonts w:ascii="Calibri" w:hAnsi="Calibri" w:cs="Calibri"/>
          <w:sz w:val="24"/>
          <w:szCs w:val="24"/>
        </w:rPr>
      </w:pPr>
      <w:r w:rsidRPr="0049157C">
        <w:rPr>
          <w:rFonts w:ascii="Calibri" w:hAnsi="Calibri" w:cs="Calibri"/>
          <w:sz w:val="24"/>
          <w:szCs w:val="24"/>
        </w:rPr>
        <w:t>Students should be sat directly facing the teaching area where possible. For some students, you may want to consider seating them away from external distraction (windows/doors) and/or away from direct sunlight/bright areas of the room. Dimmable lightbulbs and/or blinds can be used to alter the lighting levels and glare from windows, to optimise the learning environment.</w:t>
      </w:r>
    </w:p>
    <w:p w14:paraId="32E92D2C" w14:textId="6CAEC195" w:rsidR="00AE6A18" w:rsidRPr="0049157C" w:rsidRDefault="00571086" w:rsidP="00C0043C">
      <w:pPr>
        <w:pStyle w:val="ListParagraph"/>
        <w:numPr>
          <w:ilvl w:val="0"/>
          <w:numId w:val="3"/>
        </w:numPr>
        <w:spacing w:after="120" w:line="240" w:lineRule="auto"/>
        <w:ind w:left="-142" w:right="-612" w:hanging="210"/>
        <w:contextualSpacing w:val="0"/>
        <w:rPr>
          <w:rFonts w:ascii="Calibri" w:hAnsi="Calibri" w:cs="Calibri"/>
          <w:sz w:val="24"/>
          <w:szCs w:val="24"/>
        </w:rPr>
      </w:pPr>
      <w:r w:rsidRPr="1DE26485">
        <w:rPr>
          <w:rFonts w:ascii="Calibri" w:hAnsi="Calibri" w:cs="Calibri"/>
          <w:sz w:val="24"/>
          <w:szCs w:val="24"/>
        </w:rPr>
        <w:t xml:space="preserve">Soft furnishings </w:t>
      </w:r>
      <w:r w:rsidR="00AE6A18" w:rsidRPr="1DE26485">
        <w:rPr>
          <w:rFonts w:ascii="Calibri" w:hAnsi="Calibri" w:cs="Calibri"/>
          <w:sz w:val="24"/>
          <w:szCs w:val="24"/>
        </w:rPr>
        <w:t xml:space="preserve">can improve the acoustics and decrease the echo and loudness of noise. Be aware of low-level background noises, like a ticking clock, fan or computer machines, and change/remove these where possible. Classical music, where appropriate, might soften the auditory environment. </w:t>
      </w:r>
    </w:p>
    <w:p w14:paraId="3676CDAC" w14:textId="77777777" w:rsidR="00AE6A18" w:rsidRPr="0049157C" w:rsidRDefault="00AE6A18" w:rsidP="00C0043C">
      <w:pPr>
        <w:pStyle w:val="ListParagraph"/>
        <w:numPr>
          <w:ilvl w:val="0"/>
          <w:numId w:val="3"/>
        </w:numPr>
        <w:spacing w:after="120" w:line="240" w:lineRule="auto"/>
        <w:ind w:left="-142" w:right="-612" w:hanging="210"/>
        <w:contextualSpacing w:val="0"/>
        <w:rPr>
          <w:rFonts w:ascii="Calibri" w:hAnsi="Calibri" w:cs="Calibri"/>
          <w:sz w:val="24"/>
          <w:szCs w:val="24"/>
        </w:rPr>
      </w:pPr>
      <w:r w:rsidRPr="1DE26485">
        <w:rPr>
          <w:rFonts w:ascii="Calibri" w:hAnsi="Calibri" w:cs="Calibri"/>
          <w:sz w:val="24"/>
          <w:szCs w:val="24"/>
        </w:rPr>
        <w:t>Decorate using a monochromatic colour scheme and allow for blank or neutral spaces. Blue, violet and green hues are typically calming whereas bright colours are generally alerting and should be used sparingly to draw attention to important details or areas of information.</w:t>
      </w:r>
    </w:p>
    <w:p w14:paraId="06BD0D6A" w14:textId="756E49E5" w:rsidR="00AE6A18" w:rsidRPr="0049157C" w:rsidRDefault="00AE6A18" w:rsidP="00C0043C">
      <w:pPr>
        <w:pStyle w:val="ListParagraph"/>
        <w:numPr>
          <w:ilvl w:val="0"/>
          <w:numId w:val="3"/>
        </w:numPr>
        <w:spacing w:after="120" w:line="240" w:lineRule="auto"/>
        <w:ind w:left="-142" w:right="-612" w:hanging="210"/>
        <w:contextualSpacing w:val="0"/>
        <w:rPr>
          <w:rFonts w:ascii="Calibri" w:hAnsi="Calibri" w:cs="Calibri"/>
          <w:sz w:val="24"/>
          <w:szCs w:val="24"/>
        </w:rPr>
      </w:pPr>
      <w:r w:rsidRPr="1DE26485">
        <w:rPr>
          <w:rFonts w:ascii="Calibri" w:hAnsi="Calibri" w:cs="Calibri"/>
          <w:sz w:val="24"/>
          <w:szCs w:val="24"/>
        </w:rPr>
        <w:t>Avoid fluorescent bulbs if possible and limit visual distractions</w:t>
      </w:r>
      <w:r w:rsidR="001762A8" w:rsidRPr="1DE26485">
        <w:rPr>
          <w:rFonts w:ascii="Calibri" w:hAnsi="Calibri" w:cs="Calibri"/>
          <w:sz w:val="24"/>
          <w:szCs w:val="24"/>
        </w:rPr>
        <w:t>. R</w:t>
      </w:r>
      <w:r w:rsidRPr="1DE26485">
        <w:rPr>
          <w:rFonts w:ascii="Calibri" w:hAnsi="Calibri" w:cs="Calibri"/>
          <w:sz w:val="24"/>
          <w:szCs w:val="24"/>
        </w:rPr>
        <w:t xml:space="preserve">emove clutter (including information on ‘overkill’ bulletin boards), secure pictures/resources to walls so they don’t flutter, consider how the lightning may bounce off/reflect against different materials. </w:t>
      </w:r>
    </w:p>
    <w:p w14:paraId="10B7D30C" w14:textId="0F9AD9C5" w:rsidR="00AB08BF" w:rsidRPr="0049157C" w:rsidRDefault="00D94B4B" w:rsidP="00C0043C">
      <w:pPr>
        <w:pStyle w:val="ListParagraph"/>
        <w:numPr>
          <w:ilvl w:val="0"/>
          <w:numId w:val="3"/>
        </w:numPr>
        <w:spacing w:after="120" w:line="240" w:lineRule="auto"/>
        <w:ind w:left="-142" w:right="-612" w:hanging="210"/>
        <w:contextualSpacing w:val="0"/>
        <w:rPr>
          <w:rFonts w:ascii="Calibri" w:hAnsi="Calibri" w:cs="Calibri"/>
          <w:sz w:val="24"/>
          <w:szCs w:val="24"/>
        </w:rPr>
      </w:pPr>
      <w:r w:rsidRPr="0049157C">
        <w:rPr>
          <w:rFonts w:ascii="Calibri" w:hAnsi="Calibri" w:cs="Calibri"/>
          <w:sz w:val="24"/>
          <w:szCs w:val="24"/>
        </w:rPr>
        <w:t>Group work can be daunting and create a sensory overload environment. Be sensitive in how students are grouped to enable social interaction in a secure environment and where applicable, consider access to a low stimulation workspace where young people can go to complete work.</w:t>
      </w:r>
    </w:p>
    <w:p w14:paraId="1DB84B64" w14:textId="77777777" w:rsidR="00AE6A18" w:rsidRPr="0049157C" w:rsidRDefault="00AE6A18" w:rsidP="00C0043C">
      <w:pPr>
        <w:pStyle w:val="ListParagraph"/>
        <w:numPr>
          <w:ilvl w:val="0"/>
          <w:numId w:val="3"/>
        </w:numPr>
        <w:spacing w:after="120" w:line="240" w:lineRule="auto"/>
        <w:ind w:left="-142" w:right="-613"/>
        <w:contextualSpacing w:val="0"/>
        <w:rPr>
          <w:rFonts w:ascii="Calibri" w:hAnsi="Calibri" w:cs="Calibri"/>
          <w:sz w:val="24"/>
          <w:szCs w:val="24"/>
        </w:rPr>
      </w:pPr>
      <w:r w:rsidRPr="0049157C">
        <w:rPr>
          <w:rFonts w:ascii="Calibri" w:hAnsi="Calibri" w:cs="Calibri"/>
          <w:sz w:val="24"/>
          <w:szCs w:val="24"/>
        </w:rPr>
        <w:t xml:space="preserve">Create distraction-free/quiet areas where students can go if necessary. </w:t>
      </w:r>
    </w:p>
    <w:p w14:paraId="521FB7CE" w14:textId="4230F16D" w:rsidR="00747EED" w:rsidRPr="0049157C" w:rsidRDefault="00747EED" w:rsidP="00542621">
      <w:pPr>
        <w:pStyle w:val="ListParagraph"/>
        <w:ind w:left="-567" w:right="-613"/>
        <w:contextualSpacing w:val="0"/>
        <w:rPr>
          <w:rFonts w:ascii="Calibri" w:hAnsi="Calibri" w:cs="Calibri"/>
          <w:sz w:val="24"/>
          <w:szCs w:val="24"/>
        </w:rPr>
      </w:pPr>
    </w:p>
    <w:p w14:paraId="5B029700" w14:textId="77777777" w:rsidR="00C646F7" w:rsidRPr="0049157C" w:rsidRDefault="00C646F7" w:rsidP="00542621">
      <w:pPr>
        <w:pStyle w:val="ListParagraph"/>
        <w:ind w:left="-567" w:right="-613"/>
        <w:contextualSpacing w:val="0"/>
        <w:rPr>
          <w:rFonts w:ascii="Calibri" w:hAnsi="Calibri" w:cs="Calibri"/>
          <w:sz w:val="24"/>
          <w:szCs w:val="24"/>
        </w:rPr>
      </w:pPr>
    </w:p>
    <w:p w14:paraId="32505874" w14:textId="77777777" w:rsidR="00C646F7" w:rsidRDefault="00C646F7" w:rsidP="00234A05">
      <w:pPr>
        <w:ind w:right="-613"/>
        <w:rPr>
          <w:rFonts w:ascii="Calibri" w:hAnsi="Calibri" w:cs="Calibri"/>
          <w:sz w:val="24"/>
          <w:szCs w:val="24"/>
        </w:rPr>
      </w:pPr>
    </w:p>
    <w:p w14:paraId="6AF356EA" w14:textId="77777777" w:rsidR="00AE775C" w:rsidRPr="0049157C" w:rsidRDefault="00AE775C" w:rsidP="00234A05">
      <w:pPr>
        <w:ind w:right="-613"/>
        <w:rPr>
          <w:rFonts w:ascii="Calibri" w:hAnsi="Calibri" w:cs="Calibri"/>
          <w:sz w:val="24"/>
          <w:szCs w:val="24"/>
        </w:rPr>
      </w:pPr>
    </w:p>
    <w:p w14:paraId="1574EC81" w14:textId="79CE0C1E" w:rsidR="00C526B4" w:rsidRPr="00FF0ADE" w:rsidRDefault="004E3540" w:rsidP="00C526B4">
      <w:pPr>
        <w:pStyle w:val="Heading2"/>
        <w:ind w:left="-567"/>
        <w:rPr>
          <w:rFonts w:ascii="Calibri" w:hAnsi="Calibri" w:cs="Calibri"/>
          <w:sz w:val="28"/>
          <w:szCs w:val="28"/>
        </w:rPr>
      </w:pPr>
      <w:r w:rsidRPr="00FF0ADE">
        <w:rPr>
          <w:rFonts w:ascii="Calibri" w:hAnsi="Calibri" w:cs="Calibri"/>
          <w:sz w:val="28"/>
          <w:szCs w:val="28"/>
        </w:rPr>
        <w:t>Other strategies/things to consider:</w:t>
      </w:r>
    </w:p>
    <w:p w14:paraId="5DA2E66A" w14:textId="77777777" w:rsidR="00DE41E3" w:rsidRPr="0049157C" w:rsidRDefault="00DE41E3" w:rsidP="00E64A25">
      <w:pPr>
        <w:pStyle w:val="ListParagraph"/>
        <w:numPr>
          <w:ilvl w:val="0"/>
          <w:numId w:val="4"/>
        </w:numPr>
        <w:spacing w:after="120" w:line="240" w:lineRule="auto"/>
        <w:ind w:left="-142" w:hanging="210"/>
        <w:contextualSpacing w:val="0"/>
        <w:rPr>
          <w:rFonts w:ascii="Calibri" w:hAnsi="Calibri" w:cs="Calibri"/>
          <w:sz w:val="24"/>
          <w:szCs w:val="24"/>
        </w:rPr>
      </w:pPr>
      <w:r w:rsidRPr="0049157C">
        <w:rPr>
          <w:rFonts w:ascii="Calibri" w:hAnsi="Calibri" w:cs="Calibri"/>
          <w:sz w:val="24"/>
          <w:szCs w:val="24"/>
        </w:rPr>
        <w:t xml:space="preserve">Chewing gum, sucking on a sports water-bottle, eating sour sweets and crunchy or chewy foods can help increase concentration for some people. Fidget toys and squeezable objects can also help people regulate themselves against external stimuli. </w:t>
      </w:r>
    </w:p>
    <w:p w14:paraId="4D6E6B8A" w14:textId="77777777" w:rsidR="00DE41E3" w:rsidRPr="0049157C" w:rsidRDefault="00DE41E3" w:rsidP="00E64A25">
      <w:pPr>
        <w:pStyle w:val="ListParagraph"/>
        <w:numPr>
          <w:ilvl w:val="0"/>
          <w:numId w:val="4"/>
        </w:numPr>
        <w:spacing w:after="120" w:line="240" w:lineRule="auto"/>
        <w:ind w:left="-142" w:hanging="210"/>
        <w:contextualSpacing w:val="0"/>
        <w:rPr>
          <w:rFonts w:ascii="Calibri" w:hAnsi="Calibri" w:cs="Calibri"/>
          <w:sz w:val="24"/>
          <w:szCs w:val="24"/>
        </w:rPr>
      </w:pPr>
      <w:r w:rsidRPr="0049157C">
        <w:rPr>
          <w:rFonts w:ascii="Calibri" w:hAnsi="Calibri" w:cs="Calibri"/>
          <w:sz w:val="24"/>
          <w:szCs w:val="24"/>
        </w:rPr>
        <w:t xml:space="preserve">Weighted items such as a “lap buddy” or beanbag provide deep pressure input that re-enforces body awareness and may have a calming effect. </w:t>
      </w:r>
    </w:p>
    <w:p w14:paraId="202070B7" w14:textId="77777777" w:rsidR="00DE41E3" w:rsidRPr="0049157C" w:rsidRDefault="00DE41E3" w:rsidP="1DE26485">
      <w:pPr>
        <w:pStyle w:val="ListParagraph"/>
        <w:numPr>
          <w:ilvl w:val="0"/>
          <w:numId w:val="4"/>
        </w:numPr>
        <w:spacing w:after="0" w:line="240" w:lineRule="auto"/>
        <w:ind w:left="-142"/>
        <w:rPr>
          <w:rFonts w:ascii="Calibri" w:hAnsi="Calibri" w:cs="Calibri"/>
          <w:sz w:val="24"/>
          <w:szCs w:val="24"/>
        </w:rPr>
      </w:pPr>
      <w:r w:rsidRPr="1DE26485">
        <w:rPr>
          <w:rFonts w:ascii="Calibri" w:hAnsi="Calibri" w:cs="Calibri"/>
          <w:sz w:val="24"/>
          <w:szCs w:val="24"/>
        </w:rPr>
        <w:t xml:space="preserve">Regular movement breaks and allowing students to change positions when working can help their organisation and attention level. This could be incorporated with/followed by heavy work activity, such as handing out resources or moving chairs, to help students achieve a calm/alert state. Additionally, some students may benefit from sitting on a </w:t>
      </w:r>
      <w:proofErr w:type="spellStart"/>
      <w:r w:rsidRPr="1DE26485">
        <w:rPr>
          <w:rFonts w:ascii="Calibri" w:hAnsi="Calibri" w:cs="Calibri"/>
          <w:sz w:val="24"/>
          <w:szCs w:val="24"/>
        </w:rPr>
        <w:t>Movein’sit</w:t>
      </w:r>
      <w:proofErr w:type="spellEnd"/>
      <w:r w:rsidRPr="1DE26485">
        <w:rPr>
          <w:rFonts w:ascii="Calibri" w:hAnsi="Calibri" w:cs="Calibri"/>
          <w:sz w:val="24"/>
          <w:szCs w:val="24"/>
        </w:rPr>
        <w:t xml:space="preserve"> cushion due to the dynamic movement and feedback it offers. </w:t>
      </w:r>
    </w:p>
    <w:p w14:paraId="3B293163" w14:textId="77777777" w:rsidR="00C526B4" w:rsidRPr="0049157C" w:rsidRDefault="00C526B4" w:rsidP="00E64A25">
      <w:pPr>
        <w:pStyle w:val="ListParagraph"/>
        <w:spacing w:after="0" w:line="240" w:lineRule="auto"/>
        <w:ind w:left="-142"/>
        <w:rPr>
          <w:rFonts w:ascii="Calibri" w:hAnsi="Calibri" w:cs="Calibri"/>
        </w:rPr>
      </w:pPr>
    </w:p>
    <w:sectPr w:rsidR="00C526B4" w:rsidRPr="0049157C" w:rsidSect="00C646F7">
      <w:headerReference w:type="default" r:id="rId10"/>
      <w:footerReference w:type="default" r:id="rId11"/>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47DC4" w14:textId="77777777" w:rsidR="00B30D19" w:rsidRDefault="00B30D19" w:rsidP="00B30D19">
      <w:pPr>
        <w:spacing w:after="0" w:line="240" w:lineRule="auto"/>
      </w:pPr>
      <w:r>
        <w:separator/>
      </w:r>
    </w:p>
  </w:endnote>
  <w:endnote w:type="continuationSeparator" w:id="0">
    <w:p w14:paraId="6C45E246" w14:textId="77777777" w:rsidR="00B30D19" w:rsidRDefault="00B30D19" w:rsidP="00B3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659682"/>
      <w:docPartObj>
        <w:docPartGallery w:val="Page Numbers (Bottom of Page)"/>
        <w:docPartUnique/>
      </w:docPartObj>
    </w:sdtPr>
    <w:sdtEndPr/>
    <w:sdtContent>
      <w:sdt>
        <w:sdtPr>
          <w:id w:val="-1769616900"/>
          <w:docPartObj>
            <w:docPartGallery w:val="Page Numbers (Top of Page)"/>
            <w:docPartUnique/>
          </w:docPartObj>
        </w:sdtPr>
        <w:sdtEndPr/>
        <w:sdtContent>
          <w:p w14:paraId="64083911" w14:textId="251C99D6" w:rsidR="00EC55FE" w:rsidRDefault="00EC55F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DB5B59" w14:textId="77777777" w:rsidR="00EC55FE" w:rsidRDefault="00EC5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00521" w14:textId="77777777" w:rsidR="00B30D19" w:rsidRDefault="00B30D19" w:rsidP="00B30D19">
      <w:pPr>
        <w:spacing w:after="0" w:line="240" w:lineRule="auto"/>
      </w:pPr>
      <w:r>
        <w:separator/>
      </w:r>
    </w:p>
  </w:footnote>
  <w:footnote w:type="continuationSeparator" w:id="0">
    <w:p w14:paraId="40C83BC0" w14:textId="77777777" w:rsidR="00B30D19" w:rsidRDefault="00B30D19" w:rsidP="00B30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3C3EB" w14:textId="7BBB0D1F" w:rsidR="00B30D19" w:rsidRDefault="00026922">
    <w:pPr>
      <w:pStyle w:val="Header"/>
    </w:pPr>
    <w:r w:rsidRPr="00026922">
      <w:rPr>
        <w:noProof/>
      </w:rPr>
      <w:drawing>
        <wp:anchor distT="0" distB="0" distL="114300" distR="114300" simplePos="0" relativeHeight="251662336" behindDoc="0" locked="0" layoutInCell="1" allowOverlap="1" wp14:anchorId="51F35F70" wp14:editId="5631BCAC">
          <wp:simplePos x="0" y="0"/>
          <wp:positionH relativeFrom="column">
            <wp:posOffset>4556760</wp:posOffset>
          </wp:positionH>
          <wp:positionV relativeFrom="paragraph">
            <wp:posOffset>-274320</wp:posOffset>
          </wp:positionV>
          <wp:extent cx="1851660" cy="967740"/>
          <wp:effectExtent l="0" t="0" r="0" b="3810"/>
          <wp:wrapSquare wrapText="bothSides"/>
          <wp:docPr id="16524196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34922" name="Picture 1"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l="10000" t="18824" b="6470"/>
                  <a:stretch/>
                </pic:blipFill>
                <pic:spPr bwMode="auto">
                  <a:xfrm>
                    <a:off x="0" y="0"/>
                    <a:ext cx="1851660" cy="967740"/>
                  </a:xfrm>
                  <a:prstGeom prst="rect">
                    <a:avLst/>
                  </a:prstGeom>
                  <a:ln>
                    <a:noFill/>
                  </a:ln>
                  <a:extLst>
                    <a:ext uri="{53640926-AAD7-44D8-BBD7-CCE9431645EC}">
                      <a14:shadowObscured xmlns:a14="http://schemas.microsoft.com/office/drawing/2010/main"/>
                    </a:ext>
                  </a:extLst>
                </pic:spPr>
              </pic:pic>
            </a:graphicData>
          </a:graphic>
        </wp:anchor>
      </w:drawing>
    </w:r>
    <w:r w:rsidR="008A4123" w:rsidRPr="00B30D19">
      <w:rPr>
        <w:noProof/>
      </w:rPr>
      <w:drawing>
        <wp:anchor distT="0" distB="0" distL="114300" distR="114300" simplePos="0" relativeHeight="251660288" behindDoc="0" locked="0" layoutInCell="1" allowOverlap="1" wp14:anchorId="1104B780" wp14:editId="29E43FCC">
          <wp:simplePos x="0" y="0"/>
          <wp:positionH relativeFrom="column">
            <wp:posOffset>624840</wp:posOffset>
          </wp:positionH>
          <wp:positionV relativeFrom="paragraph">
            <wp:posOffset>144780</wp:posOffset>
          </wp:positionV>
          <wp:extent cx="1836420" cy="436880"/>
          <wp:effectExtent l="0" t="0" r="0" b="1270"/>
          <wp:wrapSquare wrapText="bothSides"/>
          <wp:docPr id="628217436"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030585" name="Picture 1" descr="A blue sign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36420" cy="436880"/>
                  </a:xfrm>
                  <a:prstGeom prst="rect">
                    <a:avLst/>
                  </a:prstGeom>
                </pic:spPr>
              </pic:pic>
            </a:graphicData>
          </a:graphic>
          <wp14:sizeRelH relativeFrom="margin">
            <wp14:pctWidth>0</wp14:pctWidth>
          </wp14:sizeRelH>
          <wp14:sizeRelV relativeFrom="margin">
            <wp14:pctHeight>0</wp14:pctHeight>
          </wp14:sizeRelV>
        </wp:anchor>
      </w:drawing>
    </w:r>
    <w:r w:rsidR="008A4123">
      <w:rPr>
        <w:noProof/>
      </w:rPr>
      <w:drawing>
        <wp:anchor distT="0" distB="0" distL="114300" distR="114300" simplePos="0" relativeHeight="251661312" behindDoc="0" locked="0" layoutInCell="1" allowOverlap="1" wp14:anchorId="38AE65A7" wp14:editId="01B8C0FB">
          <wp:simplePos x="0" y="0"/>
          <wp:positionH relativeFrom="column">
            <wp:posOffset>-647700</wp:posOffset>
          </wp:positionH>
          <wp:positionV relativeFrom="paragraph">
            <wp:posOffset>-231775</wp:posOffset>
          </wp:positionV>
          <wp:extent cx="1135380" cy="817880"/>
          <wp:effectExtent l="0" t="0" r="7620" b="0"/>
          <wp:wrapSquare wrapText="bothSides"/>
          <wp:docPr id="16840683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t="1" r="74876" b="-9560"/>
                  <a:stretch/>
                </pic:blipFill>
                <pic:spPr bwMode="auto">
                  <a:xfrm>
                    <a:off x="0" y="0"/>
                    <a:ext cx="1135380" cy="817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4123">
      <w:rPr>
        <w:noProof/>
      </w:rPr>
      <w:drawing>
        <wp:anchor distT="0" distB="0" distL="114300" distR="114300" simplePos="0" relativeHeight="251660799" behindDoc="0" locked="0" layoutInCell="1" allowOverlap="1" wp14:anchorId="4C0C8658" wp14:editId="4EA73392">
          <wp:simplePos x="0" y="0"/>
          <wp:positionH relativeFrom="column">
            <wp:posOffset>489585</wp:posOffset>
          </wp:positionH>
          <wp:positionV relativeFrom="paragraph">
            <wp:posOffset>-228600</wp:posOffset>
          </wp:positionV>
          <wp:extent cx="3053080" cy="320040"/>
          <wp:effectExtent l="0" t="0" r="0" b="3810"/>
          <wp:wrapSquare wrapText="bothSides"/>
          <wp:docPr id="496114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28035" t="35625" r="3071" b="24518"/>
                  <a:stretch/>
                </pic:blipFill>
                <pic:spPr bwMode="auto">
                  <a:xfrm>
                    <a:off x="0" y="0"/>
                    <a:ext cx="3053080" cy="320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56ED"/>
    <w:multiLevelType w:val="hybridMultilevel"/>
    <w:tmpl w:val="8520C34C"/>
    <w:lvl w:ilvl="0" w:tplc="B516BC8A">
      <w:start w:val="1"/>
      <w:numFmt w:val="bullet"/>
      <w:lvlText w:val=""/>
      <w:lvlJc w:val="left"/>
      <w:pPr>
        <w:ind w:left="349" w:hanging="207"/>
      </w:pPr>
      <w:rPr>
        <w:rFonts w:ascii="Symbol" w:hAnsi="Symbol" w:hint="default"/>
        <w:sz w:val="20"/>
        <w:szCs w:val="2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67126FEE"/>
    <w:multiLevelType w:val="hybridMultilevel"/>
    <w:tmpl w:val="769A615A"/>
    <w:lvl w:ilvl="0" w:tplc="B516BC8A">
      <w:start w:val="1"/>
      <w:numFmt w:val="bullet"/>
      <w:lvlText w:val=""/>
      <w:lvlJc w:val="left"/>
      <w:pPr>
        <w:ind w:left="-425" w:hanging="207"/>
      </w:pPr>
      <w:rPr>
        <w:rFonts w:ascii="Symbol" w:hAnsi="Symbol" w:hint="default"/>
        <w:sz w:val="20"/>
        <w:szCs w:val="20"/>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2" w15:restartNumberingAfterBreak="0">
    <w:nsid w:val="7967241A"/>
    <w:multiLevelType w:val="hybridMultilevel"/>
    <w:tmpl w:val="4FF6117A"/>
    <w:lvl w:ilvl="0" w:tplc="B516BC8A">
      <w:start w:val="1"/>
      <w:numFmt w:val="bullet"/>
      <w:lvlText w:val=""/>
      <w:lvlJc w:val="left"/>
      <w:pPr>
        <w:ind w:left="349" w:hanging="207"/>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220C8E"/>
    <w:multiLevelType w:val="hybridMultilevel"/>
    <w:tmpl w:val="8B8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762538">
    <w:abstractNumId w:val="3"/>
  </w:num>
  <w:num w:numId="2" w16cid:durableId="738987995">
    <w:abstractNumId w:val="0"/>
  </w:num>
  <w:num w:numId="3" w16cid:durableId="388111517">
    <w:abstractNumId w:val="1"/>
  </w:num>
  <w:num w:numId="4" w16cid:durableId="2003849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ED"/>
    <w:rsid w:val="000172DF"/>
    <w:rsid w:val="00026922"/>
    <w:rsid w:val="00112A23"/>
    <w:rsid w:val="00136E35"/>
    <w:rsid w:val="001424E7"/>
    <w:rsid w:val="00165C56"/>
    <w:rsid w:val="001762A8"/>
    <w:rsid w:val="001A2435"/>
    <w:rsid w:val="001A44FD"/>
    <w:rsid w:val="00234A05"/>
    <w:rsid w:val="002C078D"/>
    <w:rsid w:val="002E2FDB"/>
    <w:rsid w:val="00310082"/>
    <w:rsid w:val="0049157C"/>
    <w:rsid w:val="004E3540"/>
    <w:rsid w:val="004E5AD0"/>
    <w:rsid w:val="005000C0"/>
    <w:rsid w:val="005140E3"/>
    <w:rsid w:val="00542621"/>
    <w:rsid w:val="00571086"/>
    <w:rsid w:val="005B33E6"/>
    <w:rsid w:val="006362EE"/>
    <w:rsid w:val="006757A3"/>
    <w:rsid w:val="007064BF"/>
    <w:rsid w:val="00747EED"/>
    <w:rsid w:val="007565B6"/>
    <w:rsid w:val="0077057A"/>
    <w:rsid w:val="00805EC8"/>
    <w:rsid w:val="008A4123"/>
    <w:rsid w:val="009D2D00"/>
    <w:rsid w:val="00A4589F"/>
    <w:rsid w:val="00AB08BF"/>
    <w:rsid w:val="00AE6A18"/>
    <w:rsid w:val="00AE775C"/>
    <w:rsid w:val="00B30D19"/>
    <w:rsid w:val="00BC7AE1"/>
    <w:rsid w:val="00BF4D4A"/>
    <w:rsid w:val="00C0043C"/>
    <w:rsid w:val="00C42F3F"/>
    <w:rsid w:val="00C526B4"/>
    <w:rsid w:val="00C646F7"/>
    <w:rsid w:val="00D42879"/>
    <w:rsid w:val="00D94B4B"/>
    <w:rsid w:val="00DE41E3"/>
    <w:rsid w:val="00E44AAF"/>
    <w:rsid w:val="00E451BF"/>
    <w:rsid w:val="00E64A25"/>
    <w:rsid w:val="00EC55FE"/>
    <w:rsid w:val="00ED3B64"/>
    <w:rsid w:val="00F860BA"/>
    <w:rsid w:val="00F97504"/>
    <w:rsid w:val="00FF0ADE"/>
    <w:rsid w:val="1DE26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D5DA20"/>
  <w15:chartTrackingRefBased/>
  <w15:docId w15:val="{DBE7D0AC-1EBC-4E16-9FFD-B0EA5632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E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47E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7E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E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7E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7E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E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E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E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47E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7E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E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7E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7E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E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E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EED"/>
    <w:rPr>
      <w:rFonts w:eastAsiaTheme="majorEastAsia" w:cstheme="majorBidi"/>
      <w:color w:val="272727" w:themeColor="text1" w:themeTint="D8"/>
    </w:rPr>
  </w:style>
  <w:style w:type="paragraph" w:styleId="Title">
    <w:name w:val="Title"/>
    <w:basedOn w:val="Normal"/>
    <w:next w:val="Normal"/>
    <w:link w:val="TitleChar"/>
    <w:uiPriority w:val="10"/>
    <w:qFormat/>
    <w:rsid w:val="00747E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E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E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E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EED"/>
    <w:pPr>
      <w:spacing w:before="160"/>
      <w:jc w:val="center"/>
    </w:pPr>
    <w:rPr>
      <w:i/>
      <w:iCs/>
      <w:color w:val="404040" w:themeColor="text1" w:themeTint="BF"/>
    </w:rPr>
  </w:style>
  <w:style w:type="character" w:customStyle="1" w:styleId="QuoteChar">
    <w:name w:val="Quote Char"/>
    <w:basedOn w:val="DefaultParagraphFont"/>
    <w:link w:val="Quote"/>
    <w:uiPriority w:val="29"/>
    <w:rsid w:val="00747EED"/>
    <w:rPr>
      <w:i/>
      <w:iCs/>
      <w:color w:val="404040" w:themeColor="text1" w:themeTint="BF"/>
    </w:rPr>
  </w:style>
  <w:style w:type="paragraph" w:styleId="ListParagraph">
    <w:name w:val="List Paragraph"/>
    <w:basedOn w:val="Normal"/>
    <w:uiPriority w:val="34"/>
    <w:qFormat/>
    <w:rsid w:val="00747EED"/>
    <w:pPr>
      <w:ind w:left="720"/>
      <w:contextualSpacing/>
    </w:pPr>
  </w:style>
  <w:style w:type="character" w:styleId="IntenseEmphasis">
    <w:name w:val="Intense Emphasis"/>
    <w:basedOn w:val="DefaultParagraphFont"/>
    <w:uiPriority w:val="21"/>
    <w:qFormat/>
    <w:rsid w:val="00747EED"/>
    <w:rPr>
      <w:i/>
      <w:iCs/>
      <w:color w:val="0F4761" w:themeColor="accent1" w:themeShade="BF"/>
    </w:rPr>
  </w:style>
  <w:style w:type="paragraph" w:styleId="IntenseQuote">
    <w:name w:val="Intense Quote"/>
    <w:basedOn w:val="Normal"/>
    <w:next w:val="Normal"/>
    <w:link w:val="IntenseQuoteChar"/>
    <w:uiPriority w:val="30"/>
    <w:qFormat/>
    <w:rsid w:val="00747E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EED"/>
    <w:rPr>
      <w:i/>
      <w:iCs/>
      <w:color w:val="0F4761" w:themeColor="accent1" w:themeShade="BF"/>
    </w:rPr>
  </w:style>
  <w:style w:type="character" w:styleId="IntenseReference">
    <w:name w:val="Intense Reference"/>
    <w:basedOn w:val="DefaultParagraphFont"/>
    <w:uiPriority w:val="32"/>
    <w:qFormat/>
    <w:rsid w:val="00747EED"/>
    <w:rPr>
      <w:b/>
      <w:bCs/>
      <w:smallCaps/>
      <w:color w:val="0F4761" w:themeColor="accent1" w:themeShade="BF"/>
      <w:spacing w:val="5"/>
    </w:rPr>
  </w:style>
  <w:style w:type="paragraph" w:styleId="Header">
    <w:name w:val="header"/>
    <w:basedOn w:val="Normal"/>
    <w:link w:val="HeaderChar"/>
    <w:uiPriority w:val="99"/>
    <w:unhideWhenUsed/>
    <w:rsid w:val="00B30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D19"/>
  </w:style>
  <w:style w:type="paragraph" w:styleId="Footer">
    <w:name w:val="footer"/>
    <w:basedOn w:val="Normal"/>
    <w:link w:val="FooterChar"/>
    <w:uiPriority w:val="99"/>
    <w:unhideWhenUsed/>
    <w:rsid w:val="00B30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53B98297AFD4DB14742DC865B742D" ma:contentTypeVersion="4" ma:contentTypeDescription="Create a new document." ma:contentTypeScope="" ma:versionID="6dbb63a085f8695d0d1efd303c850609">
  <xsd:schema xmlns:xsd="http://www.w3.org/2001/XMLSchema" xmlns:xs="http://www.w3.org/2001/XMLSchema" xmlns:p="http://schemas.microsoft.com/office/2006/metadata/properties" xmlns:ns2="69058706-fe29-42d2-983d-bf10b14db0dc" targetNamespace="http://schemas.microsoft.com/office/2006/metadata/properties" ma:root="true" ma:fieldsID="0bd1b525673a3bb1514f97f46578d6d1" ns2:_="">
    <xsd:import namespace="69058706-fe29-42d2-983d-bf10b14db0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58706-fe29-42d2-983d-bf10b14db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62E799-68F6-47E8-80D7-BC14F8CDA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58706-fe29-42d2-983d-bf10b14db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90280-AF4A-47B7-AE67-8EEB7C206A36}">
  <ds:schemaRefs>
    <ds:schemaRef ds:uri="http://schemas.microsoft.com/sharepoint/v3/contenttype/forms"/>
  </ds:schemaRefs>
</ds:datastoreItem>
</file>

<file path=customXml/itemProps3.xml><?xml version="1.0" encoding="utf-8"?>
<ds:datastoreItem xmlns:ds="http://schemas.openxmlformats.org/officeDocument/2006/customXml" ds:itemID="{FC2E6D80-DB13-493C-B00A-39BFAD2DECA4}">
  <ds:schemaRefs>
    <ds:schemaRef ds:uri="http://www.w3.org/XML/1998/namespace"/>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69058706-fe29-42d2-983d-bf10b14db0d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Jacee (RNU) Oxford Health</dc:creator>
  <cp:keywords/>
  <dc:description/>
  <cp:lastModifiedBy>Thomas Jacee (RNU) Oxford Health</cp:lastModifiedBy>
  <cp:revision>40</cp:revision>
  <dcterms:created xsi:type="dcterms:W3CDTF">2024-09-16T14:40:00Z</dcterms:created>
  <dcterms:modified xsi:type="dcterms:W3CDTF">2025-06-23T15:01:00Z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0x010100C3853B98297AFD4DB14742DC865B742D</vt:lpwstr>
  </property>
</Properties>
</file>